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90" w:lineRule="auto" w:before="86"/>
      </w:pPr>
      <w:r>
        <w:rPr/>
        <mc:AlternateContent>
          <mc:Choice Requires="wps">
            <w:drawing>
              <wp:anchor distT="0" distB="0" distL="0" distR="0" allowOverlap="1" layoutInCell="1" locked="0" behindDoc="1" simplePos="0" relativeHeight="482648064">
                <wp:simplePos x="0" y="0"/>
                <wp:positionH relativeFrom="page">
                  <wp:posOffset>-952</wp:posOffset>
                </wp:positionH>
                <wp:positionV relativeFrom="page">
                  <wp:posOffset>0</wp:posOffset>
                </wp:positionV>
                <wp:extent cx="7561580" cy="10693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1580" cy="10693400"/>
                          <a:chExt cx="7561580" cy="10693400"/>
                        </a:xfrm>
                      </wpg:grpSpPr>
                      <wps:wsp>
                        <wps:cNvPr id="2" name="Graphic 2"/>
                        <wps:cNvSpPr/>
                        <wps:spPr>
                          <a:xfrm>
                            <a:off x="952" y="0"/>
                            <a:ext cx="7560945" cy="8590915"/>
                          </a:xfrm>
                          <a:custGeom>
                            <a:avLst/>
                            <a:gdLst/>
                            <a:ahLst/>
                            <a:cxnLst/>
                            <a:rect l="l" t="t" r="r" b="b"/>
                            <a:pathLst>
                              <a:path w="7560945" h="8590915">
                                <a:moveTo>
                                  <a:pt x="0" y="8590912"/>
                                </a:moveTo>
                                <a:lnTo>
                                  <a:pt x="7560564" y="8590912"/>
                                </a:lnTo>
                                <a:lnTo>
                                  <a:pt x="7560564" y="0"/>
                                </a:lnTo>
                                <a:lnTo>
                                  <a:pt x="0" y="0"/>
                                </a:lnTo>
                                <a:lnTo>
                                  <a:pt x="0" y="8590912"/>
                                </a:lnTo>
                                <a:close/>
                              </a:path>
                            </a:pathLst>
                          </a:custGeom>
                          <a:solidFill>
                            <a:srgbClr val="DDD9C3"/>
                          </a:solidFill>
                        </wps:spPr>
                        <wps:bodyPr wrap="square" lIns="0" tIns="0" rIns="0" bIns="0" rtlCol="0">
                          <a:prstTxWarp prst="textNoShape">
                            <a:avLst/>
                          </a:prstTxWarp>
                          <a:noAutofit/>
                        </wps:bodyPr>
                      </wps:wsp>
                      <wps:wsp>
                        <wps:cNvPr id="3" name="Graphic 3"/>
                        <wps:cNvSpPr/>
                        <wps:spPr>
                          <a:xfrm>
                            <a:off x="0" y="8590912"/>
                            <a:ext cx="7560309" cy="2102485"/>
                          </a:xfrm>
                          <a:custGeom>
                            <a:avLst/>
                            <a:gdLst/>
                            <a:ahLst/>
                            <a:cxnLst/>
                            <a:rect l="l" t="t" r="r" b="b"/>
                            <a:pathLst>
                              <a:path w="7560309" h="2102485">
                                <a:moveTo>
                                  <a:pt x="7560309" y="0"/>
                                </a:moveTo>
                                <a:lnTo>
                                  <a:pt x="0" y="0"/>
                                </a:lnTo>
                                <a:lnTo>
                                  <a:pt x="0" y="2102485"/>
                                </a:lnTo>
                                <a:lnTo>
                                  <a:pt x="7560309" y="2102485"/>
                                </a:lnTo>
                                <a:lnTo>
                                  <a:pt x="7560309" y="0"/>
                                </a:lnTo>
                                <a:close/>
                              </a:path>
                            </a:pathLst>
                          </a:custGeom>
                          <a:solidFill>
                            <a:srgbClr val="1F487C"/>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5144451" y="8967151"/>
                            <a:ext cx="1799208" cy="960119"/>
                          </a:xfrm>
                          <a:prstGeom prst="rect">
                            <a:avLst/>
                          </a:prstGeom>
                        </pic:spPr>
                      </pic:pic>
                      <wps:wsp>
                        <wps:cNvPr id="5" name="Graphic 5"/>
                        <wps:cNvSpPr/>
                        <wps:spPr>
                          <a:xfrm>
                            <a:off x="952" y="580643"/>
                            <a:ext cx="5080" cy="189230"/>
                          </a:xfrm>
                          <a:custGeom>
                            <a:avLst/>
                            <a:gdLst/>
                            <a:ahLst/>
                            <a:cxnLst/>
                            <a:rect l="l" t="t" r="r" b="b"/>
                            <a:pathLst>
                              <a:path w="5080" h="189230">
                                <a:moveTo>
                                  <a:pt x="4572" y="185928"/>
                                </a:moveTo>
                                <a:lnTo>
                                  <a:pt x="0" y="185928"/>
                                </a:lnTo>
                                <a:lnTo>
                                  <a:pt x="0" y="188976"/>
                                </a:lnTo>
                                <a:lnTo>
                                  <a:pt x="4572" y="188976"/>
                                </a:lnTo>
                                <a:lnTo>
                                  <a:pt x="4572" y="185928"/>
                                </a:lnTo>
                                <a:close/>
                              </a:path>
                              <a:path w="5080" h="189230">
                                <a:moveTo>
                                  <a:pt x="4572" y="0"/>
                                </a:moveTo>
                                <a:lnTo>
                                  <a:pt x="0" y="0"/>
                                </a:lnTo>
                                <a:lnTo>
                                  <a:pt x="0" y="3048"/>
                                </a:lnTo>
                                <a:lnTo>
                                  <a:pt x="4572" y="3048"/>
                                </a:lnTo>
                                <a:lnTo>
                                  <a:pt x="4572" y="0"/>
                                </a:lnTo>
                                <a:close/>
                              </a:path>
                            </a:pathLst>
                          </a:custGeom>
                          <a:solidFill>
                            <a:srgbClr val="7E7E7E"/>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3788726" y="2312034"/>
                            <a:ext cx="3099279" cy="4679904"/>
                          </a:xfrm>
                          <a:prstGeom prst="rect">
                            <a:avLst/>
                          </a:prstGeom>
                        </pic:spPr>
                      </pic:pic>
                      <wps:wsp>
                        <wps:cNvPr id="7" name="Graphic 7"/>
                        <wps:cNvSpPr/>
                        <wps:spPr>
                          <a:xfrm>
                            <a:off x="3758627" y="2281935"/>
                            <a:ext cx="3162935" cy="4740275"/>
                          </a:xfrm>
                          <a:custGeom>
                            <a:avLst/>
                            <a:gdLst/>
                            <a:ahLst/>
                            <a:cxnLst/>
                            <a:rect l="l" t="t" r="r" b="b"/>
                            <a:pathLst>
                              <a:path w="3162935" h="4740275">
                                <a:moveTo>
                                  <a:pt x="0" y="4740275"/>
                                </a:moveTo>
                                <a:lnTo>
                                  <a:pt x="3162935" y="4740275"/>
                                </a:lnTo>
                                <a:lnTo>
                                  <a:pt x="3162935" y="0"/>
                                </a:lnTo>
                                <a:lnTo>
                                  <a:pt x="0" y="0"/>
                                </a:lnTo>
                                <a:lnTo>
                                  <a:pt x="0" y="4740275"/>
                                </a:lnTo>
                                <a:close/>
                              </a:path>
                            </a:pathLst>
                          </a:custGeom>
                          <a:ln w="603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74961pt;margin-top:0pt;width:595.4pt;height:842pt;mso-position-horizontal-relative:page;mso-position-vertical-relative:page;z-index:-20668416" id="docshapegroup1" coordorigin="-1,0" coordsize="11908,16840">
                <v:rect style="position:absolute;left:0;top:0;width:11907;height:13529" id="docshape2" filled="true" fillcolor="#ddd9c3" stroked="false">
                  <v:fill type="solid"/>
                </v:rect>
                <v:rect style="position:absolute;left:-2;top:13529;width:11906;height:3311" id="docshape3" filled="true" fillcolor="#1f487c" stroked="false">
                  <v:fill type="solid"/>
                </v:rect>
                <v:shape style="position:absolute;left:8100;top:14121;width:2834;height:1512" type="#_x0000_t75" id="docshape4" stroked="false">
                  <v:imagedata r:id="rId5" o:title=""/>
                </v:shape>
                <v:shape style="position:absolute;left:0;top:914;width:8;height:298" id="docshape5" coordorigin="0,914" coordsize="8,298" path="m7,1207l0,1207,0,1212,7,1212,7,1207xm7,914l0,914,0,919,7,919,7,914xe" filled="true" fillcolor="#7e7e7e" stroked="false">
                  <v:path arrowok="t"/>
                  <v:fill type="solid"/>
                </v:shape>
                <v:shape style="position:absolute;left:5965;top:3641;width:4881;height:7370" type="#_x0000_t75" id="docshape6" stroked="false">
                  <v:imagedata r:id="rId6" o:title=""/>
                </v:shape>
                <v:rect style="position:absolute;left:5917;top:3593;width:4981;height:7465" id="docshape7" filled="false" stroked="true" strokeweight="4.75pt" strokecolor="#1f487c">
                  <v:stroke dashstyle="solid"/>
                </v:rect>
                <w10:wrap type="none"/>
              </v:group>
            </w:pict>
          </mc:Fallback>
        </mc:AlternateContent>
      </w:r>
      <w:r>
        <w:rPr>
          <w:color w:val="1F487C"/>
          <w:spacing w:val="-2"/>
          <w:w w:val="80"/>
        </w:rPr>
        <w:t>ΕΚΘΕΣΗ</w:t>
      </w:r>
      <w:r>
        <w:rPr>
          <w:color w:val="1F487C"/>
          <w:spacing w:val="-2"/>
          <w:w w:val="80"/>
        </w:rPr>
        <w:t> </w:t>
      </w:r>
      <w:r>
        <w:rPr>
          <w:color w:val="1F487C"/>
          <w:w w:val="80"/>
        </w:rPr>
        <w:t>ΧΡΗΜΑΤΟΠΙΣΤΩΤΙΚΗΣ</w:t>
      </w:r>
      <w:r>
        <w:rPr>
          <w:color w:val="1F487C"/>
          <w:spacing w:val="38"/>
        </w:rPr>
        <w:t> </w:t>
      </w:r>
      <w:r>
        <w:rPr>
          <w:color w:val="1F487C"/>
          <w:spacing w:val="-2"/>
          <w:w w:val="80"/>
        </w:rPr>
        <w:t>ΣΤΑΘΕΡΟΤΗΤΑΣ</w:t>
      </w: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spacing w:before="159"/>
        <w:rPr>
          <w:rFonts w:ascii="Arial"/>
          <w:b/>
          <w:sz w:val="56"/>
        </w:rPr>
      </w:pPr>
    </w:p>
    <w:p>
      <w:pPr>
        <w:spacing w:line="364" w:lineRule="exact" w:before="0"/>
        <w:ind w:left="38" w:right="8139" w:firstLine="0"/>
        <w:jc w:val="center"/>
        <w:rPr>
          <w:sz w:val="32"/>
        </w:rPr>
      </w:pPr>
      <w:r>
        <w:rPr>
          <w:color w:val="FFFFFF"/>
          <w:spacing w:val="-2"/>
          <w:sz w:val="32"/>
        </w:rPr>
        <w:t>ΜΑΪΟΣ</w:t>
      </w:r>
    </w:p>
    <w:p>
      <w:pPr>
        <w:spacing w:line="364" w:lineRule="exact" w:before="0"/>
        <w:ind w:left="38" w:right="8136" w:firstLine="0"/>
        <w:jc w:val="center"/>
        <w:rPr>
          <w:sz w:val="32"/>
        </w:rPr>
      </w:pPr>
      <w:r>
        <w:rPr>
          <w:color w:val="FFFFFF"/>
          <w:spacing w:val="-4"/>
          <w:sz w:val="32"/>
        </w:rPr>
        <w:t>2026</w:t>
      </w:r>
    </w:p>
    <w:p>
      <w:pPr>
        <w:spacing w:after="0" w:line="364" w:lineRule="exact"/>
        <w:jc w:val="center"/>
        <w:rPr>
          <w:sz w:val="32"/>
        </w:rPr>
        <w:sectPr>
          <w:type w:val="continuous"/>
          <w:pgSz w:w="11910" w:h="16850"/>
          <w:pgMar w:top="1320" w:bottom="280" w:left="1417" w:right="850"/>
        </w:sectPr>
      </w:pPr>
    </w:p>
    <w:p>
      <w:pPr>
        <w:pStyle w:val="BodyText"/>
        <w:spacing w:before="4"/>
        <w:rPr>
          <w:sz w:val="17"/>
        </w:rPr>
      </w:pPr>
    </w:p>
    <w:p>
      <w:pPr>
        <w:pStyle w:val="BodyText"/>
        <w:spacing w:after="0"/>
        <w:rPr>
          <w:sz w:val="17"/>
        </w:rPr>
        <w:sectPr>
          <w:pgSz w:w="11910" w:h="16850"/>
          <w:pgMar w:top="1940" w:bottom="280" w:left="1417" w:right="850"/>
        </w:sectPr>
      </w:pPr>
    </w:p>
    <w:p>
      <w:pPr>
        <w:pStyle w:val="Title"/>
        <w:spacing w:line="290" w:lineRule="auto"/>
      </w:pPr>
      <w:r>
        <w:rPr/>
        <mc:AlternateContent>
          <mc:Choice Requires="wps">
            <w:drawing>
              <wp:anchor distT="0" distB="0" distL="0" distR="0" allowOverlap="1" layoutInCell="1" locked="0" behindDoc="1" simplePos="0" relativeHeight="482649088">
                <wp:simplePos x="0" y="0"/>
                <wp:positionH relativeFrom="page">
                  <wp:posOffset>-12700</wp:posOffset>
                </wp:positionH>
                <wp:positionV relativeFrom="page">
                  <wp:posOffset>8553945</wp:posOffset>
                </wp:positionV>
                <wp:extent cx="7575550" cy="212788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75550" cy="2127885"/>
                          <a:chExt cx="7575550" cy="2127885"/>
                        </a:xfrm>
                      </wpg:grpSpPr>
                      <wps:wsp>
                        <wps:cNvPr id="9" name="Graphic 9"/>
                        <wps:cNvSpPr/>
                        <wps:spPr>
                          <a:xfrm>
                            <a:off x="12700" y="12700"/>
                            <a:ext cx="7550150" cy="2102485"/>
                          </a:xfrm>
                          <a:custGeom>
                            <a:avLst/>
                            <a:gdLst/>
                            <a:ahLst/>
                            <a:cxnLst/>
                            <a:rect l="l" t="t" r="r" b="b"/>
                            <a:pathLst>
                              <a:path w="7550150" h="2102485">
                                <a:moveTo>
                                  <a:pt x="7550148" y="0"/>
                                </a:moveTo>
                                <a:lnTo>
                                  <a:pt x="0" y="0"/>
                                </a:lnTo>
                                <a:lnTo>
                                  <a:pt x="0" y="2102485"/>
                                </a:lnTo>
                                <a:lnTo>
                                  <a:pt x="7550148" y="2102485"/>
                                </a:lnTo>
                                <a:lnTo>
                                  <a:pt x="7550148" y="0"/>
                                </a:lnTo>
                                <a:close/>
                              </a:path>
                            </a:pathLst>
                          </a:custGeom>
                          <a:solidFill>
                            <a:srgbClr val="A6A6A6"/>
                          </a:solidFill>
                        </wps:spPr>
                        <wps:bodyPr wrap="square" lIns="0" tIns="0" rIns="0" bIns="0" rtlCol="0">
                          <a:prstTxWarp prst="textNoShape">
                            <a:avLst/>
                          </a:prstTxWarp>
                          <a:noAutofit/>
                        </wps:bodyPr>
                      </wps:wsp>
                      <wps:wsp>
                        <wps:cNvPr id="10" name="Graphic 10"/>
                        <wps:cNvSpPr/>
                        <wps:spPr>
                          <a:xfrm>
                            <a:off x="12700" y="12700"/>
                            <a:ext cx="7550150" cy="2102485"/>
                          </a:xfrm>
                          <a:custGeom>
                            <a:avLst/>
                            <a:gdLst/>
                            <a:ahLst/>
                            <a:cxnLst/>
                            <a:rect l="l" t="t" r="r" b="b"/>
                            <a:pathLst>
                              <a:path w="7550150" h="2102485">
                                <a:moveTo>
                                  <a:pt x="0" y="2102485"/>
                                </a:moveTo>
                                <a:lnTo>
                                  <a:pt x="7550148" y="2102485"/>
                                </a:lnTo>
                                <a:lnTo>
                                  <a:pt x="7550148" y="0"/>
                                </a:lnTo>
                                <a:lnTo>
                                  <a:pt x="0" y="0"/>
                                </a:lnTo>
                              </a:path>
                            </a:pathLst>
                          </a:custGeom>
                          <a:ln w="25400">
                            <a:solidFill>
                              <a:srgbClr val="A6A6A6"/>
                            </a:solidFill>
                            <a:prstDash val="solid"/>
                          </a:ln>
                        </wps:spPr>
                        <wps:bodyPr wrap="square" lIns="0" tIns="0" rIns="0" bIns="0" rtlCol="0">
                          <a:prstTxWarp prst="textNoShape">
                            <a:avLst/>
                          </a:prstTxWarp>
                          <a:noAutofit/>
                        </wps:bodyPr>
                      </wps:wsp>
                      <pic:pic>
                        <pic:nvPicPr>
                          <pic:cNvPr id="11" name="Image 11"/>
                          <pic:cNvPicPr/>
                        </pic:nvPicPr>
                        <pic:blipFill>
                          <a:blip r:embed="rId7" cstate="print"/>
                          <a:stretch>
                            <a:fillRect/>
                          </a:stretch>
                        </pic:blipFill>
                        <pic:spPr>
                          <a:xfrm>
                            <a:off x="5149215" y="542023"/>
                            <a:ext cx="1799589" cy="960755"/>
                          </a:xfrm>
                          <a:prstGeom prst="rect">
                            <a:avLst/>
                          </a:prstGeom>
                        </pic:spPr>
                      </pic:pic>
                    </wpg:wgp>
                  </a:graphicData>
                </a:graphic>
              </wp:anchor>
            </w:drawing>
          </mc:Choice>
          <mc:Fallback>
            <w:pict>
              <v:group style="position:absolute;margin-left:-1pt;margin-top:673.539001pt;width:596.5pt;height:167.55pt;mso-position-horizontal-relative:page;mso-position-vertical-relative:page;z-index:-20667392" id="docshapegroup8" coordorigin="-20,13471" coordsize="11930,3351">
                <v:rect style="position:absolute;left:0;top:13490;width:11890;height:3311" id="docshape9" filled="true" fillcolor="#a6a6a6" stroked="false">
                  <v:fill type="solid"/>
                </v:rect>
                <v:shape style="position:absolute;left:0;top:13490;width:11890;height:3311" id="docshape10" coordorigin="0,13491" coordsize="11890,3311" path="m0,16802l11890,16802,11890,13491,0,13491e" filled="false" stroked="true" strokeweight="2pt" strokecolor="#a6a6a6">
                  <v:path arrowok="t"/>
                  <v:stroke dashstyle="solid"/>
                </v:shape>
                <v:shape style="position:absolute;left:8089;top:14324;width:2834;height:1513" type="#_x0000_t75" id="docshape11" stroked="false">
                  <v:imagedata r:id="rId7" o:title=""/>
                </v:shape>
                <w10:wrap type="none"/>
              </v:group>
            </w:pict>
          </mc:Fallback>
        </mc:AlternateContent>
      </w:r>
      <w:r>
        <w:rPr>
          <w:color w:val="585858"/>
          <w:spacing w:val="-2"/>
          <w:w w:val="80"/>
        </w:rPr>
        <w:t>ΕΚΘΕΣΗ</w:t>
      </w:r>
      <w:r>
        <w:rPr>
          <w:color w:val="585858"/>
          <w:spacing w:val="-2"/>
          <w:w w:val="80"/>
        </w:rPr>
        <w:t> </w:t>
      </w:r>
      <w:r>
        <w:rPr>
          <w:color w:val="585858"/>
          <w:w w:val="80"/>
        </w:rPr>
        <w:t>ΧΡΗΜΑΤΟΠΙΣΤΩΤΙΚΗΣ</w:t>
      </w:r>
      <w:r>
        <w:rPr>
          <w:color w:val="585858"/>
          <w:spacing w:val="38"/>
        </w:rPr>
        <w:t> </w:t>
      </w:r>
      <w:r>
        <w:rPr>
          <w:color w:val="585858"/>
          <w:spacing w:val="-2"/>
          <w:w w:val="80"/>
        </w:rPr>
        <w:t>ΣΤΑΘΕΡΟΤΗΤΑΣ</w:t>
      </w:r>
    </w:p>
    <w:p>
      <w:pPr>
        <w:pStyle w:val="BodyText"/>
        <w:rPr>
          <w:rFonts w:ascii="Arial"/>
          <w:b/>
          <w:sz w:val="20"/>
        </w:rPr>
      </w:pPr>
    </w:p>
    <w:p>
      <w:pPr>
        <w:pStyle w:val="BodyText"/>
        <w:spacing w:before="7"/>
        <w:rPr>
          <w:rFonts w:ascii="Arial"/>
          <w:b/>
          <w:sz w:val="20"/>
        </w:rPr>
      </w:pPr>
      <w:r>
        <w:rPr>
          <w:rFonts w:ascii="Arial"/>
          <w:b/>
          <w:sz w:val="20"/>
        </w:rPr>
        <mc:AlternateContent>
          <mc:Choice Requires="wps">
            <w:drawing>
              <wp:anchor distT="0" distB="0" distL="0" distR="0" allowOverlap="1" layoutInCell="1" locked="0" behindDoc="1" simplePos="0" relativeHeight="487588352">
                <wp:simplePos x="0" y="0"/>
                <wp:positionH relativeFrom="page">
                  <wp:posOffset>3506533</wp:posOffset>
                </wp:positionH>
                <wp:positionV relativeFrom="paragraph">
                  <wp:posOffset>166225</wp:posOffset>
                </wp:positionV>
                <wp:extent cx="3434079" cy="5048885"/>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3434079" cy="5048885"/>
                          <a:chExt cx="3434079" cy="5048885"/>
                        </a:xfrm>
                      </wpg:grpSpPr>
                      <pic:pic>
                        <pic:nvPicPr>
                          <pic:cNvPr id="13" name="Image 13"/>
                          <pic:cNvPicPr/>
                        </pic:nvPicPr>
                        <pic:blipFill>
                          <a:blip r:embed="rId8" cstate="print"/>
                          <a:stretch>
                            <a:fillRect/>
                          </a:stretch>
                        </pic:blipFill>
                        <pic:spPr>
                          <a:xfrm>
                            <a:off x="60261" y="60261"/>
                            <a:ext cx="3313429" cy="4928235"/>
                          </a:xfrm>
                          <a:prstGeom prst="rect">
                            <a:avLst/>
                          </a:prstGeom>
                        </pic:spPr>
                      </pic:pic>
                      <wps:wsp>
                        <wps:cNvPr id="14" name="Graphic 14"/>
                        <wps:cNvSpPr/>
                        <wps:spPr>
                          <a:xfrm>
                            <a:off x="30162" y="30162"/>
                            <a:ext cx="3373754" cy="4988560"/>
                          </a:xfrm>
                          <a:custGeom>
                            <a:avLst/>
                            <a:gdLst/>
                            <a:ahLst/>
                            <a:cxnLst/>
                            <a:rect l="l" t="t" r="r" b="b"/>
                            <a:pathLst>
                              <a:path w="3373754" h="4988560">
                                <a:moveTo>
                                  <a:pt x="0" y="4988560"/>
                                </a:moveTo>
                                <a:lnTo>
                                  <a:pt x="3373754" y="4988560"/>
                                </a:lnTo>
                                <a:lnTo>
                                  <a:pt x="3373754" y="0"/>
                                </a:lnTo>
                                <a:lnTo>
                                  <a:pt x="0" y="0"/>
                                </a:lnTo>
                                <a:lnTo>
                                  <a:pt x="0" y="4988560"/>
                                </a:lnTo>
                                <a:close/>
                              </a:path>
                            </a:pathLst>
                          </a:custGeom>
                          <a:ln w="603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105011pt;margin-top:13.088593pt;width:270.4pt;height:397.55pt;mso-position-horizontal-relative:page;mso-position-vertical-relative:paragraph;z-index:-15728128;mso-wrap-distance-left:0;mso-wrap-distance-right:0" id="docshapegroup12" coordorigin="5522,262" coordsize="5408,7951">
                <v:shape style="position:absolute;left:5617;top:356;width:5218;height:7761" type="#_x0000_t75" id="docshape13" stroked="false">
                  <v:imagedata r:id="rId8" o:title=""/>
                </v:shape>
                <v:rect style="position:absolute;left:5569;top:309;width:5313;height:7856" id="docshape14" filled="false" stroked="true" strokeweight="4.75pt" strokecolor="#d9d9d9">
                  <v:stroke dashstyle="solid"/>
                </v:rect>
                <w10:wrap type="topAndBottom"/>
              </v:group>
            </w:pict>
          </mc:Fallback>
        </mc:AlternateContent>
      </w: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86"/>
        <w:rPr>
          <w:rFonts w:ascii="Arial"/>
          <w:b/>
          <w:sz w:val="32"/>
        </w:rPr>
      </w:pPr>
    </w:p>
    <w:p>
      <w:pPr>
        <w:spacing w:line="364" w:lineRule="exact" w:before="0"/>
        <w:ind w:left="38" w:right="8139" w:firstLine="0"/>
        <w:jc w:val="center"/>
        <w:rPr>
          <w:sz w:val="32"/>
        </w:rPr>
      </w:pPr>
      <w:r>
        <w:rPr>
          <w:color w:val="FFFFFF"/>
          <w:spacing w:val="-2"/>
          <w:sz w:val="32"/>
        </w:rPr>
        <w:t>ΜΑΪΟΣ</w:t>
      </w:r>
    </w:p>
    <w:p>
      <w:pPr>
        <w:spacing w:line="364" w:lineRule="exact" w:before="0"/>
        <w:ind w:left="38" w:right="8136" w:firstLine="0"/>
        <w:jc w:val="center"/>
        <w:rPr>
          <w:sz w:val="32"/>
        </w:rPr>
      </w:pPr>
      <w:r>
        <w:rPr>
          <w:color w:val="FFFFFF"/>
          <w:spacing w:val="-4"/>
          <w:sz w:val="32"/>
        </w:rPr>
        <w:t>2026</w:t>
      </w:r>
    </w:p>
    <w:p>
      <w:pPr>
        <w:spacing w:after="0" w:line="364" w:lineRule="exact"/>
        <w:jc w:val="center"/>
        <w:rPr>
          <w:sz w:val="32"/>
        </w:rPr>
        <w:sectPr>
          <w:pgSz w:w="11910" w:h="16850"/>
          <w:pgMar w:top="1240" w:bottom="0" w:left="1417" w:right="85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1"/>
      </w:pPr>
    </w:p>
    <w:p>
      <w:pPr>
        <w:pStyle w:val="Heading3"/>
        <w:spacing w:before="1"/>
        <w:ind w:left="172" w:firstLine="0"/>
      </w:pPr>
      <w:r>
        <w:rPr>
          <w:color w:val="1F487C"/>
        </w:rPr>
        <w:t>ΤΡΑΠΕΖΑ</w:t>
      </w:r>
      <w:r>
        <w:rPr>
          <w:color w:val="1F487C"/>
          <w:spacing w:val="-5"/>
        </w:rPr>
        <w:t> </w:t>
      </w:r>
      <w:r>
        <w:rPr>
          <w:color w:val="1F487C"/>
        </w:rPr>
        <w:t>ΤΗΣ</w:t>
      </w:r>
      <w:r>
        <w:rPr>
          <w:color w:val="1F487C"/>
          <w:spacing w:val="-3"/>
        </w:rPr>
        <w:t> </w:t>
      </w:r>
      <w:r>
        <w:rPr>
          <w:color w:val="1F487C"/>
          <w:spacing w:val="-2"/>
        </w:rPr>
        <w:t>ΕΛΛΑΔΟΣ</w:t>
      </w:r>
    </w:p>
    <w:p>
      <w:pPr>
        <w:pStyle w:val="BodyText"/>
        <w:spacing w:before="107"/>
        <w:ind w:left="172"/>
      </w:pPr>
      <w:r>
        <w:rPr/>
        <w:t>Ελευθ.</w:t>
      </w:r>
      <w:r>
        <w:rPr>
          <w:spacing w:val="-6"/>
        </w:rPr>
        <w:t> </w:t>
      </w:r>
      <w:r>
        <w:rPr/>
        <w:t>Βενιζέλου</w:t>
      </w:r>
      <w:r>
        <w:rPr>
          <w:spacing w:val="-5"/>
        </w:rPr>
        <w:t> 21</w:t>
      </w:r>
    </w:p>
    <w:p>
      <w:pPr>
        <w:pStyle w:val="BodyText"/>
        <w:spacing w:before="107"/>
        <w:ind w:left="172"/>
      </w:pPr>
      <w:r>
        <w:rPr/>
        <w:t>102 50 </w:t>
      </w:r>
      <w:r>
        <w:rPr>
          <w:spacing w:val="-2"/>
        </w:rPr>
        <w:t>Αθήνα</w:t>
      </w:r>
    </w:p>
    <w:p>
      <w:pPr>
        <w:pStyle w:val="BodyText"/>
        <w:spacing w:before="213"/>
      </w:pPr>
    </w:p>
    <w:p>
      <w:pPr>
        <w:pStyle w:val="BodyText"/>
        <w:spacing w:before="1"/>
        <w:ind w:left="172"/>
      </w:pPr>
      <w:hyperlink r:id="rId10">
        <w:r>
          <w:rPr>
            <w:color w:val="0000FF"/>
            <w:spacing w:val="-2"/>
            <w:u w:val="single" w:color="0000FF"/>
          </w:rPr>
          <w:t>www.bankofgreece.gr</w:t>
        </w:r>
      </w:hyperlink>
    </w:p>
    <w:p>
      <w:pPr>
        <w:pStyle w:val="BodyText"/>
        <w:spacing w:before="214"/>
      </w:pPr>
    </w:p>
    <w:p>
      <w:pPr>
        <w:pStyle w:val="BodyText"/>
        <w:tabs>
          <w:tab w:pos="892" w:val="left" w:leader="none"/>
        </w:tabs>
        <w:spacing w:line="340" w:lineRule="auto"/>
        <w:ind w:left="172" w:right="5361"/>
      </w:pPr>
      <w:r>
        <w:rPr/>
        <w:t>Διεύθυνση</w:t>
      </w:r>
      <w:r>
        <w:rPr>
          <w:spacing w:val="-14"/>
        </w:rPr>
        <w:t> </w:t>
      </w:r>
      <w:r>
        <w:rPr/>
        <w:t>Χρηματοπιστωτικής</w:t>
      </w:r>
      <w:r>
        <w:rPr>
          <w:spacing w:val="-14"/>
        </w:rPr>
        <w:t> </w:t>
      </w:r>
      <w:r>
        <w:rPr/>
        <w:t>Σταθερότητας </w:t>
      </w:r>
      <w:r>
        <w:rPr>
          <w:spacing w:val="-4"/>
        </w:rPr>
        <w:t>Τηλ.</w:t>
      </w:r>
      <w:r>
        <w:rPr/>
        <w:tab/>
        <w:t>+30 210 320 5111</w:t>
      </w:r>
    </w:p>
    <w:p>
      <w:pPr>
        <w:pStyle w:val="BodyText"/>
        <w:tabs>
          <w:tab w:pos="892" w:val="left" w:leader="none"/>
        </w:tabs>
        <w:spacing w:before="2"/>
        <w:ind w:left="172"/>
      </w:pPr>
      <w:r>
        <w:rPr>
          <w:spacing w:val="-5"/>
        </w:rPr>
        <w:t>Fax</w:t>
      </w:r>
      <w:r>
        <w:rPr/>
        <w:tab/>
        <w:t>+30</w:t>
      </w:r>
      <w:r>
        <w:rPr>
          <w:spacing w:val="-3"/>
        </w:rPr>
        <w:t> </w:t>
      </w:r>
      <w:r>
        <w:rPr/>
        <w:t>210</w:t>
      </w:r>
      <w:r>
        <w:rPr>
          <w:spacing w:val="-1"/>
        </w:rPr>
        <w:t> </w:t>
      </w:r>
      <w:r>
        <w:rPr/>
        <w:t>320</w:t>
      </w:r>
      <w:r>
        <w:rPr>
          <w:spacing w:val="-1"/>
        </w:rPr>
        <w:t> </w:t>
      </w:r>
      <w:r>
        <w:rPr>
          <w:spacing w:val="-4"/>
        </w:rPr>
        <w:t>5419</w:t>
      </w:r>
    </w:p>
    <w:p>
      <w:pPr>
        <w:pStyle w:val="BodyText"/>
        <w:spacing w:before="214"/>
      </w:pPr>
    </w:p>
    <w:p>
      <w:pPr>
        <w:pStyle w:val="Heading4"/>
        <w:jc w:val="left"/>
      </w:pPr>
      <w:r>
        <w:rPr>
          <w:color w:val="1F487C"/>
        </w:rPr>
        <w:t>ISSN</w:t>
      </w:r>
      <w:r>
        <w:rPr>
          <w:color w:val="1F487C"/>
          <w:spacing w:val="-5"/>
        </w:rPr>
        <w:t> </w:t>
      </w:r>
      <w:r>
        <w:rPr>
          <w:color w:val="1F487C"/>
        </w:rPr>
        <w:t>2732-9380</w:t>
      </w:r>
      <w:r>
        <w:rPr>
          <w:color w:val="1F487C"/>
          <w:spacing w:val="-5"/>
        </w:rPr>
        <w:t> </w:t>
      </w:r>
      <w:r>
        <w:rPr>
          <w:color w:val="1F487C"/>
          <w:spacing w:val="-2"/>
        </w:rPr>
        <w:t>(online)</w:t>
      </w:r>
    </w:p>
    <w:p>
      <w:pPr>
        <w:pStyle w:val="BodyText"/>
        <w:spacing w:before="214"/>
        <w:rPr>
          <w:b/>
        </w:rPr>
      </w:pPr>
    </w:p>
    <w:p>
      <w:pPr>
        <w:pStyle w:val="BodyText"/>
        <w:ind w:left="172"/>
      </w:pPr>
      <w:r>
        <w:rPr>
          <w:color w:val="1F487C"/>
        </w:rPr>
        <w:t>DOI:</w:t>
      </w:r>
      <w:r>
        <w:rPr>
          <w:color w:val="1F487C"/>
          <w:spacing w:val="-7"/>
        </w:rPr>
        <w:t> </w:t>
      </w:r>
      <w:hyperlink r:id="rId11">
        <w:r>
          <w:rPr>
            <w:color w:val="0000FF"/>
            <w:spacing w:val="-2"/>
            <w:u w:val="single" w:color="0000FF"/>
          </w:rPr>
          <w:t>https://doi.org/10.52903/finsta.gr202605</w:t>
        </w:r>
      </w:hyperlink>
    </w:p>
    <w:p>
      <w:pPr>
        <w:pStyle w:val="BodyText"/>
        <w:spacing w:after="0"/>
        <w:sectPr>
          <w:footerReference w:type="default" r:id="rId9"/>
          <w:pgSz w:w="11910" w:h="16850"/>
          <w:pgMar w:header="0" w:footer="1317" w:top="1940" w:bottom="1500" w:left="1417" w:right="850"/>
          <w:pgNumType w:start="4"/>
        </w:sectPr>
      </w:pPr>
    </w:p>
    <w:p>
      <w:pPr>
        <w:spacing w:before="70"/>
        <w:ind w:left="172" w:right="0" w:firstLine="0"/>
        <w:jc w:val="left"/>
        <w:rPr>
          <w:b/>
          <w:sz w:val="32"/>
        </w:rPr>
      </w:pPr>
      <w:r>
        <w:rPr>
          <w:b/>
          <w:color w:val="1F487C"/>
          <w:spacing w:val="-2"/>
          <w:sz w:val="32"/>
        </w:rPr>
        <w:t>ΠΕΡΙΕΧΟΜΕΝΑ</w:t>
      </w:r>
    </w:p>
    <w:p>
      <w:pPr>
        <w:spacing w:after="0"/>
        <w:jc w:val="left"/>
        <w:rPr>
          <w:b/>
          <w:sz w:val="32"/>
        </w:rPr>
        <w:sectPr>
          <w:pgSz w:w="11910" w:h="16850"/>
          <w:pgMar w:header="0" w:footer="1317" w:top="1800" w:bottom="1836" w:left="1417" w:right="850"/>
        </w:sectPr>
      </w:pPr>
    </w:p>
    <w:sdt>
      <w:sdtPr>
        <w:docPartObj>
          <w:docPartGallery w:val="Table of Contents"/>
          <w:docPartUnique/>
        </w:docPartObj>
      </w:sdtPr>
      <w:sdtEndPr/>
      <w:sdtContent>
        <w:p>
          <w:pPr>
            <w:pStyle w:val="TOC1"/>
            <w:numPr>
              <w:ilvl w:val="0"/>
              <w:numId w:val="1"/>
            </w:numPr>
            <w:tabs>
              <w:tab w:pos="611" w:val="left" w:leader="none"/>
              <w:tab w:pos="8549" w:val="left" w:leader="dot"/>
            </w:tabs>
            <w:spacing w:line="240" w:lineRule="auto" w:before="172" w:after="0"/>
            <w:ind w:left="611" w:right="0" w:hanging="439"/>
            <w:jc w:val="left"/>
          </w:pPr>
          <w:hyperlink w:history="true" w:anchor="_bookmark0">
            <w:r>
              <w:rPr>
                <w:color w:val="1F487C"/>
                <w:spacing w:val="-2"/>
              </w:rPr>
              <w:t>ΣΥΝΟΨΗ</w:t>
            </w:r>
            <w:r>
              <w:rPr>
                <w:b w:val="0"/>
                <w:color w:val="1F487C"/>
              </w:rPr>
              <w:tab/>
            </w:r>
            <w:r>
              <w:rPr>
                <w:color w:val="1F487C"/>
                <w:spacing w:val="-10"/>
              </w:rPr>
              <w:t>7</w:t>
            </w:r>
          </w:hyperlink>
        </w:p>
        <w:p>
          <w:pPr>
            <w:pStyle w:val="TOC1"/>
            <w:numPr>
              <w:ilvl w:val="0"/>
              <w:numId w:val="1"/>
            </w:numPr>
            <w:tabs>
              <w:tab w:pos="609" w:val="left" w:leader="none"/>
              <w:tab w:pos="8429" w:val="left" w:leader="dot"/>
            </w:tabs>
            <w:spacing w:line="240" w:lineRule="auto" w:before="183" w:after="0"/>
            <w:ind w:left="609" w:right="0" w:hanging="437"/>
            <w:jc w:val="left"/>
          </w:pPr>
          <w:hyperlink w:history="true" w:anchor="_bookmark2">
            <w:r>
              <w:rPr>
                <w:color w:val="1F487C"/>
              </w:rPr>
              <w:t>ΟΙΚΟΝΟΜΙΚΟ</w:t>
            </w:r>
            <w:r>
              <w:rPr>
                <w:color w:val="1F487C"/>
                <w:spacing w:val="1"/>
              </w:rPr>
              <w:t> </w:t>
            </w:r>
            <w:r>
              <w:rPr>
                <w:color w:val="1F487C"/>
                <w:spacing w:val="-2"/>
              </w:rPr>
              <w:t>ΠΕΡΙΒΑΛΛΟΝ</w:t>
            </w:r>
            <w:r>
              <w:rPr>
                <w:b w:val="0"/>
                <w:color w:val="1F487C"/>
              </w:rPr>
              <w:tab/>
            </w:r>
            <w:r>
              <w:rPr>
                <w:color w:val="1F487C"/>
                <w:spacing w:val="-5"/>
              </w:rPr>
              <w:t>12</w:t>
            </w:r>
          </w:hyperlink>
        </w:p>
        <w:p>
          <w:pPr>
            <w:pStyle w:val="TOC2"/>
            <w:numPr>
              <w:ilvl w:val="1"/>
              <w:numId w:val="1"/>
            </w:numPr>
            <w:tabs>
              <w:tab w:pos="611" w:val="left" w:leader="none"/>
              <w:tab w:pos="8448" w:val="left" w:leader="dot"/>
            </w:tabs>
            <w:spacing w:line="240" w:lineRule="auto" w:before="163" w:after="0"/>
            <w:ind w:left="611" w:right="0" w:hanging="439"/>
            <w:jc w:val="left"/>
          </w:pPr>
          <w:hyperlink w:history="true" w:anchor="_bookmark3">
            <w:r>
              <w:rPr>
                <w:color w:val="1F487C"/>
              </w:rPr>
              <w:t>Εξελίξε</w:t>
            </w:r>
            <w:r>
              <w:rPr>
                <w:smallCaps/>
                <w:color w:val="1F487C"/>
              </w:rPr>
              <w:t>ι</w:t>
            </w:r>
            <w:r>
              <w:rPr>
                <w:smallCaps w:val="0"/>
                <w:color w:val="1F487C"/>
              </w:rPr>
              <w:t>ς</w:t>
            </w:r>
            <w:r>
              <w:rPr>
                <w:smallCaps w:val="0"/>
                <w:color w:val="1F487C"/>
                <w:spacing w:val="-7"/>
              </w:rPr>
              <w:t> </w:t>
            </w:r>
            <w:r>
              <w:rPr>
                <w:smallCaps w:val="0"/>
                <w:color w:val="1F487C"/>
              </w:rPr>
              <w:t>κα</w:t>
            </w:r>
            <w:r>
              <w:rPr>
                <w:smallCaps/>
                <w:color w:val="1F487C"/>
              </w:rPr>
              <w:t>ι</w:t>
            </w:r>
            <w:r>
              <w:rPr>
                <w:smallCaps w:val="0"/>
                <w:color w:val="1F487C"/>
                <w:spacing w:val="-7"/>
              </w:rPr>
              <w:t> </w:t>
            </w:r>
            <w:r>
              <w:rPr>
                <w:smallCaps w:val="0"/>
                <w:color w:val="1F487C"/>
              </w:rPr>
              <w:t>προοπτ</w:t>
            </w:r>
            <w:r>
              <w:rPr>
                <w:smallCaps/>
                <w:color w:val="1F487C"/>
              </w:rPr>
              <w:t>ι</w:t>
            </w:r>
            <w:r>
              <w:rPr>
                <w:smallCaps w:val="0"/>
                <w:color w:val="1F487C"/>
              </w:rPr>
              <w:t>κές</w:t>
            </w:r>
            <w:r>
              <w:rPr>
                <w:smallCaps w:val="0"/>
                <w:color w:val="1F487C"/>
                <w:spacing w:val="-8"/>
              </w:rPr>
              <w:t> </w:t>
            </w:r>
            <w:r>
              <w:rPr>
                <w:smallCaps w:val="0"/>
                <w:color w:val="1F487C"/>
              </w:rPr>
              <w:t>της</w:t>
            </w:r>
            <w:r>
              <w:rPr>
                <w:smallCaps w:val="0"/>
                <w:color w:val="1F487C"/>
                <w:spacing w:val="-7"/>
              </w:rPr>
              <w:t> </w:t>
            </w:r>
            <w:r>
              <w:rPr>
                <w:smallCaps w:val="0"/>
                <w:color w:val="1F487C"/>
              </w:rPr>
              <w:t>ο</w:t>
            </w:r>
            <w:r>
              <w:rPr>
                <w:smallCaps/>
                <w:color w:val="1F487C"/>
              </w:rPr>
              <w:t>ι</w:t>
            </w:r>
            <w:r>
              <w:rPr>
                <w:smallCaps w:val="0"/>
                <w:color w:val="1F487C"/>
              </w:rPr>
              <w:t>κονομ</w:t>
            </w:r>
            <w:r>
              <w:rPr>
                <w:smallCaps/>
                <w:color w:val="1F487C"/>
              </w:rPr>
              <w:t>ι</w:t>
            </w:r>
            <w:r>
              <w:rPr>
                <w:smallCaps w:val="0"/>
                <w:color w:val="1F487C"/>
              </w:rPr>
              <w:t>κής</w:t>
            </w:r>
            <w:r>
              <w:rPr>
                <w:smallCaps w:val="0"/>
                <w:color w:val="1F487C"/>
                <w:spacing w:val="-9"/>
              </w:rPr>
              <w:t> </w:t>
            </w:r>
            <w:r>
              <w:rPr>
                <w:smallCaps w:val="0"/>
                <w:color w:val="1F487C"/>
                <w:spacing w:val="-2"/>
              </w:rPr>
              <w:t>δραστηρ</w:t>
            </w:r>
            <w:r>
              <w:rPr>
                <w:smallCaps/>
                <w:color w:val="1F487C"/>
                <w:spacing w:val="-2"/>
              </w:rPr>
              <w:t>ι</w:t>
            </w:r>
            <w:r>
              <w:rPr>
                <w:smallCaps w:val="0"/>
                <w:color w:val="1F487C"/>
                <w:spacing w:val="-2"/>
              </w:rPr>
              <w:t>ότητας</w:t>
            </w:r>
            <w:r>
              <w:rPr>
                <w:b w:val="0"/>
                <w:smallCaps w:val="0"/>
                <w:color w:val="1F487C"/>
              </w:rPr>
              <w:tab/>
            </w:r>
            <w:r>
              <w:rPr>
                <w:smallCaps w:val="0"/>
                <w:color w:val="1F487C"/>
                <w:spacing w:val="-5"/>
              </w:rPr>
              <w:t>12</w:t>
            </w:r>
          </w:hyperlink>
        </w:p>
        <w:p>
          <w:pPr>
            <w:pStyle w:val="TOC2"/>
            <w:numPr>
              <w:ilvl w:val="1"/>
              <w:numId w:val="1"/>
            </w:numPr>
            <w:tabs>
              <w:tab w:pos="611" w:val="left" w:leader="none"/>
              <w:tab w:pos="8448" w:val="left" w:leader="dot"/>
            </w:tabs>
            <w:spacing w:line="240" w:lineRule="auto" w:before="167" w:after="0"/>
            <w:ind w:left="611" w:right="0" w:hanging="439"/>
            <w:jc w:val="left"/>
          </w:pPr>
          <w:hyperlink w:history="true" w:anchor="_bookmark4">
            <w:r>
              <w:rPr>
                <w:color w:val="1F487C"/>
                <w:w w:val="90"/>
              </w:rPr>
              <w:t>Δημοσ</w:t>
            </w:r>
            <w:r>
              <w:rPr>
                <w:smallCaps/>
                <w:color w:val="1F487C"/>
                <w:w w:val="90"/>
              </w:rPr>
              <w:t>ιονο</w:t>
            </w:r>
            <w:r>
              <w:rPr>
                <w:smallCaps w:val="0"/>
                <w:color w:val="1F487C"/>
                <w:w w:val="90"/>
              </w:rPr>
              <w:t>μ</w:t>
            </w:r>
            <w:r>
              <w:rPr>
                <w:smallCaps/>
                <w:color w:val="1F487C"/>
                <w:w w:val="90"/>
              </w:rPr>
              <w:t>ι</w:t>
            </w:r>
            <w:r>
              <w:rPr>
                <w:smallCaps w:val="0"/>
                <w:color w:val="1F487C"/>
                <w:w w:val="90"/>
              </w:rPr>
              <w:t>κές</w:t>
            </w:r>
            <w:r>
              <w:rPr>
                <w:smallCaps w:val="0"/>
                <w:color w:val="1F487C"/>
                <w:spacing w:val="49"/>
              </w:rPr>
              <w:t> </w:t>
            </w:r>
            <w:r>
              <w:rPr>
                <w:smallCaps w:val="0"/>
                <w:color w:val="1F487C"/>
                <w:spacing w:val="-2"/>
              </w:rPr>
              <w:t>εξελίξε</w:t>
            </w:r>
            <w:r>
              <w:rPr>
                <w:smallCaps/>
                <w:color w:val="1F487C"/>
                <w:spacing w:val="-2"/>
              </w:rPr>
              <w:t>ι</w:t>
            </w:r>
            <w:r>
              <w:rPr>
                <w:smallCaps w:val="0"/>
                <w:color w:val="1F487C"/>
                <w:spacing w:val="-2"/>
              </w:rPr>
              <w:t>ς</w:t>
            </w:r>
            <w:r>
              <w:rPr>
                <w:b w:val="0"/>
                <w:smallCaps w:val="0"/>
                <w:color w:val="1F487C"/>
              </w:rPr>
              <w:tab/>
            </w:r>
            <w:r>
              <w:rPr>
                <w:smallCaps w:val="0"/>
                <w:color w:val="1F487C"/>
                <w:spacing w:val="-5"/>
              </w:rPr>
              <w:t>15</w:t>
            </w:r>
          </w:hyperlink>
        </w:p>
        <w:p>
          <w:pPr>
            <w:pStyle w:val="TOC2"/>
            <w:numPr>
              <w:ilvl w:val="1"/>
              <w:numId w:val="1"/>
            </w:numPr>
            <w:tabs>
              <w:tab w:pos="611" w:val="left" w:leader="none"/>
              <w:tab w:pos="8448" w:val="left" w:leader="dot"/>
            </w:tabs>
            <w:spacing w:line="240" w:lineRule="auto" w:before="167" w:after="0"/>
            <w:ind w:left="611" w:right="0" w:hanging="439"/>
            <w:jc w:val="left"/>
          </w:pPr>
          <w:hyperlink w:history="true" w:anchor="_bookmark9">
            <w:r>
              <w:rPr>
                <w:color w:val="1F487C"/>
              </w:rPr>
              <w:t>Χρηματοο</w:t>
            </w:r>
            <w:r>
              <w:rPr>
                <w:smallCaps/>
                <w:color w:val="1F487C"/>
              </w:rPr>
              <w:t>ι</w:t>
            </w:r>
            <w:r>
              <w:rPr>
                <w:smallCaps w:val="0"/>
                <w:color w:val="1F487C"/>
              </w:rPr>
              <w:t>κονομ</w:t>
            </w:r>
            <w:r>
              <w:rPr>
                <w:smallCaps/>
                <w:color w:val="1F487C"/>
              </w:rPr>
              <w:t>ι</w:t>
            </w:r>
            <w:r>
              <w:rPr>
                <w:smallCaps w:val="0"/>
                <w:color w:val="1F487C"/>
              </w:rPr>
              <w:t>κή</w:t>
            </w:r>
            <w:r>
              <w:rPr>
                <w:smallCaps w:val="0"/>
                <w:color w:val="1F487C"/>
                <w:spacing w:val="-14"/>
              </w:rPr>
              <w:t> </w:t>
            </w:r>
            <w:r>
              <w:rPr>
                <w:smallCaps w:val="0"/>
                <w:color w:val="1F487C"/>
              </w:rPr>
              <w:t>κατάσταση</w:t>
            </w:r>
            <w:r>
              <w:rPr>
                <w:smallCaps w:val="0"/>
                <w:color w:val="1F487C"/>
                <w:spacing w:val="-13"/>
              </w:rPr>
              <w:t> </w:t>
            </w:r>
            <w:r>
              <w:rPr>
                <w:smallCaps w:val="0"/>
                <w:color w:val="1F487C"/>
                <w:spacing w:val="-2"/>
              </w:rPr>
              <w:t>νο</w:t>
            </w:r>
            <w:r>
              <w:rPr>
                <w:smallCaps/>
                <w:color w:val="1F487C"/>
                <w:spacing w:val="-2"/>
              </w:rPr>
              <w:t>ι</w:t>
            </w:r>
            <w:r>
              <w:rPr>
                <w:smallCaps w:val="0"/>
                <w:color w:val="1F487C"/>
                <w:spacing w:val="-2"/>
              </w:rPr>
              <w:t>κοκυρ</w:t>
            </w:r>
            <w:r>
              <w:rPr>
                <w:smallCaps/>
                <w:color w:val="1F487C"/>
                <w:spacing w:val="-2"/>
              </w:rPr>
              <w:t>ι</w:t>
            </w:r>
            <w:r>
              <w:rPr>
                <w:smallCaps w:val="0"/>
                <w:color w:val="1F487C"/>
                <w:spacing w:val="-2"/>
              </w:rPr>
              <w:t>ών</w:t>
            </w:r>
            <w:r>
              <w:rPr>
                <w:b w:val="0"/>
                <w:smallCaps w:val="0"/>
                <w:color w:val="1F487C"/>
              </w:rPr>
              <w:tab/>
            </w:r>
            <w:r>
              <w:rPr>
                <w:smallCaps w:val="0"/>
                <w:color w:val="1F487C"/>
                <w:spacing w:val="-5"/>
              </w:rPr>
              <w:t>18</w:t>
            </w:r>
          </w:hyperlink>
        </w:p>
        <w:p>
          <w:pPr>
            <w:pStyle w:val="TOC4"/>
            <w:numPr>
              <w:ilvl w:val="2"/>
              <w:numId w:val="1"/>
            </w:numPr>
            <w:tabs>
              <w:tab w:pos="1052" w:val="left" w:leader="none"/>
              <w:tab w:pos="8470" w:val="left" w:leader="dot"/>
            </w:tabs>
            <w:spacing w:line="240" w:lineRule="auto" w:before="65" w:after="0"/>
            <w:ind w:left="1052" w:right="0" w:hanging="659"/>
            <w:jc w:val="left"/>
          </w:pPr>
          <w:hyperlink w:history="true" w:anchor="_bookmark10">
            <w:r>
              <w:rPr/>
              <w:t>Πιστωτικές</w:t>
            </w:r>
            <w:r>
              <w:rPr>
                <w:spacing w:val="-7"/>
              </w:rPr>
              <w:t> </w:t>
            </w:r>
            <w:r>
              <w:rPr/>
              <w:t>εξελίξεις</w:t>
            </w:r>
            <w:r>
              <w:rPr>
                <w:spacing w:val="-7"/>
              </w:rPr>
              <w:t> </w:t>
            </w:r>
            <w:r>
              <w:rPr/>
              <w:t>και</w:t>
            </w:r>
            <w:r>
              <w:rPr>
                <w:spacing w:val="-8"/>
              </w:rPr>
              <w:t> </w:t>
            </w:r>
            <w:r>
              <w:rPr/>
              <w:t>δανειακή</w:t>
            </w:r>
            <w:r>
              <w:rPr>
                <w:spacing w:val="-7"/>
              </w:rPr>
              <w:t> </w:t>
            </w:r>
            <w:r>
              <w:rPr/>
              <w:t>επιβάρυνση</w:t>
            </w:r>
            <w:r>
              <w:rPr>
                <w:spacing w:val="-8"/>
              </w:rPr>
              <w:t> </w:t>
            </w:r>
            <w:r>
              <w:rPr/>
              <w:t>των</w:t>
            </w:r>
            <w:r>
              <w:rPr>
                <w:spacing w:val="-5"/>
              </w:rPr>
              <w:t> </w:t>
            </w:r>
            <w:r>
              <w:rPr>
                <w:spacing w:val="-2"/>
              </w:rPr>
              <w:t>νοικοκυριών</w:t>
            </w:r>
            <w:r>
              <w:rPr/>
              <w:tab/>
            </w:r>
            <w:r>
              <w:rPr>
                <w:spacing w:val="-5"/>
              </w:rPr>
              <w:t>18</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16">
            <w:r>
              <w:rPr/>
              <w:t>Κίνδυνος</w:t>
            </w:r>
            <w:r>
              <w:rPr>
                <w:spacing w:val="-6"/>
              </w:rPr>
              <w:t> </w:t>
            </w:r>
            <w:r>
              <w:rPr/>
              <w:t>επιτοκίου</w:t>
            </w:r>
            <w:r>
              <w:rPr>
                <w:spacing w:val="-7"/>
              </w:rPr>
              <w:t> </w:t>
            </w:r>
            <w:r>
              <w:rPr/>
              <w:t>για</w:t>
            </w:r>
            <w:r>
              <w:rPr>
                <w:spacing w:val="-5"/>
              </w:rPr>
              <w:t> </w:t>
            </w:r>
            <w:r>
              <w:rPr/>
              <w:t>τα</w:t>
            </w:r>
            <w:r>
              <w:rPr>
                <w:spacing w:val="-5"/>
              </w:rPr>
              <w:t> </w:t>
            </w:r>
            <w:r>
              <w:rPr>
                <w:spacing w:val="-2"/>
              </w:rPr>
              <w:t>νοικοκυριά</w:t>
            </w:r>
            <w:r>
              <w:rPr/>
              <w:tab/>
            </w:r>
            <w:r>
              <w:rPr>
                <w:spacing w:val="-5"/>
              </w:rPr>
              <w:t>19</w:t>
            </w:r>
          </w:hyperlink>
        </w:p>
        <w:p>
          <w:pPr>
            <w:pStyle w:val="TOC4"/>
            <w:numPr>
              <w:ilvl w:val="2"/>
              <w:numId w:val="1"/>
            </w:numPr>
            <w:tabs>
              <w:tab w:pos="1052" w:val="left" w:leader="none"/>
              <w:tab w:pos="8470" w:val="left" w:leader="dot"/>
            </w:tabs>
            <w:spacing w:line="240" w:lineRule="auto" w:before="71" w:after="0"/>
            <w:ind w:left="1052" w:right="0" w:hanging="659"/>
            <w:jc w:val="left"/>
          </w:pPr>
          <w:hyperlink w:history="true" w:anchor="_bookmark17">
            <w:r>
              <w:rPr/>
              <w:t>Κίνδυνος</w:t>
            </w:r>
            <w:r>
              <w:rPr>
                <w:spacing w:val="-7"/>
              </w:rPr>
              <w:t> </w:t>
            </w:r>
            <w:r>
              <w:rPr/>
              <w:t>εισοδήματος</w:t>
            </w:r>
            <w:r>
              <w:rPr>
                <w:spacing w:val="-6"/>
              </w:rPr>
              <w:t> </w:t>
            </w:r>
            <w:r>
              <w:rPr/>
              <w:t>για</w:t>
            </w:r>
            <w:r>
              <w:rPr>
                <w:spacing w:val="-6"/>
              </w:rPr>
              <w:t> </w:t>
            </w:r>
            <w:r>
              <w:rPr/>
              <w:t>τα</w:t>
            </w:r>
            <w:r>
              <w:rPr>
                <w:spacing w:val="-5"/>
              </w:rPr>
              <w:t> </w:t>
            </w:r>
            <w:r>
              <w:rPr>
                <w:spacing w:val="-2"/>
              </w:rPr>
              <w:t>νοικοκυριά</w:t>
            </w:r>
            <w:r>
              <w:rPr/>
              <w:tab/>
            </w:r>
            <w:r>
              <w:rPr>
                <w:spacing w:val="-5"/>
              </w:rPr>
              <w:t>20</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18">
            <w:r>
              <w:rPr/>
              <w:t>Κίνδυνος</w:t>
            </w:r>
            <w:r>
              <w:rPr>
                <w:spacing w:val="-7"/>
              </w:rPr>
              <w:t> </w:t>
            </w:r>
            <w:r>
              <w:rPr/>
              <w:t>τιμών</w:t>
            </w:r>
            <w:r>
              <w:rPr>
                <w:spacing w:val="-6"/>
              </w:rPr>
              <w:t> </w:t>
            </w:r>
            <w:r>
              <w:rPr/>
              <w:t>κατοικιών</w:t>
            </w:r>
            <w:r>
              <w:rPr>
                <w:spacing w:val="-6"/>
              </w:rPr>
              <w:t> </w:t>
            </w:r>
            <w:r>
              <w:rPr/>
              <w:t>για</w:t>
            </w:r>
            <w:r>
              <w:rPr>
                <w:spacing w:val="-5"/>
              </w:rPr>
              <w:t> </w:t>
            </w:r>
            <w:r>
              <w:rPr/>
              <w:t>τα</w:t>
            </w:r>
            <w:r>
              <w:rPr>
                <w:spacing w:val="-6"/>
              </w:rPr>
              <w:t> </w:t>
            </w:r>
            <w:r>
              <w:rPr>
                <w:spacing w:val="-2"/>
              </w:rPr>
              <w:t>νοικοκυριά</w:t>
            </w:r>
            <w:r>
              <w:rPr/>
              <w:tab/>
            </w:r>
            <w:r>
              <w:rPr>
                <w:spacing w:val="-5"/>
              </w:rPr>
              <w:t>20</w:t>
            </w:r>
          </w:hyperlink>
        </w:p>
        <w:p>
          <w:pPr>
            <w:pStyle w:val="TOC3"/>
            <w:tabs>
              <w:tab w:pos="8448" w:val="left" w:leader="dot"/>
            </w:tabs>
            <w:spacing w:line="285" w:lineRule="auto"/>
          </w:pPr>
          <w:hyperlink w:history="true" w:anchor="_bookmark28">
            <w:r>
              <w:rPr>
                <w:color w:val="1F487C"/>
              </w:rPr>
              <w:t>Πλαίσιο ΙΙ.1 Ανασκόπηση της εφαρμογής των μακροπροληπτικών μέτρων για τη δανειακή</w:t>
            </w:r>
          </w:hyperlink>
          <w:r>
            <w:rPr>
              <w:color w:val="1F487C"/>
            </w:rPr>
            <w:t> </w:t>
          </w:r>
          <w:hyperlink w:history="true" w:anchor="_bookmark28">
            <w:r>
              <w:rPr>
                <w:color w:val="1F487C"/>
                <w:spacing w:val="-2"/>
              </w:rPr>
              <w:t>επιβάρυνση</w:t>
            </w:r>
            <w:r>
              <w:rPr>
                <w:color w:val="1F487C"/>
              </w:rPr>
              <w:tab/>
            </w:r>
            <w:r>
              <w:rPr>
                <w:color w:val="1F487C"/>
                <w:spacing w:val="-5"/>
              </w:rPr>
              <w:t>23</w:t>
            </w:r>
          </w:hyperlink>
        </w:p>
        <w:p>
          <w:pPr>
            <w:pStyle w:val="TOC4"/>
            <w:numPr>
              <w:ilvl w:val="2"/>
              <w:numId w:val="1"/>
            </w:numPr>
            <w:tabs>
              <w:tab w:pos="1052" w:val="left" w:leader="none"/>
              <w:tab w:pos="8470" w:val="left" w:leader="dot"/>
            </w:tabs>
            <w:spacing w:line="240" w:lineRule="auto" w:before="17" w:after="0"/>
            <w:ind w:left="1052" w:right="0" w:hanging="659"/>
            <w:jc w:val="left"/>
          </w:pPr>
          <w:hyperlink w:history="true" w:anchor="_bookmark29">
            <w:r>
              <w:rPr/>
              <w:t>Συνδυαστική</w:t>
            </w:r>
            <w:r>
              <w:rPr>
                <w:spacing w:val="-13"/>
              </w:rPr>
              <w:t> </w:t>
            </w:r>
            <w:r>
              <w:rPr/>
              <w:t>αξιολόγηση</w:t>
            </w:r>
            <w:r>
              <w:rPr>
                <w:spacing w:val="-12"/>
              </w:rPr>
              <w:t> </w:t>
            </w:r>
            <w:r>
              <w:rPr/>
              <w:t>χρηματοοικονομικής</w:t>
            </w:r>
            <w:r>
              <w:rPr>
                <w:spacing w:val="-12"/>
              </w:rPr>
              <w:t> </w:t>
            </w:r>
            <w:r>
              <w:rPr/>
              <w:t>κατάστασης</w:t>
            </w:r>
            <w:r>
              <w:rPr>
                <w:spacing w:val="-10"/>
              </w:rPr>
              <w:t> </w:t>
            </w:r>
            <w:r>
              <w:rPr>
                <w:spacing w:val="-2"/>
              </w:rPr>
              <w:t>νοικοκυριών</w:t>
            </w:r>
            <w:r>
              <w:rPr/>
              <w:tab/>
            </w:r>
            <w:r>
              <w:rPr>
                <w:spacing w:val="-5"/>
              </w:rPr>
              <w:t>26</w:t>
            </w:r>
          </w:hyperlink>
        </w:p>
        <w:p>
          <w:pPr>
            <w:pStyle w:val="TOC2"/>
            <w:numPr>
              <w:ilvl w:val="1"/>
              <w:numId w:val="1"/>
            </w:numPr>
            <w:tabs>
              <w:tab w:pos="611" w:val="left" w:leader="none"/>
              <w:tab w:pos="8448" w:val="left" w:leader="dot"/>
            </w:tabs>
            <w:spacing w:line="240" w:lineRule="auto" w:before="171" w:after="0"/>
            <w:ind w:left="611" w:right="0" w:hanging="439"/>
            <w:jc w:val="left"/>
          </w:pPr>
          <w:hyperlink w:history="true" w:anchor="_bookmark33">
            <w:r>
              <w:rPr>
                <w:color w:val="1F487C"/>
              </w:rPr>
              <w:t>Χρηματοο</w:t>
            </w:r>
            <w:r>
              <w:rPr>
                <w:smallCaps/>
                <w:color w:val="1F487C"/>
              </w:rPr>
              <w:t>ι</w:t>
            </w:r>
            <w:r>
              <w:rPr>
                <w:smallCaps w:val="0"/>
                <w:color w:val="1F487C"/>
              </w:rPr>
              <w:t>κονομ</w:t>
            </w:r>
            <w:r>
              <w:rPr>
                <w:smallCaps/>
                <w:color w:val="1F487C"/>
              </w:rPr>
              <w:t>ι</w:t>
            </w:r>
            <w:r>
              <w:rPr>
                <w:smallCaps w:val="0"/>
                <w:color w:val="1F487C"/>
              </w:rPr>
              <w:t>κή</w:t>
            </w:r>
            <w:r>
              <w:rPr>
                <w:smallCaps w:val="0"/>
                <w:color w:val="1F487C"/>
                <w:spacing w:val="-14"/>
              </w:rPr>
              <w:t> </w:t>
            </w:r>
            <w:r>
              <w:rPr>
                <w:smallCaps w:val="0"/>
                <w:color w:val="1F487C"/>
              </w:rPr>
              <w:t>κατάσταση</w:t>
            </w:r>
            <w:r>
              <w:rPr>
                <w:smallCaps w:val="0"/>
                <w:color w:val="1F487C"/>
                <w:spacing w:val="-13"/>
              </w:rPr>
              <w:t> </w:t>
            </w:r>
            <w:r>
              <w:rPr>
                <w:smallCaps w:val="0"/>
                <w:color w:val="1F487C"/>
                <w:spacing w:val="-2"/>
              </w:rPr>
              <w:t>επ</w:t>
            </w:r>
            <w:r>
              <w:rPr>
                <w:smallCaps/>
                <w:color w:val="1F487C"/>
                <w:spacing w:val="-2"/>
              </w:rPr>
              <w:t>ι</w:t>
            </w:r>
            <w:r>
              <w:rPr>
                <w:smallCaps w:val="0"/>
                <w:color w:val="1F487C"/>
                <w:spacing w:val="-2"/>
              </w:rPr>
              <w:t>χε</w:t>
            </w:r>
            <w:r>
              <w:rPr>
                <w:smallCaps/>
                <w:color w:val="1F487C"/>
                <w:spacing w:val="-2"/>
              </w:rPr>
              <w:t>ι</w:t>
            </w:r>
            <w:r>
              <w:rPr>
                <w:smallCaps w:val="0"/>
                <w:color w:val="1F487C"/>
                <w:spacing w:val="-2"/>
              </w:rPr>
              <w:t>ρήσεων</w:t>
            </w:r>
            <w:r>
              <w:rPr>
                <w:b w:val="0"/>
                <w:smallCaps w:val="0"/>
                <w:color w:val="1F487C"/>
              </w:rPr>
              <w:tab/>
            </w:r>
            <w:r>
              <w:rPr>
                <w:smallCaps w:val="0"/>
                <w:color w:val="1F487C"/>
                <w:spacing w:val="-5"/>
              </w:rPr>
              <w:t>27</w:t>
            </w:r>
          </w:hyperlink>
        </w:p>
        <w:p>
          <w:pPr>
            <w:pStyle w:val="TOC4"/>
            <w:numPr>
              <w:ilvl w:val="2"/>
              <w:numId w:val="1"/>
            </w:numPr>
            <w:tabs>
              <w:tab w:pos="1052" w:val="left" w:leader="none"/>
              <w:tab w:pos="8470" w:val="left" w:leader="dot"/>
            </w:tabs>
            <w:spacing w:line="240" w:lineRule="auto" w:before="66" w:after="0"/>
            <w:ind w:left="1052" w:right="0" w:hanging="659"/>
            <w:jc w:val="left"/>
          </w:pPr>
          <w:hyperlink w:history="true" w:anchor="_bookmark34">
            <w:r>
              <w:rPr>
                <w:spacing w:val="-2"/>
              </w:rPr>
              <w:t>Χρηματοοικονομικά</w:t>
            </w:r>
            <w:r>
              <w:rPr>
                <w:spacing w:val="18"/>
              </w:rPr>
              <w:t> </w:t>
            </w:r>
            <w:r>
              <w:rPr>
                <w:spacing w:val="-2"/>
              </w:rPr>
              <w:t>στοιχεία</w:t>
            </w:r>
            <w:r>
              <w:rPr/>
              <w:tab/>
            </w:r>
            <w:r>
              <w:rPr>
                <w:spacing w:val="-5"/>
              </w:rPr>
              <w:t>27</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35">
            <w:r>
              <w:rPr/>
              <w:t>Χρηματοδότηση</w:t>
            </w:r>
            <w:r>
              <w:rPr>
                <w:spacing w:val="-8"/>
              </w:rPr>
              <w:t> </w:t>
            </w:r>
            <w:r>
              <w:rPr/>
              <w:t>προς</w:t>
            </w:r>
            <w:r>
              <w:rPr>
                <w:spacing w:val="-7"/>
              </w:rPr>
              <w:t> </w:t>
            </w:r>
            <w:r>
              <w:rPr/>
              <w:t>τις</w:t>
            </w:r>
            <w:r>
              <w:rPr>
                <w:spacing w:val="-8"/>
              </w:rPr>
              <w:t> </w:t>
            </w:r>
            <w:r>
              <w:rPr/>
              <w:t>μη</w:t>
            </w:r>
            <w:r>
              <w:rPr>
                <w:spacing w:val="-7"/>
              </w:rPr>
              <w:t> </w:t>
            </w:r>
            <w:r>
              <w:rPr/>
              <w:t>χρηματοπιστωτικές</w:t>
            </w:r>
            <w:r>
              <w:rPr>
                <w:spacing w:val="-7"/>
              </w:rPr>
              <w:t> </w:t>
            </w:r>
            <w:r>
              <w:rPr/>
              <w:t>επιχειρήσεις</w:t>
            </w:r>
            <w:r>
              <w:rPr>
                <w:spacing w:val="-8"/>
              </w:rPr>
              <w:t> </w:t>
            </w:r>
            <w:r>
              <w:rPr/>
              <w:t>και</w:t>
            </w:r>
            <w:r>
              <w:rPr>
                <w:spacing w:val="-7"/>
              </w:rPr>
              <w:t> </w:t>
            </w:r>
            <w:r>
              <w:rPr/>
              <w:t>δανειακή</w:t>
            </w:r>
            <w:r>
              <w:rPr>
                <w:spacing w:val="-8"/>
              </w:rPr>
              <w:t> </w:t>
            </w:r>
            <w:r>
              <w:rPr>
                <w:spacing w:val="-2"/>
              </w:rPr>
              <w:t>επιβάρυνση</w:t>
            </w:r>
            <w:r>
              <w:rPr/>
              <w:tab/>
            </w:r>
            <w:r>
              <w:rPr>
                <w:spacing w:val="-5"/>
              </w:rPr>
              <w:t>27</w:t>
            </w:r>
          </w:hyperlink>
        </w:p>
        <w:p>
          <w:pPr>
            <w:pStyle w:val="TOC2"/>
            <w:numPr>
              <w:ilvl w:val="1"/>
              <w:numId w:val="1"/>
            </w:numPr>
            <w:tabs>
              <w:tab w:pos="611" w:val="left" w:leader="none"/>
              <w:tab w:pos="8448" w:val="left" w:leader="dot"/>
            </w:tabs>
            <w:spacing w:line="240" w:lineRule="auto" w:before="171" w:after="0"/>
            <w:ind w:left="611" w:right="0" w:hanging="439"/>
            <w:jc w:val="left"/>
          </w:pPr>
          <w:hyperlink w:history="true" w:anchor="_bookmark42">
            <w:r>
              <w:rPr>
                <w:color w:val="1F487C"/>
              </w:rPr>
              <w:t>Εξελίξε</w:t>
            </w:r>
            <w:r>
              <w:rPr>
                <w:smallCaps/>
                <w:color w:val="1F487C"/>
              </w:rPr>
              <w:t>ι</w:t>
            </w:r>
            <w:r>
              <w:rPr>
                <w:smallCaps w:val="0"/>
                <w:color w:val="1F487C"/>
              </w:rPr>
              <w:t>ς</w:t>
            </w:r>
            <w:r>
              <w:rPr>
                <w:smallCaps w:val="0"/>
                <w:color w:val="1F487C"/>
                <w:spacing w:val="-8"/>
              </w:rPr>
              <w:t> </w:t>
            </w:r>
            <w:r>
              <w:rPr>
                <w:smallCaps w:val="0"/>
                <w:color w:val="1F487C"/>
              </w:rPr>
              <w:t>στ</w:t>
            </w:r>
            <w:r>
              <w:rPr>
                <w:smallCaps/>
                <w:color w:val="1F487C"/>
              </w:rPr>
              <w:t>ι</w:t>
            </w:r>
            <w:r>
              <w:rPr>
                <w:smallCaps w:val="0"/>
                <w:color w:val="1F487C"/>
              </w:rPr>
              <w:t>ς</w:t>
            </w:r>
            <w:r>
              <w:rPr>
                <w:smallCaps w:val="0"/>
                <w:color w:val="1F487C"/>
                <w:spacing w:val="-7"/>
              </w:rPr>
              <w:t> </w:t>
            </w:r>
            <w:r>
              <w:rPr>
                <w:smallCaps w:val="0"/>
                <w:color w:val="1F487C"/>
              </w:rPr>
              <w:t>εγχώρ</w:t>
            </w:r>
            <w:r>
              <w:rPr>
                <w:smallCaps/>
                <w:color w:val="1F487C"/>
              </w:rPr>
              <w:t>ι</w:t>
            </w:r>
            <w:r>
              <w:rPr>
                <w:smallCaps w:val="0"/>
                <w:color w:val="1F487C"/>
              </w:rPr>
              <w:t>ες</w:t>
            </w:r>
            <w:r>
              <w:rPr>
                <w:smallCaps w:val="0"/>
                <w:color w:val="1F487C"/>
                <w:spacing w:val="-9"/>
              </w:rPr>
              <w:t> </w:t>
            </w:r>
            <w:r>
              <w:rPr>
                <w:smallCaps w:val="0"/>
                <w:color w:val="1F487C"/>
              </w:rPr>
              <w:t>κα</w:t>
            </w:r>
            <w:r>
              <w:rPr>
                <w:smallCaps/>
                <w:color w:val="1F487C"/>
              </w:rPr>
              <w:t>ι</w:t>
            </w:r>
            <w:r>
              <w:rPr>
                <w:smallCaps w:val="0"/>
                <w:color w:val="1F487C"/>
                <w:spacing w:val="-7"/>
              </w:rPr>
              <w:t> </w:t>
            </w:r>
            <w:r>
              <w:rPr>
                <w:smallCaps w:val="0"/>
                <w:color w:val="1F487C"/>
              </w:rPr>
              <w:t>δ</w:t>
            </w:r>
            <w:r>
              <w:rPr>
                <w:smallCaps/>
                <w:color w:val="1F487C"/>
              </w:rPr>
              <w:t>ι</w:t>
            </w:r>
            <w:r>
              <w:rPr>
                <w:smallCaps w:val="0"/>
                <w:color w:val="1F487C"/>
              </w:rPr>
              <w:t>εθνείς</w:t>
            </w:r>
            <w:r>
              <w:rPr>
                <w:smallCaps w:val="0"/>
                <w:color w:val="1F487C"/>
                <w:spacing w:val="-7"/>
              </w:rPr>
              <w:t> </w:t>
            </w:r>
            <w:r>
              <w:rPr>
                <w:smallCaps w:val="0"/>
                <w:color w:val="1F487C"/>
              </w:rPr>
              <w:t>αγορές</w:t>
            </w:r>
            <w:r>
              <w:rPr>
                <w:smallCaps w:val="0"/>
                <w:color w:val="1F487C"/>
                <w:spacing w:val="-7"/>
              </w:rPr>
              <w:t> </w:t>
            </w:r>
            <w:r>
              <w:rPr>
                <w:smallCaps w:val="0"/>
                <w:color w:val="1F487C"/>
              </w:rPr>
              <w:t>χρήματος</w:t>
            </w:r>
            <w:r>
              <w:rPr>
                <w:smallCaps w:val="0"/>
                <w:color w:val="1F487C"/>
                <w:spacing w:val="-8"/>
              </w:rPr>
              <w:t> </w:t>
            </w:r>
            <w:r>
              <w:rPr>
                <w:smallCaps w:val="0"/>
                <w:color w:val="1F487C"/>
              </w:rPr>
              <w:t>κα</w:t>
            </w:r>
            <w:r>
              <w:rPr>
                <w:smallCaps/>
                <w:color w:val="1F487C"/>
              </w:rPr>
              <w:t>ι</w:t>
            </w:r>
            <w:r>
              <w:rPr>
                <w:smallCaps w:val="0"/>
                <w:color w:val="1F487C"/>
                <w:spacing w:val="-7"/>
              </w:rPr>
              <w:t> </w:t>
            </w:r>
            <w:r>
              <w:rPr>
                <w:smallCaps w:val="0"/>
                <w:color w:val="1F487C"/>
                <w:spacing w:val="-2"/>
              </w:rPr>
              <w:t>κεφαλαίων</w:t>
            </w:r>
            <w:r>
              <w:rPr>
                <w:b w:val="0"/>
                <w:smallCaps w:val="0"/>
                <w:color w:val="1F487C"/>
              </w:rPr>
              <w:tab/>
            </w:r>
            <w:r>
              <w:rPr>
                <w:smallCaps w:val="0"/>
                <w:color w:val="1F487C"/>
                <w:spacing w:val="-5"/>
              </w:rPr>
              <w:t>31</w:t>
            </w:r>
          </w:hyperlink>
        </w:p>
        <w:p>
          <w:pPr>
            <w:pStyle w:val="TOC1"/>
            <w:numPr>
              <w:ilvl w:val="0"/>
              <w:numId w:val="1"/>
            </w:numPr>
            <w:tabs>
              <w:tab w:pos="610" w:val="left" w:leader="none"/>
              <w:tab w:pos="8429" w:val="left" w:leader="dot"/>
            </w:tabs>
            <w:spacing w:line="240" w:lineRule="auto" w:before="189" w:after="0"/>
            <w:ind w:left="610" w:right="0" w:hanging="438"/>
            <w:jc w:val="left"/>
          </w:pPr>
          <w:hyperlink w:history="true" w:anchor="_bookmark47">
            <w:r>
              <w:rPr>
                <w:color w:val="1F487C"/>
              </w:rPr>
              <w:t>ΤΡΑΠΕΖΙΚΟΣ</w:t>
            </w:r>
            <w:r>
              <w:rPr>
                <w:color w:val="1F487C"/>
                <w:spacing w:val="-2"/>
              </w:rPr>
              <w:t> ΤΟΜΕΑΣ</w:t>
            </w:r>
            <w:r>
              <w:rPr>
                <w:b w:val="0"/>
                <w:color w:val="1F487C"/>
              </w:rPr>
              <w:tab/>
            </w:r>
            <w:r>
              <w:rPr>
                <w:color w:val="1F487C"/>
                <w:spacing w:val="-5"/>
              </w:rPr>
              <w:t>34</w:t>
            </w:r>
          </w:hyperlink>
        </w:p>
        <w:p>
          <w:pPr>
            <w:pStyle w:val="TOC2"/>
            <w:numPr>
              <w:ilvl w:val="1"/>
              <w:numId w:val="1"/>
            </w:numPr>
            <w:tabs>
              <w:tab w:pos="611" w:val="left" w:leader="none"/>
              <w:tab w:pos="8448" w:val="left" w:leader="dot"/>
            </w:tabs>
            <w:spacing w:line="240" w:lineRule="auto" w:before="163" w:after="0"/>
            <w:ind w:left="611" w:right="0" w:hanging="439"/>
            <w:jc w:val="left"/>
          </w:pPr>
          <w:hyperlink w:history="true" w:anchor="_bookmark48">
            <w:r>
              <w:rPr>
                <w:color w:val="1F487C"/>
              </w:rPr>
              <w:t>Εξέλ</w:t>
            </w:r>
            <w:r>
              <w:rPr>
                <w:smallCaps/>
                <w:color w:val="1F487C"/>
              </w:rPr>
              <w:t>ι</w:t>
            </w:r>
            <w:r>
              <w:rPr>
                <w:smallCaps w:val="0"/>
                <w:color w:val="1F487C"/>
              </w:rPr>
              <w:t>ξη</w:t>
            </w:r>
            <w:r>
              <w:rPr>
                <w:smallCaps w:val="0"/>
                <w:color w:val="1F487C"/>
                <w:spacing w:val="-6"/>
              </w:rPr>
              <w:t> </w:t>
            </w:r>
            <w:r>
              <w:rPr>
                <w:smallCaps w:val="0"/>
                <w:color w:val="1F487C"/>
              </w:rPr>
              <w:t>των</w:t>
            </w:r>
            <w:r>
              <w:rPr>
                <w:smallCaps w:val="0"/>
                <w:color w:val="1F487C"/>
                <w:spacing w:val="-5"/>
              </w:rPr>
              <w:t> </w:t>
            </w:r>
            <w:r>
              <w:rPr>
                <w:smallCaps w:val="0"/>
                <w:color w:val="1F487C"/>
              </w:rPr>
              <w:t>βασ</w:t>
            </w:r>
            <w:r>
              <w:rPr>
                <w:smallCaps/>
                <w:color w:val="1F487C"/>
              </w:rPr>
              <w:t>ι</w:t>
            </w:r>
            <w:r>
              <w:rPr>
                <w:smallCaps w:val="0"/>
                <w:color w:val="1F487C"/>
              </w:rPr>
              <w:t>κών</w:t>
            </w:r>
            <w:r>
              <w:rPr>
                <w:smallCaps w:val="0"/>
                <w:color w:val="1F487C"/>
                <w:spacing w:val="-5"/>
              </w:rPr>
              <w:t> </w:t>
            </w:r>
            <w:r>
              <w:rPr>
                <w:smallCaps w:val="0"/>
                <w:color w:val="1F487C"/>
              </w:rPr>
              <w:t>μεγεθών</w:t>
            </w:r>
            <w:r>
              <w:rPr>
                <w:smallCaps w:val="0"/>
                <w:color w:val="1F487C"/>
                <w:spacing w:val="-4"/>
              </w:rPr>
              <w:t> </w:t>
            </w:r>
            <w:r>
              <w:rPr>
                <w:smallCaps w:val="0"/>
                <w:color w:val="1F487C"/>
              </w:rPr>
              <w:t>του</w:t>
            </w:r>
            <w:r>
              <w:rPr>
                <w:smallCaps w:val="0"/>
                <w:color w:val="1F487C"/>
                <w:spacing w:val="-5"/>
              </w:rPr>
              <w:t> </w:t>
            </w:r>
            <w:r>
              <w:rPr>
                <w:smallCaps/>
                <w:color w:val="1F487C"/>
                <w:spacing w:val="-2"/>
              </w:rPr>
              <w:t>ι</w:t>
            </w:r>
            <w:r>
              <w:rPr>
                <w:smallCaps w:val="0"/>
                <w:color w:val="1F487C"/>
                <w:spacing w:val="-2"/>
              </w:rPr>
              <w:t>σολογ</w:t>
            </w:r>
            <w:r>
              <w:rPr>
                <w:smallCaps/>
                <w:color w:val="1F487C"/>
                <w:spacing w:val="-2"/>
              </w:rPr>
              <w:t>ι</w:t>
            </w:r>
            <w:r>
              <w:rPr>
                <w:smallCaps w:val="0"/>
                <w:color w:val="1F487C"/>
                <w:spacing w:val="-2"/>
              </w:rPr>
              <w:t>σμού</w:t>
            </w:r>
            <w:r>
              <w:rPr>
                <w:b w:val="0"/>
                <w:smallCaps w:val="0"/>
                <w:color w:val="1F487C"/>
              </w:rPr>
              <w:tab/>
            </w:r>
            <w:r>
              <w:rPr>
                <w:smallCaps w:val="0"/>
                <w:color w:val="1F487C"/>
                <w:spacing w:val="-5"/>
              </w:rPr>
              <w:t>34</w:t>
            </w:r>
          </w:hyperlink>
        </w:p>
        <w:p>
          <w:pPr>
            <w:pStyle w:val="TOC2"/>
            <w:numPr>
              <w:ilvl w:val="1"/>
              <w:numId w:val="1"/>
            </w:numPr>
            <w:tabs>
              <w:tab w:pos="611" w:val="left" w:leader="none"/>
              <w:tab w:pos="8448" w:val="left" w:leader="dot"/>
            </w:tabs>
            <w:spacing w:line="240" w:lineRule="auto" w:before="168" w:after="0"/>
            <w:ind w:left="611" w:right="0" w:hanging="439"/>
            <w:jc w:val="left"/>
          </w:pPr>
          <w:hyperlink w:history="true" w:anchor="_bookmark49">
            <w:r>
              <w:rPr>
                <w:color w:val="1F487C"/>
              </w:rPr>
              <w:t>Τραπεζ</w:t>
            </w:r>
            <w:r>
              <w:rPr>
                <w:smallCaps/>
                <w:color w:val="1F487C"/>
              </w:rPr>
              <w:t>ι</w:t>
            </w:r>
            <w:r>
              <w:rPr>
                <w:smallCaps w:val="0"/>
                <w:color w:val="1F487C"/>
              </w:rPr>
              <w:t>κοί</w:t>
            </w:r>
            <w:r>
              <w:rPr>
                <w:smallCaps w:val="0"/>
                <w:color w:val="1F487C"/>
                <w:spacing w:val="-12"/>
              </w:rPr>
              <w:t> </w:t>
            </w:r>
            <w:r>
              <w:rPr>
                <w:smallCaps w:val="0"/>
                <w:color w:val="1F487C"/>
                <w:spacing w:val="-2"/>
              </w:rPr>
              <w:t>κίνδυνο</w:t>
            </w:r>
            <w:r>
              <w:rPr>
                <w:smallCaps/>
                <w:color w:val="1F487C"/>
                <w:spacing w:val="-2"/>
              </w:rPr>
              <w:t>ι</w:t>
            </w:r>
            <w:r>
              <w:rPr>
                <w:b w:val="0"/>
                <w:smallCaps w:val="0"/>
                <w:color w:val="1F487C"/>
              </w:rPr>
              <w:tab/>
            </w:r>
            <w:r>
              <w:rPr>
                <w:smallCaps w:val="0"/>
                <w:color w:val="1F487C"/>
                <w:spacing w:val="-5"/>
              </w:rPr>
              <w:t>36</w:t>
            </w:r>
          </w:hyperlink>
        </w:p>
        <w:p>
          <w:pPr>
            <w:pStyle w:val="TOC4"/>
            <w:numPr>
              <w:ilvl w:val="2"/>
              <w:numId w:val="1"/>
            </w:numPr>
            <w:tabs>
              <w:tab w:pos="1052" w:val="left" w:leader="none"/>
              <w:tab w:pos="8470" w:val="left" w:leader="dot"/>
            </w:tabs>
            <w:spacing w:line="240" w:lineRule="auto" w:before="65" w:after="0"/>
            <w:ind w:left="1052" w:right="0" w:hanging="659"/>
            <w:jc w:val="left"/>
          </w:pPr>
          <w:hyperlink w:history="true" w:anchor="_bookmark50">
            <w:r>
              <w:rPr/>
              <w:t>Πιστωτικός</w:t>
            </w:r>
            <w:r>
              <w:rPr>
                <w:spacing w:val="-11"/>
              </w:rPr>
              <w:t> </w:t>
            </w:r>
            <w:r>
              <w:rPr>
                <w:spacing w:val="-2"/>
              </w:rPr>
              <w:t>κίνδυνος</w:t>
            </w:r>
            <w:r>
              <w:rPr/>
              <w:tab/>
            </w:r>
            <w:r>
              <w:rPr>
                <w:spacing w:val="-5"/>
              </w:rPr>
              <w:t>36</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56">
            <w:r>
              <w:rPr/>
              <w:t>Κίνδυνος</w:t>
            </w:r>
            <w:r>
              <w:rPr>
                <w:spacing w:val="-10"/>
              </w:rPr>
              <w:t> </w:t>
            </w:r>
            <w:r>
              <w:rPr>
                <w:spacing w:val="-2"/>
              </w:rPr>
              <w:t>ρευστότητας</w:t>
            </w:r>
            <w:r>
              <w:rPr/>
              <w:tab/>
            </w:r>
            <w:r>
              <w:rPr>
                <w:spacing w:val="-5"/>
              </w:rPr>
              <w:t>43</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62">
            <w:r>
              <w:rPr/>
              <w:t>Κίνδυνος</w:t>
            </w:r>
            <w:r>
              <w:rPr>
                <w:spacing w:val="-10"/>
              </w:rPr>
              <w:t> </w:t>
            </w:r>
            <w:r>
              <w:rPr>
                <w:spacing w:val="-2"/>
              </w:rPr>
              <w:t>αγοράς</w:t>
            </w:r>
            <w:r>
              <w:rPr/>
              <w:tab/>
            </w:r>
            <w:r>
              <w:rPr>
                <w:spacing w:val="-5"/>
              </w:rPr>
              <w:t>45</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66">
            <w:r>
              <w:rPr/>
              <w:t>Λειτουργικός</w:t>
            </w:r>
            <w:r>
              <w:rPr>
                <w:spacing w:val="-12"/>
              </w:rPr>
              <w:t> </w:t>
            </w:r>
            <w:r>
              <w:rPr>
                <w:spacing w:val="-2"/>
              </w:rPr>
              <w:t>κίνδυνος</w:t>
            </w:r>
            <w:r>
              <w:rPr/>
              <w:tab/>
            </w:r>
            <w:r>
              <w:rPr>
                <w:spacing w:val="-5"/>
              </w:rPr>
              <w:t>49</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71">
            <w:r>
              <w:rPr/>
              <w:t>Κίνδυνοι</w:t>
            </w:r>
            <w:r>
              <w:rPr>
                <w:spacing w:val="-8"/>
              </w:rPr>
              <w:t> </w:t>
            </w:r>
            <w:r>
              <w:rPr/>
              <w:t>από</w:t>
            </w:r>
            <w:r>
              <w:rPr>
                <w:spacing w:val="-5"/>
              </w:rPr>
              <w:t> </w:t>
            </w:r>
            <w:r>
              <w:rPr/>
              <w:t>διεθνείς</w:t>
            </w:r>
            <w:r>
              <w:rPr>
                <w:spacing w:val="-7"/>
              </w:rPr>
              <w:t> </w:t>
            </w:r>
            <w:r>
              <w:rPr>
                <w:spacing w:val="-2"/>
              </w:rPr>
              <w:t>δραστηριότητες</w:t>
            </w:r>
            <w:r>
              <w:rPr/>
              <w:tab/>
            </w:r>
            <w:r>
              <w:rPr>
                <w:spacing w:val="-5"/>
              </w:rPr>
              <w:t>53</w:t>
            </w:r>
          </w:hyperlink>
        </w:p>
        <w:p>
          <w:pPr>
            <w:pStyle w:val="TOC2"/>
            <w:numPr>
              <w:ilvl w:val="1"/>
              <w:numId w:val="1"/>
            </w:numPr>
            <w:tabs>
              <w:tab w:pos="611" w:val="left" w:leader="none"/>
              <w:tab w:pos="8448" w:val="left" w:leader="dot"/>
            </w:tabs>
            <w:spacing w:line="240" w:lineRule="auto" w:before="172" w:after="0"/>
            <w:ind w:left="611" w:right="0" w:hanging="439"/>
            <w:jc w:val="left"/>
          </w:pPr>
          <w:hyperlink w:history="true" w:anchor="_bookmark77">
            <w:r>
              <w:rPr>
                <w:color w:val="1F487C"/>
                <w:spacing w:val="-2"/>
              </w:rPr>
              <w:t>Ανθεκτ</w:t>
            </w:r>
            <w:r>
              <w:rPr>
                <w:smallCaps/>
                <w:color w:val="1F487C"/>
                <w:spacing w:val="-2"/>
              </w:rPr>
              <w:t>ι</w:t>
            </w:r>
            <w:r>
              <w:rPr>
                <w:smallCaps w:val="0"/>
                <w:color w:val="1F487C"/>
                <w:spacing w:val="-2"/>
              </w:rPr>
              <w:t>κότητα</w:t>
            </w:r>
            <w:r>
              <w:rPr>
                <w:b w:val="0"/>
                <w:smallCaps w:val="0"/>
                <w:color w:val="1F487C"/>
              </w:rPr>
              <w:tab/>
            </w:r>
            <w:r>
              <w:rPr>
                <w:smallCaps w:val="0"/>
                <w:color w:val="1F487C"/>
                <w:spacing w:val="-5"/>
              </w:rPr>
              <w:t>55</w:t>
            </w:r>
          </w:hyperlink>
        </w:p>
        <w:p>
          <w:pPr>
            <w:pStyle w:val="TOC4"/>
            <w:numPr>
              <w:ilvl w:val="2"/>
              <w:numId w:val="1"/>
            </w:numPr>
            <w:tabs>
              <w:tab w:pos="1052" w:val="left" w:leader="none"/>
              <w:tab w:pos="8470" w:val="left" w:leader="dot"/>
            </w:tabs>
            <w:spacing w:line="240" w:lineRule="auto" w:before="65" w:after="0"/>
            <w:ind w:left="1052" w:right="0" w:hanging="659"/>
            <w:jc w:val="left"/>
          </w:pPr>
          <w:hyperlink w:history="true" w:anchor="_bookmark78">
            <w:r>
              <w:rPr>
                <w:spacing w:val="-2"/>
              </w:rPr>
              <w:t>Αποδοτικότητα</w:t>
            </w:r>
            <w:r>
              <w:rPr/>
              <w:tab/>
            </w:r>
            <w:r>
              <w:rPr>
                <w:spacing w:val="-5"/>
              </w:rPr>
              <w:t>55</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80">
            <w:r>
              <w:rPr/>
              <w:t>Κεφαλαιακή</w:t>
            </w:r>
            <w:r>
              <w:rPr>
                <w:spacing w:val="-13"/>
              </w:rPr>
              <w:t> </w:t>
            </w:r>
            <w:r>
              <w:rPr>
                <w:spacing w:val="-2"/>
              </w:rPr>
              <w:t>επάρκεια</w:t>
            </w:r>
            <w:r>
              <w:rPr/>
              <w:tab/>
            </w:r>
            <w:r>
              <w:rPr>
                <w:spacing w:val="-5"/>
              </w:rPr>
              <w:t>57</w:t>
            </w:r>
          </w:hyperlink>
        </w:p>
        <w:p>
          <w:pPr>
            <w:pStyle w:val="TOC1"/>
            <w:numPr>
              <w:ilvl w:val="0"/>
              <w:numId w:val="1"/>
            </w:numPr>
            <w:tabs>
              <w:tab w:pos="610" w:val="left" w:leader="none"/>
              <w:tab w:pos="8429" w:val="left" w:leader="dot"/>
            </w:tabs>
            <w:spacing w:line="240" w:lineRule="auto" w:before="194" w:after="0"/>
            <w:ind w:left="610" w:right="0" w:hanging="438"/>
            <w:jc w:val="left"/>
          </w:pPr>
          <w:hyperlink w:history="true" w:anchor="_bookmark85">
            <w:r>
              <w:rPr>
                <w:color w:val="1F487C"/>
              </w:rPr>
              <w:t>ΜΑΚΡΟΠΡΟΛΗΠΤΙΚΗ</w:t>
            </w:r>
            <w:r>
              <w:rPr>
                <w:color w:val="1F487C"/>
                <w:spacing w:val="-3"/>
              </w:rPr>
              <w:t> </w:t>
            </w:r>
            <w:r>
              <w:rPr>
                <w:color w:val="1F487C"/>
                <w:spacing w:val="-2"/>
              </w:rPr>
              <w:t>ΠΟΛΙΤΙΚΗ</w:t>
            </w:r>
            <w:r>
              <w:rPr>
                <w:b w:val="0"/>
                <w:color w:val="1F487C"/>
              </w:rPr>
              <w:tab/>
            </w:r>
            <w:r>
              <w:rPr>
                <w:color w:val="1F487C"/>
                <w:spacing w:val="-5"/>
              </w:rPr>
              <w:t>59</w:t>
            </w:r>
          </w:hyperlink>
        </w:p>
        <w:p>
          <w:pPr>
            <w:pStyle w:val="TOC2"/>
            <w:numPr>
              <w:ilvl w:val="1"/>
              <w:numId w:val="1"/>
            </w:numPr>
            <w:tabs>
              <w:tab w:pos="611" w:val="left" w:leader="none"/>
              <w:tab w:pos="8448" w:val="left" w:leader="dot"/>
            </w:tabs>
            <w:spacing w:line="240" w:lineRule="auto" w:before="163" w:after="0"/>
            <w:ind w:left="611" w:right="0" w:hanging="439"/>
            <w:jc w:val="left"/>
          </w:pPr>
          <w:hyperlink w:history="true" w:anchor="_bookmark86">
            <w:r>
              <w:rPr>
                <w:color w:val="1F487C"/>
              </w:rPr>
              <w:t>Καθορ</w:t>
            </w:r>
            <w:r>
              <w:rPr>
                <w:smallCaps/>
                <w:color w:val="1F487C"/>
              </w:rPr>
              <w:t>ι</w:t>
            </w:r>
            <w:r>
              <w:rPr>
                <w:smallCaps w:val="0"/>
                <w:color w:val="1F487C"/>
              </w:rPr>
              <w:t>σμός</w:t>
            </w:r>
            <w:r>
              <w:rPr>
                <w:smallCaps w:val="0"/>
                <w:color w:val="1F487C"/>
                <w:spacing w:val="-8"/>
              </w:rPr>
              <w:t> </w:t>
            </w:r>
            <w:r>
              <w:rPr>
                <w:smallCaps w:val="0"/>
                <w:color w:val="1F487C"/>
              </w:rPr>
              <w:t>του</w:t>
            </w:r>
            <w:r>
              <w:rPr>
                <w:smallCaps w:val="0"/>
                <w:color w:val="1F487C"/>
                <w:spacing w:val="-8"/>
              </w:rPr>
              <w:t> </w:t>
            </w:r>
            <w:r>
              <w:rPr>
                <w:smallCaps w:val="0"/>
                <w:color w:val="1F487C"/>
              </w:rPr>
              <w:t>ποσοστού</w:t>
            </w:r>
            <w:r>
              <w:rPr>
                <w:smallCaps w:val="0"/>
                <w:color w:val="1F487C"/>
                <w:spacing w:val="-8"/>
              </w:rPr>
              <w:t> </w:t>
            </w:r>
            <w:r>
              <w:rPr>
                <w:smallCaps w:val="0"/>
                <w:color w:val="1F487C"/>
              </w:rPr>
              <w:t>αντ</w:t>
            </w:r>
            <w:r>
              <w:rPr>
                <w:smallCaps/>
                <w:color w:val="1F487C"/>
              </w:rPr>
              <w:t>ι</w:t>
            </w:r>
            <w:r>
              <w:rPr>
                <w:smallCaps w:val="0"/>
                <w:color w:val="1F487C"/>
              </w:rPr>
              <w:t>κυκλ</w:t>
            </w:r>
            <w:r>
              <w:rPr>
                <w:smallCaps/>
                <w:color w:val="1F487C"/>
              </w:rPr>
              <w:t>ι</w:t>
            </w:r>
            <w:r>
              <w:rPr>
                <w:smallCaps w:val="0"/>
                <w:color w:val="1F487C"/>
              </w:rPr>
              <w:t>κού</w:t>
            </w:r>
            <w:r>
              <w:rPr>
                <w:smallCaps w:val="0"/>
                <w:color w:val="1F487C"/>
                <w:spacing w:val="-8"/>
              </w:rPr>
              <w:t> </w:t>
            </w:r>
            <w:r>
              <w:rPr>
                <w:smallCaps w:val="0"/>
                <w:color w:val="1F487C"/>
              </w:rPr>
              <w:t>κεφαλα</w:t>
            </w:r>
            <w:r>
              <w:rPr>
                <w:smallCaps/>
                <w:color w:val="1F487C"/>
              </w:rPr>
              <w:t>ι</w:t>
            </w:r>
            <w:r>
              <w:rPr>
                <w:smallCaps w:val="0"/>
                <w:color w:val="1F487C"/>
              </w:rPr>
              <w:t>ακού</w:t>
            </w:r>
            <w:r>
              <w:rPr>
                <w:smallCaps w:val="0"/>
                <w:color w:val="1F487C"/>
                <w:spacing w:val="-8"/>
              </w:rPr>
              <w:t> </w:t>
            </w:r>
            <w:r>
              <w:rPr>
                <w:smallCaps w:val="0"/>
                <w:color w:val="1F487C"/>
              </w:rPr>
              <w:t>αποθέματος</w:t>
            </w:r>
            <w:r>
              <w:rPr>
                <w:smallCaps w:val="0"/>
                <w:color w:val="1F487C"/>
                <w:spacing w:val="-8"/>
              </w:rPr>
              <w:t> </w:t>
            </w:r>
            <w:r>
              <w:rPr>
                <w:smallCaps w:val="0"/>
                <w:color w:val="1F487C"/>
                <w:spacing w:val="-2"/>
              </w:rPr>
              <w:t>ασφάλε</w:t>
            </w:r>
            <w:r>
              <w:rPr>
                <w:smallCaps/>
                <w:color w:val="1F487C"/>
                <w:spacing w:val="-2"/>
              </w:rPr>
              <w:t>ι</w:t>
            </w:r>
            <w:r>
              <w:rPr>
                <w:smallCaps w:val="0"/>
                <w:color w:val="1F487C"/>
                <w:spacing w:val="-2"/>
              </w:rPr>
              <w:t>ας</w:t>
            </w:r>
            <w:r>
              <w:rPr>
                <w:b w:val="0"/>
                <w:smallCaps w:val="0"/>
                <w:color w:val="1F487C"/>
              </w:rPr>
              <w:tab/>
            </w:r>
            <w:r>
              <w:rPr>
                <w:smallCaps w:val="0"/>
                <w:color w:val="1F487C"/>
                <w:spacing w:val="-5"/>
              </w:rPr>
              <w:t>59</w:t>
            </w:r>
          </w:hyperlink>
        </w:p>
        <w:p>
          <w:pPr>
            <w:pStyle w:val="TOC4"/>
            <w:numPr>
              <w:ilvl w:val="2"/>
              <w:numId w:val="1"/>
            </w:numPr>
            <w:tabs>
              <w:tab w:pos="1052" w:val="left" w:leader="none"/>
              <w:tab w:pos="8470" w:val="left" w:leader="dot"/>
            </w:tabs>
            <w:spacing w:line="240" w:lineRule="auto" w:before="66" w:after="0"/>
            <w:ind w:left="1052" w:right="0" w:hanging="659"/>
            <w:jc w:val="left"/>
          </w:pPr>
          <w:hyperlink w:history="true" w:anchor="_bookmark87">
            <w:r>
              <w:rPr/>
              <w:t>Μεθοδολογία</w:t>
            </w:r>
            <w:r>
              <w:rPr>
                <w:spacing w:val="-9"/>
              </w:rPr>
              <w:t> </w:t>
            </w:r>
            <w:r>
              <w:rPr/>
              <w:t>εφαρμογής</w:t>
            </w:r>
            <w:r>
              <w:rPr>
                <w:spacing w:val="-9"/>
              </w:rPr>
              <w:t> </w:t>
            </w:r>
            <w:r>
              <w:rPr/>
              <w:t>αντικυκλικού</w:t>
            </w:r>
            <w:r>
              <w:rPr>
                <w:spacing w:val="-10"/>
              </w:rPr>
              <w:t> </w:t>
            </w:r>
            <w:r>
              <w:rPr/>
              <w:t>κεφαλαιακού</w:t>
            </w:r>
            <w:r>
              <w:rPr>
                <w:spacing w:val="-9"/>
              </w:rPr>
              <w:t> </w:t>
            </w:r>
            <w:r>
              <w:rPr/>
              <w:t>αποθέματος</w:t>
            </w:r>
            <w:r>
              <w:rPr>
                <w:spacing w:val="-9"/>
              </w:rPr>
              <w:t> </w:t>
            </w:r>
            <w:r>
              <w:rPr/>
              <w:t>ασφαλείας</w:t>
            </w:r>
            <w:r>
              <w:rPr>
                <w:spacing w:val="-9"/>
              </w:rPr>
              <w:t> </w:t>
            </w:r>
            <w:r>
              <w:rPr/>
              <w:t>στην</w:t>
            </w:r>
            <w:r>
              <w:rPr>
                <w:spacing w:val="-9"/>
              </w:rPr>
              <w:t> </w:t>
            </w:r>
            <w:r>
              <w:rPr>
                <w:spacing w:val="-2"/>
              </w:rPr>
              <w:t>Ελλάδα</w:t>
            </w:r>
            <w:r>
              <w:rPr/>
              <w:tab/>
            </w:r>
            <w:r>
              <w:rPr>
                <w:spacing w:val="-5"/>
              </w:rPr>
              <w:t>59</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91">
            <w:r>
              <w:rPr/>
              <w:t>Αξιολόγηση</w:t>
            </w:r>
            <w:r>
              <w:rPr>
                <w:spacing w:val="-9"/>
              </w:rPr>
              <w:t> </w:t>
            </w:r>
            <w:r>
              <w:rPr/>
              <w:t>των</w:t>
            </w:r>
            <w:r>
              <w:rPr>
                <w:spacing w:val="-8"/>
              </w:rPr>
              <w:t> </w:t>
            </w:r>
            <w:r>
              <w:rPr/>
              <w:t>κυκλικών</w:t>
            </w:r>
            <w:r>
              <w:rPr>
                <w:spacing w:val="-8"/>
              </w:rPr>
              <w:t> </w:t>
            </w:r>
            <w:r>
              <w:rPr/>
              <w:t>συστημικών</w:t>
            </w:r>
            <w:r>
              <w:rPr>
                <w:spacing w:val="-8"/>
              </w:rPr>
              <w:t> </w:t>
            </w:r>
            <w:r>
              <w:rPr>
                <w:spacing w:val="-2"/>
              </w:rPr>
              <w:t>κίνδυνων</w:t>
            </w:r>
            <w:r>
              <w:rPr/>
              <w:tab/>
            </w:r>
            <w:r>
              <w:rPr>
                <w:spacing w:val="-5"/>
              </w:rPr>
              <w:t>61</w:t>
            </w:r>
          </w:hyperlink>
        </w:p>
        <w:p>
          <w:pPr>
            <w:pStyle w:val="TOC4"/>
            <w:numPr>
              <w:ilvl w:val="2"/>
              <w:numId w:val="1"/>
            </w:numPr>
            <w:tabs>
              <w:tab w:pos="1052" w:val="left" w:leader="none"/>
            </w:tabs>
            <w:spacing w:line="240" w:lineRule="auto" w:before="70" w:after="0"/>
            <w:ind w:left="1052" w:right="0" w:hanging="659"/>
            <w:jc w:val="left"/>
          </w:pPr>
          <w:hyperlink w:history="true" w:anchor="_bookmark93">
            <w:r>
              <w:rPr/>
              <w:t>Καθορισμός</w:t>
            </w:r>
            <w:r>
              <w:rPr>
                <w:spacing w:val="-7"/>
              </w:rPr>
              <w:t> </w:t>
            </w:r>
            <w:r>
              <w:rPr/>
              <w:t>του</w:t>
            </w:r>
            <w:r>
              <w:rPr>
                <w:spacing w:val="-8"/>
              </w:rPr>
              <w:t> </w:t>
            </w:r>
            <w:r>
              <w:rPr/>
              <w:t>ποσοστού</w:t>
            </w:r>
            <w:r>
              <w:rPr>
                <w:spacing w:val="-8"/>
              </w:rPr>
              <w:t> </w:t>
            </w:r>
            <w:r>
              <w:rPr/>
              <w:t>αντικυκλικού</w:t>
            </w:r>
            <w:r>
              <w:rPr>
                <w:spacing w:val="-8"/>
              </w:rPr>
              <w:t> </w:t>
            </w:r>
            <w:r>
              <w:rPr/>
              <w:t>κεφαλαιακού</w:t>
            </w:r>
            <w:r>
              <w:rPr>
                <w:spacing w:val="-8"/>
              </w:rPr>
              <w:t> </w:t>
            </w:r>
            <w:r>
              <w:rPr/>
              <w:t>αποθέματος</w:t>
            </w:r>
            <w:r>
              <w:rPr>
                <w:spacing w:val="-7"/>
              </w:rPr>
              <w:t> </w:t>
            </w:r>
            <w:r>
              <w:rPr/>
              <w:t>ασφάλειας</w:t>
            </w:r>
            <w:r>
              <w:rPr>
                <w:spacing w:val="-7"/>
              </w:rPr>
              <w:t> </w:t>
            </w:r>
            <w:r>
              <w:rPr/>
              <w:t>για</w:t>
            </w:r>
            <w:r>
              <w:rPr>
                <w:spacing w:val="-6"/>
              </w:rPr>
              <w:t> </w:t>
            </w:r>
            <w:r>
              <w:rPr/>
              <w:t>την</w:t>
            </w:r>
            <w:r>
              <w:rPr>
                <w:spacing w:val="-6"/>
              </w:rPr>
              <w:t> </w:t>
            </w:r>
            <w:r>
              <w:rPr>
                <w:spacing w:val="-2"/>
              </w:rPr>
              <w:t>Ελλάδα</w:t>
            </w:r>
          </w:hyperlink>
        </w:p>
        <w:p>
          <w:pPr>
            <w:pStyle w:val="TOC6"/>
          </w:pPr>
          <w:hyperlink w:history="true" w:anchor="_bookmark93">
            <w:r>
              <w:rPr>
                <w:spacing w:val="-2"/>
              </w:rPr>
              <w:t>…………………………………………………………………………………………………62</w:t>
            </w:r>
          </w:hyperlink>
        </w:p>
        <w:p>
          <w:pPr>
            <w:pStyle w:val="TOC2"/>
            <w:numPr>
              <w:ilvl w:val="1"/>
              <w:numId w:val="1"/>
            </w:numPr>
            <w:tabs>
              <w:tab w:pos="611" w:val="left" w:leader="none"/>
              <w:tab w:pos="8448" w:val="left" w:leader="dot"/>
            </w:tabs>
            <w:spacing w:line="285" w:lineRule="auto" w:before="171" w:after="0"/>
            <w:ind w:left="172" w:right="967" w:firstLine="0"/>
            <w:jc w:val="left"/>
          </w:pPr>
          <w:hyperlink w:history="true" w:anchor="_bookmark95">
            <w:r>
              <w:rPr>
                <w:color w:val="1F487C"/>
              </w:rPr>
              <w:t>Προσδ</w:t>
            </w:r>
            <w:r>
              <w:rPr>
                <w:smallCaps/>
                <w:color w:val="1F487C"/>
              </w:rPr>
              <w:t>ιο</w:t>
            </w:r>
            <w:r>
              <w:rPr>
                <w:smallCaps w:val="0"/>
                <w:color w:val="1F487C"/>
              </w:rPr>
              <w:t>ρ</w:t>
            </w:r>
            <w:r>
              <w:rPr>
                <w:smallCaps/>
                <w:color w:val="1F487C"/>
              </w:rPr>
              <w:t>ι</w:t>
            </w:r>
            <w:r>
              <w:rPr>
                <w:smallCaps w:val="0"/>
                <w:color w:val="1F487C"/>
              </w:rPr>
              <w:t>σμός των λο</w:t>
            </w:r>
            <w:r>
              <w:rPr>
                <w:smallCaps/>
                <w:color w:val="1F487C"/>
              </w:rPr>
              <w:t>ι</w:t>
            </w:r>
            <w:r>
              <w:rPr>
                <w:smallCaps w:val="0"/>
                <w:color w:val="1F487C"/>
              </w:rPr>
              <w:t>πών συστημ</w:t>
            </w:r>
            <w:r>
              <w:rPr>
                <w:smallCaps/>
                <w:color w:val="1F487C"/>
              </w:rPr>
              <w:t>ι</w:t>
            </w:r>
            <w:r>
              <w:rPr>
                <w:smallCaps w:val="0"/>
                <w:color w:val="1F487C"/>
              </w:rPr>
              <w:t>κά σημαντ</w:t>
            </w:r>
            <w:r>
              <w:rPr>
                <w:smallCaps/>
                <w:color w:val="1F487C"/>
              </w:rPr>
              <w:t>ι</w:t>
            </w:r>
            <w:r>
              <w:rPr>
                <w:smallCaps w:val="0"/>
                <w:color w:val="1F487C"/>
              </w:rPr>
              <w:t>κών π</w:t>
            </w:r>
            <w:r>
              <w:rPr>
                <w:smallCaps/>
                <w:color w:val="1F487C"/>
              </w:rPr>
              <w:t>ι</w:t>
            </w:r>
            <w:r>
              <w:rPr>
                <w:smallCaps w:val="0"/>
                <w:color w:val="1F487C"/>
              </w:rPr>
              <w:t>στωτ</w:t>
            </w:r>
            <w:r>
              <w:rPr>
                <w:smallCaps/>
                <w:color w:val="1F487C"/>
              </w:rPr>
              <w:t>ι</w:t>
            </w:r>
            <w:r>
              <w:rPr>
                <w:smallCaps w:val="0"/>
                <w:color w:val="1F487C"/>
              </w:rPr>
              <w:t>κών </w:t>
            </w:r>
            <w:r>
              <w:rPr>
                <w:smallCaps/>
                <w:color w:val="1F487C"/>
              </w:rPr>
              <w:t>ι</w:t>
            </w:r>
            <w:r>
              <w:rPr>
                <w:smallCaps w:val="0"/>
                <w:color w:val="1F487C"/>
              </w:rPr>
              <w:t>δρυμάτων στην</w:t>
            </w:r>
          </w:hyperlink>
          <w:r>
            <w:rPr>
              <w:smallCaps w:val="0"/>
              <w:color w:val="1F487C"/>
            </w:rPr>
            <w:t> </w:t>
          </w:r>
          <w:hyperlink w:history="true" w:anchor="_bookmark95">
            <w:r>
              <w:rPr>
                <w:smallCaps w:val="0"/>
                <w:color w:val="1F487C"/>
              </w:rPr>
              <w:t>Ελλάδα</w:t>
            </w:r>
            <w:r>
              <w:rPr>
                <w:smallCaps w:val="0"/>
                <w:color w:val="1F487C"/>
                <w:spacing w:val="-7"/>
              </w:rPr>
              <w:t> </w:t>
            </w:r>
            <w:r>
              <w:rPr>
                <w:smallCaps w:val="0"/>
                <w:color w:val="1F487C"/>
              </w:rPr>
              <w:t>(O-SII)</w:t>
            </w:r>
            <w:r>
              <w:rPr>
                <w:smallCaps w:val="0"/>
                <w:color w:val="1F487C"/>
                <w:spacing w:val="-6"/>
              </w:rPr>
              <w:t> </w:t>
            </w:r>
            <w:r>
              <w:rPr>
                <w:smallCaps w:val="0"/>
                <w:color w:val="1F487C"/>
              </w:rPr>
              <w:t>κα</w:t>
            </w:r>
            <w:r>
              <w:rPr>
                <w:smallCaps/>
                <w:color w:val="1F487C"/>
              </w:rPr>
              <w:t>ι</w:t>
            </w:r>
            <w:r>
              <w:rPr>
                <w:smallCaps w:val="0"/>
                <w:color w:val="1F487C"/>
                <w:spacing w:val="-8"/>
              </w:rPr>
              <w:t> </w:t>
            </w:r>
            <w:r>
              <w:rPr>
                <w:smallCaps w:val="0"/>
                <w:color w:val="1F487C"/>
              </w:rPr>
              <w:t>καθορ</w:t>
            </w:r>
            <w:r>
              <w:rPr>
                <w:smallCaps/>
                <w:color w:val="1F487C"/>
              </w:rPr>
              <w:t>ι</w:t>
            </w:r>
            <w:r>
              <w:rPr>
                <w:smallCaps w:val="0"/>
                <w:color w:val="1F487C"/>
              </w:rPr>
              <w:t>σμός</w:t>
            </w:r>
            <w:r>
              <w:rPr>
                <w:smallCaps w:val="0"/>
                <w:color w:val="1F487C"/>
                <w:spacing w:val="-6"/>
              </w:rPr>
              <w:t> </w:t>
            </w:r>
            <w:r>
              <w:rPr>
                <w:smallCaps w:val="0"/>
                <w:color w:val="1F487C"/>
              </w:rPr>
              <w:t>του</w:t>
            </w:r>
            <w:r>
              <w:rPr>
                <w:smallCaps w:val="0"/>
                <w:color w:val="1F487C"/>
                <w:spacing w:val="-6"/>
              </w:rPr>
              <w:t> </w:t>
            </w:r>
            <w:r>
              <w:rPr>
                <w:smallCaps w:val="0"/>
                <w:color w:val="1F487C"/>
              </w:rPr>
              <w:t>αποθέματος</w:t>
            </w:r>
            <w:r>
              <w:rPr>
                <w:smallCaps w:val="0"/>
                <w:color w:val="1F487C"/>
                <w:spacing w:val="-7"/>
              </w:rPr>
              <w:t> </w:t>
            </w:r>
            <w:r>
              <w:rPr>
                <w:smallCaps w:val="0"/>
                <w:color w:val="1F487C"/>
              </w:rPr>
              <w:t>ασφάλε</w:t>
            </w:r>
            <w:r>
              <w:rPr>
                <w:smallCaps/>
                <w:color w:val="1F487C"/>
              </w:rPr>
              <w:t>ι</w:t>
            </w:r>
            <w:r>
              <w:rPr>
                <w:smallCaps w:val="0"/>
                <w:color w:val="1F487C"/>
              </w:rPr>
              <w:t>ας</w:t>
            </w:r>
            <w:r>
              <w:rPr>
                <w:smallCaps w:val="0"/>
                <w:color w:val="1F487C"/>
                <w:spacing w:val="-6"/>
              </w:rPr>
              <w:t> </w:t>
            </w:r>
            <w:r>
              <w:rPr>
                <w:smallCaps w:val="0"/>
                <w:color w:val="1F487C"/>
              </w:rPr>
              <w:t>O-</w:t>
            </w:r>
            <w:r>
              <w:rPr>
                <w:smallCaps w:val="0"/>
                <w:color w:val="1F487C"/>
                <w:spacing w:val="-5"/>
              </w:rPr>
              <w:t>SII</w:t>
            </w:r>
            <w:r>
              <w:rPr>
                <w:smallCaps w:val="0"/>
                <w:color w:val="1F487C"/>
              </w:rPr>
              <w:tab/>
            </w:r>
            <w:r>
              <w:rPr>
                <w:smallCaps w:val="0"/>
                <w:color w:val="1F487C"/>
                <w:spacing w:val="-5"/>
              </w:rPr>
              <w:t>63</w:t>
            </w:r>
          </w:hyperlink>
        </w:p>
        <w:p>
          <w:pPr>
            <w:pStyle w:val="TOC2"/>
            <w:numPr>
              <w:ilvl w:val="1"/>
              <w:numId w:val="1"/>
            </w:numPr>
            <w:tabs>
              <w:tab w:pos="611" w:val="left" w:leader="none"/>
              <w:tab w:pos="8448" w:val="left" w:leader="dot"/>
            </w:tabs>
            <w:spacing w:line="240" w:lineRule="auto" w:before="118" w:after="20"/>
            <w:ind w:left="611" w:right="0" w:hanging="439"/>
            <w:jc w:val="left"/>
          </w:pPr>
          <w:hyperlink w:history="true" w:anchor="_bookmark100">
            <w:r>
              <w:rPr>
                <w:color w:val="1F487C"/>
              </w:rPr>
              <w:t>Μέτρα</w:t>
            </w:r>
            <w:r>
              <w:rPr>
                <w:color w:val="1F487C"/>
                <w:spacing w:val="-8"/>
              </w:rPr>
              <w:t> </w:t>
            </w:r>
            <w:r>
              <w:rPr>
                <w:color w:val="1F487C"/>
              </w:rPr>
              <w:t>γ</w:t>
            </w:r>
            <w:r>
              <w:rPr>
                <w:smallCaps/>
                <w:color w:val="1F487C"/>
              </w:rPr>
              <w:t>ι</w:t>
            </w:r>
            <w:r>
              <w:rPr>
                <w:smallCaps w:val="0"/>
                <w:color w:val="1F487C"/>
              </w:rPr>
              <w:t>α</w:t>
            </w:r>
            <w:r>
              <w:rPr>
                <w:smallCaps w:val="0"/>
                <w:color w:val="1F487C"/>
                <w:spacing w:val="-6"/>
              </w:rPr>
              <w:t> </w:t>
            </w:r>
            <w:r>
              <w:rPr>
                <w:smallCaps w:val="0"/>
                <w:color w:val="1F487C"/>
              </w:rPr>
              <w:t>τη</w:t>
            </w:r>
            <w:r>
              <w:rPr>
                <w:smallCaps w:val="0"/>
                <w:color w:val="1F487C"/>
                <w:spacing w:val="-5"/>
              </w:rPr>
              <w:t> </w:t>
            </w:r>
            <w:r>
              <w:rPr>
                <w:smallCaps w:val="0"/>
                <w:color w:val="1F487C"/>
              </w:rPr>
              <w:t>δανε</w:t>
            </w:r>
            <w:r>
              <w:rPr>
                <w:smallCaps/>
                <w:color w:val="1F487C"/>
              </w:rPr>
              <w:t>ι</w:t>
            </w:r>
            <w:r>
              <w:rPr>
                <w:smallCaps w:val="0"/>
                <w:color w:val="1F487C"/>
              </w:rPr>
              <w:t>ακή</w:t>
            </w:r>
            <w:r>
              <w:rPr>
                <w:smallCaps w:val="0"/>
                <w:color w:val="1F487C"/>
                <w:spacing w:val="-6"/>
              </w:rPr>
              <w:t> </w:t>
            </w:r>
            <w:r>
              <w:rPr>
                <w:smallCaps w:val="0"/>
                <w:color w:val="1F487C"/>
              </w:rPr>
              <w:t>επ</w:t>
            </w:r>
            <w:r>
              <w:rPr>
                <w:smallCaps/>
                <w:color w:val="1F487C"/>
              </w:rPr>
              <w:t>ι</w:t>
            </w:r>
            <w:r>
              <w:rPr>
                <w:smallCaps w:val="0"/>
                <w:color w:val="1F487C"/>
              </w:rPr>
              <w:t>βάρυνση</w:t>
            </w:r>
            <w:r>
              <w:rPr>
                <w:smallCaps w:val="0"/>
                <w:color w:val="1F487C"/>
                <w:spacing w:val="-6"/>
              </w:rPr>
              <w:t> </w:t>
            </w:r>
            <w:r>
              <w:rPr>
                <w:smallCaps w:val="0"/>
                <w:color w:val="1F487C"/>
              </w:rPr>
              <w:t>που</w:t>
            </w:r>
            <w:r>
              <w:rPr>
                <w:smallCaps w:val="0"/>
                <w:color w:val="1F487C"/>
                <w:spacing w:val="-5"/>
              </w:rPr>
              <w:t> </w:t>
            </w:r>
            <w:r>
              <w:rPr>
                <w:smallCaps w:val="0"/>
                <w:color w:val="1F487C"/>
              </w:rPr>
              <w:t>εφαρμόζοντα</w:t>
            </w:r>
            <w:r>
              <w:rPr>
                <w:smallCaps/>
                <w:color w:val="1F487C"/>
              </w:rPr>
              <w:t>ι</w:t>
            </w:r>
            <w:r>
              <w:rPr>
                <w:smallCaps w:val="0"/>
                <w:color w:val="1F487C"/>
                <w:spacing w:val="-5"/>
              </w:rPr>
              <w:t> </w:t>
            </w:r>
            <w:r>
              <w:rPr>
                <w:smallCaps w:val="0"/>
                <w:color w:val="1F487C"/>
              </w:rPr>
              <w:t>σε</w:t>
            </w:r>
            <w:r>
              <w:rPr>
                <w:smallCaps w:val="0"/>
                <w:color w:val="1F487C"/>
                <w:spacing w:val="-6"/>
              </w:rPr>
              <w:t> </w:t>
            </w:r>
            <w:r>
              <w:rPr>
                <w:smallCaps w:val="0"/>
                <w:color w:val="1F487C"/>
              </w:rPr>
              <w:t>επίπεδο</w:t>
            </w:r>
            <w:r>
              <w:rPr>
                <w:smallCaps w:val="0"/>
                <w:color w:val="1F487C"/>
                <w:spacing w:val="-5"/>
              </w:rPr>
              <w:t> </w:t>
            </w:r>
            <w:r>
              <w:rPr>
                <w:smallCaps w:val="0"/>
                <w:color w:val="1F487C"/>
                <w:spacing w:val="-2"/>
              </w:rPr>
              <w:t>δανε</w:t>
            </w:r>
            <w:r>
              <w:rPr>
                <w:smallCaps/>
                <w:color w:val="1F487C"/>
                <w:spacing w:val="-2"/>
              </w:rPr>
              <w:t>ιο</w:t>
            </w:r>
            <w:r>
              <w:rPr>
                <w:smallCaps w:val="0"/>
                <w:color w:val="1F487C"/>
                <w:spacing w:val="-2"/>
              </w:rPr>
              <w:t>λήπτη</w:t>
            </w:r>
            <w:r>
              <w:rPr>
                <w:b w:val="0"/>
                <w:smallCaps w:val="0"/>
                <w:color w:val="1F487C"/>
              </w:rPr>
              <w:tab/>
            </w:r>
            <w:r>
              <w:rPr>
                <w:smallCaps w:val="0"/>
                <w:color w:val="1F487C"/>
                <w:spacing w:val="-5"/>
              </w:rPr>
              <w:t>65</w:t>
            </w:r>
          </w:hyperlink>
        </w:p>
        <w:p>
          <w:pPr>
            <w:pStyle w:val="TOC1"/>
            <w:numPr>
              <w:ilvl w:val="0"/>
              <w:numId w:val="1"/>
            </w:numPr>
            <w:tabs>
              <w:tab w:pos="611" w:val="left" w:leader="none"/>
              <w:tab w:pos="8429" w:val="left" w:leader="dot"/>
            </w:tabs>
            <w:spacing w:line="240" w:lineRule="auto" w:before="76" w:after="0"/>
            <w:ind w:left="611" w:right="0" w:hanging="439"/>
            <w:jc w:val="left"/>
          </w:pPr>
          <w:hyperlink w:history="true" w:anchor="_bookmark106">
            <w:r>
              <w:rPr>
                <w:color w:val="1F487C"/>
              </w:rPr>
              <w:t>ΛΟΙΠΟΙ</w:t>
            </w:r>
            <w:r>
              <w:rPr>
                <w:color w:val="1F487C"/>
                <w:spacing w:val="-4"/>
              </w:rPr>
              <w:t> </w:t>
            </w:r>
            <w:r>
              <w:rPr>
                <w:color w:val="1F487C"/>
              </w:rPr>
              <w:t>ΤΟΜΕΙΣ</w:t>
            </w:r>
            <w:r>
              <w:rPr>
                <w:color w:val="1F487C"/>
                <w:spacing w:val="-1"/>
              </w:rPr>
              <w:t> </w:t>
            </w:r>
            <w:r>
              <w:rPr>
                <w:color w:val="1F487C"/>
              </w:rPr>
              <w:t>ΤΟΥ</w:t>
            </w:r>
            <w:r>
              <w:rPr>
                <w:color w:val="1F487C"/>
                <w:spacing w:val="-2"/>
              </w:rPr>
              <w:t> </w:t>
            </w:r>
            <w:r>
              <w:rPr>
                <w:color w:val="1F487C"/>
              </w:rPr>
              <w:t>ΧΡΗΜΑΤΟΠΙΣΤΩΤΙΚΟΥ</w:t>
            </w:r>
            <w:r>
              <w:rPr>
                <w:color w:val="1F487C"/>
                <w:spacing w:val="-1"/>
              </w:rPr>
              <w:t> </w:t>
            </w:r>
            <w:r>
              <w:rPr>
                <w:color w:val="1F487C"/>
                <w:spacing w:val="-2"/>
              </w:rPr>
              <w:t>ΣΥΣΤΗΜΑΤΟΣ</w:t>
            </w:r>
            <w:r>
              <w:rPr>
                <w:b w:val="0"/>
                <w:color w:val="1F487C"/>
              </w:rPr>
              <w:tab/>
            </w:r>
            <w:r>
              <w:rPr>
                <w:color w:val="1F487C"/>
                <w:spacing w:val="-5"/>
              </w:rPr>
              <w:t>67</w:t>
            </w:r>
          </w:hyperlink>
        </w:p>
        <w:p>
          <w:pPr>
            <w:pStyle w:val="TOC2"/>
            <w:numPr>
              <w:ilvl w:val="1"/>
              <w:numId w:val="1"/>
            </w:numPr>
            <w:tabs>
              <w:tab w:pos="611" w:val="left" w:leader="none"/>
              <w:tab w:pos="8448" w:val="left" w:leader="dot"/>
            </w:tabs>
            <w:spacing w:line="240" w:lineRule="auto" w:before="163" w:after="0"/>
            <w:ind w:left="611" w:right="0" w:hanging="439"/>
            <w:jc w:val="left"/>
          </w:pPr>
          <w:hyperlink w:history="true" w:anchor="_bookmark107">
            <w:r>
              <w:rPr>
                <w:color w:val="1F487C"/>
                <w:spacing w:val="-2"/>
              </w:rPr>
              <w:t>Δ</w:t>
            </w:r>
            <w:r>
              <w:rPr>
                <w:smallCaps/>
                <w:color w:val="1F487C"/>
                <w:spacing w:val="-2"/>
              </w:rPr>
              <w:t>ι</w:t>
            </w:r>
            <w:r>
              <w:rPr>
                <w:smallCaps w:val="0"/>
                <w:color w:val="1F487C"/>
                <w:spacing w:val="-2"/>
              </w:rPr>
              <w:t>άρθρωση</w:t>
            </w:r>
            <w:r>
              <w:rPr>
                <w:smallCaps w:val="0"/>
                <w:color w:val="1F487C"/>
                <w:spacing w:val="1"/>
              </w:rPr>
              <w:t> </w:t>
            </w:r>
            <w:r>
              <w:rPr>
                <w:smallCaps w:val="0"/>
                <w:color w:val="1F487C"/>
                <w:spacing w:val="-2"/>
              </w:rPr>
              <w:t>του</w:t>
            </w:r>
            <w:r>
              <w:rPr>
                <w:smallCaps w:val="0"/>
                <w:color w:val="1F487C"/>
                <w:spacing w:val="-1"/>
              </w:rPr>
              <w:t> </w:t>
            </w:r>
            <w:r>
              <w:rPr>
                <w:smallCaps w:val="0"/>
                <w:color w:val="1F487C"/>
                <w:spacing w:val="-2"/>
              </w:rPr>
              <w:t>εγχώρ</w:t>
            </w:r>
            <w:r>
              <w:rPr>
                <w:smallCaps/>
                <w:color w:val="1F487C"/>
                <w:spacing w:val="-2"/>
              </w:rPr>
              <w:t>ιο</w:t>
            </w:r>
            <w:r>
              <w:rPr>
                <w:smallCaps w:val="0"/>
                <w:color w:val="1F487C"/>
                <w:spacing w:val="-2"/>
              </w:rPr>
              <w:t>υ</w:t>
            </w:r>
            <w:r>
              <w:rPr>
                <w:smallCaps w:val="0"/>
                <w:color w:val="1F487C"/>
              </w:rPr>
              <w:t> </w:t>
            </w:r>
            <w:r>
              <w:rPr>
                <w:smallCaps w:val="0"/>
                <w:color w:val="1F487C"/>
                <w:spacing w:val="-2"/>
              </w:rPr>
              <w:t>χρηματοπ</w:t>
            </w:r>
            <w:r>
              <w:rPr>
                <w:smallCaps/>
                <w:color w:val="1F487C"/>
                <w:spacing w:val="-2"/>
              </w:rPr>
              <w:t>ι</w:t>
            </w:r>
            <w:r>
              <w:rPr>
                <w:smallCaps w:val="0"/>
                <w:color w:val="1F487C"/>
                <w:spacing w:val="-2"/>
              </w:rPr>
              <w:t>στωτ</w:t>
            </w:r>
            <w:r>
              <w:rPr>
                <w:smallCaps/>
                <w:color w:val="1F487C"/>
                <w:spacing w:val="-2"/>
              </w:rPr>
              <w:t>ι</w:t>
            </w:r>
            <w:r>
              <w:rPr>
                <w:smallCaps w:val="0"/>
                <w:color w:val="1F487C"/>
                <w:spacing w:val="-2"/>
              </w:rPr>
              <w:t>κού</w:t>
            </w:r>
            <w:r>
              <w:rPr>
                <w:smallCaps w:val="0"/>
                <w:color w:val="1F487C"/>
                <w:spacing w:val="1"/>
              </w:rPr>
              <w:t> </w:t>
            </w:r>
            <w:r>
              <w:rPr>
                <w:smallCaps w:val="0"/>
                <w:color w:val="1F487C"/>
                <w:spacing w:val="-2"/>
              </w:rPr>
              <w:t>συστήματος</w:t>
            </w:r>
            <w:r>
              <w:rPr>
                <w:b w:val="0"/>
                <w:smallCaps w:val="0"/>
                <w:color w:val="1F487C"/>
              </w:rPr>
              <w:tab/>
            </w:r>
            <w:r>
              <w:rPr>
                <w:smallCaps w:val="0"/>
                <w:color w:val="1F487C"/>
                <w:spacing w:val="-5"/>
              </w:rPr>
              <w:t>67</w:t>
            </w:r>
          </w:hyperlink>
        </w:p>
        <w:p>
          <w:pPr>
            <w:pStyle w:val="TOC2"/>
            <w:numPr>
              <w:ilvl w:val="1"/>
              <w:numId w:val="1"/>
            </w:numPr>
            <w:tabs>
              <w:tab w:pos="611" w:val="left" w:leader="none"/>
              <w:tab w:pos="8448" w:val="left" w:leader="dot"/>
            </w:tabs>
            <w:spacing w:line="240" w:lineRule="auto" w:before="167" w:after="0"/>
            <w:ind w:left="611" w:right="0" w:hanging="439"/>
            <w:jc w:val="left"/>
          </w:pPr>
          <w:hyperlink w:history="true" w:anchor="_bookmark109">
            <w:r>
              <w:rPr>
                <w:color w:val="1F487C"/>
              </w:rPr>
              <w:t>Επαγγελματ</w:t>
            </w:r>
            <w:r>
              <w:rPr>
                <w:smallCaps/>
                <w:color w:val="1F487C"/>
              </w:rPr>
              <w:t>ι</w:t>
            </w:r>
            <w:r>
              <w:rPr>
                <w:smallCaps w:val="0"/>
                <w:color w:val="1F487C"/>
              </w:rPr>
              <w:t>κή</w:t>
            </w:r>
            <w:r>
              <w:rPr>
                <w:smallCaps w:val="0"/>
                <w:color w:val="1F487C"/>
                <w:spacing w:val="-11"/>
              </w:rPr>
              <w:t> </w:t>
            </w:r>
            <w:r>
              <w:rPr>
                <w:smallCaps w:val="0"/>
                <w:color w:val="1F487C"/>
              </w:rPr>
              <w:t>κα</w:t>
            </w:r>
            <w:r>
              <w:rPr>
                <w:smallCaps/>
                <w:color w:val="1F487C"/>
              </w:rPr>
              <w:t>ι</w:t>
            </w:r>
            <w:r>
              <w:rPr>
                <w:smallCaps w:val="0"/>
                <w:color w:val="1F487C"/>
                <w:spacing w:val="-9"/>
              </w:rPr>
              <w:t> </w:t>
            </w:r>
            <w:r>
              <w:rPr>
                <w:smallCaps/>
                <w:color w:val="1F487C"/>
              </w:rPr>
              <w:t>ι</w:t>
            </w:r>
            <w:r>
              <w:rPr>
                <w:smallCaps w:val="0"/>
                <w:color w:val="1F487C"/>
              </w:rPr>
              <w:t>δ</w:t>
            </w:r>
            <w:r>
              <w:rPr>
                <w:smallCaps/>
                <w:color w:val="1F487C"/>
              </w:rPr>
              <w:t>ι</w:t>
            </w:r>
            <w:r>
              <w:rPr>
                <w:smallCaps w:val="0"/>
                <w:color w:val="1F487C"/>
              </w:rPr>
              <w:t>ωτ</w:t>
            </w:r>
            <w:r>
              <w:rPr>
                <w:smallCaps/>
                <w:color w:val="1F487C"/>
              </w:rPr>
              <w:t>ι</w:t>
            </w:r>
            <w:r>
              <w:rPr>
                <w:smallCaps w:val="0"/>
                <w:color w:val="1F487C"/>
              </w:rPr>
              <w:t>κή</w:t>
            </w:r>
            <w:r>
              <w:rPr>
                <w:smallCaps w:val="0"/>
                <w:color w:val="1F487C"/>
                <w:spacing w:val="-10"/>
              </w:rPr>
              <w:t> </w:t>
            </w:r>
            <w:r>
              <w:rPr>
                <w:smallCaps w:val="0"/>
                <w:color w:val="1F487C"/>
                <w:spacing w:val="-2"/>
              </w:rPr>
              <w:t>ασφάλ</w:t>
            </w:r>
            <w:r>
              <w:rPr>
                <w:smallCaps/>
                <w:color w:val="1F487C"/>
                <w:spacing w:val="-2"/>
              </w:rPr>
              <w:t>ι</w:t>
            </w:r>
            <w:r>
              <w:rPr>
                <w:smallCaps w:val="0"/>
                <w:color w:val="1F487C"/>
                <w:spacing w:val="-2"/>
              </w:rPr>
              <w:t>ση</w:t>
            </w:r>
            <w:r>
              <w:rPr>
                <w:b w:val="0"/>
                <w:smallCaps w:val="0"/>
                <w:color w:val="1F487C"/>
              </w:rPr>
              <w:tab/>
            </w:r>
            <w:r>
              <w:rPr>
                <w:smallCaps w:val="0"/>
                <w:color w:val="1F487C"/>
                <w:spacing w:val="-5"/>
              </w:rPr>
              <w:t>69</w:t>
            </w:r>
          </w:hyperlink>
        </w:p>
        <w:p>
          <w:pPr>
            <w:pStyle w:val="TOC4"/>
            <w:numPr>
              <w:ilvl w:val="2"/>
              <w:numId w:val="1"/>
            </w:numPr>
            <w:tabs>
              <w:tab w:pos="1052" w:val="left" w:leader="none"/>
              <w:tab w:pos="8470" w:val="left" w:leader="dot"/>
            </w:tabs>
            <w:spacing w:line="240" w:lineRule="auto" w:before="66" w:after="0"/>
            <w:ind w:left="1052" w:right="0" w:hanging="659"/>
            <w:jc w:val="left"/>
          </w:pPr>
          <w:hyperlink w:history="true" w:anchor="_bookmark110">
            <w:r>
              <w:rPr/>
              <w:t>Βασικά</w:t>
            </w:r>
            <w:r>
              <w:rPr>
                <w:spacing w:val="-7"/>
              </w:rPr>
              <w:t> </w:t>
            </w:r>
            <w:r>
              <w:rPr/>
              <w:t>μεγέθη</w:t>
            </w:r>
            <w:r>
              <w:rPr>
                <w:spacing w:val="-9"/>
              </w:rPr>
              <w:t> </w:t>
            </w:r>
            <w:r>
              <w:rPr/>
              <w:t>των</w:t>
            </w:r>
            <w:r>
              <w:rPr>
                <w:spacing w:val="-6"/>
              </w:rPr>
              <w:t> </w:t>
            </w:r>
            <w:r>
              <w:rPr/>
              <w:t>επιχειρήσεων</w:t>
            </w:r>
            <w:r>
              <w:rPr>
                <w:spacing w:val="-7"/>
              </w:rPr>
              <w:t> </w:t>
            </w:r>
            <w:r>
              <w:rPr/>
              <w:t>ιδιωτικής</w:t>
            </w:r>
            <w:r>
              <w:rPr>
                <w:spacing w:val="-8"/>
              </w:rPr>
              <w:t> </w:t>
            </w:r>
            <w:r>
              <w:rPr>
                <w:spacing w:val="-2"/>
              </w:rPr>
              <w:t>ασφάλισης</w:t>
            </w:r>
            <w:r>
              <w:rPr/>
              <w:tab/>
            </w:r>
            <w:r>
              <w:rPr>
                <w:spacing w:val="-5"/>
              </w:rPr>
              <w:t>69</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120">
            <w:r>
              <w:rPr/>
              <w:t>Βασικά</w:t>
            </w:r>
            <w:r>
              <w:rPr>
                <w:spacing w:val="-8"/>
              </w:rPr>
              <w:t> </w:t>
            </w:r>
            <w:r>
              <w:rPr/>
              <w:t>μεγέθη</w:t>
            </w:r>
            <w:r>
              <w:rPr>
                <w:spacing w:val="-9"/>
              </w:rPr>
              <w:t> </w:t>
            </w:r>
            <w:r>
              <w:rPr/>
              <w:t>της</w:t>
            </w:r>
            <w:r>
              <w:rPr>
                <w:spacing w:val="-8"/>
              </w:rPr>
              <w:t> </w:t>
            </w:r>
            <w:r>
              <w:rPr/>
              <w:t>επαγγελματικής</w:t>
            </w:r>
            <w:r>
              <w:rPr>
                <w:spacing w:val="-9"/>
              </w:rPr>
              <w:t> </w:t>
            </w:r>
            <w:r>
              <w:rPr>
                <w:spacing w:val="-2"/>
              </w:rPr>
              <w:t>ασφάλισης</w:t>
            </w:r>
            <w:r>
              <w:rPr/>
              <w:tab/>
            </w:r>
            <w:r>
              <w:rPr>
                <w:spacing w:val="-5"/>
              </w:rPr>
              <w:t>74</w:t>
            </w:r>
          </w:hyperlink>
        </w:p>
        <w:p>
          <w:pPr>
            <w:pStyle w:val="TOC2"/>
            <w:numPr>
              <w:ilvl w:val="1"/>
              <w:numId w:val="1"/>
            </w:numPr>
            <w:tabs>
              <w:tab w:pos="611" w:val="left" w:leader="none"/>
              <w:tab w:pos="8448" w:val="left" w:leader="dot"/>
            </w:tabs>
            <w:spacing w:line="240" w:lineRule="auto" w:before="171" w:after="0"/>
            <w:ind w:left="611" w:right="0" w:hanging="439"/>
            <w:jc w:val="left"/>
          </w:pPr>
          <w:hyperlink w:history="true" w:anchor="_bookmark121">
            <w:r>
              <w:rPr>
                <w:color w:val="1F487C"/>
              </w:rPr>
              <w:t>Λο</w:t>
            </w:r>
            <w:r>
              <w:rPr>
                <w:smallCaps/>
                <w:color w:val="1F487C"/>
              </w:rPr>
              <w:t>ι</w:t>
            </w:r>
            <w:r>
              <w:rPr>
                <w:smallCaps w:val="0"/>
                <w:color w:val="1F487C"/>
              </w:rPr>
              <w:t>πές</w:t>
            </w:r>
            <w:r>
              <w:rPr>
                <w:smallCaps w:val="0"/>
                <w:color w:val="1F487C"/>
                <w:spacing w:val="-7"/>
              </w:rPr>
              <w:t> </w:t>
            </w:r>
            <w:r>
              <w:rPr>
                <w:smallCaps w:val="0"/>
                <w:color w:val="1F487C"/>
                <w:spacing w:val="-2"/>
              </w:rPr>
              <w:t>επ</w:t>
            </w:r>
            <w:r>
              <w:rPr>
                <w:smallCaps/>
                <w:color w:val="1F487C"/>
                <w:spacing w:val="-2"/>
              </w:rPr>
              <w:t>ι</w:t>
            </w:r>
            <w:r>
              <w:rPr>
                <w:smallCaps w:val="0"/>
                <w:color w:val="1F487C"/>
                <w:spacing w:val="-2"/>
              </w:rPr>
              <w:t>χε</w:t>
            </w:r>
            <w:r>
              <w:rPr>
                <w:smallCaps/>
                <w:color w:val="1F487C"/>
                <w:spacing w:val="-2"/>
              </w:rPr>
              <w:t>ι</w:t>
            </w:r>
            <w:r>
              <w:rPr>
                <w:smallCaps w:val="0"/>
                <w:color w:val="1F487C"/>
                <w:spacing w:val="-2"/>
              </w:rPr>
              <w:t>ρήσε</w:t>
            </w:r>
            <w:r>
              <w:rPr>
                <w:smallCaps/>
                <w:color w:val="1F487C"/>
                <w:spacing w:val="-2"/>
              </w:rPr>
              <w:t>ι</w:t>
            </w:r>
            <w:r>
              <w:rPr>
                <w:smallCaps w:val="0"/>
                <w:color w:val="1F487C"/>
                <w:spacing w:val="-2"/>
              </w:rPr>
              <w:t>ς</w:t>
            </w:r>
            <w:r>
              <w:rPr>
                <w:b w:val="0"/>
                <w:smallCaps w:val="0"/>
                <w:color w:val="1F487C"/>
              </w:rPr>
              <w:tab/>
            </w:r>
            <w:r>
              <w:rPr>
                <w:smallCaps w:val="0"/>
                <w:color w:val="1F487C"/>
                <w:spacing w:val="-5"/>
              </w:rPr>
              <w:t>75</w:t>
            </w:r>
          </w:hyperlink>
        </w:p>
        <w:p>
          <w:pPr>
            <w:pStyle w:val="TOC4"/>
            <w:numPr>
              <w:ilvl w:val="2"/>
              <w:numId w:val="1"/>
            </w:numPr>
            <w:tabs>
              <w:tab w:pos="1052" w:val="left" w:leader="none"/>
              <w:tab w:pos="8470" w:val="left" w:leader="dot"/>
            </w:tabs>
            <w:spacing w:line="312" w:lineRule="auto" w:before="66" w:after="0"/>
            <w:ind w:left="393" w:right="965" w:firstLine="0"/>
            <w:jc w:val="left"/>
          </w:pPr>
          <w:hyperlink w:history="true" w:anchor="_bookmark122">
            <w:r>
              <w:rPr/>
              <w:t>Εταιρίες Χρηματοδοτικής Μίσθωσης, Εταιρίες Πρακτόρειας Επιχειρηματικών Απαιτήσεων,</w:t>
            </w:r>
          </w:hyperlink>
          <w:r>
            <w:rPr/>
            <w:t> </w:t>
          </w:r>
          <w:hyperlink w:history="true" w:anchor="_bookmark122">
            <w:r>
              <w:rPr/>
              <w:t>Ιδρύματα</w:t>
            </w:r>
            <w:r>
              <w:rPr>
                <w:spacing w:val="-10"/>
              </w:rPr>
              <w:t> </w:t>
            </w:r>
            <w:r>
              <w:rPr>
                <w:spacing w:val="-2"/>
              </w:rPr>
              <w:t>Μικροχρηματοδοτήσεων</w:t>
            </w:r>
            <w:r>
              <w:rPr/>
              <w:tab/>
            </w:r>
            <w:r>
              <w:rPr>
                <w:spacing w:val="-5"/>
              </w:rPr>
              <w:t>75</w:t>
            </w:r>
          </w:hyperlink>
        </w:p>
        <w:p>
          <w:pPr>
            <w:pStyle w:val="TOC4"/>
            <w:numPr>
              <w:ilvl w:val="2"/>
              <w:numId w:val="1"/>
            </w:numPr>
            <w:tabs>
              <w:tab w:pos="1052" w:val="left" w:leader="none"/>
              <w:tab w:pos="8470" w:val="left" w:leader="dot"/>
            </w:tabs>
            <w:spacing w:line="240" w:lineRule="auto" w:before="2" w:after="0"/>
            <w:ind w:left="1052" w:right="0" w:hanging="659"/>
            <w:jc w:val="left"/>
          </w:pPr>
          <w:hyperlink w:history="true" w:anchor="_bookmark123">
            <w:r>
              <w:rPr/>
              <w:t>Διαχειριστές</w:t>
            </w:r>
            <w:r>
              <w:rPr>
                <w:spacing w:val="-12"/>
              </w:rPr>
              <w:t> </w:t>
            </w:r>
            <w:r>
              <w:rPr>
                <w:spacing w:val="-2"/>
              </w:rPr>
              <w:t>πιστώσεων</w:t>
            </w:r>
            <w:r>
              <w:rPr/>
              <w:tab/>
            </w:r>
            <w:r>
              <w:rPr>
                <w:spacing w:val="-5"/>
              </w:rPr>
              <w:t>76</w:t>
            </w:r>
          </w:hyperlink>
        </w:p>
        <w:p>
          <w:pPr>
            <w:pStyle w:val="TOC4"/>
            <w:numPr>
              <w:ilvl w:val="2"/>
              <w:numId w:val="1"/>
            </w:numPr>
            <w:tabs>
              <w:tab w:pos="1052" w:val="left" w:leader="none"/>
              <w:tab w:pos="8470" w:val="left" w:leader="dot"/>
            </w:tabs>
            <w:spacing w:line="314" w:lineRule="auto" w:before="70" w:after="0"/>
            <w:ind w:left="393" w:right="965" w:firstLine="0"/>
            <w:jc w:val="left"/>
          </w:pPr>
          <w:hyperlink w:history="true" w:anchor="_bookmark131">
            <w:r>
              <w:rPr/>
              <w:t>Ιδρύματα πληρωμών, ιδρύματα ηλεκτρονικού χρήματος, πάροχοι υπηρεσιών εκκίνησης</w:t>
            </w:r>
          </w:hyperlink>
          <w:r>
            <w:rPr/>
            <w:t> </w:t>
          </w:r>
          <w:hyperlink w:history="true" w:anchor="_bookmark131">
            <w:r>
              <w:rPr/>
              <w:t>πληρωμής</w:t>
            </w:r>
            <w:r>
              <w:rPr>
                <w:spacing w:val="-8"/>
              </w:rPr>
              <w:t> </w:t>
            </w:r>
            <w:r>
              <w:rPr/>
              <w:t>και</w:t>
            </w:r>
            <w:r>
              <w:rPr>
                <w:spacing w:val="-8"/>
              </w:rPr>
              <w:t> </w:t>
            </w:r>
            <w:r>
              <w:rPr/>
              <w:t>πάροχοι</w:t>
            </w:r>
            <w:r>
              <w:rPr>
                <w:spacing w:val="-8"/>
              </w:rPr>
              <w:t> </w:t>
            </w:r>
            <w:r>
              <w:rPr/>
              <w:t>υπηρεσιών</w:t>
            </w:r>
            <w:r>
              <w:rPr>
                <w:spacing w:val="-6"/>
              </w:rPr>
              <w:t> </w:t>
            </w:r>
            <w:r>
              <w:rPr/>
              <w:t>πληροφοριών</w:t>
            </w:r>
            <w:r>
              <w:rPr>
                <w:spacing w:val="-6"/>
              </w:rPr>
              <w:t> </w:t>
            </w:r>
            <w:r>
              <w:rPr>
                <w:spacing w:val="-2"/>
              </w:rPr>
              <w:t>λογαριασμού</w:t>
            </w:r>
            <w:r>
              <w:rPr/>
              <w:tab/>
            </w:r>
            <w:r>
              <w:rPr>
                <w:spacing w:val="-5"/>
              </w:rPr>
              <w:t>83</w:t>
            </w:r>
          </w:hyperlink>
        </w:p>
        <w:p>
          <w:pPr>
            <w:pStyle w:val="TOC1"/>
            <w:numPr>
              <w:ilvl w:val="0"/>
              <w:numId w:val="1"/>
            </w:numPr>
            <w:tabs>
              <w:tab w:pos="610" w:val="left" w:leader="none"/>
              <w:tab w:pos="8429" w:val="left" w:leader="dot"/>
            </w:tabs>
            <w:spacing w:line="240" w:lineRule="auto" w:before="119" w:after="0"/>
            <w:ind w:left="610" w:right="0" w:hanging="438"/>
            <w:jc w:val="left"/>
          </w:pPr>
          <w:hyperlink w:history="true" w:anchor="_bookmark137">
            <w:r>
              <w:rPr>
                <w:color w:val="1F487C"/>
              </w:rPr>
              <w:t>ΥΠΟΔΟΜΕΣ</w:t>
            </w:r>
            <w:r>
              <w:rPr>
                <w:color w:val="1F487C"/>
                <w:spacing w:val="-5"/>
              </w:rPr>
              <w:t> </w:t>
            </w:r>
            <w:r>
              <w:rPr>
                <w:color w:val="1F487C"/>
              </w:rPr>
              <w:t>ΤΩΝ</w:t>
            </w:r>
            <w:r>
              <w:rPr>
                <w:color w:val="1F487C"/>
                <w:spacing w:val="-5"/>
              </w:rPr>
              <w:t> </w:t>
            </w:r>
            <w:r>
              <w:rPr>
                <w:color w:val="1F487C"/>
              </w:rPr>
              <w:t>ΧΡΗΜΑΤΟΠΙΣΤΩΤΙΚΩΝ</w:t>
            </w:r>
            <w:r>
              <w:rPr>
                <w:color w:val="1F487C"/>
                <w:spacing w:val="-4"/>
              </w:rPr>
              <w:t> </w:t>
            </w:r>
            <w:r>
              <w:rPr>
                <w:color w:val="1F487C"/>
                <w:spacing w:val="-2"/>
              </w:rPr>
              <w:t>ΑΓΟΡΩΝ</w:t>
            </w:r>
            <w:r>
              <w:rPr>
                <w:b w:val="0"/>
                <w:color w:val="1F487C"/>
              </w:rPr>
              <w:tab/>
            </w:r>
            <w:r>
              <w:rPr>
                <w:color w:val="1F487C"/>
                <w:spacing w:val="-5"/>
              </w:rPr>
              <w:t>86</w:t>
            </w:r>
          </w:hyperlink>
        </w:p>
        <w:p>
          <w:pPr>
            <w:pStyle w:val="TOC2"/>
            <w:numPr>
              <w:ilvl w:val="1"/>
              <w:numId w:val="1"/>
            </w:numPr>
            <w:tabs>
              <w:tab w:pos="611" w:val="left" w:leader="none"/>
              <w:tab w:pos="8448" w:val="left" w:leader="dot"/>
            </w:tabs>
            <w:spacing w:line="240" w:lineRule="auto" w:before="163" w:after="0"/>
            <w:ind w:left="611" w:right="0" w:hanging="439"/>
            <w:jc w:val="left"/>
          </w:pPr>
          <w:hyperlink w:history="true" w:anchor="_bookmark138">
            <w:r>
              <w:rPr>
                <w:color w:val="1F487C"/>
              </w:rPr>
              <w:t>Συστήματα</w:t>
            </w:r>
            <w:r>
              <w:rPr>
                <w:color w:val="1F487C"/>
                <w:spacing w:val="-6"/>
              </w:rPr>
              <w:t> </w:t>
            </w:r>
            <w:r>
              <w:rPr>
                <w:color w:val="1F487C"/>
                <w:spacing w:val="-2"/>
              </w:rPr>
              <w:t>πληρωμών</w:t>
            </w:r>
            <w:r>
              <w:rPr>
                <w:b w:val="0"/>
                <w:color w:val="1F487C"/>
              </w:rPr>
              <w:tab/>
            </w:r>
            <w:r>
              <w:rPr>
                <w:color w:val="1F487C"/>
                <w:spacing w:val="-5"/>
              </w:rPr>
              <w:t>86</w:t>
            </w:r>
          </w:hyperlink>
        </w:p>
        <w:p>
          <w:pPr>
            <w:pStyle w:val="TOC4"/>
            <w:numPr>
              <w:ilvl w:val="2"/>
              <w:numId w:val="1"/>
            </w:numPr>
            <w:tabs>
              <w:tab w:pos="1052" w:val="left" w:leader="none"/>
              <w:tab w:pos="8470" w:val="left" w:leader="dot"/>
            </w:tabs>
            <w:spacing w:line="240" w:lineRule="auto" w:before="65" w:after="0"/>
            <w:ind w:left="1052" w:right="0" w:hanging="659"/>
            <w:jc w:val="left"/>
          </w:pPr>
          <w:hyperlink w:history="true" w:anchor="_bookmark139">
            <w:r>
              <w:rPr>
                <w:spacing w:val="-2"/>
              </w:rPr>
              <w:t>TARGET2-</w:t>
            </w:r>
            <w:r>
              <w:rPr>
                <w:spacing w:val="-5"/>
              </w:rPr>
              <w:t>GR</w:t>
            </w:r>
            <w:r>
              <w:rPr/>
              <w:tab/>
            </w:r>
            <w:r>
              <w:rPr>
                <w:spacing w:val="-5"/>
              </w:rPr>
              <w:t>86</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140">
            <w:r>
              <w:rPr/>
              <w:t>Διατραπεζικά</w:t>
            </w:r>
            <w:r>
              <w:rPr>
                <w:spacing w:val="-8"/>
              </w:rPr>
              <w:t> </w:t>
            </w:r>
            <w:r>
              <w:rPr/>
              <w:t>συστήματα</w:t>
            </w:r>
            <w:r>
              <w:rPr>
                <w:spacing w:val="-8"/>
              </w:rPr>
              <w:t> </w:t>
            </w:r>
            <w:r>
              <w:rPr/>
              <w:t>Α.Ε.</w:t>
            </w:r>
            <w:r>
              <w:rPr>
                <w:spacing w:val="-9"/>
              </w:rPr>
              <w:t> </w:t>
            </w:r>
            <w:r>
              <w:rPr>
                <w:spacing w:val="-2"/>
              </w:rPr>
              <w:t>(ΔΙΑΣ)</w:t>
            </w:r>
            <w:r>
              <w:rPr/>
              <w:tab/>
            </w:r>
            <w:r>
              <w:rPr>
                <w:spacing w:val="-5"/>
              </w:rPr>
              <w:t>86</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142">
            <w:r>
              <w:rPr/>
              <w:t>Γραφείο</w:t>
            </w:r>
            <w:r>
              <w:rPr>
                <w:spacing w:val="-8"/>
              </w:rPr>
              <w:t> </w:t>
            </w:r>
            <w:r>
              <w:rPr/>
              <w:t>συμψηφισμού</w:t>
            </w:r>
            <w:r>
              <w:rPr>
                <w:spacing w:val="-9"/>
              </w:rPr>
              <w:t> </w:t>
            </w:r>
            <w:r>
              <w:rPr/>
              <w:t>Αθηνών</w:t>
            </w:r>
            <w:r>
              <w:rPr>
                <w:spacing w:val="-8"/>
              </w:rPr>
              <w:t> </w:t>
            </w:r>
            <w:r>
              <w:rPr>
                <w:spacing w:val="-4"/>
              </w:rPr>
              <w:t>(ΓΣΑ)</w:t>
            </w:r>
            <w:r>
              <w:rPr/>
              <w:tab/>
            </w:r>
            <w:r>
              <w:rPr>
                <w:spacing w:val="-5"/>
              </w:rPr>
              <w:t>88</w:t>
            </w:r>
          </w:hyperlink>
        </w:p>
        <w:p>
          <w:pPr>
            <w:pStyle w:val="TOC2"/>
            <w:numPr>
              <w:ilvl w:val="1"/>
              <w:numId w:val="1"/>
            </w:numPr>
            <w:tabs>
              <w:tab w:pos="611" w:val="left" w:leader="none"/>
              <w:tab w:pos="8448" w:val="left" w:leader="dot"/>
            </w:tabs>
            <w:spacing w:line="240" w:lineRule="auto" w:before="172" w:after="0"/>
            <w:ind w:left="611" w:right="0" w:hanging="439"/>
            <w:jc w:val="left"/>
          </w:pPr>
          <w:hyperlink w:history="true" w:anchor="_bookmark143">
            <w:r>
              <w:rPr>
                <w:color w:val="1F487C"/>
              </w:rPr>
              <w:t>Κάρτες</w:t>
            </w:r>
            <w:r>
              <w:rPr>
                <w:color w:val="1F487C"/>
                <w:spacing w:val="-4"/>
              </w:rPr>
              <w:t> </w:t>
            </w:r>
            <w:r>
              <w:rPr>
                <w:color w:val="1F487C"/>
                <w:spacing w:val="-2"/>
              </w:rPr>
              <w:t>Πληρωμών</w:t>
            </w:r>
            <w:r>
              <w:rPr>
                <w:b w:val="0"/>
                <w:color w:val="1F487C"/>
              </w:rPr>
              <w:tab/>
            </w:r>
            <w:r>
              <w:rPr>
                <w:color w:val="1F487C"/>
                <w:spacing w:val="-5"/>
              </w:rPr>
              <w:t>89</w:t>
            </w:r>
          </w:hyperlink>
        </w:p>
        <w:p>
          <w:pPr>
            <w:pStyle w:val="TOC4"/>
            <w:numPr>
              <w:ilvl w:val="2"/>
              <w:numId w:val="1"/>
            </w:numPr>
            <w:tabs>
              <w:tab w:pos="1052" w:val="left" w:leader="none"/>
              <w:tab w:pos="8470" w:val="left" w:leader="dot"/>
            </w:tabs>
            <w:spacing w:line="240" w:lineRule="auto" w:before="65" w:after="0"/>
            <w:ind w:left="1052" w:right="0" w:hanging="659"/>
            <w:jc w:val="left"/>
          </w:pPr>
          <w:hyperlink w:history="true" w:anchor="_bookmark144">
            <w:r>
              <w:rPr/>
              <w:t>Αριθμός</w:t>
            </w:r>
            <w:r>
              <w:rPr>
                <w:spacing w:val="-8"/>
              </w:rPr>
              <w:t> </w:t>
            </w:r>
            <w:r>
              <w:rPr/>
              <w:t>καρτών</w:t>
            </w:r>
            <w:r>
              <w:rPr>
                <w:spacing w:val="-6"/>
              </w:rPr>
              <w:t> </w:t>
            </w:r>
            <w:r>
              <w:rPr>
                <w:spacing w:val="-2"/>
              </w:rPr>
              <w:t>πληρωμών</w:t>
            </w:r>
            <w:r>
              <w:rPr/>
              <w:tab/>
            </w:r>
            <w:r>
              <w:rPr>
                <w:spacing w:val="-5"/>
              </w:rPr>
              <w:t>89</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145">
            <w:r>
              <w:rPr/>
              <w:t>Συναλλαγές</w:t>
            </w:r>
            <w:r>
              <w:rPr>
                <w:spacing w:val="-7"/>
              </w:rPr>
              <w:t> </w:t>
            </w:r>
            <w:r>
              <w:rPr/>
              <w:t>με</w:t>
            </w:r>
            <w:r>
              <w:rPr>
                <w:spacing w:val="-7"/>
              </w:rPr>
              <w:t> </w:t>
            </w:r>
            <w:r>
              <w:rPr/>
              <w:t>κάρτες</w:t>
            </w:r>
            <w:r>
              <w:rPr>
                <w:spacing w:val="-7"/>
              </w:rPr>
              <w:t> </w:t>
            </w:r>
            <w:r>
              <w:rPr>
                <w:spacing w:val="-2"/>
              </w:rPr>
              <w:t>πληρωμών</w:t>
            </w:r>
            <w:r>
              <w:rPr/>
              <w:tab/>
            </w:r>
            <w:r>
              <w:rPr>
                <w:spacing w:val="-5"/>
              </w:rPr>
              <w:t>89</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148">
            <w:r>
              <w:rPr/>
              <w:t>Περιστατικά</w:t>
            </w:r>
            <w:r>
              <w:rPr>
                <w:spacing w:val="-6"/>
              </w:rPr>
              <w:t> </w:t>
            </w:r>
            <w:r>
              <w:rPr/>
              <w:t>απάτης</w:t>
            </w:r>
            <w:r>
              <w:rPr>
                <w:spacing w:val="-6"/>
              </w:rPr>
              <w:t> </w:t>
            </w:r>
            <w:r>
              <w:rPr/>
              <w:t>στις</w:t>
            </w:r>
            <w:r>
              <w:rPr>
                <w:spacing w:val="-6"/>
              </w:rPr>
              <w:t> </w:t>
            </w:r>
            <w:r>
              <w:rPr/>
              <w:t>συναλλαγές</w:t>
            </w:r>
            <w:r>
              <w:rPr>
                <w:spacing w:val="-6"/>
              </w:rPr>
              <w:t> </w:t>
            </w:r>
            <w:r>
              <w:rPr/>
              <w:t>με</w:t>
            </w:r>
            <w:r>
              <w:rPr>
                <w:spacing w:val="-6"/>
              </w:rPr>
              <w:t> </w:t>
            </w:r>
            <w:r>
              <w:rPr/>
              <w:t>κάρτες</w:t>
            </w:r>
            <w:r>
              <w:rPr>
                <w:spacing w:val="-7"/>
              </w:rPr>
              <w:t> </w:t>
            </w:r>
            <w:r>
              <w:rPr>
                <w:spacing w:val="-2"/>
              </w:rPr>
              <w:t>πληρωμών</w:t>
            </w:r>
            <w:r>
              <w:rPr/>
              <w:tab/>
            </w:r>
            <w:r>
              <w:rPr>
                <w:spacing w:val="-5"/>
              </w:rPr>
              <w:t>90</w:t>
            </w:r>
          </w:hyperlink>
        </w:p>
        <w:p>
          <w:pPr>
            <w:pStyle w:val="TOC2"/>
            <w:numPr>
              <w:ilvl w:val="1"/>
              <w:numId w:val="1"/>
            </w:numPr>
            <w:tabs>
              <w:tab w:pos="611" w:val="left" w:leader="none"/>
              <w:tab w:pos="8448" w:val="left" w:leader="dot"/>
            </w:tabs>
            <w:spacing w:line="240" w:lineRule="auto" w:before="172" w:after="0"/>
            <w:ind w:left="611" w:right="0" w:hanging="439"/>
            <w:jc w:val="left"/>
          </w:pPr>
          <w:hyperlink w:history="true" w:anchor="_bookmark152">
            <w:r>
              <w:rPr>
                <w:color w:val="1F487C"/>
              </w:rPr>
              <w:t>Κεντρ</w:t>
            </w:r>
            <w:r>
              <w:rPr>
                <w:smallCaps/>
                <w:color w:val="1F487C"/>
              </w:rPr>
              <w:t>ι</w:t>
            </w:r>
            <w:r>
              <w:rPr>
                <w:smallCaps w:val="0"/>
                <w:color w:val="1F487C"/>
              </w:rPr>
              <w:t>κοί</w:t>
            </w:r>
            <w:r>
              <w:rPr>
                <w:smallCaps w:val="0"/>
                <w:color w:val="1F487C"/>
                <w:spacing w:val="-7"/>
              </w:rPr>
              <w:t> </w:t>
            </w:r>
            <w:r>
              <w:rPr>
                <w:smallCaps w:val="0"/>
                <w:color w:val="1F487C"/>
                <w:spacing w:val="-2"/>
              </w:rPr>
              <w:t>Αντ</w:t>
            </w:r>
            <w:r>
              <w:rPr>
                <w:smallCaps/>
                <w:color w:val="1F487C"/>
                <w:spacing w:val="-2"/>
              </w:rPr>
              <w:t>ι</w:t>
            </w:r>
            <w:r>
              <w:rPr>
                <w:smallCaps w:val="0"/>
                <w:color w:val="1F487C"/>
                <w:spacing w:val="-2"/>
              </w:rPr>
              <w:t>συμβαλλόμενο</w:t>
            </w:r>
            <w:r>
              <w:rPr>
                <w:smallCaps/>
                <w:color w:val="1F487C"/>
                <w:spacing w:val="-2"/>
              </w:rPr>
              <w:t>ι</w:t>
            </w:r>
            <w:r>
              <w:rPr>
                <w:b w:val="0"/>
                <w:smallCaps w:val="0"/>
                <w:color w:val="1F487C"/>
              </w:rPr>
              <w:tab/>
            </w:r>
            <w:r>
              <w:rPr>
                <w:smallCaps w:val="0"/>
                <w:color w:val="1F487C"/>
                <w:spacing w:val="-5"/>
              </w:rPr>
              <w:t>93</w:t>
            </w:r>
          </w:hyperlink>
        </w:p>
        <w:p>
          <w:pPr>
            <w:pStyle w:val="TOC4"/>
            <w:numPr>
              <w:ilvl w:val="2"/>
              <w:numId w:val="1"/>
            </w:numPr>
            <w:tabs>
              <w:tab w:pos="1052" w:val="left" w:leader="none"/>
              <w:tab w:pos="8470" w:val="left" w:leader="dot"/>
            </w:tabs>
            <w:spacing w:line="240" w:lineRule="auto" w:before="66" w:after="0"/>
            <w:ind w:left="1052" w:right="0" w:hanging="659"/>
            <w:jc w:val="left"/>
          </w:pPr>
          <w:hyperlink w:history="true" w:anchor="_bookmark153">
            <w:r>
              <w:rPr/>
              <w:t>Εξελίξεις</w:t>
            </w:r>
            <w:r>
              <w:rPr>
                <w:spacing w:val="-9"/>
              </w:rPr>
              <w:t> </w:t>
            </w:r>
            <w:r>
              <w:rPr/>
              <w:t>στο</w:t>
            </w:r>
            <w:r>
              <w:rPr>
                <w:spacing w:val="-6"/>
              </w:rPr>
              <w:t> </w:t>
            </w:r>
            <w:r>
              <w:rPr/>
              <w:t>ρυθμιστικό</w:t>
            </w:r>
            <w:r>
              <w:rPr>
                <w:spacing w:val="-7"/>
              </w:rPr>
              <w:t> </w:t>
            </w:r>
            <w:r>
              <w:rPr>
                <w:spacing w:val="-2"/>
              </w:rPr>
              <w:t>πλαίσιο</w:t>
            </w:r>
            <w:r>
              <w:rPr/>
              <w:tab/>
            </w:r>
            <w:r>
              <w:rPr>
                <w:spacing w:val="-5"/>
              </w:rPr>
              <w:t>93</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155">
            <w:r>
              <w:rPr/>
              <w:t>Euronext</w:t>
            </w:r>
            <w:r>
              <w:rPr>
                <w:spacing w:val="-7"/>
              </w:rPr>
              <w:t> </w:t>
            </w:r>
            <w:r>
              <w:rPr/>
              <w:t>Clearing</w:t>
            </w:r>
            <w:r>
              <w:rPr>
                <w:spacing w:val="-5"/>
              </w:rPr>
              <w:t> </w:t>
            </w:r>
            <w:r>
              <w:rPr/>
              <w:t>Athens</w:t>
            </w:r>
            <w:r>
              <w:rPr>
                <w:spacing w:val="-6"/>
              </w:rPr>
              <w:t> </w:t>
            </w:r>
            <w:r>
              <w:rPr>
                <w:spacing w:val="-5"/>
              </w:rPr>
              <w:t>Α.Ε</w:t>
            </w:r>
            <w:r>
              <w:rPr/>
              <w:tab/>
            </w:r>
            <w:r>
              <w:rPr>
                <w:spacing w:val="-5"/>
              </w:rPr>
              <w:t>94</w:t>
            </w:r>
          </w:hyperlink>
        </w:p>
        <w:p>
          <w:pPr>
            <w:pStyle w:val="TOC2"/>
            <w:numPr>
              <w:ilvl w:val="1"/>
              <w:numId w:val="1"/>
            </w:numPr>
            <w:tabs>
              <w:tab w:pos="611" w:val="left" w:leader="none"/>
              <w:tab w:pos="8448" w:val="left" w:leader="dot"/>
            </w:tabs>
            <w:spacing w:line="240" w:lineRule="auto" w:before="171" w:after="0"/>
            <w:ind w:left="611" w:right="0" w:hanging="439"/>
            <w:jc w:val="left"/>
          </w:pPr>
          <w:hyperlink w:history="true" w:anchor="_bookmark157">
            <w:r>
              <w:rPr>
                <w:color w:val="1F487C"/>
              </w:rPr>
              <w:t>Κεντρ</w:t>
            </w:r>
            <w:r>
              <w:rPr>
                <w:smallCaps/>
                <w:color w:val="1F487C"/>
              </w:rPr>
              <w:t>ι</w:t>
            </w:r>
            <w:r>
              <w:rPr>
                <w:smallCaps w:val="0"/>
                <w:color w:val="1F487C"/>
              </w:rPr>
              <w:t>κά</w:t>
            </w:r>
            <w:r>
              <w:rPr>
                <w:smallCaps w:val="0"/>
                <w:color w:val="1F487C"/>
                <w:spacing w:val="-11"/>
              </w:rPr>
              <w:t> </w:t>
            </w:r>
            <w:r>
              <w:rPr>
                <w:smallCaps w:val="0"/>
                <w:color w:val="1F487C"/>
              </w:rPr>
              <w:t>Αποθετήρ</w:t>
            </w:r>
            <w:r>
              <w:rPr>
                <w:smallCaps/>
                <w:color w:val="1F487C"/>
              </w:rPr>
              <w:t>ι</w:t>
            </w:r>
            <w:r>
              <w:rPr>
                <w:smallCaps w:val="0"/>
                <w:color w:val="1F487C"/>
              </w:rPr>
              <w:t>α</w:t>
            </w:r>
            <w:r>
              <w:rPr>
                <w:smallCaps w:val="0"/>
                <w:color w:val="1F487C"/>
                <w:spacing w:val="-12"/>
              </w:rPr>
              <w:t> </w:t>
            </w:r>
            <w:r>
              <w:rPr>
                <w:smallCaps w:val="0"/>
                <w:color w:val="1F487C"/>
                <w:spacing w:val="-2"/>
              </w:rPr>
              <w:t>Τίτλων</w:t>
            </w:r>
            <w:r>
              <w:rPr>
                <w:b w:val="0"/>
                <w:smallCaps w:val="0"/>
                <w:color w:val="1F487C"/>
              </w:rPr>
              <w:tab/>
            </w:r>
            <w:r>
              <w:rPr>
                <w:smallCaps w:val="0"/>
                <w:color w:val="1F487C"/>
                <w:spacing w:val="-5"/>
              </w:rPr>
              <w:t>95</w:t>
            </w:r>
          </w:hyperlink>
        </w:p>
        <w:p>
          <w:pPr>
            <w:pStyle w:val="TOC4"/>
            <w:numPr>
              <w:ilvl w:val="2"/>
              <w:numId w:val="1"/>
            </w:numPr>
            <w:tabs>
              <w:tab w:pos="1052" w:val="left" w:leader="none"/>
              <w:tab w:pos="8470" w:val="left" w:leader="dot"/>
            </w:tabs>
            <w:spacing w:line="240" w:lineRule="auto" w:before="66" w:after="0"/>
            <w:ind w:left="1052" w:right="0" w:hanging="659"/>
            <w:jc w:val="left"/>
          </w:pPr>
          <w:hyperlink w:history="true" w:anchor="_bookmark158">
            <w:r>
              <w:rPr/>
              <w:t>Εξελίξεις</w:t>
            </w:r>
            <w:r>
              <w:rPr>
                <w:spacing w:val="-9"/>
              </w:rPr>
              <w:t> </w:t>
            </w:r>
            <w:r>
              <w:rPr/>
              <w:t>στο</w:t>
            </w:r>
            <w:r>
              <w:rPr>
                <w:spacing w:val="-6"/>
              </w:rPr>
              <w:t> </w:t>
            </w:r>
            <w:r>
              <w:rPr/>
              <w:t>ρυθμιστικό</w:t>
            </w:r>
            <w:r>
              <w:rPr>
                <w:spacing w:val="-7"/>
              </w:rPr>
              <w:t> </w:t>
            </w:r>
            <w:r>
              <w:rPr>
                <w:spacing w:val="-2"/>
              </w:rPr>
              <w:t>πλαίσιο</w:t>
            </w:r>
            <w:r>
              <w:rPr/>
              <w:tab/>
            </w:r>
            <w:r>
              <w:rPr>
                <w:spacing w:val="-5"/>
              </w:rPr>
              <w:t>95</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167">
            <w:r>
              <w:rPr/>
              <w:t>Σύστημα</w:t>
            </w:r>
            <w:r>
              <w:rPr>
                <w:spacing w:val="-7"/>
              </w:rPr>
              <w:t> </w:t>
            </w:r>
            <w:r>
              <w:rPr/>
              <w:t>Διακανονισμού</w:t>
            </w:r>
            <w:r>
              <w:rPr>
                <w:spacing w:val="-8"/>
              </w:rPr>
              <w:t> </w:t>
            </w:r>
            <w:r>
              <w:rPr/>
              <w:t>Τίτλων</w:t>
            </w:r>
            <w:r>
              <w:rPr>
                <w:spacing w:val="-6"/>
              </w:rPr>
              <w:t> </w:t>
            </w:r>
            <w:r>
              <w:rPr/>
              <w:t>της</w:t>
            </w:r>
            <w:r>
              <w:rPr>
                <w:spacing w:val="-7"/>
              </w:rPr>
              <w:t> </w:t>
            </w:r>
            <w:r>
              <w:rPr/>
              <w:t>Τράπεζας</w:t>
            </w:r>
            <w:r>
              <w:rPr>
                <w:spacing w:val="-8"/>
              </w:rPr>
              <w:t> </w:t>
            </w:r>
            <w:r>
              <w:rPr/>
              <w:t>της</w:t>
            </w:r>
            <w:r>
              <w:rPr>
                <w:spacing w:val="-7"/>
              </w:rPr>
              <w:t> </w:t>
            </w:r>
            <w:r>
              <w:rPr>
                <w:spacing w:val="-2"/>
              </w:rPr>
              <w:t>Ελλάδος</w:t>
            </w:r>
            <w:r>
              <w:rPr/>
              <w:tab/>
            </w:r>
            <w:r>
              <w:rPr>
                <w:spacing w:val="-5"/>
              </w:rPr>
              <w:t>97</w:t>
            </w:r>
          </w:hyperlink>
        </w:p>
        <w:p>
          <w:pPr>
            <w:pStyle w:val="TOC4"/>
            <w:numPr>
              <w:ilvl w:val="2"/>
              <w:numId w:val="1"/>
            </w:numPr>
            <w:tabs>
              <w:tab w:pos="1052" w:val="left" w:leader="none"/>
              <w:tab w:pos="8470" w:val="left" w:leader="dot"/>
            </w:tabs>
            <w:spacing w:line="240" w:lineRule="auto" w:before="70" w:after="0"/>
            <w:ind w:left="1052" w:right="0" w:hanging="659"/>
            <w:jc w:val="left"/>
          </w:pPr>
          <w:hyperlink w:history="true" w:anchor="_bookmark170">
            <w:r>
              <w:rPr/>
              <w:t>Σύστημα</w:t>
            </w:r>
            <w:r>
              <w:rPr>
                <w:spacing w:val="-6"/>
              </w:rPr>
              <w:t> </w:t>
            </w:r>
            <w:r>
              <w:rPr/>
              <w:t>Άυλων</w:t>
            </w:r>
            <w:r>
              <w:rPr>
                <w:spacing w:val="-6"/>
              </w:rPr>
              <w:t> </w:t>
            </w:r>
            <w:r>
              <w:rPr/>
              <w:t>Τίτλων</w:t>
            </w:r>
            <w:r>
              <w:rPr>
                <w:spacing w:val="-6"/>
              </w:rPr>
              <w:t> </w:t>
            </w:r>
            <w:r>
              <w:rPr/>
              <w:t>της</w:t>
            </w:r>
            <w:r>
              <w:rPr>
                <w:spacing w:val="-6"/>
              </w:rPr>
              <w:t> </w:t>
            </w:r>
            <w:r>
              <w:rPr/>
              <w:t>Εταιρίας</w:t>
            </w:r>
            <w:r>
              <w:rPr>
                <w:spacing w:val="-7"/>
              </w:rPr>
              <w:t> </w:t>
            </w:r>
            <w:r>
              <w:rPr/>
              <w:t>Euronext</w:t>
            </w:r>
            <w:r>
              <w:rPr>
                <w:spacing w:val="-7"/>
              </w:rPr>
              <w:t> </w:t>
            </w:r>
            <w:r>
              <w:rPr/>
              <w:t>Securities</w:t>
            </w:r>
            <w:r>
              <w:rPr>
                <w:spacing w:val="-8"/>
              </w:rPr>
              <w:t> </w:t>
            </w:r>
            <w:r>
              <w:rPr>
                <w:spacing w:val="-2"/>
              </w:rPr>
              <w:t>Athens</w:t>
            </w:r>
            <w:r>
              <w:rPr/>
              <w:tab/>
            </w:r>
            <w:r>
              <w:rPr>
                <w:spacing w:val="-5"/>
              </w:rPr>
              <w:t>98</w:t>
            </w:r>
          </w:hyperlink>
        </w:p>
        <w:p>
          <w:pPr>
            <w:pStyle w:val="TOC1"/>
            <w:tabs>
              <w:tab w:pos="8309" w:val="left" w:leader="dot"/>
            </w:tabs>
            <w:spacing w:before="193"/>
          </w:pPr>
          <w:hyperlink w:history="true" w:anchor="_bookmark172">
            <w:r>
              <w:rPr>
                <w:color w:val="1F487C"/>
              </w:rPr>
              <w:t>ΕΙΔΙΚΟ</w:t>
            </w:r>
            <w:r>
              <w:rPr>
                <w:color w:val="1F487C"/>
                <w:spacing w:val="-3"/>
              </w:rPr>
              <w:t> </w:t>
            </w:r>
            <w:r>
              <w:rPr>
                <w:color w:val="1F487C"/>
              </w:rPr>
              <w:t>ΘΕΜΑ</w:t>
            </w:r>
            <w:r>
              <w:rPr>
                <w:color w:val="1F487C"/>
                <w:spacing w:val="-1"/>
              </w:rPr>
              <w:t> </w:t>
            </w:r>
            <w:r>
              <w:rPr>
                <w:color w:val="1F487C"/>
                <w:spacing w:val="-10"/>
              </w:rPr>
              <w:t>I</w:t>
            </w:r>
            <w:r>
              <w:rPr>
                <w:color w:val="1F487C"/>
              </w:rPr>
              <w:tab/>
            </w:r>
            <w:r>
              <w:rPr>
                <w:color w:val="1F487C"/>
                <w:spacing w:val="-5"/>
              </w:rPr>
              <w:t>100</w:t>
            </w:r>
          </w:hyperlink>
        </w:p>
        <w:p>
          <w:pPr>
            <w:pStyle w:val="TOC1"/>
            <w:spacing w:line="261" w:lineRule="auto" w:before="185"/>
          </w:pPr>
          <w:hyperlink w:history="true" w:anchor="_bookmark173">
            <w:r>
              <w:rPr>
                <w:color w:val="1F487C"/>
              </w:rPr>
              <w:t>ΠΛΑΙΣΙΟ</w:t>
            </w:r>
            <w:r>
              <w:rPr>
                <w:color w:val="1F487C"/>
                <w:spacing w:val="-7"/>
              </w:rPr>
              <w:t> </w:t>
            </w:r>
            <w:r>
              <w:rPr>
                <w:color w:val="1F487C"/>
              </w:rPr>
              <w:t>ΠΑΡΑΚΟΛΟΥΘΗΣΗΣ</w:t>
            </w:r>
            <w:r>
              <w:rPr>
                <w:color w:val="1F487C"/>
                <w:spacing w:val="-7"/>
              </w:rPr>
              <w:t> </w:t>
            </w:r>
            <w:r>
              <w:rPr>
                <w:color w:val="1F487C"/>
              </w:rPr>
              <w:t>ΚΑΙ</w:t>
            </w:r>
            <w:r>
              <w:rPr>
                <w:color w:val="1F487C"/>
                <w:spacing w:val="-8"/>
              </w:rPr>
              <w:t> </w:t>
            </w:r>
            <w:r>
              <w:rPr>
                <w:color w:val="1F487C"/>
              </w:rPr>
              <w:t>ΑΞΙΟΛΟΓΗΣΗΣ</w:t>
            </w:r>
            <w:r>
              <w:rPr>
                <w:color w:val="1F487C"/>
                <w:spacing w:val="-8"/>
              </w:rPr>
              <w:t> </w:t>
            </w:r>
            <w:r>
              <w:rPr>
                <w:color w:val="1F487C"/>
              </w:rPr>
              <w:t>ΤΩΝ</w:t>
            </w:r>
            <w:r>
              <w:rPr>
                <w:color w:val="1F487C"/>
                <w:spacing w:val="-8"/>
              </w:rPr>
              <w:t> </w:t>
            </w:r>
            <w:r>
              <w:rPr>
                <w:color w:val="1F487C"/>
              </w:rPr>
              <w:t>ΣΥΣΤΗΜΙΚΩΝ</w:t>
            </w:r>
          </w:hyperlink>
          <w:r>
            <w:rPr>
              <w:color w:val="1F487C"/>
            </w:rPr>
            <w:t> </w:t>
          </w:r>
          <w:hyperlink w:history="true" w:anchor="_bookmark173">
            <w:r>
              <w:rPr>
                <w:color w:val="1F487C"/>
              </w:rPr>
              <w:t>ΚΙΝΔΥΝΩΝ ΤΟΥ ΕΛΛΗΝΙΚΟΥ ΧΡΗΜΑΤΟΠΙΣΤΩΤΙΚΟΥ ΣΥΣΤΗΜΑΤΟΣ</w:t>
            </w:r>
          </w:hyperlink>
        </w:p>
        <w:p>
          <w:pPr>
            <w:pStyle w:val="TOC5"/>
          </w:pPr>
          <w:hyperlink w:history="true" w:anchor="_bookmark173">
            <w:r>
              <w:rPr>
                <w:color w:val="1F487C"/>
                <w:spacing w:val="-2"/>
              </w:rPr>
              <w:t>……………………………………………………………………………………100</w:t>
            </w:r>
          </w:hyperlink>
        </w:p>
        <w:p>
          <w:pPr>
            <w:pStyle w:val="TOC1"/>
            <w:tabs>
              <w:tab w:pos="8309" w:val="left" w:leader="dot"/>
            </w:tabs>
          </w:pPr>
          <w:hyperlink w:history="true" w:anchor="_bookmark184">
            <w:r>
              <w:rPr>
                <w:color w:val="1F487C"/>
              </w:rPr>
              <w:t>ΕΙΔΙΚΟ</w:t>
            </w:r>
            <w:r>
              <w:rPr>
                <w:color w:val="1F487C"/>
                <w:spacing w:val="-3"/>
              </w:rPr>
              <w:t> </w:t>
            </w:r>
            <w:r>
              <w:rPr>
                <w:color w:val="1F487C"/>
              </w:rPr>
              <w:t>ΘΕΜΑ</w:t>
            </w:r>
            <w:r>
              <w:rPr>
                <w:color w:val="1F487C"/>
                <w:spacing w:val="-2"/>
              </w:rPr>
              <w:t> </w:t>
            </w:r>
            <w:r>
              <w:rPr>
                <w:color w:val="1F487C"/>
                <w:spacing w:val="-5"/>
              </w:rPr>
              <w:t>ΙI</w:t>
            </w:r>
            <w:r>
              <w:rPr>
                <w:color w:val="1F487C"/>
              </w:rPr>
              <w:tab/>
            </w:r>
            <w:r>
              <w:rPr>
                <w:color w:val="1F487C"/>
                <w:spacing w:val="-5"/>
              </w:rPr>
              <w:t>107</w:t>
            </w:r>
          </w:hyperlink>
        </w:p>
        <w:p>
          <w:pPr>
            <w:pStyle w:val="TOC1"/>
            <w:spacing w:before="184"/>
          </w:pPr>
          <w:hyperlink w:history="true" w:anchor="_bookmark185">
            <w:r>
              <w:rPr>
                <w:color w:val="1F487C"/>
              </w:rPr>
              <w:t>ΕΞΕΛΙΞΕΙΣ</w:t>
            </w:r>
            <w:r>
              <w:rPr>
                <w:color w:val="1F487C"/>
                <w:spacing w:val="-3"/>
              </w:rPr>
              <w:t> </w:t>
            </w:r>
            <w:r>
              <w:rPr>
                <w:color w:val="1F487C"/>
              </w:rPr>
              <w:t>ΣΤΗ</w:t>
            </w:r>
            <w:r>
              <w:rPr>
                <w:color w:val="1F487C"/>
                <w:spacing w:val="-2"/>
              </w:rPr>
              <w:t> </w:t>
            </w:r>
            <w:r>
              <w:rPr>
                <w:color w:val="1F487C"/>
              </w:rPr>
              <w:t>ΧΡΗΣΗ</w:t>
            </w:r>
            <w:r>
              <w:rPr>
                <w:color w:val="1F487C"/>
                <w:spacing w:val="-3"/>
              </w:rPr>
              <w:t> </w:t>
            </w:r>
            <w:r>
              <w:rPr>
                <w:color w:val="1F487C"/>
              </w:rPr>
              <w:t>ΤΗΣ</w:t>
            </w:r>
            <w:r>
              <w:rPr>
                <w:color w:val="1F487C"/>
                <w:spacing w:val="-2"/>
              </w:rPr>
              <w:t> </w:t>
            </w:r>
            <w:r>
              <w:rPr>
                <w:color w:val="1F487C"/>
              </w:rPr>
              <w:t>ΤΕΧΝΟΛΟΓΙΑΣ</w:t>
            </w:r>
            <w:r>
              <w:rPr>
                <w:color w:val="1F487C"/>
                <w:spacing w:val="-3"/>
              </w:rPr>
              <w:t> </w:t>
            </w:r>
            <w:r>
              <w:rPr>
                <w:color w:val="1F487C"/>
              </w:rPr>
              <w:t>DLT</w:t>
            </w:r>
            <w:r>
              <w:rPr>
                <w:color w:val="1F487C"/>
                <w:spacing w:val="-2"/>
              </w:rPr>
              <w:t> </w:t>
            </w:r>
            <w:r>
              <w:rPr>
                <w:color w:val="1F487C"/>
                <w:spacing w:val="-4"/>
              </w:rPr>
              <w:t>ΣΤΙΣ</w:t>
            </w:r>
          </w:hyperlink>
        </w:p>
        <w:p>
          <w:pPr>
            <w:pStyle w:val="TOC1"/>
            <w:tabs>
              <w:tab w:pos="8309" w:val="left" w:leader="dot"/>
            </w:tabs>
            <w:spacing w:before="25"/>
          </w:pPr>
          <w:hyperlink w:history="true" w:anchor="_bookmark185">
            <w:r>
              <w:rPr>
                <w:color w:val="1F487C"/>
              </w:rPr>
              <w:t>ΧΡΗΜΑΤΟΠΙΣΤΩΤΙΚΕΣ</w:t>
            </w:r>
            <w:r>
              <w:rPr>
                <w:color w:val="1F487C"/>
                <w:spacing w:val="-8"/>
              </w:rPr>
              <w:t> </w:t>
            </w:r>
            <w:r>
              <w:rPr>
                <w:color w:val="1F487C"/>
                <w:spacing w:val="-2"/>
              </w:rPr>
              <w:t>ΑΓΟΡΕΣ</w:t>
            </w:r>
            <w:r>
              <w:rPr>
                <w:b w:val="0"/>
                <w:color w:val="1F487C"/>
              </w:rPr>
              <w:tab/>
            </w:r>
            <w:r>
              <w:rPr>
                <w:color w:val="1F487C"/>
                <w:spacing w:val="-5"/>
              </w:rPr>
              <w:t>107</w:t>
            </w:r>
          </w:hyperlink>
        </w:p>
        <w:p>
          <w:pPr>
            <w:pStyle w:val="TOC1"/>
            <w:tabs>
              <w:tab w:pos="8309" w:val="left" w:leader="dot"/>
            </w:tabs>
            <w:spacing w:before="184"/>
          </w:pPr>
          <w:hyperlink w:history="true" w:anchor="_bookmark196">
            <w:r>
              <w:rPr>
                <w:color w:val="1F487C"/>
              </w:rPr>
              <w:t>ΕΙΔΙΚΟ</w:t>
            </w:r>
            <w:r>
              <w:rPr>
                <w:color w:val="1F487C"/>
                <w:spacing w:val="-3"/>
              </w:rPr>
              <w:t> </w:t>
            </w:r>
            <w:r>
              <w:rPr>
                <w:color w:val="1F487C"/>
              </w:rPr>
              <w:t>ΘΕΜΑ</w:t>
            </w:r>
            <w:r>
              <w:rPr>
                <w:color w:val="1F487C"/>
                <w:spacing w:val="-2"/>
              </w:rPr>
              <w:t> </w:t>
            </w:r>
            <w:r>
              <w:rPr>
                <w:color w:val="1F487C"/>
                <w:spacing w:val="-5"/>
              </w:rPr>
              <w:t>ΙII</w:t>
            </w:r>
            <w:r>
              <w:rPr>
                <w:color w:val="1F487C"/>
              </w:rPr>
              <w:tab/>
            </w:r>
            <w:r>
              <w:rPr>
                <w:color w:val="1F487C"/>
                <w:spacing w:val="-5"/>
              </w:rPr>
              <w:t>110</w:t>
            </w:r>
          </w:hyperlink>
        </w:p>
        <w:p>
          <w:pPr>
            <w:pStyle w:val="TOC1"/>
            <w:tabs>
              <w:tab w:pos="8309" w:val="left" w:leader="dot"/>
            </w:tabs>
            <w:spacing w:line="261" w:lineRule="auto"/>
            <w:ind w:right="967"/>
          </w:pPr>
          <w:hyperlink w:history="true" w:anchor="_bookmark197">
            <w:r>
              <w:rPr>
                <w:color w:val="1F487C"/>
              </w:rPr>
              <w:t>ΔΙΑΧΕΙΡΙΣΗ</w:t>
            </w:r>
            <w:r>
              <w:rPr>
                <w:color w:val="1F487C"/>
                <w:spacing w:val="-5"/>
              </w:rPr>
              <w:t> </w:t>
            </w:r>
            <w:r>
              <w:rPr>
                <w:color w:val="1F487C"/>
              </w:rPr>
              <w:t>ΚΙΝΔΥΝΟΥ</w:t>
            </w:r>
            <w:r>
              <w:rPr>
                <w:color w:val="1F487C"/>
                <w:spacing w:val="-6"/>
              </w:rPr>
              <w:t> </w:t>
            </w:r>
            <w:r>
              <w:rPr>
                <w:color w:val="1F487C"/>
              </w:rPr>
              <w:t>ΤΡΙΤΩΝ</w:t>
            </w:r>
            <w:r>
              <w:rPr>
                <w:color w:val="1F487C"/>
                <w:spacing w:val="-6"/>
              </w:rPr>
              <w:t> </w:t>
            </w:r>
            <w:r>
              <w:rPr>
                <w:color w:val="1F487C"/>
              </w:rPr>
              <w:t>ΠΑΡΟΧΩΝ</w:t>
            </w:r>
            <w:r>
              <w:rPr>
                <w:color w:val="1F487C"/>
                <w:spacing w:val="-6"/>
              </w:rPr>
              <w:t> </w:t>
            </w:r>
            <w:r>
              <w:rPr>
                <w:color w:val="1F487C"/>
              </w:rPr>
              <w:t>ΥΠΗΡΕΣΙΩΝ</w:t>
            </w:r>
            <w:r>
              <w:rPr>
                <w:color w:val="1F487C"/>
                <w:spacing w:val="-6"/>
              </w:rPr>
              <w:t> </w:t>
            </w:r>
            <w:r>
              <w:rPr>
                <w:color w:val="1F487C"/>
              </w:rPr>
              <w:t>ΤΕΧΝΟΛΟΓΙΩΝ</w:t>
            </w:r>
          </w:hyperlink>
          <w:r>
            <w:rPr>
              <w:color w:val="1F487C"/>
            </w:rPr>
            <w:t> </w:t>
          </w:r>
          <w:hyperlink w:history="true" w:anchor="_bookmark197">
            <w:r>
              <w:rPr>
                <w:color w:val="1F487C"/>
              </w:rPr>
              <w:t>ΠΛΗΡΟΦΟΡΙΩΝ</w:t>
            </w:r>
            <w:r>
              <w:rPr>
                <w:color w:val="1F487C"/>
                <w:spacing w:val="-7"/>
              </w:rPr>
              <w:t> </w:t>
            </w:r>
            <w:r>
              <w:rPr>
                <w:color w:val="1F487C"/>
              </w:rPr>
              <w:t>ΚΑΙ</w:t>
            </w:r>
            <w:r>
              <w:rPr>
                <w:color w:val="1F487C"/>
                <w:spacing w:val="-5"/>
              </w:rPr>
              <w:t> </w:t>
            </w:r>
            <w:r>
              <w:rPr>
                <w:color w:val="1F487C"/>
                <w:spacing w:val="-2"/>
              </w:rPr>
              <w:t>ΕΠΙΚΟΙΝΩΝΙΩΝ</w:t>
            </w:r>
            <w:r>
              <w:rPr>
                <w:b w:val="0"/>
                <w:color w:val="1F487C"/>
              </w:rPr>
              <w:tab/>
            </w:r>
            <w:r>
              <w:rPr>
                <w:color w:val="1F487C"/>
                <w:spacing w:val="-5"/>
              </w:rPr>
              <w:t>110</w:t>
            </w:r>
          </w:hyperlink>
        </w:p>
      </w:sdtContent>
    </w:sdt>
    <w:p>
      <w:pPr>
        <w:pStyle w:val="TOC1"/>
        <w:spacing w:after="0" w:line="261" w:lineRule="auto"/>
        <w:sectPr>
          <w:type w:val="continuous"/>
          <w:pgSz w:w="11910" w:h="16850"/>
          <w:pgMar w:header="0" w:footer="1317" w:top="1821" w:bottom="1836" w:left="1417" w:right="850"/>
        </w:sectPr>
      </w:pPr>
    </w:p>
    <w:p>
      <w:pPr>
        <w:pStyle w:val="Heading1"/>
        <w:numPr>
          <w:ilvl w:val="0"/>
          <w:numId w:val="2"/>
        </w:numPr>
        <w:tabs>
          <w:tab w:pos="528" w:val="left" w:leader="none"/>
        </w:tabs>
        <w:spacing w:line="240" w:lineRule="auto" w:before="71" w:after="0"/>
        <w:ind w:left="528" w:right="0" w:hanging="356"/>
        <w:jc w:val="left"/>
      </w:pPr>
      <w:bookmarkStart w:name="_bookmark0" w:id="1"/>
      <w:bookmarkEnd w:id="1"/>
      <w:r>
        <w:rPr>
          <w:b w:val="0"/>
        </w:rPr>
      </w:r>
      <w:r>
        <w:rPr>
          <w:color w:val="1F487C"/>
          <w:spacing w:val="21"/>
        </w:rPr>
        <w:t>ΣΥΝΟΨΗ</w:t>
      </w:r>
    </w:p>
    <w:p>
      <w:pPr>
        <w:pStyle w:val="BodyText"/>
        <w:spacing w:before="132"/>
        <w:rPr>
          <w:b/>
          <w:sz w:val="28"/>
        </w:rPr>
      </w:pPr>
    </w:p>
    <w:p>
      <w:pPr>
        <w:pStyle w:val="BodyText"/>
        <w:spacing w:line="285" w:lineRule="auto" w:before="1"/>
        <w:ind w:left="172" w:right="956"/>
        <w:jc w:val="both"/>
      </w:pPr>
      <w:r>
        <w:rPr>
          <w:b/>
          <w:color w:val="1F487C"/>
        </w:rPr>
        <w:t>Ο</w:t>
      </w:r>
      <w:r>
        <w:rPr>
          <w:b/>
          <w:smallCaps/>
          <w:color w:val="1F487C"/>
        </w:rPr>
        <w:t>ι</w:t>
      </w:r>
      <w:r>
        <w:rPr>
          <w:b/>
          <w:smallCaps w:val="0"/>
          <w:color w:val="1F487C"/>
        </w:rPr>
        <w:t> κίνδυνο</w:t>
      </w:r>
      <w:r>
        <w:rPr>
          <w:b/>
          <w:smallCaps/>
          <w:color w:val="1F487C"/>
        </w:rPr>
        <w:t>ι</w:t>
      </w:r>
      <w:r>
        <w:rPr>
          <w:b/>
          <w:smallCaps w:val="0"/>
          <w:color w:val="1F487C"/>
        </w:rPr>
        <w:t> γ</w:t>
      </w:r>
      <w:r>
        <w:rPr>
          <w:b/>
          <w:smallCaps/>
          <w:color w:val="1F487C"/>
        </w:rPr>
        <w:t>ι</w:t>
      </w:r>
      <w:r>
        <w:rPr>
          <w:b/>
          <w:smallCaps w:val="0"/>
          <w:color w:val="1F487C"/>
        </w:rPr>
        <w:t>α την παγκόσμ</w:t>
      </w:r>
      <w:r>
        <w:rPr>
          <w:b/>
          <w:smallCaps/>
          <w:color w:val="1F487C"/>
        </w:rPr>
        <w:t>ι</w:t>
      </w:r>
      <w:r>
        <w:rPr>
          <w:b/>
          <w:smallCaps w:val="0"/>
          <w:color w:val="1F487C"/>
        </w:rPr>
        <w:t>α κα</w:t>
      </w:r>
      <w:r>
        <w:rPr>
          <w:b/>
          <w:smallCaps/>
          <w:color w:val="1F487C"/>
        </w:rPr>
        <w:t>ι</w:t>
      </w:r>
      <w:r>
        <w:rPr>
          <w:b/>
          <w:smallCaps w:val="0"/>
          <w:color w:val="1F487C"/>
        </w:rPr>
        <w:t> την ευρωπαϊκή ο</w:t>
      </w:r>
      <w:r>
        <w:rPr>
          <w:b/>
          <w:smallCaps/>
          <w:color w:val="1F487C"/>
        </w:rPr>
        <w:t>ι</w:t>
      </w:r>
      <w:r>
        <w:rPr>
          <w:b/>
          <w:smallCaps w:val="0"/>
          <w:color w:val="1F487C"/>
        </w:rPr>
        <w:t>κονομία έχουν ενταθεί. </w:t>
      </w:r>
      <w:r>
        <w:rPr>
          <w:smallCaps w:val="0"/>
        </w:rPr>
        <w:t>Η άνοδος του προστατευτισμού στο διεθνές εμπόριο, η όξυνση των γεωπολιτικών εντάσεων, ιδίως στη Μέση Ανατολή,</w:t>
      </w:r>
      <w:r>
        <w:rPr>
          <w:smallCaps w:val="0"/>
          <w:spacing w:val="-3"/>
        </w:rPr>
        <w:t> </w:t>
      </w:r>
      <w:r>
        <w:rPr>
          <w:smallCaps w:val="0"/>
        </w:rPr>
        <w:t>και</w:t>
      </w:r>
      <w:r>
        <w:rPr>
          <w:smallCaps w:val="0"/>
          <w:spacing w:val="-3"/>
        </w:rPr>
        <w:t> </w:t>
      </w:r>
      <w:r>
        <w:rPr>
          <w:smallCaps w:val="0"/>
        </w:rPr>
        <w:t>οι</w:t>
      </w:r>
      <w:r>
        <w:rPr>
          <w:smallCaps w:val="0"/>
          <w:spacing w:val="-3"/>
        </w:rPr>
        <w:t> </w:t>
      </w:r>
      <w:r>
        <w:rPr>
          <w:smallCaps w:val="0"/>
        </w:rPr>
        <w:t>συνεχιζόμενες διαταραχές</w:t>
      </w:r>
      <w:r>
        <w:rPr>
          <w:smallCaps w:val="0"/>
          <w:spacing w:val="-2"/>
        </w:rPr>
        <w:t> </w:t>
      </w:r>
      <w:r>
        <w:rPr>
          <w:smallCaps w:val="0"/>
        </w:rPr>
        <w:t>των αλυσίδων</w:t>
      </w:r>
      <w:r>
        <w:rPr>
          <w:smallCaps w:val="0"/>
          <w:spacing w:val="-2"/>
        </w:rPr>
        <w:t> </w:t>
      </w:r>
      <w:r>
        <w:rPr>
          <w:smallCaps w:val="0"/>
        </w:rPr>
        <w:t>εφοδιασμού</w:t>
      </w:r>
      <w:r>
        <w:rPr>
          <w:smallCaps w:val="0"/>
          <w:spacing w:val="-2"/>
        </w:rPr>
        <w:t> </w:t>
      </w:r>
      <w:r>
        <w:rPr>
          <w:smallCaps w:val="0"/>
        </w:rPr>
        <w:t>επιβαρύνουν</w:t>
      </w:r>
      <w:r>
        <w:rPr>
          <w:smallCaps w:val="0"/>
          <w:spacing w:val="-2"/>
        </w:rPr>
        <w:t> </w:t>
      </w:r>
      <w:r>
        <w:rPr>
          <w:smallCaps w:val="0"/>
        </w:rPr>
        <w:t>τις</w:t>
      </w:r>
      <w:r>
        <w:rPr>
          <w:smallCaps w:val="0"/>
          <w:spacing w:val="-2"/>
        </w:rPr>
        <w:t> </w:t>
      </w:r>
      <w:r>
        <w:rPr>
          <w:smallCaps w:val="0"/>
        </w:rPr>
        <w:t>προοπτι-κές ανάπτυξης. Η αύξηση της αβεβαιότητας στις διεθνείς αγορές ενέργειας έχει προκαλέσει ά-νοδο των τιμών του πετρελαίου και του φυσικού αερίου, με αποτέλεσμα να εντείνονται οι πλη-θωριστικές πιέσεις και να αυξάνεται η μεταβλητότητα στις χρηματοπιστωτικές αγορές. Στο πε-ριβάλλον αυτό, ο κίνδυνος απότομης ανατιμολόγησης των χρηματοοικονομικών περιουσιακών στοιχείων διεθνώς παραμένει υψηλός και επιπλέον αναδεικνύεται ο κίνδυνος εμφάνισης στασι-μοπληθωριστικών πιέσεων. Η επίπτωση στα μακροοικονομικά μεγέθη και στη χρηματοοικονο-μική</w:t>
      </w:r>
      <w:r>
        <w:rPr>
          <w:smallCaps w:val="0"/>
          <w:spacing w:val="-8"/>
        </w:rPr>
        <w:t> </w:t>
      </w:r>
      <w:r>
        <w:rPr>
          <w:smallCaps w:val="0"/>
        </w:rPr>
        <w:t>κατάσταση</w:t>
      </w:r>
      <w:r>
        <w:rPr>
          <w:smallCaps w:val="0"/>
          <w:spacing w:val="-7"/>
        </w:rPr>
        <w:t> </w:t>
      </w:r>
      <w:r>
        <w:rPr>
          <w:smallCaps w:val="0"/>
        </w:rPr>
        <w:t>επιχειρήσεων</w:t>
      </w:r>
      <w:r>
        <w:rPr>
          <w:smallCaps w:val="0"/>
          <w:spacing w:val="-6"/>
        </w:rPr>
        <w:t> </w:t>
      </w:r>
      <w:r>
        <w:rPr>
          <w:smallCaps w:val="0"/>
        </w:rPr>
        <w:t>και</w:t>
      </w:r>
      <w:r>
        <w:rPr>
          <w:smallCaps w:val="0"/>
          <w:spacing w:val="-7"/>
        </w:rPr>
        <w:t> </w:t>
      </w:r>
      <w:r>
        <w:rPr>
          <w:smallCaps w:val="0"/>
        </w:rPr>
        <w:t>νοικοκυριών</w:t>
      </w:r>
      <w:r>
        <w:rPr>
          <w:smallCaps w:val="0"/>
          <w:spacing w:val="-4"/>
        </w:rPr>
        <w:t> </w:t>
      </w:r>
      <w:r>
        <w:rPr>
          <w:smallCaps w:val="0"/>
        </w:rPr>
        <w:t>θα</w:t>
      </w:r>
      <w:r>
        <w:rPr>
          <w:smallCaps w:val="0"/>
          <w:spacing w:val="-8"/>
        </w:rPr>
        <w:t> </w:t>
      </w:r>
      <w:r>
        <w:rPr>
          <w:smallCaps w:val="0"/>
        </w:rPr>
        <w:t>καθοριστεί</w:t>
      </w:r>
      <w:r>
        <w:rPr>
          <w:smallCaps w:val="0"/>
          <w:spacing w:val="-9"/>
        </w:rPr>
        <w:t> </w:t>
      </w:r>
      <w:r>
        <w:rPr>
          <w:smallCaps w:val="0"/>
        </w:rPr>
        <w:t>σε</w:t>
      </w:r>
      <w:r>
        <w:rPr>
          <w:smallCaps w:val="0"/>
          <w:spacing w:val="-6"/>
        </w:rPr>
        <w:t> </w:t>
      </w:r>
      <w:r>
        <w:rPr>
          <w:smallCaps w:val="0"/>
        </w:rPr>
        <w:t>μεγάλο</w:t>
      </w:r>
      <w:r>
        <w:rPr>
          <w:smallCaps w:val="0"/>
          <w:spacing w:val="-7"/>
        </w:rPr>
        <w:t> </w:t>
      </w:r>
      <w:r>
        <w:rPr>
          <w:smallCaps w:val="0"/>
        </w:rPr>
        <w:t>βαθμό</w:t>
      </w:r>
      <w:r>
        <w:rPr>
          <w:smallCaps w:val="0"/>
          <w:spacing w:val="-7"/>
        </w:rPr>
        <w:t> </w:t>
      </w:r>
      <w:r>
        <w:rPr>
          <w:smallCaps w:val="0"/>
        </w:rPr>
        <w:t>από</w:t>
      </w:r>
      <w:r>
        <w:rPr>
          <w:smallCaps w:val="0"/>
          <w:spacing w:val="-7"/>
        </w:rPr>
        <w:t> </w:t>
      </w:r>
      <w:r>
        <w:rPr>
          <w:smallCaps w:val="0"/>
        </w:rPr>
        <w:t>τη</w:t>
      </w:r>
      <w:r>
        <w:rPr>
          <w:smallCaps w:val="0"/>
          <w:spacing w:val="-7"/>
        </w:rPr>
        <w:t> </w:t>
      </w:r>
      <w:r>
        <w:rPr>
          <w:smallCaps w:val="0"/>
        </w:rPr>
        <w:t>διάρκεια και την ένταση της σύρραξης.</w:t>
      </w:r>
    </w:p>
    <w:p>
      <w:pPr>
        <w:pStyle w:val="BodyText"/>
        <w:spacing w:line="285" w:lineRule="auto" w:before="229"/>
        <w:ind w:left="172" w:right="954"/>
        <w:jc w:val="both"/>
      </w:pPr>
      <w:r>
        <w:rPr>
          <w:b/>
          <w:color w:val="1F487C"/>
        </w:rPr>
        <w:t>Η</w:t>
      </w:r>
      <w:r>
        <w:rPr>
          <w:b/>
          <w:color w:val="1F487C"/>
          <w:spacing w:val="-5"/>
        </w:rPr>
        <w:t> </w:t>
      </w:r>
      <w:r>
        <w:rPr>
          <w:b/>
          <w:color w:val="1F487C"/>
        </w:rPr>
        <w:t>ελλην</w:t>
      </w:r>
      <w:r>
        <w:rPr>
          <w:b/>
          <w:smallCaps/>
          <w:color w:val="1F487C"/>
        </w:rPr>
        <w:t>ι</w:t>
      </w:r>
      <w:r>
        <w:rPr>
          <w:b/>
          <w:smallCaps w:val="0"/>
          <w:color w:val="1F487C"/>
        </w:rPr>
        <w:t>κή</w:t>
      </w:r>
      <w:r>
        <w:rPr>
          <w:b/>
          <w:smallCaps w:val="0"/>
          <w:color w:val="1F487C"/>
          <w:spacing w:val="-9"/>
        </w:rPr>
        <w:t> </w:t>
      </w:r>
      <w:r>
        <w:rPr>
          <w:b/>
          <w:smallCaps w:val="0"/>
          <w:color w:val="1F487C"/>
        </w:rPr>
        <w:t>ο</w:t>
      </w:r>
      <w:r>
        <w:rPr>
          <w:b/>
          <w:smallCaps/>
          <w:color w:val="1F487C"/>
        </w:rPr>
        <w:t>ι</w:t>
      </w:r>
      <w:r>
        <w:rPr>
          <w:b/>
          <w:smallCaps w:val="0"/>
          <w:color w:val="1F487C"/>
        </w:rPr>
        <w:t>κονομία</w:t>
      </w:r>
      <w:r>
        <w:rPr>
          <w:b/>
          <w:smallCaps w:val="0"/>
          <w:color w:val="1F487C"/>
          <w:spacing w:val="-7"/>
        </w:rPr>
        <w:t> </w:t>
      </w:r>
      <w:r>
        <w:rPr>
          <w:b/>
          <w:smallCaps w:val="0"/>
          <w:color w:val="1F487C"/>
        </w:rPr>
        <w:t>αναπτύχθηκε</w:t>
      </w:r>
      <w:r>
        <w:rPr>
          <w:b/>
          <w:smallCaps w:val="0"/>
          <w:color w:val="1F487C"/>
          <w:spacing w:val="-7"/>
        </w:rPr>
        <w:t> </w:t>
      </w:r>
      <w:r>
        <w:rPr>
          <w:b/>
          <w:smallCaps w:val="0"/>
          <w:color w:val="1F487C"/>
        </w:rPr>
        <w:t>με</w:t>
      </w:r>
      <w:r>
        <w:rPr>
          <w:b/>
          <w:smallCaps w:val="0"/>
          <w:color w:val="1F487C"/>
          <w:spacing w:val="-9"/>
        </w:rPr>
        <w:t> </w:t>
      </w:r>
      <w:r>
        <w:rPr>
          <w:b/>
          <w:smallCaps/>
          <w:color w:val="1F487C"/>
        </w:rPr>
        <w:t>ι</w:t>
      </w:r>
      <w:r>
        <w:rPr>
          <w:b/>
          <w:smallCaps w:val="0"/>
          <w:color w:val="1F487C"/>
        </w:rPr>
        <w:t>κανοπο</w:t>
      </w:r>
      <w:r>
        <w:rPr>
          <w:b/>
          <w:smallCaps/>
          <w:color w:val="1F487C"/>
        </w:rPr>
        <w:t>ι</w:t>
      </w:r>
      <w:r>
        <w:rPr>
          <w:b/>
          <w:smallCaps w:val="0"/>
          <w:color w:val="1F487C"/>
        </w:rPr>
        <w:t>ητ</w:t>
      </w:r>
      <w:r>
        <w:rPr>
          <w:b/>
          <w:smallCaps/>
          <w:color w:val="1F487C"/>
        </w:rPr>
        <w:t>ι</w:t>
      </w:r>
      <w:r>
        <w:rPr>
          <w:b/>
          <w:smallCaps w:val="0"/>
          <w:color w:val="1F487C"/>
        </w:rPr>
        <w:t>κό</w:t>
      </w:r>
      <w:r>
        <w:rPr>
          <w:b/>
          <w:smallCaps w:val="0"/>
          <w:color w:val="1F487C"/>
          <w:spacing w:val="-5"/>
        </w:rPr>
        <w:t> </w:t>
      </w:r>
      <w:r>
        <w:rPr>
          <w:b/>
          <w:smallCaps w:val="0"/>
          <w:color w:val="1F487C"/>
        </w:rPr>
        <w:t>ρυθμό</w:t>
      </w:r>
      <w:r>
        <w:rPr>
          <w:b/>
          <w:smallCaps w:val="0"/>
          <w:color w:val="1F487C"/>
          <w:spacing w:val="-8"/>
        </w:rPr>
        <w:t> </w:t>
      </w:r>
      <w:r>
        <w:rPr>
          <w:b/>
          <w:smallCaps w:val="0"/>
          <w:color w:val="1F487C"/>
        </w:rPr>
        <w:t>κα</w:t>
      </w:r>
      <w:r>
        <w:rPr>
          <w:b/>
          <w:smallCaps/>
          <w:color w:val="1F487C"/>
        </w:rPr>
        <w:t>ι</w:t>
      </w:r>
      <w:r>
        <w:rPr>
          <w:b/>
          <w:smallCaps w:val="0"/>
          <w:color w:val="1F487C"/>
          <w:spacing w:val="-5"/>
        </w:rPr>
        <w:t> </w:t>
      </w:r>
      <w:r>
        <w:rPr>
          <w:b/>
          <w:smallCaps w:val="0"/>
          <w:color w:val="1F487C"/>
        </w:rPr>
        <w:t>το</w:t>
      </w:r>
      <w:r>
        <w:rPr>
          <w:b/>
          <w:smallCaps w:val="0"/>
          <w:color w:val="1F487C"/>
          <w:spacing w:val="-8"/>
        </w:rPr>
        <w:t> </w:t>
      </w:r>
      <w:r>
        <w:rPr>
          <w:b/>
          <w:smallCaps w:val="0"/>
          <w:color w:val="1F487C"/>
        </w:rPr>
        <w:t>2025,</w:t>
      </w:r>
      <w:r>
        <w:rPr>
          <w:b/>
          <w:smallCaps w:val="0"/>
          <w:color w:val="1F487C"/>
          <w:spacing w:val="-8"/>
        </w:rPr>
        <w:t> </w:t>
      </w:r>
      <w:r>
        <w:rPr>
          <w:b/>
          <w:smallCaps w:val="0"/>
          <w:color w:val="1F487C"/>
        </w:rPr>
        <w:t>παρά</w:t>
      </w:r>
      <w:r>
        <w:rPr>
          <w:b/>
          <w:smallCaps w:val="0"/>
          <w:color w:val="1F487C"/>
          <w:spacing w:val="-7"/>
        </w:rPr>
        <w:t> </w:t>
      </w:r>
      <w:r>
        <w:rPr>
          <w:b/>
          <w:smallCaps w:val="0"/>
          <w:color w:val="1F487C"/>
        </w:rPr>
        <w:t>τ</w:t>
      </w:r>
      <w:r>
        <w:rPr>
          <w:b/>
          <w:smallCaps/>
          <w:color w:val="1F487C"/>
        </w:rPr>
        <w:t>ι</w:t>
      </w:r>
      <w:r>
        <w:rPr>
          <w:b/>
          <w:smallCaps w:val="0"/>
          <w:color w:val="1F487C"/>
        </w:rPr>
        <w:t>ς</w:t>
      </w:r>
      <w:r>
        <w:rPr>
          <w:b/>
          <w:smallCaps w:val="0"/>
          <w:color w:val="1F487C"/>
          <w:spacing w:val="-5"/>
        </w:rPr>
        <w:t> </w:t>
      </w:r>
      <w:r>
        <w:rPr>
          <w:b/>
          <w:smallCaps w:val="0"/>
          <w:color w:val="1F487C"/>
        </w:rPr>
        <w:t>προκλή-σε</w:t>
      </w:r>
      <w:r>
        <w:rPr>
          <w:b/>
          <w:smallCaps/>
          <w:color w:val="1F487C"/>
        </w:rPr>
        <w:t>ι</w:t>
      </w:r>
      <w:r>
        <w:rPr>
          <w:b/>
          <w:smallCaps w:val="0"/>
          <w:color w:val="1F487C"/>
        </w:rPr>
        <w:t>ς που απορρέουν από το δ</w:t>
      </w:r>
      <w:r>
        <w:rPr>
          <w:b/>
          <w:smallCaps/>
          <w:color w:val="1F487C"/>
        </w:rPr>
        <w:t>ι</w:t>
      </w:r>
      <w:r>
        <w:rPr>
          <w:b/>
          <w:smallCaps w:val="0"/>
          <w:color w:val="1F487C"/>
        </w:rPr>
        <w:t>εθνές περ</w:t>
      </w:r>
      <w:r>
        <w:rPr>
          <w:b/>
          <w:smallCaps/>
          <w:color w:val="1F487C"/>
        </w:rPr>
        <w:t>ι</w:t>
      </w:r>
      <w:r>
        <w:rPr>
          <w:b/>
          <w:smallCaps w:val="0"/>
          <w:color w:val="1F487C"/>
        </w:rPr>
        <w:t>βάλλον. </w:t>
      </w:r>
      <w:r>
        <w:rPr>
          <w:smallCaps w:val="0"/>
        </w:rPr>
        <w:t>O ετήσιος ρυθμός αύξησης του ακαθάριστου εγχώριου προϊόντος διαμορφώθηκε σε 2,1% (στο ίδιο επίπεδο με το 2024) και υψηλότερα σε σχέση με τον μέσο όρο της ευρωζώνης (1,4%). Η μεγέθυνση της οικονομικής δραστηριότητας στηρίχθηκε</w:t>
      </w:r>
      <w:r>
        <w:rPr>
          <w:smallCaps w:val="0"/>
          <w:spacing w:val="-7"/>
        </w:rPr>
        <w:t> </w:t>
      </w:r>
      <w:r>
        <w:rPr>
          <w:smallCaps w:val="0"/>
        </w:rPr>
        <w:t>κυρίως</w:t>
      </w:r>
      <w:r>
        <w:rPr>
          <w:smallCaps w:val="0"/>
          <w:spacing w:val="-9"/>
        </w:rPr>
        <w:t> </w:t>
      </w:r>
      <w:r>
        <w:rPr>
          <w:smallCaps w:val="0"/>
        </w:rPr>
        <w:t>στην</w:t>
      </w:r>
      <w:r>
        <w:rPr>
          <w:smallCaps w:val="0"/>
          <w:spacing w:val="-8"/>
        </w:rPr>
        <w:t> </w:t>
      </w:r>
      <w:r>
        <w:rPr>
          <w:smallCaps w:val="0"/>
        </w:rPr>
        <w:t>άνοδο</w:t>
      </w:r>
      <w:r>
        <w:rPr>
          <w:smallCaps w:val="0"/>
          <w:spacing w:val="-8"/>
        </w:rPr>
        <w:t> </w:t>
      </w:r>
      <w:r>
        <w:rPr>
          <w:smallCaps w:val="0"/>
        </w:rPr>
        <w:t>των</w:t>
      </w:r>
      <w:r>
        <w:rPr>
          <w:smallCaps w:val="0"/>
          <w:spacing w:val="-7"/>
        </w:rPr>
        <w:t> </w:t>
      </w:r>
      <w:r>
        <w:rPr>
          <w:smallCaps w:val="0"/>
        </w:rPr>
        <w:t>επενδύσεων</w:t>
      </w:r>
      <w:r>
        <w:rPr>
          <w:smallCaps w:val="0"/>
          <w:spacing w:val="-7"/>
        </w:rPr>
        <w:t> </w:t>
      </w:r>
      <w:r>
        <w:rPr>
          <w:smallCaps w:val="0"/>
        </w:rPr>
        <w:t>(που</w:t>
      </w:r>
      <w:r>
        <w:rPr>
          <w:smallCaps w:val="0"/>
          <w:spacing w:val="-7"/>
        </w:rPr>
        <w:t> </w:t>
      </w:r>
      <w:r>
        <w:rPr>
          <w:smallCaps w:val="0"/>
        </w:rPr>
        <w:t>κατέγραψαν</w:t>
      </w:r>
      <w:r>
        <w:rPr>
          <w:smallCaps w:val="0"/>
          <w:spacing w:val="-10"/>
        </w:rPr>
        <w:t> </w:t>
      </w:r>
      <w:r>
        <w:rPr>
          <w:smallCaps w:val="0"/>
        </w:rPr>
        <w:t>σχεδόν</w:t>
      </w:r>
      <w:r>
        <w:rPr>
          <w:smallCaps w:val="0"/>
          <w:spacing w:val="-7"/>
        </w:rPr>
        <w:t> </w:t>
      </w:r>
      <w:r>
        <w:rPr>
          <w:smallCaps w:val="0"/>
        </w:rPr>
        <w:t>διπλάσιο</w:t>
      </w:r>
      <w:r>
        <w:rPr>
          <w:smallCaps w:val="0"/>
          <w:spacing w:val="-8"/>
        </w:rPr>
        <w:t> </w:t>
      </w:r>
      <w:r>
        <w:rPr>
          <w:smallCaps w:val="0"/>
        </w:rPr>
        <w:t>ρυθμό</w:t>
      </w:r>
      <w:r>
        <w:rPr>
          <w:smallCaps w:val="0"/>
          <w:spacing w:val="-1"/>
        </w:rPr>
        <w:t> </w:t>
      </w:r>
      <w:r>
        <w:rPr>
          <w:smallCaps w:val="0"/>
        </w:rPr>
        <w:t>αύξη-σης σε σχέση με το 2024) και της ιδιωτικής κατανάλωσης, ενώ θετική ήταν και η συμβολή του εξωτερικού τομέα. Η σημαντική ενίσχυση της επενδυτικής δραστηριότητας βελτίωσε τον λόγο επενδύσεων</w:t>
      </w:r>
      <w:r>
        <w:rPr>
          <w:smallCaps w:val="0"/>
          <w:spacing w:val="-6"/>
        </w:rPr>
        <w:t> </w:t>
      </w:r>
      <w:r>
        <w:rPr>
          <w:smallCaps w:val="0"/>
        </w:rPr>
        <w:t>προς</w:t>
      </w:r>
      <w:r>
        <w:rPr>
          <w:smallCaps w:val="0"/>
          <w:spacing w:val="-8"/>
        </w:rPr>
        <w:t> </w:t>
      </w:r>
      <w:r>
        <w:rPr>
          <w:smallCaps w:val="0"/>
        </w:rPr>
        <w:t>ΑΕΠ,</w:t>
      </w:r>
      <w:r>
        <w:rPr>
          <w:smallCaps w:val="0"/>
          <w:spacing w:val="-10"/>
        </w:rPr>
        <w:t> </w:t>
      </w:r>
      <w:r>
        <w:rPr>
          <w:smallCaps w:val="0"/>
        </w:rPr>
        <w:t>υποδηλώνοντας</w:t>
      </w:r>
      <w:r>
        <w:rPr>
          <w:smallCaps w:val="0"/>
          <w:spacing w:val="-9"/>
        </w:rPr>
        <w:t> </w:t>
      </w:r>
      <w:r>
        <w:rPr>
          <w:smallCaps w:val="0"/>
        </w:rPr>
        <w:t>τη</w:t>
      </w:r>
      <w:r>
        <w:rPr>
          <w:smallCaps w:val="0"/>
          <w:spacing w:val="-10"/>
        </w:rPr>
        <w:t> </w:t>
      </w:r>
      <w:r>
        <w:rPr>
          <w:smallCaps w:val="0"/>
        </w:rPr>
        <w:t>σταδιακή</w:t>
      </w:r>
      <w:r>
        <w:rPr>
          <w:smallCaps w:val="0"/>
          <w:spacing w:val="-10"/>
        </w:rPr>
        <w:t> </w:t>
      </w:r>
      <w:r>
        <w:rPr>
          <w:smallCaps w:val="0"/>
        </w:rPr>
        <w:t>εξάλειψη</w:t>
      </w:r>
      <w:r>
        <w:rPr>
          <w:smallCaps w:val="0"/>
          <w:spacing w:val="-10"/>
        </w:rPr>
        <w:t> </w:t>
      </w:r>
      <w:r>
        <w:rPr>
          <w:smallCaps w:val="0"/>
        </w:rPr>
        <w:t>του</w:t>
      </w:r>
      <w:r>
        <w:rPr>
          <w:smallCaps w:val="0"/>
          <w:spacing w:val="-8"/>
        </w:rPr>
        <w:t> </w:t>
      </w:r>
      <w:r>
        <w:rPr>
          <w:smallCaps w:val="0"/>
        </w:rPr>
        <w:t>επενδυτικού</w:t>
      </w:r>
      <w:r>
        <w:rPr>
          <w:smallCaps w:val="0"/>
          <w:spacing w:val="-9"/>
        </w:rPr>
        <w:t> </w:t>
      </w:r>
      <w:r>
        <w:rPr>
          <w:smallCaps w:val="0"/>
        </w:rPr>
        <w:t>κενού</w:t>
      </w:r>
      <w:r>
        <w:rPr>
          <w:smallCaps w:val="0"/>
          <w:spacing w:val="-6"/>
        </w:rPr>
        <w:t> </w:t>
      </w:r>
      <w:r>
        <w:rPr>
          <w:smallCaps w:val="0"/>
        </w:rPr>
        <w:t>της</w:t>
      </w:r>
      <w:r>
        <w:rPr>
          <w:smallCaps w:val="0"/>
          <w:spacing w:val="-8"/>
        </w:rPr>
        <w:t> </w:t>
      </w:r>
      <w:r>
        <w:rPr>
          <w:smallCaps w:val="0"/>
        </w:rPr>
        <w:t>προη-γούμενης περιόδου. Παράλληλα, οι ξένες άμεσες</w:t>
      </w:r>
      <w:r>
        <w:rPr>
          <w:smallCaps w:val="0"/>
          <w:spacing w:val="-1"/>
        </w:rPr>
        <w:t> </w:t>
      </w:r>
      <w:r>
        <w:rPr>
          <w:smallCaps w:val="0"/>
        </w:rPr>
        <w:t>επενδύσεις κατέγραψαν ιστορικώς υψηλό επί-πεδο,</w:t>
      </w:r>
      <w:r>
        <w:rPr>
          <w:smallCaps w:val="0"/>
          <w:spacing w:val="-5"/>
        </w:rPr>
        <w:t> </w:t>
      </w:r>
      <w:r>
        <w:rPr>
          <w:smallCaps w:val="0"/>
        </w:rPr>
        <w:t>αντανακλώντας</w:t>
      </w:r>
      <w:r>
        <w:rPr>
          <w:smallCaps w:val="0"/>
          <w:spacing w:val="-6"/>
        </w:rPr>
        <w:t> </w:t>
      </w:r>
      <w:r>
        <w:rPr>
          <w:smallCaps w:val="0"/>
        </w:rPr>
        <w:t>τη</w:t>
      </w:r>
      <w:r>
        <w:rPr>
          <w:smallCaps w:val="0"/>
          <w:spacing w:val="-7"/>
        </w:rPr>
        <w:t> </w:t>
      </w:r>
      <w:r>
        <w:rPr>
          <w:smallCaps w:val="0"/>
        </w:rPr>
        <w:t>βελτίωση</w:t>
      </w:r>
      <w:r>
        <w:rPr>
          <w:smallCaps w:val="0"/>
          <w:spacing w:val="-7"/>
        </w:rPr>
        <w:t> </w:t>
      </w:r>
      <w:r>
        <w:rPr>
          <w:smallCaps w:val="0"/>
        </w:rPr>
        <w:t>του</w:t>
      </w:r>
      <w:r>
        <w:rPr>
          <w:smallCaps w:val="0"/>
          <w:spacing w:val="-6"/>
        </w:rPr>
        <w:t> </w:t>
      </w:r>
      <w:r>
        <w:rPr>
          <w:smallCaps w:val="0"/>
        </w:rPr>
        <w:t>επενδυτικού</w:t>
      </w:r>
      <w:r>
        <w:rPr>
          <w:smallCaps w:val="0"/>
          <w:spacing w:val="-4"/>
        </w:rPr>
        <w:t> </w:t>
      </w:r>
      <w:r>
        <w:rPr>
          <w:smallCaps w:val="0"/>
        </w:rPr>
        <w:t>κλίματος</w:t>
      </w:r>
      <w:r>
        <w:rPr>
          <w:smallCaps w:val="0"/>
          <w:spacing w:val="-6"/>
        </w:rPr>
        <w:t> </w:t>
      </w:r>
      <w:r>
        <w:rPr>
          <w:smallCaps w:val="0"/>
        </w:rPr>
        <w:t>και</w:t>
      </w:r>
      <w:r>
        <w:rPr>
          <w:smallCaps w:val="0"/>
          <w:spacing w:val="-5"/>
        </w:rPr>
        <w:t> </w:t>
      </w:r>
      <w:r>
        <w:rPr>
          <w:smallCaps w:val="0"/>
        </w:rPr>
        <w:t>της</w:t>
      </w:r>
      <w:r>
        <w:rPr>
          <w:smallCaps w:val="0"/>
          <w:spacing w:val="-6"/>
        </w:rPr>
        <w:t> </w:t>
      </w:r>
      <w:r>
        <w:rPr>
          <w:smallCaps w:val="0"/>
        </w:rPr>
        <w:t>εμπιστοσύνης</w:t>
      </w:r>
      <w:r>
        <w:rPr>
          <w:smallCaps w:val="0"/>
          <w:spacing w:val="-6"/>
        </w:rPr>
        <w:t> </w:t>
      </w:r>
      <w:r>
        <w:rPr>
          <w:smallCaps w:val="0"/>
        </w:rPr>
        <w:t>των</w:t>
      </w:r>
      <w:r>
        <w:rPr>
          <w:smallCaps w:val="0"/>
          <w:spacing w:val="-4"/>
        </w:rPr>
        <w:t> </w:t>
      </w:r>
      <w:r>
        <w:rPr>
          <w:smallCaps w:val="0"/>
        </w:rPr>
        <w:t>διεθνών επενδυτών προς την ελληνική οικονομία. Επιπρόσθετα, η απασχόληση ενισχύθηκε το 2025, με ηπιότερο όμως ρυθμό</w:t>
      </w:r>
      <w:r>
        <w:rPr>
          <w:smallCaps w:val="0"/>
          <w:spacing w:val="-1"/>
        </w:rPr>
        <w:t> </w:t>
      </w:r>
      <w:r>
        <w:rPr>
          <w:smallCaps w:val="0"/>
        </w:rPr>
        <w:t>σε</w:t>
      </w:r>
      <w:r>
        <w:rPr>
          <w:smallCaps w:val="0"/>
          <w:spacing w:val="-1"/>
        </w:rPr>
        <w:t> </w:t>
      </w:r>
      <w:r>
        <w:rPr>
          <w:smallCaps w:val="0"/>
        </w:rPr>
        <w:t>σχέση με το 2024. Ο πληθωρισμός, όπως μετρείται από</w:t>
      </w:r>
      <w:r>
        <w:rPr>
          <w:smallCaps w:val="0"/>
          <w:spacing w:val="-2"/>
        </w:rPr>
        <w:t> </w:t>
      </w:r>
      <w:r>
        <w:rPr>
          <w:smallCaps w:val="0"/>
        </w:rPr>
        <w:t>τον Εναρμονι-σμένο Δείκτη</w:t>
      </w:r>
      <w:r>
        <w:rPr>
          <w:smallCaps w:val="0"/>
          <w:spacing w:val="-3"/>
        </w:rPr>
        <w:t> </w:t>
      </w:r>
      <w:r>
        <w:rPr>
          <w:smallCaps w:val="0"/>
        </w:rPr>
        <w:t>Τιμών</w:t>
      </w:r>
      <w:r>
        <w:rPr>
          <w:smallCaps w:val="0"/>
          <w:spacing w:val="-1"/>
        </w:rPr>
        <w:t> </w:t>
      </w:r>
      <w:r>
        <w:rPr>
          <w:smallCaps w:val="0"/>
        </w:rPr>
        <w:t>Καταναλωτή</w:t>
      </w:r>
      <w:r>
        <w:rPr>
          <w:smallCaps w:val="0"/>
          <w:spacing w:val="-3"/>
        </w:rPr>
        <w:t> </w:t>
      </w:r>
      <w:r>
        <w:rPr>
          <w:smallCaps w:val="0"/>
        </w:rPr>
        <w:t>(ΕνΔΤΚ),</w:t>
      </w:r>
      <w:r>
        <w:rPr>
          <w:smallCaps w:val="0"/>
          <w:spacing w:val="-3"/>
        </w:rPr>
        <w:t> </w:t>
      </w:r>
      <w:r>
        <w:rPr>
          <w:smallCaps w:val="0"/>
        </w:rPr>
        <w:t>υποχώρησε</w:t>
      </w:r>
      <w:r>
        <w:rPr>
          <w:smallCaps w:val="0"/>
          <w:spacing w:val="-2"/>
        </w:rPr>
        <w:t> </w:t>
      </w:r>
      <w:r>
        <w:rPr>
          <w:smallCaps w:val="0"/>
        </w:rPr>
        <w:t>οριακά</w:t>
      </w:r>
      <w:r>
        <w:rPr>
          <w:smallCaps w:val="0"/>
          <w:spacing w:val="-3"/>
        </w:rPr>
        <w:t> </w:t>
      </w:r>
      <w:r>
        <w:rPr>
          <w:smallCaps w:val="0"/>
        </w:rPr>
        <w:t>στο 2,9%</w:t>
      </w:r>
      <w:r>
        <w:rPr>
          <w:smallCaps w:val="0"/>
          <w:spacing w:val="-2"/>
        </w:rPr>
        <w:t> </w:t>
      </w:r>
      <w:r>
        <w:rPr>
          <w:smallCaps w:val="0"/>
        </w:rPr>
        <w:t>το</w:t>
      </w:r>
      <w:r>
        <w:rPr>
          <w:smallCaps w:val="0"/>
          <w:spacing w:val="-2"/>
        </w:rPr>
        <w:t> </w:t>
      </w:r>
      <w:r>
        <w:rPr>
          <w:smallCaps w:val="0"/>
        </w:rPr>
        <w:t>2025, έναντι</w:t>
      </w:r>
      <w:r>
        <w:rPr>
          <w:smallCaps w:val="0"/>
          <w:spacing w:val="-2"/>
        </w:rPr>
        <w:t> </w:t>
      </w:r>
      <w:r>
        <w:rPr>
          <w:smallCaps w:val="0"/>
        </w:rPr>
        <w:t>3,0% το</w:t>
      </w:r>
      <w:r>
        <w:rPr>
          <w:smallCaps w:val="0"/>
          <w:spacing w:val="-14"/>
        </w:rPr>
        <w:t> </w:t>
      </w:r>
      <w:r>
        <w:rPr>
          <w:smallCaps w:val="0"/>
        </w:rPr>
        <w:t>2024,</w:t>
      </w:r>
      <w:r>
        <w:rPr>
          <w:smallCaps w:val="0"/>
          <w:spacing w:val="-14"/>
        </w:rPr>
        <w:t> </w:t>
      </w:r>
      <w:r>
        <w:rPr>
          <w:smallCaps w:val="0"/>
        </w:rPr>
        <w:t>παραμένοντας</w:t>
      </w:r>
      <w:r>
        <w:rPr>
          <w:smallCaps w:val="0"/>
          <w:spacing w:val="-14"/>
        </w:rPr>
        <w:t> </w:t>
      </w:r>
      <w:r>
        <w:rPr>
          <w:smallCaps w:val="0"/>
        </w:rPr>
        <w:t>σημαντικά</w:t>
      </w:r>
      <w:r>
        <w:rPr>
          <w:smallCaps w:val="0"/>
          <w:spacing w:val="-13"/>
        </w:rPr>
        <w:t> </w:t>
      </w:r>
      <w:r>
        <w:rPr>
          <w:smallCaps w:val="0"/>
        </w:rPr>
        <w:t>υψηλότερος</w:t>
      </w:r>
      <w:r>
        <w:rPr>
          <w:smallCaps w:val="0"/>
          <w:spacing w:val="-14"/>
        </w:rPr>
        <w:t> </w:t>
      </w:r>
      <w:r>
        <w:rPr>
          <w:smallCaps w:val="0"/>
        </w:rPr>
        <w:t>από</w:t>
      </w:r>
      <w:r>
        <w:rPr>
          <w:smallCaps w:val="0"/>
          <w:spacing w:val="-13"/>
        </w:rPr>
        <w:t> </w:t>
      </w:r>
      <w:r>
        <w:rPr>
          <w:smallCaps w:val="0"/>
        </w:rPr>
        <w:t>τον</w:t>
      </w:r>
      <w:r>
        <w:rPr>
          <w:smallCaps w:val="0"/>
          <w:spacing w:val="-12"/>
        </w:rPr>
        <w:t> </w:t>
      </w:r>
      <w:r>
        <w:rPr>
          <w:smallCaps w:val="0"/>
        </w:rPr>
        <w:t>μέσο</w:t>
      </w:r>
      <w:r>
        <w:rPr>
          <w:smallCaps w:val="0"/>
          <w:spacing w:val="-12"/>
        </w:rPr>
        <w:t> </w:t>
      </w:r>
      <w:r>
        <w:rPr>
          <w:smallCaps w:val="0"/>
        </w:rPr>
        <w:t>όρο</w:t>
      </w:r>
      <w:r>
        <w:rPr>
          <w:smallCaps w:val="0"/>
          <w:spacing w:val="-12"/>
        </w:rPr>
        <w:t> </w:t>
      </w:r>
      <w:r>
        <w:rPr>
          <w:smallCaps w:val="0"/>
        </w:rPr>
        <w:t>των</w:t>
      </w:r>
      <w:r>
        <w:rPr>
          <w:smallCaps w:val="0"/>
          <w:spacing w:val="-11"/>
        </w:rPr>
        <w:t> </w:t>
      </w:r>
      <w:r>
        <w:rPr>
          <w:smallCaps w:val="0"/>
        </w:rPr>
        <w:t>χωρών</w:t>
      </w:r>
      <w:r>
        <w:rPr>
          <w:smallCaps w:val="0"/>
          <w:spacing w:val="-11"/>
        </w:rPr>
        <w:t> </w:t>
      </w:r>
      <w:r>
        <w:rPr>
          <w:smallCaps w:val="0"/>
        </w:rPr>
        <w:t>της</w:t>
      </w:r>
      <w:r>
        <w:rPr>
          <w:smallCaps w:val="0"/>
          <w:spacing w:val="-14"/>
        </w:rPr>
        <w:t> </w:t>
      </w:r>
      <w:r>
        <w:rPr>
          <w:smallCaps w:val="0"/>
        </w:rPr>
        <w:t>ζώνης</w:t>
      </w:r>
      <w:r>
        <w:rPr>
          <w:smallCaps w:val="0"/>
          <w:spacing w:val="-14"/>
        </w:rPr>
        <w:t> </w:t>
      </w:r>
      <w:r>
        <w:rPr>
          <w:smallCaps w:val="0"/>
        </w:rPr>
        <w:t>του</w:t>
      </w:r>
      <w:r>
        <w:rPr>
          <w:smallCaps w:val="0"/>
          <w:spacing w:val="-12"/>
        </w:rPr>
        <w:t> </w:t>
      </w:r>
      <w:r>
        <w:rPr>
          <w:smallCaps w:val="0"/>
        </w:rPr>
        <w:t>ευρώ </w:t>
      </w:r>
      <w:r>
        <w:rPr>
          <w:smallCaps w:val="0"/>
          <w:spacing w:val="-2"/>
        </w:rPr>
        <w:t>(2,1%).</w:t>
      </w:r>
    </w:p>
    <w:p>
      <w:pPr>
        <w:pStyle w:val="BodyText"/>
        <w:spacing w:line="285" w:lineRule="auto" w:before="224"/>
        <w:ind w:left="172" w:right="954"/>
        <w:jc w:val="both"/>
      </w:pPr>
      <w:r>
        <w:rPr>
          <w:b/>
          <w:color w:val="1F487C"/>
        </w:rPr>
        <w:t>Το 2025 ο ελλην</w:t>
      </w:r>
      <w:r>
        <w:rPr>
          <w:b/>
          <w:smallCaps/>
          <w:color w:val="1F487C"/>
        </w:rPr>
        <w:t>ι</w:t>
      </w:r>
      <w:r>
        <w:rPr>
          <w:b/>
          <w:smallCaps w:val="0"/>
          <w:color w:val="1F487C"/>
        </w:rPr>
        <w:t>κός τραπεζ</w:t>
      </w:r>
      <w:r>
        <w:rPr>
          <w:b/>
          <w:smallCaps/>
          <w:color w:val="1F487C"/>
        </w:rPr>
        <w:t>ι</w:t>
      </w:r>
      <w:r>
        <w:rPr>
          <w:b/>
          <w:smallCaps w:val="0"/>
          <w:color w:val="1F487C"/>
        </w:rPr>
        <w:t>κός τομέας ενίσχυσε περα</w:t>
      </w:r>
      <w:r>
        <w:rPr>
          <w:b/>
          <w:smallCaps/>
          <w:color w:val="1F487C"/>
        </w:rPr>
        <w:t>ι</w:t>
      </w:r>
      <w:r>
        <w:rPr>
          <w:b/>
          <w:smallCaps w:val="0"/>
          <w:color w:val="1F487C"/>
        </w:rPr>
        <w:t>τέρω τα θεμελ</w:t>
      </w:r>
      <w:r>
        <w:rPr>
          <w:b/>
          <w:smallCaps/>
          <w:color w:val="1F487C"/>
        </w:rPr>
        <w:t>ι</w:t>
      </w:r>
      <w:r>
        <w:rPr>
          <w:b/>
          <w:smallCaps w:val="0"/>
          <w:color w:val="1F487C"/>
        </w:rPr>
        <w:t>ώδη μεγέθη του. </w:t>
      </w:r>
      <w:r>
        <w:rPr>
          <w:smallCaps w:val="0"/>
        </w:rPr>
        <w:t>Η κερδοφορία</w:t>
      </w:r>
      <w:r>
        <w:rPr>
          <w:smallCaps w:val="0"/>
          <w:spacing w:val="-14"/>
        </w:rPr>
        <w:t> </w:t>
      </w:r>
      <w:r>
        <w:rPr>
          <w:smallCaps w:val="0"/>
        </w:rPr>
        <w:t>και</w:t>
      </w:r>
      <w:r>
        <w:rPr>
          <w:smallCaps w:val="0"/>
          <w:spacing w:val="-14"/>
        </w:rPr>
        <w:t> </w:t>
      </w:r>
      <w:r>
        <w:rPr>
          <w:smallCaps w:val="0"/>
        </w:rPr>
        <w:t>η</w:t>
      </w:r>
      <w:r>
        <w:rPr>
          <w:smallCaps w:val="0"/>
          <w:spacing w:val="-14"/>
        </w:rPr>
        <w:t> </w:t>
      </w:r>
      <w:r>
        <w:rPr>
          <w:smallCaps w:val="0"/>
        </w:rPr>
        <w:t>ποιότητα</w:t>
      </w:r>
      <w:r>
        <w:rPr>
          <w:smallCaps w:val="0"/>
          <w:spacing w:val="-13"/>
        </w:rPr>
        <w:t> </w:t>
      </w:r>
      <w:r>
        <w:rPr>
          <w:smallCaps w:val="0"/>
        </w:rPr>
        <w:t>χαρτοφυλακίου</w:t>
      </w:r>
      <w:r>
        <w:rPr>
          <w:smallCaps w:val="0"/>
          <w:spacing w:val="-14"/>
        </w:rPr>
        <w:t> </w:t>
      </w:r>
      <w:r>
        <w:rPr>
          <w:smallCaps w:val="0"/>
        </w:rPr>
        <w:t>βελτιώθηκαν</w:t>
      </w:r>
      <w:r>
        <w:rPr>
          <w:smallCaps w:val="0"/>
          <w:spacing w:val="-14"/>
        </w:rPr>
        <w:t> </w:t>
      </w:r>
      <w:r>
        <w:rPr>
          <w:smallCaps w:val="0"/>
        </w:rPr>
        <w:t>περαιτέρω,</w:t>
      </w:r>
      <w:r>
        <w:rPr>
          <w:smallCaps w:val="0"/>
          <w:spacing w:val="-14"/>
        </w:rPr>
        <w:t> </w:t>
      </w:r>
      <w:r>
        <w:rPr>
          <w:smallCaps w:val="0"/>
        </w:rPr>
        <w:t>ενώ</w:t>
      </w:r>
      <w:r>
        <w:rPr>
          <w:smallCaps w:val="0"/>
          <w:spacing w:val="-13"/>
        </w:rPr>
        <w:t> </w:t>
      </w:r>
      <w:r>
        <w:rPr>
          <w:smallCaps w:val="0"/>
        </w:rPr>
        <w:t>η</w:t>
      </w:r>
      <w:r>
        <w:rPr>
          <w:smallCaps w:val="0"/>
          <w:spacing w:val="-14"/>
        </w:rPr>
        <w:t> </w:t>
      </w:r>
      <w:r>
        <w:rPr>
          <w:smallCaps w:val="0"/>
        </w:rPr>
        <w:t>κεφαλαιακή</w:t>
      </w:r>
      <w:r>
        <w:rPr>
          <w:smallCaps w:val="0"/>
          <w:spacing w:val="-14"/>
        </w:rPr>
        <w:t> </w:t>
      </w:r>
      <w:r>
        <w:rPr>
          <w:smallCaps w:val="0"/>
        </w:rPr>
        <w:t>επάρκεια των</w:t>
      </w:r>
      <w:r>
        <w:rPr>
          <w:smallCaps w:val="0"/>
          <w:spacing w:val="-7"/>
        </w:rPr>
        <w:t> </w:t>
      </w:r>
      <w:r>
        <w:rPr>
          <w:smallCaps w:val="0"/>
        </w:rPr>
        <w:t>ελληνικών</w:t>
      </w:r>
      <w:r>
        <w:rPr>
          <w:smallCaps w:val="0"/>
          <w:spacing w:val="-5"/>
        </w:rPr>
        <w:t> </w:t>
      </w:r>
      <w:r>
        <w:rPr>
          <w:smallCaps w:val="0"/>
        </w:rPr>
        <w:t>τραπεζικών</w:t>
      </w:r>
      <w:r>
        <w:rPr>
          <w:smallCaps w:val="0"/>
          <w:spacing w:val="-5"/>
        </w:rPr>
        <w:t> </w:t>
      </w:r>
      <w:r>
        <w:rPr>
          <w:smallCaps w:val="0"/>
        </w:rPr>
        <w:t>ομίλων</w:t>
      </w:r>
      <w:r>
        <w:rPr>
          <w:smallCaps w:val="0"/>
          <w:spacing w:val="-2"/>
        </w:rPr>
        <w:t> </w:t>
      </w:r>
      <w:r>
        <w:rPr>
          <w:smallCaps w:val="0"/>
        </w:rPr>
        <w:t>διατηρήθηκε</w:t>
      </w:r>
      <w:r>
        <w:rPr>
          <w:smallCaps w:val="0"/>
          <w:spacing w:val="-5"/>
        </w:rPr>
        <w:t> </w:t>
      </w:r>
      <w:r>
        <w:rPr>
          <w:smallCaps w:val="0"/>
        </w:rPr>
        <w:t>σε</w:t>
      </w:r>
      <w:r>
        <w:rPr>
          <w:smallCaps w:val="0"/>
          <w:spacing w:val="-5"/>
        </w:rPr>
        <w:t> </w:t>
      </w:r>
      <w:r>
        <w:rPr>
          <w:smallCaps w:val="0"/>
        </w:rPr>
        <w:t>ικανοποιητικό</w:t>
      </w:r>
      <w:r>
        <w:rPr>
          <w:smallCaps w:val="0"/>
          <w:spacing w:val="-8"/>
        </w:rPr>
        <w:t> </w:t>
      </w:r>
      <w:r>
        <w:rPr>
          <w:smallCaps w:val="0"/>
        </w:rPr>
        <w:t>επίπεδο.</w:t>
      </w:r>
      <w:r>
        <w:rPr>
          <w:smallCaps w:val="0"/>
          <w:spacing w:val="-5"/>
        </w:rPr>
        <w:t> </w:t>
      </w:r>
      <w:r>
        <w:rPr>
          <w:smallCaps w:val="0"/>
        </w:rPr>
        <w:t>Επιπρόσθετα,</w:t>
      </w:r>
      <w:r>
        <w:rPr>
          <w:smallCaps w:val="0"/>
          <w:spacing w:val="-6"/>
        </w:rPr>
        <w:t> </w:t>
      </w:r>
      <w:r>
        <w:rPr>
          <w:smallCaps w:val="0"/>
        </w:rPr>
        <w:t>η</w:t>
      </w:r>
      <w:r>
        <w:rPr>
          <w:smallCaps w:val="0"/>
          <w:spacing w:val="-6"/>
        </w:rPr>
        <w:t> </w:t>
      </w:r>
      <w:r>
        <w:rPr>
          <w:smallCaps w:val="0"/>
        </w:rPr>
        <w:t>ρευ-στότητα</w:t>
      </w:r>
      <w:r>
        <w:rPr>
          <w:smallCaps w:val="0"/>
          <w:spacing w:val="-4"/>
        </w:rPr>
        <w:t> </w:t>
      </w:r>
      <w:r>
        <w:rPr>
          <w:smallCaps w:val="0"/>
        </w:rPr>
        <w:t>παραμένει</w:t>
      </w:r>
      <w:r>
        <w:rPr>
          <w:smallCaps w:val="0"/>
          <w:spacing w:val="-5"/>
        </w:rPr>
        <w:t> </w:t>
      </w:r>
      <w:r>
        <w:rPr>
          <w:smallCaps w:val="0"/>
        </w:rPr>
        <w:t>σε</w:t>
      </w:r>
      <w:r>
        <w:rPr>
          <w:smallCaps w:val="0"/>
          <w:spacing w:val="-3"/>
        </w:rPr>
        <w:t> </w:t>
      </w:r>
      <w:r>
        <w:rPr>
          <w:smallCaps w:val="0"/>
        </w:rPr>
        <w:t>υψηλό</w:t>
      </w:r>
      <w:r>
        <w:rPr>
          <w:smallCaps w:val="0"/>
          <w:spacing w:val="-4"/>
        </w:rPr>
        <w:t> </w:t>
      </w:r>
      <w:r>
        <w:rPr>
          <w:smallCaps w:val="0"/>
        </w:rPr>
        <w:t>επίπεδο,</w:t>
      </w:r>
      <w:r>
        <w:rPr>
          <w:smallCaps w:val="0"/>
          <w:spacing w:val="-4"/>
        </w:rPr>
        <w:t> </w:t>
      </w:r>
      <w:r>
        <w:rPr>
          <w:smallCaps w:val="0"/>
        </w:rPr>
        <w:t>πάνω από</w:t>
      </w:r>
      <w:r>
        <w:rPr>
          <w:smallCaps w:val="0"/>
          <w:spacing w:val="-4"/>
        </w:rPr>
        <w:t> </w:t>
      </w:r>
      <w:r>
        <w:rPr>
          <w:smallCaps w:val="0"/>
        </w:rPr>
        <w:t>τον</w:t>
      </w:r>
      <w:r>
        <w:rPr>
          <w:smallCaps w:val="0"/>
          <w:spacing w:val="-3"/>
        </w:rPr>
        <w:t> </w:t>
      </w:r>
      <w:r>
        <w:rPr>
          <w:smallCaps w:val="0"/>
        </w:rPr>
        <w:t>μέσο</w:t>
      </w:r>
      <w:r>
        <w:rPr>
          <w:smallCaps w:val="0"/>
          <w:spacing w:val="-4"/>
        </w:rPr>
        <w:t> </w:t>
      </w:r>
      <w:r>
        <w:rPr>
          <w:smallCaps w:val="0"/>
        </w:rPr>
        <w:t>όρο</w:t>
      </w:r>
      <w:r>
        <w:rPr>
          <w:smallCaps w:val="0"/>
          <w:spacing w:val="-3"/>
        </w:rPr>
        <w:t> </w:t>
      </w:r>
      <w:r>
        <w:rPr>
          <w:smallCaps w:val="0"/>
        </w:rPr>
        <w:t>των</w:t>
      </w:r>
      <w:r>
        <w:rPr>
          <w:smallCaps w:val="0"/>
          <w:spacing w:val="-3"/>
        </w:rPr>
        <w:t> </w:t>
      </w:r>
      <w:r>
        <w:rPr>
          <w:smallCaps w:val="0"/>
        </w:rPr>
        <w:t>χωρών</w:t>
      </w:r>
      <w:r>
        <w:rPr>
          <w:smallCaps w:val="0"/>
          <w:spacing w:val="-3"/>
        </w:rPr>
        <w:t> </w:t>
      </w:r>
      <w:r>
        <w:rPr>
          <w:smallCaps w:val="0"/>
        </w:rPr>
        <w:t>της</w:t>
      </w:r>
      <w:r>
        <w:rPr>
          <w:smallCaps w:val="0"/>
          <w:spacing w:val="-3"/>
        </w:rPr>
        <w:t> </w:t>
      </w:r>
      <w:r>
        <w:rPr>
          <w:smallCaps w:val="0"/>
        </w:rPr>
        <w:t>Τραπεζικής</w:t>
      </w:r>
      <w:r>
        <w:rPr>
          <w:smallCaps w:val="0"/>
          <w:spacing w:val="-2"/>
        </w:rPr>
        <w:t> </w:t>
      </w:r>
      <w:r>
        <w:rPr>
          <w:smallCaps w:val="0"/>
        </w:rPr>
        <w:t>Ένω-σης.</w:t>
      </w:r>
      <w:r>
        <w:rPr>
          <w:smallCaps w:val="0"/>
          <w:spacing w:val="-14"/>
        </w:rPr>
        <w:t> </w:t>
      </w:r>
      <w:r>
        <w:rPr>
          <w:smallCaps w:val="0"/>
        </w:rPr>
        <w:t>Οι</w:t>
      </w:r>
      <w:r>
        <w:rPr>
          <w:smallCaps w:val="0"/>
          <w:spacing w:val="-14"/>
        </w:rPr>
        <w:t> </w:t>
      </w:r>
      <w:r>
        <w:rPr>
          <w:smallCaps w:val="0"/>
        </w:rPr>
        <w:t>διαδοχικές</w:t>
      </w:r>
      <w:r>
        <w:rPr>
          <w:smallCaps w:val="0"/>
          <w:spacing w:val="-13"/>
        </w:rPr>
        <w:t> </w:t>
      </w:r>
      <w:r>
        <w:rPr>
          <w:smallCaps w:val="0"/>
        </w:rPr>
        <w:t>αναβαθμίσεις</w:t>
      </w:r>
      <w:r>
        <w:rPr>
          <w:smallCaps w:val="0"/>
          <w:spacing w:val="-13"/>
        </w:rPr>
        <w:t> </w:t>
      </w:r>
      <w:r>
        <w:rPr>
          <w:smallCaps w:val="0"/>
        </w:rPr>
        <w:t>της</w:t>
      </w:r>
      <w:r>
        <w:rPr>
          <w:smallCaps w:val="0"/>
          <w:spacing w:val="-14"/>
        </w:rPr>
        <w:t> </w:t>
      </w:r>
      <w:r>
        <w:rPr>
          <w:smallCaps w:val="0"/>
        </w:rPr>
        <w:t>πιστοληπτικής</w:t>
      </w:r>
      <w:r>
        <w:rPr>
          <w:smallCaps w:val="0"/>
          <w:spacing w:val="-13"/>
        </w:rPr>
        <w:t> </w:t>
      </w:r>
      <w:r>
        <w:rPr>
          <w:smallCaps w:val="0"/>
        </w:rPr>
        <w:t>αξιολόγησης</w:t>
      </w:r>
      <w:r>
        <w:rPr>
          <w:smallCaps w:val="0"/>
          <w:spacing w:val="-14"/>
        </w:rPr>
        <w:t> </w:t>
      </w:r>
      <w:r>
        <w:rPr>
          <w:smallCaps w:val="0"/>
        </w:rPr>
        <w:t>των</w:t>
      </w:r>
      <w:r>
        <w:rPr>
          <w:smallCaps w:val="0"/>
          <w:spacing w:val="-12"/>
        </w:rPr>
        <w:t> </w:t>
      </w:r>
      <w:r>
        <w:rPr>
          <w:smallCaps w:val="0"/>
        </w:rPr>
        <w:t>τραπεζών</w:t>
      </w:r>
      <w:r>
        <w:rPr>
          <w:smallCaps w:val="0"/>
          <w:spacing w:val="-14"/>
        </w:rPr>
        <w:t> </w:t>
      </w:r>
      <w:r>
        <w:rPr>
          <w:smallCaps w:val="0"/>
        </w:rPr>
        <w:t>κατά</w:t>
      </w:r>
      <w:r>
        <w:rPr>
          <w:smallCaps w:val="0"/>
          <w:spacing w:val="-14"/>
        </w:rPr>
        <w:t> </w:t>
      </w:r>
      <w:r>
        <w:rPr>
          <w:smallCaps w:val="0"/>
        </w:rPr>
        <w:t>τη</w:t>
      </w:r>
      <w:r>
        <w:rPr>
          <w:smallCaps w:val="0"/>
          <w:spacing w:val="-13"/>
        </w:rPr>
        <w:t> </w:t>
      </w:r>
      <w:r>
        <w:rPr>
          <w:smallCaps w:val="0"/>
        </w:rPr>
        <w:t>διάρκεια του 2025 προσέδωσαν νέα δυναμική και προσέλκυσαν επενδυτικό ενδιαφέρον, καθώς όλες οι ελληνικές σημαντικές τράπεζες βρίσκονται εντός της επενδυτικής κατηγορίας.</w:t>
      </w:r>
    </w:p>
    <w:p>
      <w:pPr>
        <w:spacing w:line="285" w:lineRule="auto" w:before="234"/>
        <w:ind w:left="172" w:right="955" w:firstLine="0"/>
        <w:jc w:val="both"/>
        <w:rPr>
          <w:sz w:val="22"/>
        </w:rPr>
      </w:pPr>
      <w:r>
        <w:rPr>
          <w:b/>
          <w:color w:val="1F487C"/>
          <w:sz w:val="22"/>
        </w:rPr>
        <w:t>Το</w:t>
      </w:r>
      <w:r>
        <w:rPr>
          <w:b/>
          <w:color w:val="1F487C"/>
          <w:spacing w:val="-10"/>
          <w:sz w:val="22"/>
        </w:rPr>
        <w:t> </w:t>
      </w:r>
      <w:r>
        <w:rPr>
          <w:b/>
          <w:color w:val="1F487C"/>
          <w:sz w:val="22"/>
        </w:rPr>
        <w:t>2025</w:t>
      </w:r>
      <w:r>
        <w:rPr>
          <w:b/>
          <w:color w:val="1F487C"/>
          <w:spacing w:val="-10"/>
          <w:sz w:val="22"/>
        </w:rPr>
        <w:t> </w:t>
      </w:r>
      <w:r>
        <w:rPr>
          <w:b/>
          <w:color w:val="1F487C"/>
          <w:sz w:val="22"/>
        </w:rPr>
        <w:t>ο</w:t>
      </w:r>
      <w:r>
        <w:rPr>
          <w:b/>
          <w:smallCaps/>
          <w:color w:val="1F487C"/>
          <w:sz w:val="22"/>
        </w:rPr>
        <w:t>ι</w:t>
      </w:r>
      <w:r>
        <w:rPr>
          <w:b/>
          <w:smallCaps w:val="0"/>
          <w:color w:val="1F487C"/>
          <w:spacing w:val="-9"/>
          <w:sz w:val="22"/>
        </w:rPr>
        <w:t> </w:t>
      </w:r>
      <w:r>
        <w:rPr>
          <w:b/>
          <w:smallCaps w:val="0"/>
          <w:color w:val="1F487C"/>
          <w:sz w:val="22"/>
        </w:rPr>
        <w:t>συνθήκες</w:t>
      </w:r>
      <w:r>
        <w:rPr>
          <w:b/>
          <w:smallCaps w:val="0"/>
          <w:color w:val="1F487C"/>
          <w:spacing w:val="-9"/>
          <w:sz w:val="22"/>
        </w:rPr>
        <w:t> </w:t>
      </w:r>
      <w:r>
        <w:rPr>
          <w:b/>
          <w:smallCaps w:val="0"/>
          <w:color w:val="1F487C"/>
          <w:sz w:val="22"/>
        </w:rPr>
        <w:t>ρευστότητας</w:t>
      </w:r>
      <w:r>
        <w:rPr>
          <w:b/>
          <w:smallCaps w:val="0"/>
          <w:color w:val="1F487C"/>
          <w:spacing w:val="-9"/>
          <w:sz w:val="22"/>
        </w:rPr>
        <w:t> </w:t>
      </w:r>
      <w:r>
        <w:rPr>
          <w:b/>
          <w:smallCaps w:val="0"/>
          <w:color w:val="1F487C"/>
          <w:sz w:val="22"/>
        </w:rPr>
        <w:t>των</w:t>
      </w:r>
      <w:r>
        <w:rPr>
          <w:b/>
          <w:smallCaps w:val="0"/>
          <w:color w:val="1F487C"/>
          <w:spacing w:val="-11"/>
          <w:sz w:val="22"/>
        </w:rPr>
        <w:t> </w:t>
      </w:r>
      <w:r>
        <w:rPr>
          <w:b/>
          <w:smallCaps w:val="0"/>
          <w:color w:val="1F487C"/>
          <w:sz w:val="22"/>
        </w:rPr>
        <w:t>ελλην</w:t>
      </w:r>
      <w:r>
        <w:rPr>
          <w:b/>
          <w:smallCaps/>
          <w:color w:val="1F487C"/>
          <w:sz w:val="22"/>
        </w:rPr>
        <w:t>ι</w:t>
      </w:r>
      <w:r>
        <w:rPr>
          <w:b/>
          <w:smallCaps w:val="0"/>
          <w:color w:val="1F487C"/>
          <w:sz w:val="22"/>
        </w:rPr>
        <w:t>κών</w:t>
      </w:r>
      <w:r>
        <w:rPr>
          <w:b/>
          <w:smallCaps w:val="0"/>
          <w:color w:val="1F487C"/>
          <w:spacing w:val="-10"/>
          <w:sz w:val="22"/>
        </w:rPr>
        <w:t> </w:t>
      </w:r>
      <w:r>
        <w:rPr>
          <w:b/>
          <w:smallCaps w:val="0"/>
          <w:color w:val="1F487C"/>
          <w:sz w:val="22"/>
        </w:rPr>
        <w:t>τραπεζ</w:t>
      </w:r>
      <w:r>
        <w:rPr>
          <w:b/>
          <w:smallCaps/>
          <w:color w:val="1F487C"/>
          <w:sz w:val="22"/>
        </w:rPr>
        <w:t>ι</w:t>
      </w:r>
      <w:r>
        <w:rPr>
          <w:b/>
          <w:smallCaps w:val="0"/>
          <w:color w:val="1F487C"/>
          <w:sz w:val="22"/>
        </w:rPr>
        <w:t>κών</w:t>
      </w:r>
      <w:r>
        <w:rPr>
          <w:b/>
          <w:smallCaps w:val="0"/>
          <w:color w:val="1F487C"/>
          <w:spacing w:val="-10"/>
          <w:sz w:val="22"/>
        </w:rPr>
        <w:t> </w:t>
      </w:r>
      <w:r>
        <w:rPr>
          <w:b/>
          <w:smallCaps w:val="0"/>
          <w:color w:val="1F487C"/>
          <w:sz w:val="22"/>
        </w:rPr>
        <w:t>ομίλων</w:t>
      </w:r>
      <w:r>
        <w:rPr>
          <w:b/>
          <w:smallCaps w:val="0"/>
          <w:color w:val="1F487C"/>
          <w:spacing w:val="-10"/>
          <w:sz w:val="22"/>
        </w:rPr>
        <w:t> </w:t>
      </w:r>
      <w:r>
        <w:rPr>
          <w:b/>
          <w:smallCaps w:val="0"/>
          <w:color w:val="1F487C"/>
          <w:sz w:val="22"/>
        </w:rPr>
        <w:t>παρέμε</w:t>
      </w:r>
      <w:r>
        <w:rPr>
          <w:b/>
          <w:smallCaps/>
          <w:color w:val="1F487C"/>
          <w:sz w:val="22"/>
        </w:rPr>
        <w:t>ιν</w:t>
      </w:r>
      <w:r>
        <w:rPr>
          <w:b/>
          <w:smallCaps w:val="0"/>
          <w:color w:val="1F487C"/>
          <w:sz w:val="22"/>
        </w:rPr>
        <w:t>αν</w:t>
      </w:r>
      <w:r>
        <w:rPr>
          <w:b/>
          <w:smallCaps w:val="0"/>
          <w:color w:val="1F487C"/>
          <w:spacing w:val="-10"/>
          <w:sz w:val="22"/>
        </w:rPr>
        <w:t> </w:t>
      </w:r>
      <w:r>
        <w:rPr>
          <w:b/>
          <w:smallCaps w:val="0"/>
          <w:color w:val="1F487C"/>
          <w:sz w:val="22"/>
        </w:rPr>
        <w:t>ευνοϊκές, με</w:t>
      </w:r>
      <w:r>
        <w:rPr>
          <w:b/>
          <w:smallCaps w:val="0"/>
          <w:color w:val="1F487C"/>
          <w:spacing w:val="-8"/>
          <w:sz w:val="22"/>
        </w:rPr>
        <w:t> </w:t>
      </w:r>
      <w:r>
        <w:rPr>
          <w:b/>
          <w:smallCaps w:val="0"/>
          <w:color w:val="1F487C"/>
          <w:sz w:val="22"/>
        </w:rPr>
        <w:t>τ</w:t>
      </w:r>
      <w:r>
        <w:rPr>
          <w:b/>
          <w:smallCaps/>
          <w:color w:val="1F487C"/>
          <w:sz w:val="22"/>
        </w:rPr>
        <w:t>ι</w:t>
      </w:r>
      <w:r>
        <w:rPr>
          <w:b/>
          <w:smallCaps w:val="0"/>
          <w:color w:val="1F487C"/>
          <w:sz w:val="22"/>
        </w:rPr>
        <w:t>ς</w:t>
      </w:r>
      <w:r>
        <w:rPr>
          <w:b/>
          <w:smallCaps w:val="0"/>
          <w:color w:val="1F487C"/>
          <w:spacing w:val="-9"/>
          <w:sz w:val="22"/>
        </w:rPr>
        <w:t> </w:t>
      </w:r>
      <w:r>
        <w:rPr>
          <w:b/>
          <w:smallCaps w:val="0"/>
          <w:color w:val="1F487C"/>
          <w:sz w:val="22"/>
        </w:rPr>
        <w:t>εναλλακτ</w:t>
      </w:r>
      <w:r>
        <w:rPr>
          <w:b/>
          <w:smallCaps/>
          <w:color w:val="1F487C"/>
          <w:sz w:val="22"/>
        </w:rPr>
        <w:t>ι</w:t>
      </w:r>
      <w:r>
        <w:rPr>
          <w:b/>
          <w:smallCaps w:val="0"/>
          <w:color w:val="1F487C"/>
          <w:sz w:val="22"/>
        </w:rPr>
        <w:t>κές</w:t>
      </w:r>
      <w:r>
        <w:rPr>
          <w:b/>
          <w:smallCaps w:val="0"/>
          <w:color w:val="1F487C"/>
          <w:spacing w:val="-6"/>
          <w:sz w:val="22"/>
        </w:rPr>
        <w:t> </w:t>
      </w:r>
      <w:r>
        <w:rPr>
          <w:b/>
          <w:smallCaps w:val="0"/>
          <w:color w:val="1F487C"/>
          <w:sz w:val="22"/>
        </w:rPr>
        <w:t>πηγές</w:t>
      </w:r>
      <w:r>
        <w:rPr>
          <w:b/>
          <w:smallCaps w:val="0"/>
          <w:color w:val="1F487C"/>
          <w:spacing w:val="-9"/>
          <w:sz w:val="22"/>
        </w:rPr>
        <w:t> </w:t>
      </w:r>
      <w:r>
        <w:rPr>
          <w:b/>
          <w:smallCaps w:val="0"/>
          <w:color w:val="1F487C"/>
          <w:sz w:val="22"/>
        </w:rPr>
        <w:t>χρηματοδότησης</w:t>
      </w:r>
      <w:r>
        <w:rPr>
          <w:b/>
          <w:smallCaps w:val="0"/>
          <w:color w:val="1F487C"/>
          <w:spacing w:val="-9"/>
          <w:sz w:val="22"/>
        </w:rPr>
        <w:t> </w:t>
      </w:r>
      <w:r>
        <w:rPr>
          <w:b/>
          <w:smallCaps w:val="0"/>
          <w:color w:val="1F487C"/>
          <w:sz w:val="22"/>
        </w:rPr>
        <w:t>να</w:t>
      </w:r>
      <w:r>
        <w:rPr>
          <w:b/>
          <w:smallCaps w:val="0"/>
          <w:color w:val="1F487C"/>
          <w:spacing w:val="-8"/>
          <w:sz w:val="22"/>
        </w:rPr>
        <w:t> </w:t>
      </w:r>
      <w:r>
        <w:rPr>
          <w:b/>
          <w:smallCaps w:val="0"/>
          <w:color w:val="1F487C"/>
          <w:sz w:val="22"/>
        </w:rPr>
        <w:t>εν</w:t>
      </w:r>
      <w:r>
        <w:rPr>
          <w:b/>
          <w:smallCaps/>
          <w:color w:val="1F487C"/>
          <w:sz w:val="22"/>
        </w:rPr>
        <w:t>ι</w:t>
      </w:r>
      <w:r>
        <w:rPr>
          <w:b/>
          <w:smallCaps w:val="0"/>
          <w:color w:val="1F487C"/>
          <w:sz w:val="22"/>
        </w:rPr>
        <w:t>σχύοντα</w:t>
      </w:r>
      <w:r>
        <w:rPr>
          <w:b/>
          <w:smallCaps/>
          <w:color w:val="1F487C"/>
          <w:sz w:val="22"/>
        </w:rPr>
        <w:t>ι</w:t>
      </w:r>
      <w:r>
        <w:rPr>
          <w:b/>
          <w:smallCaps w:val="0"/>
          <w:color w:val="1F487C"/>
          <w:spacing w:val="-6"/>
          <w:sz w:val="22"/>
        </w:rPr>
        <w:t> </w:t>
      </w:r>
      <w:r>
        <w:rPr>
          <w:b/>
          <w:smallCaps w:val="0"/>
          <w:color w:val="1F487C"/>
          <w:sz w:val="22"/>
        </w:rPr>
        <w:t>περα</w:t>
      </w:r>
      <w:r>
        <w:rPr>
          <w:b/>
          <w:smallCaps/>
          <w:color w:val="1F487C"/>
          <w:sz w:val="22"/>
        </w:rPr>
        <w:t>ι</w:t>
      </w:r>
      <w:r>
        <w:rPr>
          <w:b/>
          <w:smallCaps w:val="0"/>
          <w:color w:val="1F487C"/>
          <w:sz w:val="22"/>
        </w:rPr>
        <w:t>τέρω.</w:t>
      </w:r>
      <w:r>
        <w:rPr>
          <w:b/>
          <w:smallCaps w:val="0"/>
          <w:color w:val="1F487C"/>
          <w:spacing w:val="-5"/>
          <w:sz w:val="22"/>
        </w:rPr>
        <w:t> </w:t>
      </w:r>
      <w:r>
        <w:rPr>
          <w:smallCaps w:val="0"/>
          <w:sz w:val="22"/>
        </w:rPr>
        <w:t>Οι</w:t>
      </w:r>
      <w:r>
        <w:rPr>
          <w:smallCaps w:val="0"/>
          <w:spacing w:val="-8"/>
          <w:sz w:val="22"/>
        </w:rPr>
        <w:t> </w:t>
      </w:r>
      <w:r>
        <w:rPr>
          <w:smallCaps w:val="0"/>
          <w:sz w:val="22"/>
        </w:rPr>
        <w:t>δείκτες</w:t>
      </w:r>
      <w:r>
        <w:rPr>
          <w:smallCaps w:val="0"/>
          <w:spacing w:val="-7"/>
          <w:sz w:val="22"/>
        </w:rPr>
        <w:t> </w:t>
      </w:r>
      <w:r>
        <w:rPr>
          <w:smallCaps w:val="0"/>
          <w:sz w:val="22"/>
        </w:rPr>
        <w:t>ρευστότη-τας των ελληνικών τραπεζικών ομίλων παραμένουν σε επίπεδο σημαντικά υψηλότερο από τις εποπτικές</w:t>
      </w:r>
      <w:r>
        <w:rPr>
          <w:smallCaps w:val="0"/>
          <w:spacing w:val="-9"/>
          <w:sz w:val="22"/>
        </w:rPr>
        <w:t> </w:t>
      </w:r>
      <w:r>
        <w:rPr>
          <w:smallCaps w:val="0"/>
          <w:sz w:val="22"/>
        </w:rPr>
        <w:t>απαιτήσεις.</w:t>
      </w:r>
      <w:r>
        <w:rPr>
          <w:smallCaps w:val="0"/>
          <w:spacing w:val="-8"/>
          <w:sz w:val="22"/>
        </w:rPr>
        <w:t> </w:t>
      </w:r>
      <w:r>
        <w:rPr>
          <w:smallCaps w:val="0"/>
          <w:sz w:val="22"/>
        </w:rPr>
        <w:t>Ειδικότερα,</w:t>
      </w:r>
      <w:r>
        <w:rPr>
          <w:smallCaps w:val="0"/>
          <w:spacing w:val="-10"/>
          <w:sz w:val="22"/>
        </w:rPr>
        <w:t> </w:t>
      </w:r>
      <w:r>
        <w:rPr>
          <w:smallCaps w:val="0"/>
          <w:sz w:val="22"/>
        </w:rPr>
        <w:t>ο</w:t>
      </w:r>
      <w:r>
        <w:rPr>
          <w:smallCaps w:val="0"/>
          <w:spacing w:val="-8"/>
          <w:sz w:val="22"/>
        </w:rPr>
        <w:t> </w:t>
      </w:r>
      <w:r>
        <w:rPr>
          <w:smallCaps w:val="0"/>
          <w:sz w:val="22"/>
        </w:rPr>
        <w:t>Δείκτης</w:t>
      </w:r>
      <w:r>
        <w:rPr>
          <w:smallCaps w:val="0"/>
          <w:spacing w:val="-9"/>
          <w:sz w:val="22"/>
        </w:rPr>
        <w:t> </w:t>
      </w:r>
      <w:r>
        <w:rPr>
          <w:smallCaps w:val="0"/>
          <w:sz w:val="22"/>
        </w:rPr>
        <w:t>Κάλυψης</w:t>
      </w:r>
      <w:r>
        <w:rPr>
          <w:smallCaps w:val="0"/>
          <w:spacing w:val="-11"/>
          <w:sz w:val="22"/>
        </w:rPr>
        <w:t> </w:t>
      </w:r>
      <w:r>
        <w:rPr>
          <w:smallCaps w:val="0"/>
          <w:sz w:val="22"/>
        </w:rPr>
        <w:t>Ρευστότητας</w:t>
      </w:r>
      <w:r>
        <w:rPr>
          <w:smallCaps w:val="0"/>
          <w:spacing w:val="-11"/>
          <w:sz w:val="22"/>
        </w:rPr>
        <w:t> </w:t>
      </w:r>
      <w:r>
        <w:rPr>
          <w:smallCaps w:val="0"/>
          <w:sz w:val="22"/>
        </w:rPr>
        <w:t>(Liquidity</w:t>
      </w:r>
      <w:r>
        <w:rPr>
          <w:smallCaps w:val="0"/>
          <w:spacing w:val="-8"/>
          <w:sz w:val="22"/>
        </w:rPr>
        <w:t> </w:t>
      </w:r>
      <w:r>
        <w:rPr>
          <w:smallCaps w:val="0"/>
          <w:sz w:val="22"/>
        </w:rPr>
        <w:t>Coverage</w:t>
      </w:r>
      <w:r>
        <w:rPr>
          <w:smallCaps w:val="0"/>
          <w:spacing w:val="-8"/>
          <w:sz w:val="22"/>
        </w:rPr>
        <w:t> </w:t>
      </w:r>
      <w:r>
        <w:rPr>
          <w:smallCaps w:val="0"/>
          <w:sz w:val="22"/>
        </w:rPr>
        <w:t>Ratio</w:t>
      </w:r>
      <w:r>
        <w:rPr>
          <w:smallCaps w:val="0"/>
          <w:spacing w:val="-6"/>
          <w:sz w:val="22"/>
        </w:rPr>
        <w:t> </w:t>
      </w:r>
      <w:r>
        <w:rPr>
          <w:smallCaps w:val="0"/>
          <w:sz w:val="22"/>
        </w:rPr>
        <w:t>– LCR)</w:t>
      </w:r>
      <w:r>
        <w:rPr>
          <w:smallCaps w:val="0"/>
          <w:spacing w:val="-5"/>
          <w:sz w:val="22"/>
        </w:rPr>
        <w:t> </w:t>
      </w:r>
      <w:r>
        <w:rPr>
          <w:smallCaps w:val="0"/>
          <w:sz w:val="22"/>
        </w:rPr>
        <w:t>διαμορφώθηκε</w:t>
      </w:r>
      <w:r>
        <w:rPr>
          <w:smallCaps w:val="0"/>
          <w:spacing w:val="-7"/>
          <w:sz w:val="22"/>
        </w:rPr>
        <w:t> </w:t>
      </w:r>
      <w:r>
        <w:rPr>
          <w:smallCaps w:val="0"/>
          <w:sz w:val="22"/>
        </w:rPr>
        <w:t>σε</w:t>
      </w:r>
      <w:r>
        <w:rPr>
          <w:smallCaps w:val="0"/>
          <w:spacing w:val="-5"/>
          <w:sz w:val="22"/>
        </w:rPr>
        <w:t> </w:t>
      </w:r>
      <w:r>
        <w:rPr>
          <w:smallCaps w:val="0"/>
          <w:sz w:val="22"/>
        </w:rPr>
        <w:t>200,0%</w:t>
      </w:r>
      <w:r>
        <w:rPr>
          <w:smallCaps w:val="0"/>
          <w:spacing w:val="-5"/>
          <w:sz w:val="22"/>
        </w:rPr>
        <w:t> </w:t>
      </w:r>
      <w:r>
        <w:rPr>
          <w:smallCaps w:val="0"/>
          <w:sz w:val="22"/>
        </w:rPr>
        <w:t>και</w:t>
      </w:r>
      <w:r>
        <w:rPr>
          <w:smallCaps w:val="0"/>
          <w:spacing w:val="-5"/>
          <w:sz w:val="22"/>
        </w:rPr>
        <w:t> </w:t>
      </w:r>
      <w:r>
        <w:rPr>
          <w:smallCaps w:val="0"/>
          <w:sz w:val="22"/>
        </w:rPr>
        <w:t>ο</w:t>
      </w:r>
      <w:r>
        <w:rPr>
          <w:smallCaps w:val="0"/>
          <w:spacing w:val="-6"/>
          <w:sz w:val="22"/>
        </w:rPr>
        <w:t> </w:t>
      </w:r>
      <w:r>
        <w:rPr>
          <w:smallCaps w:val="0"/>
          <w:sz w:val="22"/>
        </w:rPr>
        <w:t>Δείκτης</w:t>
      </w:r>
      <w:r>
        <w:rPr>
          <w:smallCaps w:val="0"/>
          <w:spacing w:val="-7"/>
          <w:sz w:val="22"/>
        </w:rPr>
        <w:t> </w:t>
      </w:r>
      <w:r>
        <w:rPr>
          <w:smallCaps w:val="0"/>
          <w:sz w:val="22"/>
        </w:rPr>
        <w:t>Καθαρής</w:t>
      </w:r>
      <w:r>
        <w:rPr>
          <w:smallCaps w:val="0"/>
          <w:spacing w:val="-7"/>
          <w:sz w:val="22"/>
        </w:rPr>
        <w:t> </w:t>
      </w:r>
      <w:r>
        <w:rPr>
          <w:smallCaps w:val="0"/>
          <w:sz w:val="22"/>
        </w:rPr>
        <w:t>Σταθερής</w:t>
      </w:r>
      <w:r>
        <w:rPr>
          <w:smallCaps w:val="0"/>
          <w:spacing w:val="-7"/>
          <w:sz w:val="22"/>
        </w:rPr>
        <w:t> </w:t>
      </w:r>
      <w:r>
        <w:rPr>
          <w:smallCaps w:val="0"/>
          <w:sz w:val="22"/>
        </w:rPr>
        <w:t>Χρηματοδότησης</w:t>
      </w:r>
      <w:r>
        <w:rPr>
          <w:smallCaps w:val="0"/>
          <w:spacing w:val="-7"/>
          <w:sz w:val="22"/>
        </w:rPr>
        <w:t> </w:t>
      </w:r>
      <w:r>
        <w:rPr>
          <w:smallCaps w:val="0"/>
          <w:sz w:val="22"/>
        </w:rPr>
        <w:t>(Net</w:t>
      </w:r>
      <w:r>
        <w:rPr>
          <w:smallCaps w:val="0"/>
          <w:spacing w:val="-5"/>
          <w:sz w:val="22"/>
        </w:rPr>
        <w:t> </w:t>
      </w:r>
      <w:r>
        <w:rPr>
          <w:smallCaps w:val="0"/>
          <w:sz w:val="22"/>
        </w:rPr>
        <w:t>Stable Funding</w:t>
      </w:r>
      <w:r>
        <w:rPr>
          <w:smallCaps w:val="0"/>
          <w:spacing w:val="12"/>
          <w:sz w:val="22"/>
        </w:rPr>
        <w:t> </w:t>
      </w:r>
      <w:r>
        <w:rPr>
          <w:smallCaps w:val="0"/>
          <w:sz w:val="22"/>
        </w:rPr>
        <w:t>Ratio</w:t>
      </w:r>
      <w:r>
        <w:rPr>
          <w:smallCaps w:val="0"/>
          <w:spacing w:val="15"/>
          <w:sz w:val="22"/>
        </w:rPr>
        <w:t> </w:t>
      </w:r>
      <w:r>
        <w:rPr>
          <w:smallCaps w:val="0"/>
          <w:sz w:val="22"/>
        </w:rPr>
        <w:t>–</w:t>
      </w:r>
      <w:r>
        <w:rPr>
          <w:smallCaps w:val="0"/>
          <w:spacing w:val="15"/>
          <w:sz w:val="22"/>
        </w:rPr>
        <w:t> </w:t>
      </w:r>
      <w:r>
        <w:rPr>
          <w:smallCaps w:val="0"/>
          <w:sz w:val="22"/>
        </w:rPr>
        <w:t>NSFR)</w:t>
      </w:r>
      <w:r>
        <w:rPr>
          <w:smallCaps w:val="0"/>
          <w:spacing w:val="15"/>
          <w:sz w:val="22"/>
        </w:rPr>
        <w:t> </w:t>
      </w:r>
      <w:r>
        <w:rPr>
          <w:smallCaps w:val="0"/>
          <w:sz w:val="22"/>
        </w:rPr>
        <w:t>σε</w:t>
      </w:r>
      <w:r>
        <w:rPr>
          <w:smallCaps w:val="0"/>
          <w:spacing w:val="12"/>
          <w:sz w:val="22"/>
        </w:rPr>
        <w:t> </w:t>
      </w:r>
      <w:r>
        <w:rPr>
          <w:smallCaps w:val="0"/>
          <w:sz w:val="22"/>
        </w:rPr>
        <w:t>136,3%</w:t>
      </w:r>
      <w:r>
        <w:rPr>
          <w:smallCaps w:val="0"/>
          <w:spacing w:val="15"/>
          <w:sz w:val="22"/>
        </w:rPr>
        <w:t> </w:t>
      </w:r>
      <w:r>
        <w:rPr>
          <w:smallCaps w:val="0"/>
          <w:sz w:val="22"/>
        </w:rPr>
        <w:t>τον</w:t>
      </w:r>
      <w:r>
        <w:rPr>
          <w:smallCaps w:val="0"/>
          <w:spacing w:val="15"/>
          <w:sz w:val="22"/>
        </w:rPr>
        <w:t> </w:t>
      </w:r>
      <w:r>
        <w:rPr>
          <w:smallCaps w:val="0"/>
          <w:sz w:val="22"/>
        </w:rPr>
        <w:t>Δεκέμβριο</w:t>
      </w:r>
      <w:r>
        <w:rPr>
          <w:smallCaps w:val="0"/>
          <w:spacing w:val="14"/>
          <w:sz w:val="22"/>
        </w:rPr>
        <w:t> </w:t>
      </w:r>
      <w:r>
        <w:rPr>
          <w:smallCaps w:val="0"/>
          <w:sz w:val="22"/>
        </w:rPr>
        <w:t>του</w:t>
      </w:r>
      <w:r>
        <w:rPr>
          <w:smallCaps w:val="0"/>
          <w:spacing w:val="15"/>
          <w:sz w:val="22"/>
        </w:rPr>
        <w:t> </w:t>
      </w:r>
      <w:r>
        <w:rPr>
          <w:smallCaps w:val="0"/>
          <w:sz w:val="22"/>
        </w:rPr>
        <w:t>2025.</w:t>
      </w:r>
      <w:r>
        <w:rPr>
          <w:smallCaps w:val="0"/>
          <w:spacing w:val="15"/>
          <w:sz w:val="22"/>
        </w:rPr>
        <w:t> </w:t>
      </w:r>
      <w:r>
        <w:rPr>
          <w:smallCaps w:val="0"/>
          <w:sz w:val="22"/>
        </w:rPr>
        <w:t>Η</w:t>
      </w:r>
      <w:r>
        <w:rPr>
          <w:smallCaps w:val="0"/>
          <w:spacing w:val="13"/>
          <w:sz w:val="22"/>
        </w:rPr>
        <w:t> </w:t>
      </w:r>
      <w:r>
        <w:rPr>
          <w:smallCaps w:val="0"/>
          <w:sz w:val="22"/>
        </w:rPr>
        <w:t>ρευστότητα</w:t>
      </w:r>
      <w:r>
        <w:rPr>
          <w:smallCaps w:val="0"/>
          <w:spacing w:val="14"/>
          <w:sz w:val="22"/>
        </w:rPr>
        <w:t> </w:t>
      </w:r>
      <w:r>
        <w:rPr>
          <w:smallCaps w:val="0"/>
          <w:sz w:val="22"/>
        </w:rPr>
        <w:t>που</w:t>
      </w:r>
      <w:r>
        <w:rPr>
          <w:smallCaps w:val="0"/>
          <w:spacing w:val="13"/>
          <w:sz w:val="22"/>
        </w:rPr>
        <w:t> </w:t>
      </w:r>
      <w:r>
        <w:rPr>
          <w:smallCaps w:val="0"/>
          <w:sz w:val="22"/>
        </w:rPr>
        <w:t>διαθέτουν</w:t>
      </w:r>
      <w:r>
        <w:rPr>
          <w:smallCaps w:val="0"/>
          <w:spacing w:val="15"/>
          <w:sz w:val="22"/>
        </w:rPr>
        <w:t> </w:t>
      </w:r>
      <w:r>
        <w:rPr>
          <w:smallCaps w:val="0"/>
          <w:spacing w:val="-5"/>
          <w:sz w:val="22"/>
        </w:rPr>
        <w:t>τα</w:t>
      </w:r>
    </w:p>
    <w:p>
      <w:pPr>
        <w:spacing w:after="0" w:line="285" w:lineRule="auto"/>
        <w:jc w:val="both"/>
        <w:rPr>
          <w:sz w:val="22"/>
        </w:rPr>
        <w:sectPr>
          <w:footerReference w:type="default" r:id="rId12"/>
          <w:pgSz w:w="11910" w:h="16850"/>
          <w:pgMar w:header="0" w:footer="1180" w:top="1800" w:bottom="1360" w:left="1417" w:right="850"/>
        </w:sectPr>
      </w:pPr>
    </w:p>
    <w:p>
      <w:pPr>
        <w:pStyle w:val="BodyText"/>
        <w:spacing w:line="285" w:lineRule="auto" w:before="66"/>
        <w:ind w:left="172" w:right="957"/>
        <w:jc w:val="both"/>
      </w:pPr>
      <w:r>
        <w:rPr/>
        <w:t>ελληνικά</w:t>
      </w:r>
      <w:r>
        <w:rPr>
          <w:spacing w:val="-6"/>
        </w:rPr>
        <w:t> </w:t>
      </w:r>
      <w:r>
        <w:rPr/>
        <w:t>πιστωτικά</w:t>
      </w:r>
      <w:r>
        <w:rPr>
          <w:spacing w:val="-6"/>
        </w:rPr>
        <w:t> </w:t>
      </w:r>
      <w:r>
        <w:rPr/>
        <w:t>ιδρύματα</w:t>
      </w:r>
      <w:r>
        <w:rPr>
          <w:spacing w:val="-5"/>
        </w:rPr>
        <w:t> </w:t>
      </w:r>
      <w:r>
        <w:rPr/>
        <w:t>και</w:t>
      </w:r>
      <w:r>
        <w:rPr>
          <w:spacing w:val="-5"/>
        </w:rPr>
        <w:t> </w:t>
      </w:r>
      <w:r>
        <w:rPr/>
        <w:t>η</w:t>
      </w:r>
      <w:r>
        <w:rPr>
          <w:spacing w:val="-7"/>
        </w:rPr>
        <w:t> </w:t>
      </w:r>
      <w:r>
        <w:rPr/>
        <w:t>απρόσκοπτη</w:t>
      </w:r>
      <w:r>
        <w:rPr>
          <w:spacing w:val="-7"/>
        </w:rPr>
        <w:t> </w:t>
      </w:r>
      <w:r>
        <w:rPr/>
        <w:t>πρόσβασή</w:t>
      </w:r>
      <w:r>
        <w:rPr>
          <w:spacing w:val="-7"/>
        </w:rPr>
        <w:t> </w:t>
      </w:r>
      <w:r>
        <w:rPr/>
        <w:t>τους</w:t>
      </w:r>
      <w:r>
        <w:rPr>
          <w:spacing w:val="-8"/>
        </w:rPr>
        <w:t> </w:t>
      </w:r>
      <w:r>
        <w:rPr/>
        <w:t>στη</w:t>
      </w:r>
      <w:r>
        <w:rPr>
          <w:spacing w:val="-7"/>
        </w:rPr>
        <w:t> </w:t>
      </w:r>
      <w:r>
        <w:rPr/>
        <w:t>διατραπεζική</w:t>
      </w:r>
      <w:r>
        <w:rPr>
          <w:spacing w:val="-5"/>
        </w:rPr>
        <w:t> </w:t>
      </w:r>
      <w:r>
        <w:rPr/>
        <w:t>αγορά</w:t>
      </w:r>
      <w:r>
        <w:rPr>
          <w:spacing w:val="-4"/>
        </w:rPr>
        <w:t> </w:t>
      </w:r>
      <w:r>
        <w:rPr/>
        <w:t>και</w:t>
      </w:r>
      <w:r>
        <w:rPr>
          <w:spacing w:val="-7"/>
        </w:rPr>
        <w:t> </w:t>
      </w:r>
      <w:r>
        <w:rPr/>
        <w:t>τις αγορές κεφαλαίων έχουν ενισχύσει την ανθεκτικότητά τους σε πιθανές διαταραχές.</w:t>
      </w:r>
    </w:p>
    <w:p>
      <w:pPr>
        <w:pStyle w:val="BodyText"/>
        <w:spacing w:line="285" w:lineRule="auto" w:before="238"/>
        <w:ind w:left="172" w:right="957"/>
        <w:jc w:val="both"/>
      </w:pPr>
      <w:r>
        <w:rPr>
          <w:b/>
          <w:color w:val="1F487C"/>
        </w:rPr>
        <w:t>Η πο</w:t>
      </w:r>
      <w:r>
        <w:rPr>
          <w:b/>
          <w:smallCaps/>
          <w:color w:val="1F487C"/>
        </w:rPr>
        <w:t>ι</w:t>
      </w:r>
      <w:r>
        <w:rPr>
          <w:b/>
          <w:smallCaps w:val="0"/>
          <w:color w:val="1F487C"/>
        </w:rPr>
        <w:t>ότητα του δανε</w:t>
      </w:r>
      <w:r>
        <w:rPr>
          <w:b/>
          <w:smallCaps/>
          <w:color w:val="1F487C"/>
        </w:rPr>
        <w:t>ι</w:t>
      </w:r>
      <w:r>
        <w:rPr>
          <w:b/>
          <w:smallCaps w:val="0"/>
          <w:color w:val="1F487C"/>
        </w:rPr>
        <w:t>ακού χαρτοφυλακίου των π</w:t>
      </w:r>
      <w:r>
        <w:rPr>
          <w:b/>
          <w:smallCaps/>
          <w:color w:val="1F487C"/>
        </w:rPr>
        <w:t>ι</w:t>
      </w:r>
      <w:r>
        <w:rPr>
          <w:b/>
          <w:smallCaps w:val="0"/>
          <w:color w:val="1F487C"/>
        </w:rPr>
        <w:t>στωτ</w:t>
      </w:r>
      <w:r>
        <w:rPr>
          <w:b/>
          <w:smallCaps/>
          <w:color w:val="1F487C"/>
        </w:rPr>
        <w:t>ι</w:t>
      </w:r>
      <w:r>
        <w:rPr>
          <w:b/>
          <w:smallCaps w:val="0"/>
          <w:color w:val="1F487C"/>
        </w:rPr>
        <w:t>κών </w:t>
      </w:r>
      <w:r>
        <w:rPr>
          <w:b/>
          <w:smallCaps/>
          <w:color w:val="1F487C"/>
        </w:rPr>
        <w:t>ι</w:t>
      </w:r>
      <w:r>
        <w:rPr>
          <w:b/>
          <w:smallCaps w:val="0"/>
          <w:color w:val="1F487C"/>
        </w:rPr>
        <w:t>δρυμάτων βελτ</w:t>
      </w:r>
      <w:r>
        <w:rPr>
          <w:b/>
          <w:smallCaps/>
          <w:color w:val="1F487C"/>
        </w:rPr>
        <w:t>ι</w:t>
      </w:r>
      <w:r>
        <w:rPr>
          <w:b/>
          <w:smallCaps w:val="0"/>
          <w:color w:val="1F487C"/>
        </w:rPr>
        <w:t>ώθηκε. </w:t>
      </w:r>
      <w:r>
        <w:rPr>
          <w:smallCaps w:val="0"/>
        </w:rPr>
        <w:t>Τον Δεκέμβριο του 2025 το απόθεμα των μη εξυπηρετούμενων δανείων (ΜΕΔ) σε ατομική βάση διαμορφώθηκε σε 5,7 δισεκ. ευρώ, μειωμένο κατά 5,2% σε σχέση με τον Δεκέμβριο του 2024, κυρίως</w:t>
      </w:r>
      <w:r>
        <w:rPr>
          <w:smallCaps w:val="0"/>
          <w:spacing w:val="-11"/>
        </w:rPr>
        <w:t> </w:t>
      </w:r>
      <w:r>
        <w:rPr>
          <w:smallCaps w:val="0"/>
        </w:rPr>
        <w:t>λόγω</w:t>
      </w:r>
      <w:r>
        <w:rPr>
          <w:smallCaps w:val="0"/>
          <w:spacing w:val="-11"/>
        </w:rPr>
        <w:t> </w:t>
      </w:r>
      <w:r>
        <w:rPr>
          <w:smallCaps w:val="0"/>
        </w:rPr>
        <w:t>εισπράξεων,</w:t>
      </w:r>
      <w:r>
        <w:rPr>
          <w:smallCaps w:val="0"/>
          <w:spacing w:val="-10"/>
        </w:rPr>
        <w:t> </w:t>
      </w:r>
      <w:r>
        <w:rPr>
          <w:smallCaps w:val="0"/>
        </w:rPr>
        <w:t>πωλήσεων</w:t>
      </w:r>
      <w:r>
        <w:rPr>
          <w:smallCaps w:val="0"/>
          <w:spacing w:val="-9"/>
        </w:rPr>
        <w:t> </w:t>
      </w:r>
      <w:r>
        <w:rPr>
          <w:smallCaps w:val="0"/>
        </w:rPr>
        <w:t>και</w:t>
      </w:r>
      <w:r>
        <w:rPr>
          <w:smallCaps w:val="0"/>
          <w:spacing w:val="-9"/>
        </w:rPr>
        <w:t> </w:t>
      </w:r>
      <w:r>
        <w:rPr>
          <w:smallCaps w:val="0"/>
        </w:rPr>
        <w:t>διαγραφών</w:t>
      </w:r>
      <w:r>
        <w:rPr>
          <w:smallCaps w:val="0"/>
          <w:spacing w:val="-9"/>
        </w:rPr>
        <w:t> </w:t>
      </w:r>
      <w:r>
        <w:rPr>
          <w:smallCaps w:val="0"/>
        </w:rPr>
        <w:t>δανείων.</w:t>
      </w:r>
      <w:r>
        <w:rPr>
          <w:smallCaps w:val="0"/>
          <w:spacing w:val="-10"/>
        </w:rPr>
        <w:t> </w:t>
      </w:r>
      <w:r>
        <w:rPr>
          <w:smallCaps w:val="0"/>
        </w:rPr>
        <w:t>Ο</w:t>
      </w:r>
      <w:r>
        <w:rPr>
          <w:smallCaps w:val="0"/>
          <w:spacing w:val="-11"/>
        </w:rPr>
        <w:t> </w:t>
      </w:r>
      <w:r>
        <w:rPr>
          <w:smallCaps w:val="0"/>
        </w:rPr>
        <w:t>λόγος</w:t>
      </w:r>
      <w:r>
        <w:rPr>
          <w:smallCaps w:val="0"/>
          <w:spacing w:val="-11"/>
        </w:rPr>
        <w:t> </w:t>
      </w:r>
      <w:r>
        <w:rPr>
          <w:smallCaps w:val="0"/>
        </w:rPr>
        <w:t>των</w:t>
      </w:r>
      <w:r>
        <w:rPr>
          <w:smallCaps w:val="0"/>
          <w:spacing w:val="-9"/>
        </w:rPr>
        <w:t> </w:t>
      </w:r>
      <w:r>
        <w:rPr>
          <w:smallCaps w:val="0"/>
        </w:rPr>
        <w:t>ΜΕΔ</w:t>
      </w:r>
      <w:r>
        <w:rPr>
          <w:smallCaps w:val="0"/>
          <w:spacing w:val="-10"/>
        </w:rPr>
        <w:t> </w:t>
      </w:r>
      <w:r>
        <w:rPr>
          <w:smallCaps w:val="0"/>
        </w:rPr>
        <w:t>προς</w:t>
      </w:r>
      <w:r>
        <w:rPr>
          <w:smallCaps w:val="0"/>
          <w:spacing w:val="-10"/>
        </w:rPr>
        <w:t> </w:t>
      </w:r>
      <w:r>
        <w:rPr>
          <w:smallCaps w:val="0"/>
        </w:rPr>
        <w:t>το</w:t>
      </w:r>
      <w:r>
        <w:rPr>
          <w:smallCaps w:val="0"/>
          <w:spacing w:val="-9"/>
        </w:rPr>
        <w:t> </w:t>
      </w:r>
      <w:r>
        <w:rPr>
          <w:smallCaps w:val="0"/>
        </w:rPr>
        <w:t>σύνολο των δανείων διαμορφώθηκε σε 3,3% τον Δεκέμβριο του 2025 (από 3,8% τον Δεκέμβριο του 2024), καθώς η πιστωτική</w:t>
      </w:r>
      <w:r>
        <w:rPr>
          <w:smallCaps w:val="0"/>
          <w:spacing w:val="-2"/>
        </w:rPr>
        <w:t> </w:t>
      </w:r>
      <w:r>
        <w:rPr>
          <w:smallCaps w:val="0"/>
        </w:rPr>
        <w:t>επέκταση συνδυάστηκε με</w:t>
      </w:r>
      <w:r>
        <w:rPr>
          <w:smallCaps w:val="0"/>
          <w:spacing w:val="-1"/>
        </w:rPr>
        <w:t> </w:t>
      </w:r>
      <w:r>
        <w:rPr>
          <w:smallCaps w:val="0"/>
        </w:rPr>
        <w:t>μείωση των ΜΕΔ. Το ποσοστό αυτό είναι το</w:t>
      </w:r>
      <w:r>
        <w:rPr>
          <w:smallCaps w:val="0"/>
          <w:spacing w:val="-5"/>
        </w:rPr>
        <w:t> </w:t>
      </w:r>
      <w:r>
        <w:rPr>
          <w:smallCaps w:val="0"/>
        </w:rPr>
        <w:t>χαμηλότερο</w:t>
      </w:r>
      <w:r>
        <w:rPr>
          <w:smallCaps w:val="0"/>
          <w:spacing w:val="-4"/>
        </w:rPr>
        <w:t> </w:t>
      </w:r>
      <w:r>
        <w:rPr>
          <w:smallCaps w:val="0"/>
        </w:rPr>
        <w:t>από</w:t>
      </w:r>
      <w:r>
        <w:rPr>
          <w:smallCaps w:val="0"/>
          <w:spacing w:val="-7"/>
        </w:rPr>
        <w:t> </w:t>
      </w:r>
      <w:r>
        <w:rPr>
          <w:smallCaps w:val="0"/>
        </w:rPr>
        <w:t>την</w:t>
      </w:r>
      <w:r>
        <w:rPr>
          <w:smallCaps w:val="0"/>
          <w:spacing w:val="-6"/>
        </w:rPr>
        <w:t> </w:t>
      </w:r>
      <w:r>
        <w:rPr>
          <w:smallCaps w:val="0"/>
        </w:rPr>
        <w:t>ένταξη</w:t>
      </w:r>
      <w:r>
        <w:rPr>
          <w:smallCaps w:val="0"/>
          <w:spacing w:val="-6"/>
        </w:rPr>
        <w:t> </w:t>
      </w:r>
      <w:r>
        <w:rPr>
          <w:smallCaps w:val="0"/>
        </w:rPr>
        <w:t>της</w:t>
      </w:r>
      <w:r>
        <w:rPr>
          <w:smallCaps w:val="0"/>
          <w:spacing w:val="-6"/>
        </w:rPr>
        <w:t> </w:t>
      </w:r>
      <w:r>
        <w:rPr>
          <w:smallCaps w:val="0"/>
        </w:rPr>
        <w:t>Ελλάδος</w:t>
      </w:r>
      <w:r>
        <w:rPr>
          <w:smallCaps w:val="0"/>
          <w:spacing w:val="-8"/>
        </w:rPr>
        <w:t> </w:t>
      </w:r>
      <w:r>
        <w:rPr>
          <w:smallCaps w:val="0"/>
        </w:rPr>
        <w:t>στη</w:t>
      </w:r>
      <w:r>
        <w:rPr>
          <w:smallCaps w:val="0"/>
          <w:spacing w:val="-5"/>
        </w:rPr>
        <w:t> </w:t>
      </w:r>
      <w:r>
        <w:rPr>
          <w:smallCaps w:val="0"/>
        </w:rPr>
        <w:t>ζώνη</w:t>
      </w:r>
      <w:r>
        <w:rPr>
          <w:smallCaps w:val="0"/>
          <w:spacing w:val="-7"/>
        </w:rPr>
        <w:t> </w:t>
      </w:r>
      <w:r>
        <w:rPr>
          <w:smallCaps w:val="0"/>
        </w:rPr>
        <w:t>του</w:t>
      </w:r>
      <w:r>
        <w:rPr>
          <w:smallCaps w:val="0"/>
          <w:spacing w:val="-6"/>
        </w:rPr>
        <w:t> </w:t>
      </w:r>
      <w:r>
        <w:rPr>
          <w:smallCaps w:val="0"/>
        </w:rPr>
        <w:t>ευρώ</w:t>
      </w:r>
      <w:r>
        <w:rPr>
          <w:smallCaps w:val="0"/>
          <w:spacing w:val="-6"/>
        </w:rPr>
        <w:t> </w:t>
      </w:r>
      <w:r>
        <w:rPr>
          <w:smallCaps w:val="0"/>
        </w:rPr>
        <w:t>και</w:t>
      </w:r>
      <w:r>
        <w:rPr>
          <w:smallCaps w:val="0"/>
          <w:spacing w:val="-7"/>
        </w:rPr>
        <w:t> </w:t>
      </w:r>
      <w:r>
        <w:rPr>
          <w:smallCaps w:val="0"/>
        </w:rPr>
        <w:t>έχει</w:t>
      </w:r>
      <w:r>
        <w:rPr>
          <w:smallCaps w:val="0"/>
          <w:spacing w:val="-6"/>
        </w:rPr>
        <w:t> </w:t>
      </w:r>
      <w:r>
        <w:rPr>
          <w:smallCaps w:val="0"/>
        </w:rPr>
        <w:t>συγκλίνει</w:t>
      </w:r>
      <w:r>
        <w:rPr>
          <w:smallCaps w:val="0"/>
          <w:spacing w:val="-6"/>
        </w:rPr>
        <w:t> </w:t>
      </w:r>
      <w:r>
        <w:rPr>
          <w:smallCaps w:val="0"/>
        </w:rPr>
        <w:t>σημαντικά</w:t>
      </w:r>
      <w:r>
        <w:rPr>
          <w:smallCaps w:val="0"/>
          <w:spacing w:val="-5"/>
        </w:rPr>
        <w:t> </w:t>
      </w:r>
      <w:r>
        <w:rPr>
          <w:smallCaps w:val="0"/>
        </w:rPr>
        <w:t>με τον μέσο όρο των σημαντικών τραπεζών στην Τραπεζική Ένωση.</w:t>
      </w:r>
    </w:p>
    <w:p>
      <w:pPr>
        <w:spacing w:line="285" w:lineRule="auto" w:before="232"/>
        <w:ind w:left="172" w:right="954" w:firstLine="0"/>
        <w:jc w:val="both"/>
        <w:rPr>
          <w:sz w:val="22"/>
        </w:rPr>
      </w:pPr>
      <w:r>
        <w:rPr>
          <w:b/>
          <w:color w:val="1F487C"/>
          <w:sz w:val="22"/>
        </w:rPr>
        <w:t>Το</w:t>
      </w:r>
      <w:r>
        <w:rPr>
          <w:b/>
          <w:color w:val="1F487C"/>
          <w:spacing w:val="-1"/>
          <w:sz w:val="22"/>
        </w:rPr>
        <w:t> </w:t>
      </w:r>
      <w:r>
        <w:rPr>
          <w:b/>
          <w:color w:val="1F487C"/>
          <w:sz w:val="22"/>
        </w:rPr>
        <w:t>2025</w:t>
      </w:r>
      <w:r>
        <w:rPr>
          <w:b/>
          <w:color w:val="1F487C"/>
          <w:spacing w:val="-1"/>
          <w:sz w:val="22"/>
        </w:rPr>
        <w:t> </w:t>
      </w:r>
      <w:r>
        <w:rPr>
          <w:b/>
          <w:color w:val="1F487C"/>
          <w:sz w:val="22"/>
        </w:rPr>
        <w:t>ο</w:t>
      </w:r>
      <w:r>
        <w:rPr>
          <w:b/>
          <w:smallCaps/>
          <w:color w:val="1F487C"/>
          <w:sz w:val="22"/>
        </w:rPr>
        <w:t>ι</w:t>
      </w:r>
      <w:r>
        <w:rPr>
          <w:b/>
          <w:smallCaps w:val="0"/>
          <w:color w:val="1F487C"/>
          <w:sz w:val="22"/>
        </w:rPr>
        <w:t> ελλην</w:t>
      </w:r>
      <w:r>
        <w:rPr>
          <w:b/>
          <w:smallCaps/>
          <w:color w:val="1F487C"/>
          <w:sz w:val="22"/>
        </w:rPr>
        <w:t>ι</w:t>
      </w:r>
      <w:r>
        <w:rPr>
          <w:b/>
          <w:smallCaps w:val="0"/>
          <w:color w:val="1F487C"/>
          <w:sz w:val="22"/>
        </w:rPr>
        <w:t>κές</w:t>
      </w:r>
      <w:r>
        <w:rPr>
          <w:b/>
          <w:smallCaps w:val="0"/>
          <w:color w:val="1F487C"/>
          <w:spacing w:val="-1"/>
          <w:sz w:val="22"/>
        </w:rPr>
        <w:t> </w:t>
      </w:r>
      <w:r>
        <w:rPr>
          <w:b/>
          <w:smallCaps w:val="0"/>
          <w:color w:val="1F487C"/>
          <w:sz w:val="22"/>
        </w:rPr>
        <w:t>τράπεζες σημείωσαν</w:t>
      </w:r>
      <w:r>
        <w:rPr>
          <w:b/>
          <w:smallCaps w:val="0"/>
          <w:color w:val="1F487C"/>
          <w:spacing w:val="-1"/>
          <w:sz w:val="22"/>
        </w:rPr>
        <w:t> </w:t>
      </w:r>
      <w:r>
        <w:rPr>
          <w:b/>
          <w:smallCaps w:val="0"/>
          <w:color w:val="1F487C"/>
          <w:sz w:val="22"/>
        </w:rPr>
        <w:t>πρόοδο</w:t>
      </w:r>
      <w:r>
        <w:rPr>
          <w:b/>
          <w:smallCaps w:val="0"/>
          <w:color w:val="1F487C"/>
          <w:spacing w:val="-3"/>
          <w:sz w:val="22"/>
        </w:rPr>
        <w:t> </w:t>
      </w:r>
      <w:r>
        <w:rPr>
          <w:b/>
          <w:smallCaps w:val="0"/>
          <w:color w:val="1F487C"/>
          <w:sz w:val="22"/>
        </w:rPr>
        <w:t>στην</w:t>
      </w:r>
      <w:r>
        <w:rPr>
          <w:b/>
          <w:smallCaps w:val="0"/>
          <w:color w:val="1F487C"/>
          <w:spacing w:val="-2"/>
          <w:sz w:val="22"/>
        </w:rPr>
        <w:t> </w:t>
      </w:r>
      <w:r>
        <w:rPr>
          <w:b/>
          <w:smallCaps w:val="0"/>
          <w:color w:val="1F487C"/>
          <w:sz w:val="22"/>
        </w:rPr>
        <w:t>ενίσχυση</w:t>
      </w:r>
      <w:r>
        <w:rPr>
          <w:b/>
          <w:smallCaps w:val="0"/>
          <w:color w:val="1F487C"/>
          <w:spacing w:val="-2"/>
          <w:sz w:val="22"/>
        </w:rPr>
        <w:t> </w:t>
      </w:r>
      <w:r>
        <w:rPr>
          <w:b/>
          <w:smallCaps w:val="0"/>
          <w:color w:val="1F487C"/>
          <w:sz w:val="22"/>
        </w:rPr>
        <w:t>του πλα</w:t>
      </w:r>
      <w:r>
        <w:rPr>
          <w:b/>
          <w:smallCaps/>
          <w:color w:val="1F487C"/>
          <w:sz w:val="22"/>
        </w:rPr>
        <w:t>ι</w:t>
      </w:r>
      <w:r>
        <w:rPr>
          <w:b/>
          <w:smallCaps w:val="0"/>
          <w:color w:val="1F487C"/>
          <w:sz w:val="22"/>
        </w:rPr>
        <w:t>σίου δ</w:t>
      </w:r>
      <w:r>
        <w:rPr>
          <w:b/>
          <w:smallCaps/>
          <w:color w:val="1F487C"/>
          <w:sz w:val="22"/>
        </w:rPr>
        <w:t>ι</w:t>
      </w:r>
      <w:r>
        <w:rPr>
          <w:b/>
          <w:smallCaps w:val="0"/>
          <w:color w:val="1F487C"/>
          <w:sz w:val="22"/>
        </w:rPr>
        <w:t>αχείρ</w:t>
      </w:r>
      <w:r>
        <w:rPr>
          <w:b/>
          <w:smallCaps/>
          <w:color w:val="1F487C"/>
          <w:sz w:val="22"/>
        </w:rPr>
        <w:t>ι</w:t>
      </w:r>
      <w:r>
        <w:rPr>
          <w:b/>
          <w:smallCaps w:val="0"/>
          <w:color w:val="1F487C"/>
          <w:sz w:val="22"/>
        </w:rPr>
        <w:t>σης λε</w:t>
      </w:r>
      <w:r>
        <w:rPr>
          <w:b/>
          <w:smallCaps/>
          <w:color w:val="1F487C"/>
          <w:sz w:val="22"/>
        </w:rPr>
        <w:t>ι</w:t>
      </w:r>
      <w:r>
        <w:rPr>
          <w:b/>
          <w:smallCaps w:val="0"/>
          <w:color w:val="1F487C"/>
          <w:sz w:val="22"/>
        </w:rPr>
        <w:t>τουργ</w:t>
      </w:r>
      <w:r>
        <w:rPr>
          <w:b/>
          <w:smallCaps/>
          <w:color w:val="1F487C"/>
          <w:sz w:val="22"/>
        </w:rPr>
        <w:t>ι</w:t>
      </w:r>
      <w:r>
        <w:rPr>
          <w:b/>
          <w:smallCaps w:val="0"/>
          <w:color w:val="1F487C"/>
          <w:sz w:val="22"/>
        </w:rPr>
        <w:t>κού</w:t>
      </w:r>
      <w:r>
        <w:rPr>
          <w:b/>
          <w:smallCaps w:val="0"/>
          <w:color w:val="1F487C"/>
          <w:spacing w:val="-5"/>
          <w:sz w:val="22"/>
        </w:rPr>
        <w:t> </w:t>
      </w:r>
      <w:r>
        <w:rPr>
          <w:b/>
          <w:smallCaps w:val="0"/>
          <w:color w:val="1F487C"/>
          <w:sz w:val="22"/>
        </w:rPr>
        <w:t>κ</w:t>
      </w:r>
      <w:r>
        <w:rPr>
          <w:b/>
          <w:smallCaps/>
          <w:color w:val="1F487C"/>
          <w:sz w:val="22"/>
        </w:rPr>
        <w:t>ιν</w:t>
      </w:r>
      <w:r>
        <w:rPr>
          <w:b/>
          <w:smallCaps w:val="0"/>
          <w:color w:val="1F487C"/>
          <w:sz w:val="22"/>
        </w:rPr>
        <w:t>δύνου.</w:t>
      </w:r>
      <w:r>
        <w:rPr>
          <w:b/>
          <w:smallCaps w:val="0"/>
          <w:color w:val="1F487C"/>
          <w:spacing w:val="-6"/>
          <w:sz w:val="22"/>
        </w:rPr>
        <w:t> </w:t>
      </w:r>
      <w:r>
        <w:rPr>
          <w:smallCaps w:val="0"/>
          <w:sz w:val="22"/>
        </w:rPr>
        <w:t>Ο</w:t>
      </w:r>
      <w:r>
        <w:rPr>
          <w:smallCaps w:val="0"/>
          <w:spacing w:val="-8"/>
          <w:sz w:val="22"/>
        </w:rPr>
        <w:t> </w:t>
      </w:r>
      <w:r>
        <w:rPr>
          <w:smallCaps w:val="0"/>
          <w:sz w:val="22"/>
        </w:rPr>
        <w:t>ψηφιακός</w:t>
      </w:r>
      <w:r>
        <w:rPr>
          <w:smallCaps w:val="0"/>
          <w:spacing w:val="-7"/>
          <w:sz w:val="22"/>
        </w:rPr>
        <w:t> </w:t>
      </w:r>
      <w:r>
        <w:rPr>
          <w:smallCaps w:val="0"/>
          <w:sz w:val="22"/>
        </w:rPr>
        <w:t>μετασχηματισμός,</w:t>
      </w:r>
      <w:r>
        <w:rPr>
          <w:smallCaps w:val="0"/>
          <w:spacing w:val="-5"/>
          <w:sz w:val="22"/>
        </w:rPr>
        <w:t> </w:t>
      </w:r>
      <w:r>
        <w:rPr>
          <w:smallCaps w:val="0"/>
          <w:sz w:val="22"/>
        </w:rPr>
        <w:t>οι</w:t>
      </w:r>
      <w:r>
        <w:rPr>
          <w:smallCaps w:val="0"/>
          <w:spacing w:val="-5"/>
          <w:sz w:val="22"/>
        </w:rPr>
        <w:t> </w:t>
      </w:r>
      <w:r>
        <w:rPr>
          <w:smallCaps w:val="0"/>
          <w:sz w:val="22"/>
        </w:rPr>
        <w:t>αυξημένες</w:t>
      </w:r>
      <w:r>
        <w:rPr>
          <w:smallCaps w:val="0"/>
          <w:spacing w:val="-7"/>
          <w:sz w:val="22"/>
        </w:rPr>
        <w:t> </w:t>
      </w:r>
      <w:r>
        <w:rPr>
          <w:smallCaps w:val="0"/>
          <w:sz w:val="22"/>
        </w:rPr>
        <w:t>και</w:t>
      </w:r>
      <w:r>
        <w:rPr>
          <w:smallCaps w:val="0"/>
          <w:spacing w:val="-8"/>
          <w:sz w:val="22"/>
        </w:rPr>
        <w:t> </w:t>
      </w:r>
      <w:r>
        <w:rPr>
          <w:smallCaps w:val="0"/>
          <w:sz w:val="22"/>
        </w:rPr>
        <w:t>εξελιγμένες</w:t>
      </w:r>
      <w:r>
        <w:rPr>
          <w:smallCaps w:val="0"/>
          <w:spacing w:val="-4"/>
          <w:sz w:val="22"/>
        </w:rPr>
        <w:t> </w:t>
      </w:r>
      <w:r>
        <w:rPr>
          <w:smallCaps w:val="0"/>
          <w:sz w:val="22"/>
        </w:rPr>
        <w:t>κυβερνο-απειλές,</w:t>
      </w:r>
      <w:r>
        <w:rPr>
          <w:smallCaps w:val="0"/>
          <w:spacing w:val="-13"/>
          <w:sz w:val="22"/>
        </w:rPr>
        <w:t> </w:t>
      </w:r>
      <w:r>
        <w:rPr>
          <w:smallCaps w:val="0"/>
          <w:sz w:val="22"/>
        </w:rPr>
        <w:t>καθώς</w:t>
      </w:r>
      <w:r>
        <w:rPr>
          <w:smallCaps w:val="0"/>
          <w:spacing w:val="-13"/>
          <w:sz w:val="22"/>
        </w:rPr>
        <w:t> </w:t>
      </w:r>
      <w:r>
        <w:rPr>
          <w:smallCaps w:val="0"/>
          <w:sz w:val="22"/>
        </w:rPr>
        <w:t>και</w:t>
      </w:r>
      <w:r>
        <w:rPr>
          <w:smallCaps w:val="0"/>
          <w:spacing w:val="-12"/>
          <w:sz w:val="22"/>
        </w:rPr>
        <w:t> </w:t>
      </w:r>
      <w:r>
        <w:rPr>
          <w:smallCaps w:val="0"/>
          <w:sz w:val="22"/>
        </w:rPr>
        <w:t>η</w:t>
      </w:r>
      <w:r>
        <w:rPr>
          <w:smallCaps w:val="0"/>
          <w:spacing w:val="-12"/>
          <w:sz w:val="22"/>
        </w:rPr>
        <w:t> </w:t>
      </w:r>
      <w:r>
        <w:rPr>
          <w:smallCaps w:val="0"/>
          <w:sz w:val="22"/>
        </w:rPr>
        <w:t>σημαντική</w:t>
      </w:r>
      <w:r>
        <w:rPr>
          <w:smallCaps w:val="0"/>
          <w:spacing w:val="-12"/>
          <w:sz w:val="22"/>
        </w:rPr>
        <w:t> </w:t>
      </w:r>
      <w:r>
        <w:rPr>
          <w:smallCaps w:val="0"/>
          <w:sz w:val="22"/>
        </w:rPr>
        <w:t>εξάρτηση</w:t>
      </w:r>
      <w:r>
        <w:rPr>
          <w:smallCaps w:val="0"/>
          <w:spacing w:val="-12"/>
          <w:sz w:val="22"/>
        </w:rPr>
        <w:t> </w:t>
      </w:r>
      <w:r>
        <w:rPr>
          <w:smallCaps w:val="0"/>
          <w:sz w:val="22"/>
        </w:rPr>
        <w:t>από</w:t>
      </w:r>
      <w:r>
        <w:rPr>
          <w:smallCaps w:val="0"/>
          <w:spacing w:val="-12"/>
          <w:sz w:val="22"/>
        </w:rPr>
        <w:t> </w:t>
      </w:r>
      <w:r>
        <w:rPr>
          <w:smallCaps w:val="0"/>
          <w:sz w:val="22"/>
        </w:rPr>
        <w:t>τρίτους</w:t>
      </w:r>
      <w:r>
        <w:rPr>
          <w:smallCaps w:val="0"/>
          <w:spacing w:val="-14"/>
          <w:sz w:val="22"/>
        </w:rPr>
        <w:t> </w:t>
      </w:r>
      <w:r>
        <w:rPr>
          <w:smallCaps w:val="0"/>
          <w:sz w:val="22"/>
        </w:rPr>
        <w:t>παρόχους</w:t>
      </w:r>
      <w:r>
        <w:rPr>
          <w:smallCaps w:val="0"/>
          <w:spacing w:val="-13"/>
          <w:sz w:val="22"/>
        </w:rPr>
        <w:t> </w:t>
      </w:r>
      <w:r>
        <w:rPr>
          <w:smallCaps w:val="0"/>
          <w:sz w:val="22"/>
        </w:rPr>
        <w:t>Τεχνολογιών</w:t>
      </w:r>
      <w:r>
        <w:rPr>
          <w:smallCaps w:val="0"/>
          <w:spacing w:val="-11"/>
          <w:sz w:val="22"/>
        </w:rPr>
        <w:t> </w:t>
      </w:r>
      <w:r>
        <w:rPr>
          <w:smallCaps w:val="0"/>
          <w:sz w:val="22"/>
        </w:rPr>
        <w:t>Πληροφοριών</w:t>
      </w:r>
      <w:r>
        <w:rPr>
          <w:smallCaps w:val="0"/>
          <w:spacing w:val="-11"/>
          <w:sz w:val="22"/>
        </w:rPr>
        <w:t> </w:t>
      </w:r>
      <w:r>
        <w:rPr>
          <w:smallCaps w:val="0"/>
          <w:sz w:val="22"/>
        </w:rPr>
        <w:t>και Επικοινωνιών καθιστούν αναγκαία τη μετάβαση σ’ ένα σύγχρονο μοντέλο ψηφιακής επιχειρη-σιακής ανθεκτικότητας.</w:t>
      </w:r>
    </w:p>
    <w:p>
      <w:pPr>
        <w:pStyle w:val="BodyText"/>
        <w:spacing w:line="285" w:lineRule="auto" w:before="235"/>
        <w:ind w:left="172" w:right="957"/>
        <w:jc w:val="both"/>
      </w:pPr>
      <w:r>
        <w:rPr>
          <w:b/>
          <w:color w:val="1F487C"/>
        </w:rPr>
        <w:t>Η</w:t>
      </w:r>
      <w:r>
        <w:rPr>
          <w:b/>
          <w:color w:val="1F487C"/>
          <w:spacing w:val="-2"/>
        </w:rPr>
        <w:t> </w:t>
      </w:r>
      <w:r>
        <w:rPr>
          <w:b/>
          <w:color w:val="1F487C"/>
        </w:rPr>
        <w:t>κερδοφορία</w:t>
      </w:r>
      <w:r>
        <w:rPr>
          <w:b/>
          <w:color w:val="1F487C"/>
          <w:spacing w:val="-4"/>
        </w:rPr>
        <w:t> </w:t>
      </w:r>
      <w:r>
        <w:rPr>
          <w:b/>
          <w:color w:val="1F487C"/>
        </w:rPr>
        <w:t>των</w:t>
      </w:r>
      <w:r>
        <w:rPr>
          <w:b/>
          <w:color w:val="1F487C"/>
          <w:spacing w:val="-4"/>
        </w:rPr>
        <w:t> </w:t>
      </w:r>
      <w:r>
        <w:rPr>
          <w:b/>
          <w:color w:val="1F487C"/>
        </w:rPr>
        <w:t>ελλην</w:t>
      </w:r>
      <w:r>
        <w:rPr>
          <w:b/>
          <w:smallCaps/>
          <w:color w:val="1F487C"/>
        </w:rPr>
        <w:t>ι</w:t>
      </w:r>
      <w:r>
        <w:rPr>
          <w:b/>
          <w:smallCaps w:val="0"/>
          <w:color w:val="1F487C"/>
        </w:rPr>
        <w:t>κών</w:t>
      </w:r>
      <w:r>
        <w:rPr>
          <w:b/>
          <w:smallCaps w:val="0"/>
          <w:color w:val="1F487C"/>
          <w:spacing w:val="-3"/>
        </w:rPr>
        <w:t> </w:t>
      </w:r>
      <w:r>
        <w:rPr>
          <w:b/>
          <w:smallCaps w:val="0"/>
          <w:color w:val="1F487C"/>
        </w:rPr>
        <w:t>τραπεζ</w:t>
      </w:r>
      <w:r>
        <w:rPr>
          <w:b/>
          <w:smallCaps/>
          <w:color w:val="1F487C"/>
        </w:rPr>
        <w:t>ι</w:t>
      </w:r>
      <w:r>
        <w:rPr>
          <w:b/>
          <w:smallCaps w:val="0"/>
          <w:color w:val="1F487C"/>
        </w:rPr>
        <w:t>κών</w:t>
      </w:r>
      <w:r>
        <w:rPr>
          <w:b/>
          <w:smallCaps w:val="0"/>
          <w:color w:val="1F487C"/>
          <w:spacing w:val="-3"/>
        </w:rPr>
        <w:t> </w:t>
      </w:r>
      <w:r>
        <w:rPr>
          <w:b/>
          <w:smallCaps w:val="0"/>
          <w:color w:val="1F487C"/>
        </w:rPr>
        <w:t>ομίλων</w:t>
      </w:r>
      <w:r>
        <w:rPr>
          <w:b/>
          <w:smallCaps w:val="0"/>
          <w:color w:val="1F487C"/>
          <w:spacing w:val="-6"/>
        </w:rPr>
        <w:t> </w:t>
      </w:r>
      <w:r>
        <w:rPr>
          <w:b/>
          <w:smallCaps w:val="0"/>
          <w:color w:val="1F487C"/>
        </w:rPr>
        <w:t>βελτ</w:t>
      </w:r>
      <w:r>
        <w:rPr>
          <w:b/>
          <w:smallCaps/>
          <w:color w:val="1F487C"/>
        </w:rPr>
        <w:t>ι</w:t>
      </w:r>
      <w:r>
        <w:rPr>
          <w:b/>
          <w:smallCaps w:val="0"/>
          <w:color w:val="1F487C"/>
        </w:rPr>
        <w:t>ώθηκε</w:t>
      </w:r>
      <w:r>
        <w:rPr>
          <w:b/>
          <w:smallCaps w:val="0"/>
          <w:color w:val="1F487C"/>
          <w:spacing w:val="-4"/>
        </w:rPr>
        <w:t> </w:t>
      </w:r>
      <w:r>
        <w:rPr>
          <w:b/>
          <w:smallCaps w:val="0"/>
          <w:color w:val="1F487C"/>
        </w:rPr>
        <w:t>περα</w:t>
      </w:r>
      <w:r>
        <w:rPr>
          <w:b/>
          <w:smallCaps/>
          <w:color w:val="1F487C"/>
        </w:rPr>
        <w:t>ι</w:t>
      </w:r>
      <w:r>
        <w:rPr>
          <w:b/>
          <w:smallCaps w:val="0"/>
          <w:color w:val="1F487C"/>
        </w:rPr>
        <w:t>τέρω.</w:t>
      </w:r>
      <w:r>
        <w:rPr>
          <w:b/>
          <w:smallCaps w:val="0"/>
          <w:color w:val="1F487C"/>
          <w:spacing w:val="-2"/>
        </w:rPr>
        <w:t> </w:t>
      </w:r>
      <w:r>
        <w:rPr>
          <w:smallCaps w:val="0"/>
        </w:rPr>
        <w:t>Το</w:t>
      </w:r>
      <w:r>
        <w:rPr>
          <w:smallCaps w:val="0"/>
          <w:spacing w:val="-3"/>
        </w:rPr>
        <w:t> </w:t>
      </w:r>
      <w:r>
        <w:rPr>
          <w:smallCaps w:val="0"/>
        </w:rPr>
        <w:t>2025</w:t>
      </w:r>
      <w:r>
        <w:rPr>
          <w:smallCaps w:val="0"/>
          <w:spacing w:val="-3"/>
        </w:rPr>
        <w:t> </w:t>
      </w:r>
      <w:r>
        <w:rPr>
          <w:smallCaps w:val="0"/>
        </w:rPr>
        <w:t>οι</w:t>
      </w:r>
      <w:r>
        <w:rPr>
          <w:smallCaps w:val="0"/>
          <w:spacing w:val="-6"/>
        </w:rPr>
        <w:t> </w:t>
      </w:r>
      <w:r>
        <w:rPr>
          <w:smallCaps w:val="0"/>
        </w:rPr>
        <w:t>ελλη-νικοί</w:t>
      </w:r>
      <w:r>
        <w:rPr>
          <w:smallCaps w:val="0"/>
          <w:spacing w:val="-3"/>
        </w:rPr>
        <w:t> </w:t>
      </w:r>
      <w:r>
        <w:rPr>
          <w:smallCaps w:val="0"/>
        </w:rPr>
        <w:t>τραπεζικοί</w:t>
      </w:r>
      <w:r>
        <w:rPr>
          <w:smallCaps w:val="0"/>
          <w:spacing w:val="-3"/>
        </w:rPr>
        <w:t> </w:t>
      </w:r>
      <w:r>
        <w:rPr>
          <w:smallCaps w:val="0"/>
        </w:rPr>
        <w:t>όμιλοι</w:t>
      </w:r>
      <w:r>
        <w:rPr>
          <w:smallCaps w:val="0"/>
          <w:spacing w:val="-3"/>
        </w:rPr>
        <w:t> </w:t>
      </w:r>
      <w:r>
        <w:rPr>
          <w:smallCaps w:val="0"/>
        </w:rPr>
        <w:t>κατέγραψαν</w:t>
      </w:r>
      <w:r>
        <w:rPr>
          <w:smallCaps w:val="0"/>
          <w:spacing w:val="-3"/>
        </w:rPr>
        <w:t> </w:t>
      </w:r>
      <w:r>
        <w:rPr>
          <w:smallCaps w:val="0"/>
        </w:rPr>
        <w:t>κέρδη</w:t>
      </w:r>
      <w:r>
        <w:rPr>
          <w:smallCaps w:val="0"/>
          <w:spacing w:val="-4"/>
        </w:rPr>
        <w:t> </w:t>
      </w:r>
      <w:r>
        <w:rPr>
          <w:smallCaps w:val="0"/>
        </w:rPr>
        <w:t>μετά</w:t>
      </w:r>
      <w:r>
        <w:rPr>
          <w:smallCaps w:val="0"/>
          <w:spacing w:val="-3"/>
        </w:rPr>
        <w:t> </w:t>
      </w:r>
      <w:r>
        <w:rPr>
          <w:smallCaps w:val="0"/>
        </w:rPr>
        <w:t>από</w:t>
      </w:r>
      <w:r>
        <w:rPr>
          <w:smallCaps w:val="0"/>
          <w:spacing w:val="-3"/>
        </w:rPr>
        <w:t> </w:t>
      </w:r>
      <w:r>
        <w:rPr>
          <w:smallCaps w:val="0"/>
        </w:rPr>
        <w:t>φόρους</w:t>
      </w:r>
      <w:r>
        <w:rPr>
          <w:smallCaps w:val="0"/>
          <w:spacing w:val="-4"/>
        </w:rPr>
        <w:t> </w:t>
      </w:r>
      <w:r>
        <w:rPr>
          <w:smallCaps w:val="0"/>
        </w:rPr>
        <w:t>και</w:t>
      </w:r>
      <w:r>
        <w:rPr>
          <w:smallCaps w:val="0"/>
          <w:spacing w:val="-3"/>
        </w:rPr>
        <w:t> </w:t>
      </w:r>
      <w:r>
        <w:rPr>
          <w:smallCaps w:val="0"/>
        </w:rPr>
        <w:t>διακοπτόμενες</w:t>
      </w:r>
      <w:r>
        <w:rPr>
          <w:smallCaps w:val="0"/>
          <w:spacing w:val="-4"/>
        </w:rPr>
        <w:t> </w:t>
      </w:r>
      <w:r>
        <w:rPr>
          <w:smallCaps w:val="0"/>
        </w:rPr>
        <w:t>δραστηριότητες ύψους</w:t>
      </w:r>
      <w:r>
        <w:rPr>
          <w:smallCaps w:val="0"/>
          <w:spacing w:val="-1"/>
        </w:rPr>
        <w:t> </w:t>
      </w:r>
      <w:r>
        <w:rPr>
          <w:smallCaps w:val="0"/>
        </w:rPr>
        <w:t>4,7</w:t>
      </w:r>
      <w:r>
        <w:rPr>
          <w:smallCaps w:val="0"/>
          <w:spacing w:val="-3"/>
        </w:rPr>
        <w:t> </w:t>
      </w:r>
      <w:r>
        <w:rPr>
          <w:smallCaps w:val="0"/>
        </w:rPr>
        <w:t>δισεκ. ευρώ,</w:t>
      </w:r>
      <w:r>
        <w:rPr>
          <w:smallCaps w:val="0"/>
          <w:spacing w:val="-2"/>
        </w:rPr>
        <w:t> </w:t>
      </w:r>
      <w:r>
        <w:rPr>
          <w:smallCaps w:val="0"/>
        </w:rPr>
        <w:t>έναντι κερδών 4,2</w:t>
      </w:r>
      <w:r>
        <w:rPr>
          <w:smallCaps w:val="0"/>
          <w:spacing w:val="-3"/>
        </w:rPr>
        <w:t> </w:t>
      </w:r>
      <w:r>
        <w:rPr>
          <w:smallCaps w:val="0"/>
        </w:rPr>
        <w:t>δισεκ.</w:t>
      </w:r>
      <w:r>
        <w:rPr>
          <w:smallCaps w:val="0"/>
          <w:spacing w:val="-2"/>
        </w:rPr>
        <w:t> </w:t>
      </w:r>
      <w:r>
        <w:rPr>
          <w:smallCaps w:val="0"/>
        </w:rPr>
        <w:t>ευρώ</w:t>
      </w:r>
      <w:r>
        <w:rPr>
          <w:smallCaps w:val="0"/>
          <w:spacing w:val="-1"/>
        </w:rPr>
        <w:t> </w:t>
      </w:r>
      <w:r>
        <w:rPr>
          <w:smallCaps w:val="0"/>
        </w:rPr>
        <w:t>το 2024. Αναλυτικότερα, το 2025 τα</w:t>
      </w:r>
      <w:r>
        <w:rPr>
          <w:smallCaps w:val="0"/>
          <w:spacing w:val="-3"/>
        </w:rPr>
        <w:t> </w:t>
      </w:r>
      <w:r>
        <w:rPr>
          <w:smallCaps w:val="0"/>
        </w:rPr>
        <w:t>λει-τουργικά</w:t>
      </w:r>
      <w:r>
        <w:rPr>
          <w:smallCaps w:val="0"/>
          <w:spacing w:val="-6"/>
        </w:rPr>
        <w:t> </w:t>
      </w:r>
      <w:r>
        <w:rPr>
          <w:smallCaps w:val="0"/>
        </w:rPr>
        <w:t>έσοδα</w:t>
      </w:r>
      <w:r>
        <w:rPr>
          <w:smallCaps w:val="0"/>
          <w:spacing w:val="-3"/>
        </w:rPr>
        <w:t> </w:t>
      </w:r>
      <w:r>
        <w:rPr>
          <w:smallCaps w:val="0"/>
        </w:rPr>
        <w:t>των</w:t>
      </w:r>
      <w:r>
        <w:rPr>
          <w:smallCaps w:val="0"/>
          <w:spacing w:val="-2"/>
        </w:rPr>
        <w:t> </w:t>
      </w:r>
      <w:r>
        <w:rPr>
          <w:smallCaps w:val="0"/>
        </w:rPr>
        <w:t>ελληνικών</w:t>
      </w:r>
      <w:r>
        <w:rPr>
          <w:smallCaps w:val="0"/>
          <w:spacing w:val="-2"/>
        </w:rPr>
        <w:t> </w:t>
      </w:r>
      <w:r>
        <w:rPr>
          <w:smallCaps w:val="0"/>
        </w:rPr>
        <w:t>τραπεζικών</w:t>
      </w:r>
      <w:r>
        <w:rPr>
          <w:smallCaps w:val="0"/>
          <w:spacing w:val="-5"/>
        </w:rPr>
        <w:t> </w:t>
      </w:r>
      <w:r>
        <w:rPr>
          <w:smallCaps w:val="0"/>
        </w:rPr>
        <w:t>ομίλων</w:t>
      </w:r>
      <w:r>
        <w:rPr>
          <w:smallCaps w:val="0"/>
          <w:spacing w:val="-2"/>
        </w:rPr>
        <w:t> </w:t>
      </w:r>
      <w:r>
        <w:rPr>
          <w:smallCaps w:val="0"/>
        </w:rPr>
        <w:t>αυξήθηκαν</w:t>
      </w:r>
      <w:r>
        <w:rPr>
          <w:smallCaps w:val="0"/>
          <w:spacing w:val="-3"/>
        </w:rPr>
        <w:t> </w:t>
      </w:r>
      <w:r>
        <w:rPr>
          <w:smallCaps w:val="0"/>
        </w:rPr>
        <w:t>κατά</w:t>
      </w:r>
      <w:r>
        <w:rPr>
          <w:smallCaps w:val="0"/>
          <w:spacing w:val="-3"/>
        </w:rPr>
        <w:t> </w:t>
      </w:r>
      <w:r>
        <w:rPr>
          <w:smallCaps w:val="0"/>
        </w:rPr>
        <w:t>0,5%</w:t>
      </w:r>
      <w:r>
        <w:rPr>
          <w:smallCaps w:val="0"/>
          <w:spacing w:val="-5"/>
        </w:rPr>
        <w:t> </w:t>
      </w:r>
      <w:r>
        <w:rPr>
          <w:smallCaps w:val="0"/>
        </w:rPr>
        <w:t>σε</w:t>
      </w:r>
      <w:r>
        <w:rPr>
          <w:smallCaps w:val="0"/>
          <w:spacing w:val="-5"/>
        </w:rPr>
        <w:t> </w:t>
      </w:r>
      <w:r>
        <w:rPr>
          <w:smallCaps w:val="0"/>
        </w:rPr>
        <w:t>σχέση</w:t>
      </w:r>
      <w:r>
        <w:rPr>
          <w:smallCaps w:val="0"/>
          <w:spacing w:val="-3"/>
        </w:rPr>
        <w:t> </w:t>
      </w:r>
      <w:r>
        <w:rPr>
          <w:smallCaps w:val="0"/>
        </w:rPr>
        <w:t>με</w:t>
      </w:r>
      <w:r>
        <w:rPr>
          <w:smallCaps w:val="0"/>
          <w:spacing w:val="-5"/>
        </w:rPr>
        <w:t> </w:t>
      </w:r>
      <w:r>
        <w:rPr>
          <w:smallCaps w:val="0"/>
        </w:rPr>
        <w:t>το</w:t>
      </w:r>
      <w:r>
        <w:rPr>
          <w:smallCaps w:val="0"/>
          <w:spacing w:val="-3"/>
        </w:rPr>
        <w:t> </w:t>
      </w:r>
      <w:r>
        <w:rPr>
          <w:smallCaps w:val="0"/>
        </w:rPr>
        <w:t>2024. Τα καθαρά έσοδα από τόκους μειώθηκαν κατά 3,8% παρά την πιστωτική επέκταση, επηρεαζό-μενα</w:t>
      </w:r>
      <w:r>
        <w:rPr>
          <w:smallCaps w:val="0"/>
          <w:spacing w:val="-1"/>
        </w:rPr>
        <w:t> </w:t>
      </w:r>
      <w:r>
        <w:rPr>
          <w:smallCaps w:val="0"/>
        </w:rPr>
        <w:t>από</w:t>
      </w:r>
      <w:r>
        <w:rPr>
          <w:smallCaps w:val="0"/>
          <w:spacing w:val="-2"/>
        </w:rPr>
        <w:t> </w:t>
      </w:r>
      <w:r>
        <w:rPr>
          <w:smallCaps w:val="0"/>
        </w:rPr>
        <w:t>τη</w:t>
      </w:r>
      <w:r>
        <w:rPr>
          <w:smallCaps w:val="0"/>
          <w:spacing w:val="-3"/>
        </w:rPr>
        <w:t> </w:t>
      </w:r>
      <w:r>
        <w:rPr>
          <w:smallCaps w:val="0"/>
        </w:rPr>
        <w:t>σταδιακή</w:t>
      </w:r>
      <w:r>
        <w:rPr>
          <w:smallCaps w:val="0"/>
          <w:spacing w:val="-2"/>
        </w:rPr>
        <w:t> </w:t>
      </w:r>
      <w:r>
        <w:rPr>
          <w:smallCaps w:val="0"/>
        </w:rPr>
        <w:t>μείωση των βασικών</w:t>
      </w:r>
      <w:r>
        <w:rPr>
          <w:smallCaps w:val="0"/>
          <w:spacing w:val="-1"/>
        </w:rPr>
        <w:t> </w:t>
      </w:r>
      <w:r>
        <w:rPr>
          <w:smallCaps w:val="0"/>
        </w:rPr>
        <w:t>επιτοκίων</w:t>
      </w:r>
      <w:r>
        <w:rPr>
          <w:smallCaps w:val="0"/>
          <w:spacing w:val="-4"/>
        </w:rPr>
        <w:t> </w:t>
      </w:r>
      <w:r>
        <w:rPr>
          <w:smallCaps w:val="0"/>
        </w:rPr>
        <w:t>της</w:t>
      </w:r>
      <w:r>
        <w:rPr>
          <w:smallCaps w:val="0"/>
          <w:spacing w:val="-1"/>
        </w:rPr>
        <w:t> </w:t>
      </w:r>
      <w:r>
        <w:rPr>
          <w:smallCaps w:val="0"/>
        </w:rPr>
        <w:t>ΕΚΤ, η</w:t>
      </w:r>
      <w:r>
        <w:rPr>
          <w:smallCaps w:val="0"/>
          <w:spacing w:val="-3"/>
        </w:rPr>
        <w:t> </w:t>
      </w:r>
      <w:r>
        <w:rPr>
          <w:smallCaps w:val="0"/>
        </w:rPr>
        <w:t>οποία</w:t>
      </w:r>
      <w:r>
        <w:rPr>
          <w:smallCaps w:val="0"/>
          <w:spacing w:val="-2"/>
        </w:rPr>
        <w:t> </w:t>
      </w:r>
      <w:r>
        <w:rPr>
          <w:smallCaps w:val="0"/>
        </w:rPr>
        <w:t>ξεκίνησε</w:t>
      </w:r>
      <w:r>
        <w:rPr>
          <w:smallCaps w:val="0"/>
          <w:spacing w:val="-2"/>
        </w:rPr>
        <w:t> </w:t>
      </w:r>
      <w:r>
        <w:rPr>
          <w:smallCaps w:val="0"/>
        </w:rPr>
        <w:t>στα</w:t>
      </w:r>
      <w:r>
        <w:rPr>
          <w:smallCaps w:val="0"/>
          <w:spacing w:val="-3"/>
        </w:rPr>
        <w:t> </w:t>
      </w:r>
      <w:r>
        <w:rPr>
          <w:smallCaps w:val="0"/>
        </w:rPr>
        <w:t>μέσα</w:t>
      </w:r>
      <w:r>
        <w:rPr>
          <w:smallCaps w:val="0"/>
          <w:spacing w:val="-1"/>
        </w:rPr>
        <w:t> </w:t>
      </w:r>
      <w:r>
        <w:rPr>
          <w:smallCaps w:val="0"/>
        </w:rPr>
        <w:t>του 2024 και συνεχίστηκε έως και το πρώτο εξάμηνο του 2025. Αντίθετα, τα καθαρά έσοδα από προμήθειες</w:t>
      </w:r>
      <w:r>
        <w:rPr>
          <w:smallCaps w:val="0"/>
          <w:spacing w:val="-6"/>
        </w:rPr>
        <w:t> </w:t>
      </w:r>
      <w:r>
        <w:rPr>
          <w:smallCaps w:val="0"/>
        </w:rPr>
        <w:t>ενισχύθηκαν</w:t>
      </w:r>
      <w:r>
        <w:rPr>
          <w:smallCaps w:val="0"/>
          <w:spacing w:val="-2"/>
        </w:rPr>
        <w:t> </w:t>
      </w:r>
      <w:r>
        <w:rPr>
          <w:smallCaps w:val="0"/>
        </w:rPr>
        <w:t>κατά</w:t>
      </w:r>
      <w:r>
        <w:rPr>
          <w:smallCaps w:val="0"/>
          <w:spacing w:val="-3"/>
        </w:rPr>
        <w:t> </w:t>
      </w:r>
      <w:r>
        <w:rPr>
          <w:smallCaps w:val="0"/>
        </w:rPr>
        <w:t>12,3%.</w:t>
      </w:r>
      <w:r>
        <w:rPr>
          <w:smallCaps w:val="0"/>
          <w:spacing w:val="-2"/>
        </w:rPr>
        <w:t> </w:t>
      </w:r>
      <w:r>
        <w:rPr>
          <w:smallCaps w:val="0"/>
        </w:rPr>
        <w:t>Ως</w:t>
      </w:r>
      <w:r>
        <w:rPr>
          <w:smallCaps w:val="0"/>
          <w:spacing w:val="-3"/>
        </w:rPr>
        <w:t> </w:t>
      </w:r>
      <w:r>
        <w:rPr>
          <w:smallCaps w:val="0"/>
        </w:rPr>
        <w:t>αποτέλεσμα</w:t>
      </w:r>
      <w:r>
        <w:rPr>
          <w:smallCaps w:val="0"/>
          <w:spacing w:val="-5"/>
        </w:rPr>
        <w:t> </w:t>
      </w:r>
      <w:r>
        <w:rPr>
          <w:smallCaps w:val="0"/>
        </w:rPr>
        <w:t>των</w:t>
      </w:r>
      <w:r>
        <w:rPr>
          <w:smallCaps w:val="0"/>
          <w:spacing w:val="-1"/>
        </w:rPr>
        <w:t> </w:t>
      </w:r>
      <w:r>
        <w:rPr>
          <w:smallCaps w:val="0"/>
        </w:rPr>
        <w:t>παραπάνω,</w:t>
      </w:r>
      <w:r>
        <w:rPr>
          <w:smallCaps w:val="0"/>
          <w:spacing w:val="-2"/>
        </w:rPr>
        <w:t> </w:t>
      </w:r>
      <w:r>
        <w:rPr>
          <w:smallCaps w:val="0"/>
        </w:rPr>
        <w:t>τα</w:t>
      </w:r>
      <w:r>
        <w:rPr>
          <w:smallCaps w:val="0"/>
          <w:spacing w:val="-2"/>
        </w:rPr>
        <w:t> </w:t>
      </w:r>
      <w:r>
        <w:rPr>
          <w:smallCaps w:val="0"/>
        </w:rPr>
        <w:t>έσοδα</w:t>
      </w:r>
      <w:r>
        <w:rPr>
          <w:smallCaps w:val="0"/>
          <w:spacing w:val="-2"/>
        </w:rPr>
        <w:t> </w:t>
      </w:r>
      <w:r>
        <w:rPr>
          <w:smallCaps w:val="0"/>
        </w:rPr>
        <w:t>από</w:t>
      </w:r>
      <w:r>
        <w:rPr>
          <w:smallCaps w:val="0"/>
          <w:spacing w:val="-2"/>
        </w:rPr>
        <w:t> </w:t>
      </w:r>
      <w:r>
        <w:rPr>
          <w:smallCaps w:val="0"/>
        </w:rPr>
        <w:t>κύριες</w:t>
      </w:r>
      <w:r>
        <w:rPr>
          <w:smallCaps w:val="0"/>
          <w:spacing w:val="-3"/>
        </w:rPr>
        <w:t> </w:t>
      </w:r>
      <w:r>
        <w:rPr>
          <w:smallCaps w:val="0"/>
        </w:rPr>
        <w:t>τρα-πεζικές εργασίες (δηλαδή τα καθαρά έσοδα από τόκους και προμήθειες) μειώθηκαν κατά 0,7%. Παράλληλα, τα έσοδα από χρηματοοικονομικές πράξεις μειώθηκαν, ενώ τα λοιπά λειτουργικά αποτελέσματα παρουσίασαν ανοδική πορεία. Επιπρόσθετα, τα λειτουργικά έξοδα αυξήθηκαν κατά 7,2%, κυρίως εξαιτίας της αύξησης των διοικητικών εξόδων, ενώ οι προβλέψεις για τον πιστωτικό κίνδυνο μειώθηκαν κατά</w:t>
      </w:r>
      <w:r>
        <w:rPr>
          <w:smallCaps w:val="0"/>
          <w:spacing w:val="-1"/>
        </w:rPr>
        <w:t> </w:t>
      </w:r>
      <w:r>
        <w:rPr>
          <w:smallCaps w:val="0"/>
        </w:rPr>
        <w:t>26,4%. Οι δείκτες</w:t>
      </w:r>
      <w:r>
        <w:rPr>
          <w:smallCaps w:val="0"/>
          <w:spacing w:val="-1"/>
        </w:rPr>
        <w:t> </w:t>
      </w:r>
      <w:r>
        <w:rPr>
          <w:smallCaps w:val="0"/>
        </w:rPr>
        <w:t>αποδοτικότητας</w:t>
      </w:r>
      <w:r>
        <w:rPr>
          <w:smallCaps w:val="0"/>
          <w:spacing w:val="-1"/>
        </w:rPr>
        <w:t> </w:t>
      </w:r>
      <w:r>
        <w:rPr>
          <w:smallCaps w:val="0"/>
        </w:rPr>
        <w:t>του ενεργητικού (Return on Assets –</w:t>
      </w:r>
      <w:r>
        <w:rPr>
          <w:smallCaps w:val="0"/>
          <w:spacing w:val="-2"/>
        </w:rPr>
        <w:t> </w:t>
      </w:r>
      <w:r>
        <w:rPr>
          <w:smallCaps w:val="0"/>
        </w:rPr>
        <w:t>RoA) και των ιδίων κεφαλαίων (Return on Equity –</w:t>
      </w:r>
      <w:r>
        <w:rPr>
          <w:smallCaps w:val="0"/>
          <w:spacing w:val="-2"/>
        </w:rPr>
        <w:t> </w:t>
      </w:r>
      <w:r>
        <w:rPr>
          <w:smallCaps w:val="0"/>
        </w:rPr>
        <w:t>RoE) των τραπεζικών ομίλων ανήλθαν σε 1,3% και 11,8% αντίστοιχα.</w:t>
      </w:r>
    </w:p>
    <w:p>
      <w:pPr>
        <w:pStyle w:val="BodyText"/>
        <w:spacing w:line="285" w:lineRule="auto" w:before="225"/>
        <w:ind w:left="172" w:right="955"/>
        <w:jc w:val="both"/>
      </w:pPr>
      <w:r>
        <w:rPr>
          <w:b/>
          <w:color w:val="1F487C"/>
        </w:rPr>
        <w:t>Η</w:t>
      </w:r>
      <w:r>
        <w:rPr>
          <w:b/>
          <w:color w:val="1F487C"/>
          <w:spacing w:val="-13"/>
        </w:rPr>
        <w:t> </w:t>
      </w:r>
      <w:r>
        <w:rPr>
          <w:b/>
          <w:color w:val="1F487C"/>
        </w:rPr>
        <w:t>κεφαλα</w:t>
      </w:r>
      <w:r>
        <w:rPr>
          <w:b/>
          <w:smallCaps/>
          <w:color w:val="1F487C"/>
        </w:rPr>
        <w:t>ι</w:t>
      </w:r>
      <w:r>
        <w:rPr>
          <w:b/>
          <w:smallCaps w:val="0"/>
          <w:color w:val="1F487C"/>
        </w:rPr>
        <w:t>ακή</w:t>
      </w:r>
      <w:r>
        <w:rPr>
          <w:b/>
          <w:smallCaps w:val="0"/>
          <w:color w:val="1F487C"/>
          <w:spacing w:val="-13"/>
        </w:rPr>
        <w:t> </w:t>
      </w:r>
      <w:r>
        <w:rPr>
          <w:b/>
          <w:smallCaps w:val="0"/>
          <w:color w:val="1F487C"/>
        </w:rPr>
        <w:t>επάρκε</w:t>
      </w:r>
      <w:r>
        <w:rPr>
          <w:b/>
          <w:smallCaps/>
          <w:color w:val="1F487C"/>
        </w:rPr>
        <w:t>ι</w:t>
      </w:r>
      <w:r>
        <w:rPr>
          <w:b/>
          <w:smallCaps w:val="0"/>
          <w:color w:val="1F487C"/>
        </w:rPr>
        <w:t>α</w:t>
      </w:r>
      <w:r>
        <w:rPr>
          <w:b/>
          <w:smallCaps w:val="0"/>
          <w:color w:val="1F487C"/>
          <w:spacing w:val="-13"/>
        </w:rPr>
        <w:t> </w:t>
      </w:r>
      <w:r>
        <w:rPr>
          <w:b/>
          <w:smallCaps w:val="0"/>
          <w:color w:val="1F487C"/>
        </w:rPr>
        <w:t>των</w:t>
      </w:r>
      <w:r>
        <w:rPr>
          <w:b/>
          <w:smallCaps w:val="0"/>
          <w:color w:val="1F487C"/>
          <w:spacing w:val="-13"/>
        </w:rPr>
        <w:t> </w:t>
      </w:r>
      <w:r>
        <w:rPr>
          <w:b/>
          <w:smallCaps w:val="0"/>
          <w:color w:val="1F487C"/>
        </w:rPr>
        <w:t>ελλην</w:t>
      </w:r>
      <w:r>
        <w:rPr>
          <w:b/>
          <w:smallCaps/>
          <w:color w:val="1F487C"/>
        </w:rPr>
        <w:t>ι</w:t>
      </w:r>
      <w:r>
        <w:rPr>
          <w:b/>
          <w:smallCaps w:val="0"/>
          <w:color w:val="1F487C"/>
        </w:rPr>
        <w:t>κών</w:t>
      </w:r>
      <w:r>
        <w:rPr>
          <w:b/>
          <w:smallCaps w:val="0"/>
          <w:color w:val="1F487C"/>
          <w:spacing w:val="-13"/>
        </w:rPr>
        <w:t> </w:t>
      </w:r>
      <w:r>
        <w:rPr>
          <w:b/>
          <w:smallCaps w:val="0"/>
          <w:color w:val="1F487C"/>
        </w:rPr>
        <w:t>τραπεζ</w:t>
      </w:r>
      <w:r>
        <w:rPr>
          <w:b/>
          <w:smallCaps/>
          <w:color w:val="1F487C"/>
        </w:rPr>
        <w:t>ι</w:t>
      </w:r>
      <w:r>
        <w:rPr>
          <w:b/>
          <w:smallCaps w:val="0"/>
          <w:color w:val="1F487C"/>
        </w:rPr>
        <w:t>κών</w:t>
      </w:r>
      <w:r>
        <w:rPr>
          <w:b/>
          <w:smallCaps w:val="0"/>
          <w:color w:val="1F487C"/>
          <w:spacing w:val="-14"/>
        </w:rPr>
        <w:t> </w:t>
      </w:r>
      <w:r>
        <w:rPr>
          <w:b/>
          <w:smallCaps w:val="0"/>
          <w:color w:val="1F487C"/>
        </w:rPr>
        <w:t>ομίλων</w:t>
      </w:r>
      <w:r>
        <w:rPr>
          <w:b/>
          <w:smallCaps w:val="0"/>
          <w:color w:val="1F487C"/>
          <w:spacing w:val="-12"/>
        </w:rPr>
        <w:t> </w:t>
      </w:r>
      <w:r>
        <w:rPr>
          <w:b/>
          <w:smallCaps w:val="0"/>
          <w:color w:val="1F487C"/>
        </w:rPr>
        <w:t>δ</w:t>
      </w:r>
      <w:r>
        <w:rPr>
          <w:b/>
          <w:smallCaps/>
          <w:color w:val="1F487C"/>
        </w:rPr>
        <w:t>ι</w:t>
      </w:r>
      <w:r>
        <w:rPr>
          <w:b/>
          <w:smallCaps w:val="0"/>
          <w:color w:val="1F487C"/>
        </w:rPr>
        <w:t>ατηρήθηκε</w:t>
      </w:r>
      <w:r>
        <w:rPr>
          <w:b/>
          <w:smallCaps w:val="0"/>
          <w:color w:val="1F487C"/>
          <w:spacing w:val="-13"/>
        </w:rPr>
        <w:t> </w:t>
      </w:r>
      <w:r>
        <w:rPr>
          <w:b/>
          <w:smallCaps w:val="0"/>
          <w:color w:val="1F487C"/>
        </w:rPr>
        <w:t>σε</w:t>
      </w:r>
      <w:r>
        <w:rPr>
          <w:b/>
          <w:smallCaps w:val="0"/>
          <w:color w:val="1F487C"/>
          <w:spacing w:val="-14"/>
        </w:rPr>
        <w:t> </w:t>
      </w:r>
      <w:r>
        <w:rPr>
          <w:b/>
          <w:smallCaps/>
          <w:color w:val="1F487C"/>
        </w:rPr>
        <w:t>ι</w:t>
      </w:r>
      <w:r>
        <w:rPr>
          <w:b/>
          <w:smallCaps w:val="0"/>
          <w:color w:val="1F487C"/>
        </w:rPr>
        <w:t>κανοπο</w:t>
      </w:r>
      <w:r>
        <w:rPr>
          <w:b/>
          <w:smallCaps/>
          <w:color w:val="1F487C"/>
        </w:rPr>
        <w:t>ι</w:t>
      </w:r>
      <w:r>
        <w:rPr>
          <w:b/>
          <w:smallCaps w:val="0"/>
          <w:color w:val="1F487C"/>
        </w:rPr>
        <w:t>ητ</w:t>
      </w:r>
      <w:r>
        <w:rPr>
          <w:b/>
          <w:smallCaps/>
          <w:color w:val="1F487C"/>
        </w:rPr>
        <w:t>ι</w:t>
      </w:r>
      <w:r>
        <w:rPr>
          <w:b/>
          <w:smallCaps w:val="0"/>
          <w:color w:val="1F487C"/>
        </w:rPr>
        <w:t>κό επίπεδο το 2025. </w:t>
      </w:r>
      <w:r>
        <w:rPr>
          <w:smallCaps w:val="0"/>
        </w:rPr>
        <w:t>Ο Δείκτης Κεφαλαίου Κοινών Μετοχών της Κατηγορίας 1 (Common Equity Tier 1 ratio –</w:t>
      </w:r>
      <w:r>
        <w:rPr>
          <w:smallCaps w:val="0"/>
          <w:spacing w:val="-2"/>
        </w:rPr>
        <w:t> </w:t>
      </w:r>
      <w:r>
        <w:rPr>
          <w:smallCaps w:val="0"/>
        </w:rPr>
        <w:t>CET1 ratio) σε ενοποιημένη βάση μειώθηκε σε 15,3% τον Δεκέμβριο του 2025, από</w:t>
      </w:r>
      <w:r>
        <w:rPr>
          <w:smallCaps w:val="0"/>
          <w:spacing w:val="24"/>
        </w:rPr>
        <w:t> </w:t>
      </w:r>
      <w:r>
        <w:rPr>
          <w:smallCaps w:val="0"/>
        </w:rPr>
        <w:t>16%</w:t>
      </w:r>
      <w:r>
        <w:rPr>
          <w:smallCaps w:val="0"/>
          <w:spacing w:val="25"/>
        </w:rPr>
        <w:t> </w:t>
      </w:r>
      <w:r>
        <w:rPr>
          <w:smallCaps w:val="0"/>
        </w:rPr>
        <w:t>τον</w:t>
      </w:r>
      <w:r>
        <w:rPr>
          <w:smallCaps w:val="0"/>
          <w:spacing w:val="25"/>
        </w:rPr>
        <w:t> </w:t>
      </w:r>
      <w:r>
        <w:rPr>
          <w:smallCaps w:val="0"/>
        </w:rPr>
        <w:t>Δεκέμβριο</w:t>
      </w:r>
      <w:r>
        <w:rPr>
          <w:smallCaps w:val="0"/>
          <w:spacing w:val="24"/>
        </w:rPr>
        <w:t> </w:t>
      </w:r>
      <w:r>
        <w:rPr>
          <w:smallCaps w:val="0"/>
        </w:rPr>
        <w:t>του</w:t>
      </w:r>
      <w:r>
        <w:rPr>
          <w:smallCaps w:val="0"/>
          <w:spacing w:val="25"/>
        </w:rPr>
        <w:t> </w:t>
      </w:r>
      <w:r>
        <w:rPr>
          <w:smallCaps w:val="0"/>
        </w:rPr>
        <w:t>2024,</w:t>
      </w:r>
      <w:r>
        <w:rPr>
          <w:smallCaps w:val="0"/>
          <w:spacing w:val="24"/>
        </w:rPr>
        <w:t> </w:t>
      </w:r>
      <w:r>
        <w:rPr>
          <w:smallCaps w:val="0"/>
        </w:rPr>
        <w:t>και</w:t>
      </w:r>
      <w:r>
        <w:rPr>
          <w:smallCaps w:val="0"/>
          <w:spacing w:val="24"/>
        </w:rPr>
        <w:t> </w:t>
      </w:r>
      <w:r>
        <w:rPr>
          <w:smallCaps w:val="0"/>
        </w:rPr>
        <w:t>ο</w:t>
      </w:r>
      <w:r>
        <w:rPr>
          <w:smallCaps w:val="0"/>
          <w:spacing w:val="22"/>
        </w:rPr>
        <w:t> </w:t>
      </w:r>
      <w:r>
        <w:rPr>
          <w:smallCaps w:val="0"/>
        </w:rPr>
        <w:t>Συνολικός</w:t>
      </w:r>
      <w:r>
        <w:rPr>
          <w:smallCaps w:val="0"/>
          <w:spacing w:val="23"/>
        </w:rPr>
        <w:t> </w:t>
      </w:r>
      <w:r>
        <w:rPr>
          <w:smallCaps w:val="0"/>
        </w:rPr>
        <w:t>Δείκτης</w:t>
      </w:r>
      <w:r>
        <w:rPr>
          <w:smallCaps w:val="0"/>
          <w:spacing w:val="23"/>
        </w:rPr>
        <w:t> </w:t>
      </w:r>
      <w:r>
        <w:rPr>
          <w:smallCaps w:val="0"/>
        </w:rPr>
        <w:t>Κεφαλαίου</w:t>
      </w:r>
      <w:r>
        <w:rPr>
          <w:smallCaps w:val="0"/>
          <w:spacing w:val="23"/>
        </w:rPr>
        <w:t> </w:t>
      </w:r>
      <w:r>
        <w:rPr>
          <w:smallCaps w:val="0"/>
        </w:rPr>
        <w:t>(Total</w:t>
      </w:r>
      <w:r>
        <w:rPr>
          <w:smallCaps w:val="0"/>
          <w:spacing w:val="23"/>
        </w:rPr>
        <w:t> </w:t>
      </w:r>
      <w:r>
        <w:rPr>
          <w:smallCaps w:val="0"/>
        </w:rPr>
        <w:t>Capital</w:t>
      </w:r>
      <w:r>
        <w:rPr>
          <w:smallCaps w:val="0"/>
          <w:spacing w:val="25"/>
        </w:rPr>
        <w:t> </w:t>
      </w:r>
      <w:r>
        <w:rPr>
          <w:smallCaps w:val="0"/>
        </w:rPr>
        <w:t>Ratio –</w:t>
      </w:r>
      <w:r>
        <w:rPr>
          <w:smallCaps w:val="0"/>
          <w:spacing w:val="-1"/>
        </w:rPr>
        <w:t> </w:t>
      </w:r>
      <w:r>
        <w:rPr>
          <w:smallCaps w:val="0"/>
        </w:rPr>
        <w:t>TCR) υποχώρησε οριακά σε 19,7%, από 19,8% τον Δεκέμβριο του 2024. Η διαφοροποίηση στην εξέλιξη των δεικτών αυτών οφείλεται κυρίως στην έκδοση κεφαλαιακών μέσων τα οποία προσμετρούνται μεν στα εποπτικά ίδια κεφάλαια, αλλά δεν αποτελούν μέρος του Κεφαλαίου Κοινών Μετοχών της Κατηγορίας 1 (CET1). Επίσης, αν και οι οριστικές και εκκαθαρισμένες αναβαλλόμενες</w:t>
      </w:r>
      <w:r>
        <w:rPr>
          <w:smallCaps w:val="0"/>
          <w:spacing w:val="-2"/>
        </w:rPr>
        <w:t> </w:t>
      </w:r>
      <w:r>
        <w:rPr>
          <w:smallCaps w:val="0"/>
        </w:rPr>
        <w:t>φορολογικές απαιτήσεις (Deferred</w:t>
      </w:r>
      <w:r>
        <w:rPr>
          <w:smallCaps w:val="0"/>
          <w:spacing w:val="-1"/>
        </w:rPr>
        <w:t> </w:t>
      </w:r>
      <w:r>
        <w:rPr>
          <w:smallCaps w:val="0"/>
        </w:rPr>
        <w:t>Tax Credits –</w:t>
      </w:r>
      <w:r>
        <w:rPr>
          <w:smallCaps w:val="0"/>
          <w:spacing w:val="-3"/>
        </w:rPr>
        <w:t> </w:t>
      </w:r>
      <w:r>
        <w:rPr>
          <w:smallCaps w:val="0"/>
        </w:rPr>
        <w:t>DTCs) εξακολουθούν να αντι-</w:t>
      </w:r>
    </w:p>
    <w:p>
      <w:pPr>
        <w:pStyle w:val="BodyText"/>
        <w:spacing w:after="0" w:line="285" w:lineRule="auto"/>
        <w:jc w:val="both"/>
        <w:sectPr>
          <w:pgSz w:w="11910" w:h="16850"/>
          <w:pgMar w:header="0" w:footer="1180" w:top="1840" w:bottom="1360" w:left="1417" w:right="850"/>
        </w:sectPr>
      </w:pPr>
    </w:p>
    <w:p>
      <w:pPr>
        <w:pStyle w:val="BodyText"/>
        <w:spacing w:line="285" w:lineRule="auto" w:before="66"/>
        <w:ind w:left="172" w:right="959"/>
        <w:jc w:val="both"/>
      </w:pPr>
      <w:r>
        <w:rPr/>
        <w:t>προσωπεύουν σημαντικό</w:t>
      </w:r>
      <w:r>
        <w:rPr>
          <w:spacing w:val="-4"/>
        </w:rPr>
        <w:t> </w:t>
      </w:r>
      <w:r>
        <w:rPr/>
        <w:t>ποσοστό</w:t>
      </w:r>
      <w:r>
        <w:rPr>
          <w:spacing w:val="-1"/>
        </w:rPr>
        <w:t> </w:t>
      </w:r>
      <w:r>
        <w:rPr/>
        <w:t>των</w:t>
      </w:r>
      <w:r>
        <w:rPr>
          <w:spacing w:val="-2"/>
        </w:rPr>
        <w:t> </w:t>
      </w:r>
      <w:r>
        <w:rPr/>
        <w:t>Κεφαλαίων</w:t>
      </w:r>
      <w:r>
        <w:rPr>
          <w:spacing w:val="-2"/>
        </w:rPr>
        <w:t> </w:t>
      </w:r>
      <w:r>
        <w:rPr/>
        <w:t>Κοινών</w:t>
      </w:r>
      <w:r>
        <w:rPr>
          <w:spacing w:val="-2"/>
        </w:rPr>
        <w:t> </w:t>
      </w:r>
      <w:r>
        <w:rPr/>
        <w:t>Μετοχών</w:t>
      </w:r>
      <w:r>
        <w:rPr>
          <w:spacing w:val="-2"/>
        </w:rPr>
        <w:t> </w:t>
      </w:r>
      <w:r>
        <w:rPr/>
        <w:t>της</w:t>
      </w:r>
      <w:r>
        <w:rPr>
          <w:spacing w:val="-2"/>
        </w:rPr>
        <w:t> </w:t>
      </w:r>
      <w:r>
        <w:rPr/>
        <w:t>Κατηγορίας</w:t>
      </w:r>
      <w:r>
        <w:rPr>
          <w:spacing w:val="-3"/>
        </w:rPr>
        <w:t> </w:t>
      </w:r>
      <w:r>
        <w:rPr/>
        <w:t>1</w:t>
      </w:r>
      <w:r>
        <w:rPr>
          <w:spacing w:val="-3"/>
        </w:rPr>
        <w:t> </w:t>
      </w:r>
      <w:r>
        <w:rPr/>
        <w:t>(Δεκέμ-βριος 2025: 40,1%, Δεκέμβριος 2024: 47%), η σταδιακή απόσβεσή τους έχει επιταχυνθεί λόγω της υλοποίησης του εθελοντικού προγράμματος ταχύτερης απομείωσής τους.</w:t>
      </w:r>
    </w:p>
    <w:p>
      <w:pPr>
        <w:spacing w:before="237"/>
        <w:ind w:left="38" w:right="824" w:firstLine="0"/>
        <w:jc w:val="center"/>
        <w:rPr>
          <w:sz w:val="22"/>
        </w:rPr>
      </w:pPr>
      <w:r>
        <w:rPr>
          <w:spacing w:val="-5"/>
          <w:sz w:val="22"/>
        </w:rPr>
        <w:t>***</w:t>
      </w:r>
    </w:p>
    <w:p>
      <w:pPr>
        <w:pStyle w:val="BodyText"/>
        <w:spacing w:line="285" w:lineRule="auto" w:before="107"/>
        <w:ind w:left="172" w:right="955"/>
        <w:jc w:val="both"/>
      </w:pPr>
      <w:r>
        <w:rPr>
          <w:b/>
          <w:color w:val="1F487C"/>
        </w:rPr>
        <w:t>Στο τρέχον μακροο</w:t>
      </w:r>
      <w:r>
        <w:rPr>
          <w:b/>
          <w:smallCaps/>
          <w:color w:val="1F487C"/>
        </w:rPr>
        <w:t>ι</w:t>
      </w:r>
      <w:r>
        <w:rPr>
          <w:b/>
          <w:smallCaps w:val="0"/>
          <w:color w:val="1F487C"/>
        </w:rPr>
        <w:t>κονομ</w:t>
      </w:r>
      <w:r>
        <w:rPr>
          <w:b/>
          <w:smallCaps/>
          <w:color w:val="1F487C"/>
        </w:rPr>
        <w:t>ι</w:t>
      </w:r>
      <w:r>
        <w:rPr>
          <w:b/>
          <w:smallCaps w:val="0"/>
          <w:color w:val="1F487C"/>
        </w:rPr>
        <w:t>κό κα</w:t>
      </w:r>
      <w:r>
        <w:rPr>
          <w:b/>
          <w:smallCaps/>
          <w:color w:val="1F487C"/>
        </w:rPr>
        <w:t>ι</w:t>
      </w:r>
      <w:r>
        <w:rPr>
          <w:b/>
          <w:smallCaps w:val="0"/>
          <w:color w:val="1F487C"/>
          <w:spacing w:val="-1"/>
        </w:rPr>
        <w:t> </w:t>
      </w:r>
      <w:r>
        <w:rPr>
          <w:b/>
          <w:smallCaps w:val="0"/>
          <w:color w:val="1F487C"/>
        </w:rPr>
        <w:t>χρηματοπ</w:t>
      </w:r>
      <w:r>
        <w:rPr>
          <w:b/>
          <w:smallCaps/>
          <w:color w:val="1F487C"/>
        </w:rPr>
        <w:t>ι</w:t>
      </w:r>
      <w:r>
        <w:rPr>
          <w:b/>
          <w:smallCaps w:val="0"/>
          <w:color w:val="1F487C"/>
        </w:rPr>
        <w:t>στωτ</w:t>
      </w:r>
      <w:r>
        <w:rPr>
          <w:b/>
          <w:smallCaps/>
          <w:color w:val="1F487C"/>
        </w:rPr>
        <w:t>ι</w:t>
      </w:r>
      <w:r>
        <w:rPr>
          <w:b/>
          <w:smallCaps w:val="0"/>
          <w:color w:val="1F487C"/>
        </w:rPr>
        <w:t>κό περ</w:t>
      </w:r>
      <w:r>
        <w:rPr>
          <w:b/>
          <w:smallCaps/>
          <w:color w:val="1F487C"/>
        </w:rPr>
        <w:t>ι</w:t>
      </w:r>
      <w:r>
        <w:rPr>
          <w:b/>
          <w:smallCaps w:val="0"/>
          <w:color w:val="1F487C"/>
        </w:rPr>
        <w:t>βάλλον</w:t>
      </w:r>
      <w:r>
        <w:rPr>
          <w:b/>
          <w:smallCaps w:val="0"/>
          <w:color w:val="1F487C"/>
          <w:spacing w:val="-2"/>
        </w:rPr>
        <w:t> </w:t>
      </w:r>
      <w:r>
        <w:rPr>
          <w:b/>
          <w:smallCaps w:val="0"/>
          <w:color w:val="1F487C"/>
        </w:rPr>
        <w:t>παραμένε</w:t>
      </w:r>
      <w:r>
        <w:rPr>
          <w:b/>
          <w:smallCaps/>
          <w:color w:val="1F487C"/>
        </w:rPr>
        <w:t>ι</w:t>
      </w:r>
      <w:r>
        <w:rPr>
          <w:b/>
          <w:smallCaps w:val="0"/>
          <w:color w:val="1F487C"/>
        </w:rPr>
        <w:t> καίρ</w:t>
      </w:r>
      <w:r>
        <w:rPr>
          <w:b/>
          <w:smallCaps/>
          <w:color w:val="1F487C"/>
        </w:rPr>
        <w:t>ι</w:t>
      </w:r>
      <w:r>
        <w:rPr>
          <w:b/>
          <w:smallCaps w:val="0"/>
          <w:color w:val="1F487C"/>
        </w:rPr>
        <w:t>ας</w:t>
      </w:r>
      <w:r>
        <w:rPr>
          <w:b/>
          <w:smallCaps w:val="0"/>
          <w:color w:val="1F487C"/>
          <w:spacing w:val="-1"/>
        </w:rPr>
        <w:t> </w:t>
      </w:r>
      <w:r>
        <w:rPr>
          <w:b/>
          <w:smallCaps w:val="0"/>
          <w:color w:val="1F487C"/>
        </w:rPr>
        <w:t>σημα-σίας</w:t>
      </w:r>
      <w:r>
        <w:rPr>
          <w:b/>
          <w:smallCaps w:val="0"/>
          <w:color w:val="1F487C"/>
          <w:spacing w:val="-11"/>
        </w:rPr>
        <w:t> </w:t>
      </w:r>
      <w:r>
        <w:rPr>
          <w:b/>
          <w:smallCaps w:val="0"/>
          <w:color w:val="1F487C"/>
        </w:rPr>
        <w:t>η</w:t>
      </w:r>
      <w:r>
        <w:rPr>
          <w:b/>
          <w:smallCaps w:val="0"/>
          <w:color w:val="1F487C"/>
          <w:spacing w:val="-12"/>
        </w:rPr>
        <w:t> </w:t>
      </w:r>
      <w:r>
        <w:rPr>
          <w:b/>
          <w:smallCaps w:val="0"/>
          <w:color w:val="1F487C"/>
        </w:rPr>
        <w:t>εφαρμογή</w:t>
      </w:r>
      <w:r>
        <w:rPr>
          <w:b/>
          <w:smallCaps w:val="0"/>
          <w:color w:val="1F487C"/>
          <w:spacing w:val="-12"/>
        </w:rPr>
        <w:t> </w:t>
      </w:r>
      <w:r>
        <w:rPr>
          <w:b/>
          <w:smallCaps w:val="0"/>
          <w:color w:val="1F487C"/>
        </w:rPr>
        <w:t>κατάλληλης</w:t>
      </w:r>
      <w:r>
        <w:rPr>
          <w:b/>
          <w:smallCaps w:val="0"/>
          <w:color w:val="1F487C"/>
          <w:spacing w:val="-12"/>
        </w:rPr>
        <w:t> </w:t>
      </w:r>
      <w:r>
        <w:rPr>
          <w:b/>
          <w:smallCaps w:val="0"/>
          <w:color w:val="1F487C"/>
        </w:rPr>
        <w:t>μακροπροληπτ</w:t>
      </w:r>
      <w:r>
        <w:rPr>
          <w:b/>
          <w:smallCaps/>
          <w:color w:val="1F487C"/>
        </w:rPr>
        <w:t>ι</w:t>
      </w:r>
      <w:r>
        <w:rPr>
          <w:b/>
          <w:smallCaps w:val="0"/>
          <w:color w:val="1F487C"/>
        </w:rPr>
        <w:t>κής</w:t>
      </w:r>
      <w:r>
        <w:rPr>
          <w:b/>
          <w:smallCaps w:val="0"/>
          <w:color w:val="1F487C"/>
          <w:spacing w:val="-11"/>
        </w:rPr>
        <w:t> </w:t>
      </w:r>
      <w:r>
        <w:rPr>
          <w:b/>
          <w:smallCaps w:val="0"/>
          <w:color w:val="1F487C"/>
        </w:rPr>
        <w:t>πολ</w:t>
      </w:r>
      <w:r>
        <w:rPr>
          <w:b/>
          <w:smallCaps/>
          <w:color w:val="1F487C"/>
        </w:rPr>
        <w:t>ι</w:t>
      </w:r>
      <w:r>
        <w:rPr>
          <w:b/>
          <w:smallCaps w:val="0"/>
          <w:color w:val="1F487C"/>
        </w:rPr>
        <w:t>τ</w:t>
      </w:r>
      <w:r>
        <w:rPr>
          <w:b/>
          <w:smallCaps/>
          <w:color w:val="1F487C"/>
        </w:rPr>
        <w:t>ι</w:t>
      </w:r>
      <w:r>
        <w:rPr>
          <w:b/>
          <w:smallCaps w:val="0"/>
          <w:color w:val="1F487C"/>
        </w:rPr>
        <w:t>κής</w:t>
      </w:r>
      <w:r>
        <w:rPr>
          <w:b/>
          <w:smallCaps w:val="0"/>
          <w:color w:val="1F487C"/>
          <w:spacing w:val="-11"/>
        </w:rPr>
        <w:t> </w:t>
      </w:r>
      <w:r>
        <w:rPr>
          <w:b/>
          <w:smallCaps w:val="0"/>
          <w:color w:val="1F487C"/>
        </w:rPr>
        <w:t>γ</w:t>
      </w:r>
      <w:r>
        <w:rPr>
          <w:b/>
          <w:smallCaps/>
          <w:color w:val="1F487C"/>
        </w:rPr>
        <w:t>ι</w:t>
      </w:r>
      <w:r>
        <w:rPr>
          <w:b/>
          <w:smallCaps w:val="0"/>
          <w:color w:val="1F487C"/>
        </w:rPr>
        <w:t>α</w:t>
      </w:r>
      <w:r>
        <w:rPr>
          <w:b/>
          <w:smallCaps w:val="0"/>
          <w:color w:val="1F487C"/>
          <w:spacing w:val="-12"/>
        </w:rPr>
        <w:t> </w:t>
      </w:r>
      <w:r>
        <w:rPr>
          <w:b/>
          <w:smallCaps w:val="0"/>
          <w:color w:val="1F487C"/>
        </w:rPr>
        <w:t>την</w:t>
      </w:r>
      <w:r>
        <w:rPr>
          <w:b/>
          <w:smallCaps w:val="0"/>
          <w:color w:val="1F487C"/>
          <w:spacing w:val="-12"/>
        </w:rPr>
        <w:t> </w:t>
      </w:r>
      <w:r>
        <w:rPr>
          <w:b/>
          <w:smallCaps w:val="0"/>
          <w:color w:val="1F487C"/>
        </w:rPr>
        <w:t>αποφυγή</w:t>
      </w:r>
      <w:r>
        <w:rPr>
          <w:b/>
          <w:smallCaps w:val="0"/>
          <w:color w:val="1F487C"/>
          <w:spacing w:val="-13"/>
        </w:rPr>
        <w:t> </w:t>
      </w:r>
      <w:r>
        <w:rPr>
          <w:b/>
          <w:smallCaps w:val="0"/>
          <w:color w:val="1F487C"/>
        </w:rPr>
        <w:t>συσσώρευσης συστημ</w:t>
      </w:r>
      <w:r>
        <w:rPr>
          <w:b/>
          <w:smallCaps/>
          <w:color w:val="1F487C"/>
        </w:rPr>
        <w:t>ι</w:t>
      </w:r>
      <w:r>
        <w:rPr>
          <w:b/>
          <w:smallCaps w:val="0"/>
          <w:color w:val="1F487C"/>
        </w:rPr>
        <w:t>κών</w:t>
      </w:r>
      <w:r>
        <w:rPr>
          <w:b/>
          <w:smallCaps w:val="0"/>
          <w:color w:val="1F487C"/>
          <w:spacing w:val="-10"/>
        </w:rPr>
        <w:t> </w:t>
      </w:r>
      <w:r>
        <w:rPr>
          <w:b/>
          <w:smallCaps w:val="0"/>
          <w:color w:val="1F487C"/>
        </w:rPr>
        <w:t>κ</w:t>
      </w:r>
      <w:r>
        <w:rPr>
          <w:b/>
          <w:smallCaps/>
          <w:color w:val="1F487C"/>
        </w:rPr>
        <w:t>ιν</w:t>
      </w:r>
      <w:r>
        <w:rPr>
          <w:b/>
          <w:smallCaps w:val="0"/>
          <w:color w:val="1F487C"/>
        </w:rPr>
        <w:t>δύνων</w:t>
      </w:r>
      <w:r>
        <w:rPr>
          <w:b/>
          <w:smallCaps w:val="0"/>
          <w:color w:val="1F487C"/>
          <w:spacing w:val="-10"/>
        </w:rPr>
        <w:t> </w:t>
      </w:r>
      <w:r>
        <w:rPr>
          <w:b/>
          <w:smallCaps w:val="0"/>
          <w:color w:val="1F487C"/>
        </w:rPr>
        <w:t>κα</w:t>
      </w:r>
      <w:r>
        <w:rPr>
          <w:b/>
          <w:smallCaps/>
          <w:color w:val="1F487C"/>
        </w:rPr>
        <w:t>ι</w:t>
      </w:r>
      <w:r>
        <w:rPr>
          <w:b/>
          <w:smallCaps w:val="0"/>
          <w:color w:val="1F487C"/>
          <w:spacing w:val="-9"/>
        </w:rPr>
        <w:t> </w:t>
      </w:r>
      <w:r>
        <w:rPr>
          <w:b/>
          <w:smallCaps w:val="0"/>
          <w:color w:val="1F487C"/>
        </w:rPr>
        <w:t>την</w:t>
      </w:r>
      <w:r>
        <w:rPr>
          <w:b/>
          <w:smallCaps w:val="0"/>
          <w:color w:val="1F487C"/>
          <w:spacing w:val="-8"/>
        </w:rPr>
        <w:t> </w:t>
      </w:r>
      <w:r>
        <w:rPr>
          <w:b/>
          <w:smallCaps w:val="0"/>
          <w:color w:val="1F487C"/>
        </w:rPr>
        <w:t>ενίσχυση</w:t>
      </w:r>
      <w:r>
        <w:rPr>
          <w:b/>
          <w:smallCaps w:val="0"/>
          <w:color w:val="1F487C"/>
          <w:spacing w:val="-10"/>
        </w:rPr>
        <w:t> </w:t>
      </w:r>
      <w:r>
        <w:rPr>
          <w:b/>
          <w:smallCaps w:val="0"/>
          <w:color w:val="1F487C"/>
        </w:rPr>
        <w:t>της</w:t>
      </w:r>
      <w:r>
        <w:rPr>
          <w:b/>
          <w:smallCaps w:val="0"/>
          <w:color w:val="1F487C"/>
          <w:spacing w:val="-7"/>
        </w:rPr>
        <w:t> </w:t>
      </w:r>
      <w:r>
        <w:rPr>
          <w:b/>
          <w:smallCaps w:val="0"/>
          <w:color w:val="1F487C"/>
        </w:rPr>
        <w:t>ανθεκτ</w:t>
      </w:r>
      <w:r>
        <w:rPr>
          <w:b/>
          <w:smallCaps/>
          <w:color w:val="1F487C"/>
        </w:rPr>
        <w:t>ι</w:t>
      </w:r>
      <w:r>
        <w:rPr>
          <w:b/>
          <w:smallCaps w:val="0"/>
          <w:color w:val="1F487C"/>
        </w:rPr>
        <w:t>κότητας</w:t>
      </w:r>
      <w:r>
        <w:rPr>
          <w:b/>
          <w:smallCaps w:val="0"/>
          <w:color w:val="1F487C"/>
          <w:spacing w:val="-7"/>
        </w:rPr>
        <w:t> </w:t>
      </w:r>
      <w:r>
        <w:rPr>
          <w:b/>
          <w:smallCaps w:val="0"/>
          <w:color w:val="1F487C"/>
        </w:rPr>
        <w:t>του</w:t>
      </w:r>
      <w:r>
        <w:rPr>
          <w:b/>
          <w:smallCaps w:val="0"/>
          <w:color w:val="1F487C"/>
          <w:spacing w:val="-7"/>
        </w:rPr>
        <w:t> </w:t>
      </w:r>
      <w:r>
        <w:rPr>
          <w:b/>
          <w:smallCaps w:val="0"/>
          <w:color w:val="1F487C"/>
        </w:rPr>
        <w:t>τραπεζ</w:t>
      </w:r>
      <w:r>
        <w:rPr>
          <w:b/>
          <w:smallCaps/>
          <w:color w:val="1F487C"/>
        </w:rPr>
        <w:t>ι</w:t>
      </w:r>
      <w:r>
        <w:rPr>
          <w:b/>
          <w:smallCaps w:val="0"/>
          <w:color w:val="1F487C"/>
        </w:rPr>
        <w:t>κού</w:t>
      </w:r>
      <w:r>
        <w:rPr>
          <w:b/>
          <w:smallCaps w:val="0"/>
          <w:color w:val="1F487C"/>
          <w:spacing w:val="-7"/>
        </w:rPr>
        <w:t> </w:t>
      </w:r>
      <w:r>
        <w:rPr>
          <w:b/>
          <w:smallCaps w:val="0"/>
          <w:color w:val="1F487C"/>
        </w:rPr>
        <w:t>τομέα.</w:t>
      </w:r>
      <w:r>
        <w:rPr>
          <w:b/>
          <w:smallCaps w:val="0"/>
          <w:color w:val="1F487C"/>
          <w:spacing w:val="-4"/>
        </w:rPr>
        <w:t> </w:t>
      </w:r>
      <w:r>
        <w:rPr>
          <w:smallCaps w:val="0"/>
        </w:rPr>
        <w:t>H</w:t>
      </w:r>
      <w:r>
        <w:rPr>
          <w:smallCaps w:val="0"/>
          <w:spacing w:val="-8"/>
        </w:rPr>
        <w:t> </w:t>
      </w:r>
      <w:r>
        <w:rPr>
          <w:smallCaps w:val="0"/>
        </w:rPr>
        <w:t>Τρά-πεζα της Ελλάδος αξιολογεί ανά τρίμηνο την ένταση των κυκλικών συστημικών κινδύνων και την καταλληλότητα του ποσοστού αντικυκλικού κεφαλαιακού αποθέματος ασφαλείας (Countercyclical Capital Buffer ‒ CCyB) για την Ελλάδα, και το καθορίζει ή το προσαρμόζει, εφόσον αυτό κριθεί αναγκαίο. H ανάλυση των δεικτών που εξετάζει η Τράπεζα της Ελλάδος επιβεβαιώνει την</w:t>
      </w:r>
      <w:r>
        <w:rPr>
          <w:smallCaps w:val="0"/>
          <w:spacing w:val="-1"/>
        </w:rPr>
        <w:t> </w:t>
      </w:r>
      <w:r>
        <w:rPr>
          <w:smallCaps w:val="0"/>
        </w:rPr>
        <w:t>εκτίμηση</w:t>
      </w:r>
      <w:r>
        <w:rPr>
          <w:smallCaps w:val="0"/>
          <w:spacing w:val="-2"/>
        </w:rPr>
        <w:t> </w:t>
      </w:r>
      <w:r>
        <w:rPr>
          <w:smallCaps w:val="0"/>
        </w:rPr>
        <w:t>περί απουσίας</w:t>
      </w:r>
      <w:r>
        <w:rPr>
          <w:smallCaps w:val="0"/>
          <w:spacing w:val="-3"/>
        </w:rPr>
        <w:t> </w:t>
      </w:r>
      <w:r>
        <w:rPr>
          <w:smallCaps w:val="0"/>
        </w:rPr>
        <w:t>υπέρμετρης</w:t>
      </w:r>
      <w:r>
        <w:rPr>
          <w:smallCaps w:val="0"/>
          <w:spacing w:val="-3"/>
        </w:rPr>
        <w:t> </w:t>
      </w:r>
      <w:r>
        <w:rPr>
          <w:smallCaps w:val="0"/>
        </w:rPr>
        <w:t>πιστωτικής</w:t>
      </w:r>
      <w:r>
        <w:rPr>
          <w:smallCaps w:val="0"/>
          <w:spacing w:val="-2"/>
        </w:rPr>
        <w:t> </w:t>
      </w:r>
      <w:r>
        <w:rPr>
          <w:smallCaps w:val="0"/>
        </w:rPr>
        <w:t>επέκτασης</w:t>
      </w:r>
      <w:r>
        <w:rPr>
          <w:smallCaps w:val="0"/>
          <w:spacing w:val="-1"/>
        </w:rPr>
        <w:t> </w:t>
      </w:r>
      <w:r>
        <w:rPr>
          <w:smallCaps w:val="0"/>
        </w:rPr>
        <w:t>συνολικά, αλλά</w:t>
      </w:r>
      <w:r>
        <w:rPr>
          <w:smallCaps w:val="0"/>
          <w:spacing w:val="-1"/>
        </w:rPr>
        <w:t> </w:t>
      </w:r>
      <w:r>
        <w:rPr>
          <w:smallCaps w:val="0"/>
        </w:rPr>
        <w:t>α-ναδεικνύει</w:t>
      </w:r>
      <w:r>
        <w:rPr>
          <w:smallCaps w:val="0"/>
          <w:spacing w:val="-14"/>
        </w:rPr>
        <w:t> </w:t>
      </w:r>
      <w:r>
        <w:rPr>
          <w:smallCaps w:val="0"/>
        </w:rPr>
        <w:t>την</w:t>
      </w:r>
      <w:r>
        <w:rPr>
          <w:smallCaps w:val="0"/>
          <w:spacing w:val="-14"/>
        </w:rPr>
        <w:t> </w:t>
      </w:r>
      <w:r>
        <w:rPr>
          <w:smallCaps w:val="0"/>
        </w:rPr>
        <w:t>απαρχή</w:t>
      </w:r>
      <w:r>
        <w:rPr>
          <w:smallCaps w:val="0"/>
          <w:spacing w:val="-14"/>
        </w:rPr>
        <w:t> </w:t>
      </w:r>
      <w:r>
        <w:rPr>
          <w:smallCaps w:val="0"/>
        </w:rPr>
        <w:t>συσσώρευσης</w:t>
      </w:r>
      <w:r>
        <w:rPr>
          <w:smallCaps w:val="0"/>
          <w:spacing w:val="-13"/>
        </w:rPr>
        <w:t> </w:t>
      </w:r>
      <w:r>
        <w:rPr>
          <w:smallCaps w:val="0"/>
        </w:rPr>
        <w:t>κυκλικών</w:t>
      </w:r>
      <w:r>
        <w:rPr>
          <w:smallCaps w:val="0"/>
          <w:spacing w:val="-14"/>
        </w:rPr>
        <w:t> </w:t>
      </w:r>
      <w:r>
        <w:rPr>
          <w:smallCaps w:val="0"/>
        </w:rPr>
        <w:t>συστημικών</w:t>
      </w:r>
      <w:r>
        <w:rPr>
          <w:smallCaps w:val="0"/>
          <w:spacing w:val="-14"/>
        </w:rPr>
        <w:t> </w:t>
      </w:r>
      <w:r>
        <w:rPr>
          <w:smallCaps w:val="0"/>
        </w:rPr>
        <w:t>κινδύνων</w:t>
      </w:r>
      <w:r>
        <w:rPr>
          <w:smallCaps w:val="0"/>
          <w:spacing w:val="-14"/>
        </w:rPr>
        <w:t> </w:t>
      </w:r>
      <w:r>
        <w:rPr>
          <w:smallCaps w:val="0"/>
        </w:rPr>
        <w:t>σε</w:t>
      </w:r>
      <w:r>
        <w:rPr>
          <w:smallCaps w:val="0"/>
          <w:spacing w:val="-13"/>
        </w:rPr>
        <w:t> </w:t>
      </w:r>
      <w:r>
        <w:rPr>
          <w:smallCaps w:val="0"/>
        </w:rPr>
        <w:t>επιμέρους</w:t>
      </w:r>
      <w:r>
        <w:rPr>
          <w:smallCaps w:val="0"/>
          <w:spacing w:val="-14"/>
        </w:rPr>
        <w:t> </w:t>
      </w:r>
      <w:r>
        <w:rPr>
          <w:smallCaps w:val="0"/>
        </w:rPr>
        <w:t>τομείς,</w:t>
      </w:r>
      <w:r>
        <w:rPr>
          <w:smallCaps w:val="0"/>
          <w:spacing w:val="-14"/>
        </w:rPr>
        <w:t> </w:t>
      </w:r>
      <w:r>
        <w:rPr>
          <w:smallCaps w:val="0"/>
        </w:rPr>
        <w:t>όπως η χρηματοδότηση των μη χρηματοπιστωτικών επιχειρήσεων, οι τιμές των οικιστικών ακινήτων και το ισοζύγιο τρεχουσών συναλλαγών. Επιπλέον, το</w:t>
      </w:r>
      <w:r>
        <w:rPr>
          <w:smallCaps w:val="0"/>
          <w:spacing w:val="-5"/>
        </w:rPr>
        <w:t> </w:t>
      </w:r>
      <w:r>
        <w:rPr>
          <w:smallCaps w:val="0"/>
        </w:rPr>
        <w:t>εγχώριο</w:t>
      </w:r>
      <w:r>
        <w:rPr>
          <w:smallCaps w:val="0"/>
          <w:spacing w:val="-4"/>
        </w:rPr>
        <w:t> </w:t>
      </w:r>
      <w:r>
        <w:rPr>
          <w:smallCaps w:val="0"/>
        </w:rPr>
        <w:t>μακροοικονομικό</w:t>
      </w:r>
      <w:r>
        <w:rPr>
          <w:smallCaps w:val="0"/>
          <w:spacing w:val="-3"/>
        </w:rPr>
        <w:t> </w:t>
      </w:r>
      <w:r>
        <w:rPr>
          <w:smallCaps w:val="0"/>
        </w:rPr>
        <w:t>περιβάλλον,</w:t>
      </w:r>
      <w:r>
        <w:rPr>
          <w:smallCaps w:val="0"/>
          <w:spacing w:val="-3"/>
        </w:rPr>
        <w:t> </w:t>
      </w:r>
      <w:r>
        <w:rPr>
          <w:smallCaps w:val="0"/>
        </w:rPr>
        <w:t>η περαιτέρω</w:t>
      </w:r>
      <w:r>
        <w:rPr>
          <w:smallCaps w:val="0"/>
          <w:spacing w:val="-14"/>
        </w:rPr>
        <w:t> </w:t>
      </w:r>
      <w:r>
        <w:rPr>
          <w:smallCaps w:val="0"/>
        </w:rPr>
        <w:t>βελτίωση</w:t>
      </w:r>
      <w:r>
        <w:rPr>
          <w:smallCaps w:val="0"/>
          <w:spacing w:val="-14"/>
        </w:rPr>
        <w:t> </w:t>
      </w:r>
      <w:r>
        <w:rPr>
          <w:smallCaps w:val="0"/>
        </w:rPr>
        <w:t>των</w:t>
      </w:r>
      <w:r>
        <w:rPr>
          <w:smallCaps w:val="0"/>
          <w:spacing w:val="-14"/>
        </w:rPr>
        <w:t> </w:t>
      </w:r>
      <w:r>
        <w:rPr>
          <w:smallCaps w:val="0"/>
        </w:rPr>
        <w:t>θεμελιωδών</w:t>
      </w:r>
      <w:r>
        <w:rPr>
          <w:smallCaps w:val="0"/>
          <w:spacing w:val="-13"/>
        </w:rPr>
        <w:t> </w:t>
      </w:r>
      <w:r>
        <w:rPr>
          <w:smallCaps w:val="0"/>
        </w:rPr>
        <w:t>μεγεθών</w:t>
      </w:r>
      <w:r>
        <w:rPr>
          <w:smallCaps w:val="0"/>
          <w:spacing w:val="-14"/>
        </w:rPr>
        <w:t> </w:t>
      </w:r>
      <w:r>
        <w:rPr>
          <w:smallCaps w:val="0"/>
        </w:rPr>
        <w:t>και</w:t>
      </w:r>
      <w:r>
        <w:rPr>
          <w:smallCaps w:val="0"/>
          <w:spacing w:val="-14"/>
        </w:rPr>
        <w:t> </w:t>
      </w:r>
      <w:r>
        <w:rPr>
          <w:smallCaps w:val="0"/>
        </w:rPr>
        <w:t>των</w:t>
      </w:r>
      <w:r>
        <w:rPr>
          <w:smallCaps w:val="0"/>
          <w:spacing w:val="-14"/>
        </w:rPr>
        <w:t> </w:t>
      </w:r>
      <w:r>
        <w:rPr>
          <w:smallCaps w:val="0"/>
        </w:rPr>
        <w:t>εποπτικών</w:t>
      </w:r>
      <w:r>
        <w:rPr>
          <w:smallCaps w:val="0"/>
          <w:spacing w:val="-13"/>
        </w:rPr>
        <w:t> </w:t>
      </w:r>
      <w:r>
        <w:rPr>
          <w:smallCaps w:val="0"/>
        </w:rPr>
        <w:t>δεικτών</w:t>
      </w:r>
      <w:r>
        <w:rPr>
          <w:smallCaps w:val="0"/>
          <w:spacing w:val="-14"/>
        </w:rPr>
        <w:t> </w:t>
      </w:r>
      <w:r>
        <w:rPr>
          <w:smallCaps w:val="0"/>
        </w:rPr>
        <w:t>του</w:t>
      </w:r>
      <w:r>
        <w:rPr>
          <w:smallCaps w:val="0"/>
          <w:spacing w:val="-14"/>
        </w:rPr>
        <w:t> </w:t>
      </w:r>
      <w:r>
        <w:rPr>
          <w:smallCaps w:val="0"/>
        </w:rPr>
        <w:t>τραπεζικού</w:t>
      </w:r>
      <w:r>
        <w:rPr>
          <w:smallCaps w:val="0"/>
          <w:spacing w:val="-14"/>
        </w:rPr>
        <w:t> </w:t>
      </w:r>
      <w:r>
        <w:rPr>
          <w:smallCaps w:val="0"/>
        </w:rPr>
        <w:t>τομέα, καθώς</w:t>
      </w:r>
      <w:r>
        <w:rPr>
          <w:smallCaps w:val="0"/>
          <w:spacing w:val="-14"/>
        </w:rPr>
        <w:t> </w:t>
      </w:r>
      <w:r>
        <w:rPr>
          <w:smallCaps w:val="0"/>
        </w:rPr>
        <w:t>και</w:t>
      </w:r>
      <w:r>
        <w:rPr>
          <w:smallCaps w:val="0"/>
          <w:spacing w:val="-9"/>
        </w:rPr>
        <w:t> </w:t>
      </w:r>
      <w:r>
        <w:rPr>
          <w:smallCaps w:val="0"/>
        </w:rPr>
        <w:t>η</w:t>
      </w:r>
      <w:r>
        <w:rPr>
          <w:smallCaps w:val="0"/>
          <w:spacing w:val="-9"/>
        </w:rPr>
        <w:t> </w:t>
      </w:r>
      <w:r>
        <w:rPr>
          <w:smallCaps w:val="0"/>
        </w:rPr>
        <w:t>αναδιάρθρωση</w:t>
      </w:r>
      <w:r>
        <w:rPr>
          <w:smallCaps w:val="0"/>
          <w:spacing w:val="-9"/>
        </w:rPr>
        <w:t> </w:t>
      </w:r>
      <w:r>
        <w:rPr>
          <w:smallCaps w:val="0"/>
        </w:rPr>
        <w:t>λιγότερο</w:t>
      </w:r>
      <w:r>
        <w:rPr>
          <w:smallCaps w:val="0"/>
          <w:spacing w:val="-14"/>
        </w:rPr>
        <w:t> </w:t>
      </w:r>
      <w:r>
        <w:rPr>
          <w:smallCaps w:val="0"/>
        </w:rPr>
        <w:t>σημαντικών</w:t>
      </w:r>
      <w:r>
        <w:rPr>
          <w:smallCaps w:val="0"/>
          <w:spacing w:val="-14"/>
        </w:rPr>
        <w:t> </w:t>
      </w:r>
      <w:r>
        <w:rPr>
          <w:smallCaps w:val="0"/>
        </w:rPr>
        <w:t>τραπεζών</w:t>
      </w:r>
      <w:r>
        <w:rPr>
          <w:smallCaps w:val="0"/>
          <w:spacing w:val="-14"/>
        </w:rPr>
        <w:t> </w:t>
      </w:r>
      <w:r>
        <w:rPr>
          <w:smallCaps w:val="0"/>
        </w:rPr>
        <w:t>εξακολουθούν</w:t>
      </w:r>
      <w:r>
        <w:rPr>
          <w:smallCaps w:val="0"/>
          <w:spacing w:val="-13"/>
        </w:rPr>
        <w:t> </w:t>
      </w:r>
      <w:r>
        <w:rPr>
          <w:smallCaps w:val="0"/>
        </w:rPr>
        <w:t>να</w:t>
      </w:r>
      <w:r>
        <w:rPr>
          <w:smallCaps w:val="0"/>
          <w:spacing w:val="-12"/>
        </w:rPr>
        <w:t> </w:t>
      </w:r>
      <w:r>
        <w:rPr>
          <w:smallCaps w:val="0"/>
        </w:rPr>
        <w:t>διαμορφώνουν</w:t>
      </w:r>
      <w:r>
        <w:rPr>
          <w:smallCaps w:val="0"/>
          <w:spacing w:val="-10"/>
        </w:rPr>
        <w:t> </w:t>
      </w:r>
      <w:r>
        <w:rPr>
          <w:smallCaps w:val="0"/>
        </w:rPr>
        <w:t>ευ-νοϊκές συνθήκες για τη δημιουργία μακροπροληπτικού χώρου, που θα διασφαλίζει τη σταθερό-τητα</w:t>
      </w:r>
      <w:r>
        <w:rPr>
          <w:smallCaps w:val="0"/>
          <w:spacing w:val="-3"/>
        </w:rPr>
        <w:t> </w:t>
      </w:r>
      <w:r>
        <w:rPr>
          <w:smallCaps w:val="0"/>
        </w:rPr>
        <w:t>του</w:t>
      </w:r>
      <w:r>
        <w:rPr>
          <w:smallCaps w:val="0"/>
          <w:spacing w:val="-4"/>
        </w:rPr>
        <w:t> </w:t>
      </w:r>
      <w:r>
        <w:rPr>
          <w:smallCaps w:val="0"/>
        </w:rPr>
        <w:t>χρηματοπιστωτικού</w:t>
      </w:r>
      <w:r>
        <w:rPr>
          <w:smallCaps w:val="0"/>
          <w:spacing w:val="-1"/>
        </w:rPr>
        <w:t> </w:t>
      </w:r>
      <w:r>
        <w:rPr>
          <w:smallCaps w:val="0"/>
        </w:rPr>
        <w:t>συστήματος</w:t>
      </w:r>
      <w:r>
        <w:rPr>
          <w:smallCaps w:val="0"/>
          <w:spacing w:val="-4"/>
        </w:rPr>
        <w:t> </w:t>
      </w:r>
      <w:r>
        <w:rPr>
          <w:smallCaps w:val="0"/>
        </w:rPr>
        <w:t>μεσοπρόθεσμα.</w:t>
      </w:r>
      <w:r>
        <w:rPr>
          <w:smallCaps w:val="0"/>
          <w:spacing w:val="-2"/>
        </w:rPr>
        <w:t> </w:t>
      </w:r>
      <w:r>
        <w:rPr>
          <w:smallCaps w:val="0"/>
        </w:rPr>
        <w:t>Λαμβάνοντας</w:t>
      </w:r>
      <w:r>
        <w:rPr>
          <w:smallCaps w:val="0"/>
          <w:spacing w:val="-4"/>
        </w:rPr>
        <w:t> </w:t>
      </w:r>
      <w:r>
        <w:rPr>
          <w:smallCaps w:val="0"/>
        </w:rPr>
        <w:t>υπόψη</w:t>
      </w:r>
      <w:r>
        <w:rPr>
          <w:smallCaps w:val="0"/>
          <w:spacing w:val="-5"/>
        </w:rPr>
        <w:t> </w:t>
      </w:r>
      <w:r>
        <w:rPr>
          <w:smallCaps w:val="0"/>
        </w:rPr>
        <w:t>τα</w:t>
      </w:r>
      <w:r>
        <w:rPr>
          <w:smallCaps w:val="0"/>
          <w:spacing w:val="-2"/>
        </w:rPr>
        <w:t> </w:t>
      </w:r>
      <w:r>
        <w:rPr>
          <w:smallCaps w:val="0"/>
        </w:rPr>
        <w:t>παραπάνω,</w:t>
      </w:r>
      <w:r>
        <w:rPr>
          <w:smallCaps w:val="0"/>
          <w:spacing w:val="-5"/>
        </w:rPr>
        <w:t> </w:t>
      </w:r>
      <w:r>
        <w:rPr>
          <w:smallCaps w:val="0"/>
        </w:rPr>
        <w:t>η Τράπεζα της Ελλάδος αποφάσισε την αύξηση του ποσοστού αντικυκλικού κεφαλαιακού αποθέ-ματος</w:t>
      </w:r>
      <w:r>
        <w:rPr>
          <w:smallCaps w:val="0"/>
          <w:spacing w:val="-2"/>
        </w:rPr>
        <w:t> </w:t>
      </w:r>
      <w:r>
        <w:rPr>
          <w:smallCaps w:val="0"/>
        </w:rPr>
        <w:t>ασφαλείας</w:t>
      </w:r>
      <w:r>
        <w:rPr>
          <w:smallCaps w:val="0"/>
          <w:spacing w:val="-3"/>
        </w:rPr>
        <w:t> </w:t>
      </w:r>
      <w:r>
        <w:rPr>
          <w:smallCaps w:val="0"/>
        </w:rPr>
        <w:t>για</w:t>
      </w:r>
      <w:r>
        <w:rPr>
          <w:smallCaps w:val="0"/>
          <w:spacing w:val="-2"/>
        </w:rPr>
        <w:t> </w:t>
      </w:r>
      <w:r>
        <w:rPr>
          <w:smallCaps w:val="0"/>
        </w:rPr>
        <w:t>την Ελλάδα</w:t>
      </w:r>
      <w:r>
        <w:rPr>
          <w:smallCaps w:val="0"/>
          <w:spacing w:val="-1"/>
        </w:rPr>
        <w:t> </w:t>
      </w:r>
      <w:r>
        <w:rPr>
          <w:smallCaps w:val="0"/>
        </w:rPr>
        <w:t>κατά</w:t>
      </w:r>
      <w:r>
        <w:rPr>
          <w:smallCaps w:val="0"/>
          <w:spacing w:val="-3"/>
        </w:rPr>
        <w:t> </w:t>
      </w:r>
      <w:r>
        <w:rPr>
          <w:smallCaps w:val="0"/>
        </w:rPr>
        <w:t>0,25% και τον</w:t>
      </w:r>
      <w:r>
        <w:rPr>
          <w:smallCaps w:val="0"/>
          <w:spacing w:val="-1"/>
        </w:rPr>
        <w:t> </w:t>
      </w:r>
      <w:r>
        <w:rPr>
          <w:smallCaps w:val="0"/>
        </w:rPr>
        <w:t>καθορισμό</w:t>
      </w:r>
      <w:r>
        <w:rPr>
          <w:smallCaps w:val="0"/>
          <w:spacing w:val="-3"/>
        </w:rPr>
        <w:t> </w:t>
      </w:r>
      <w:r>
        <w:rPr>
          <w:smallCaps w:val="0"/>
        </w:rPr>
        <w:t>του</w:t>
      </w:r>
      <w:r>
        <w:rPr>
          <w:smallCaps w:val="0"/>
          <w:spacing w:val="-1"/>
        </w:rPr>
        <w:t> </w:t>
      </w:r>
      <w:r>
        <w:rPr>
          <w:smallCaps w:val="0"/>
        </w:rPr>
        <w:t>σε</w:t>
      </w:r>
      <w:r>
        <w:rPr>
          <w:smallCaps w:val="0"/>
          <w:spacing w:val="-2"/>
        </w:rPr>
        <w:t> </w:t>
      </w:r>
      <w:r>
        <w:rPr>
          <w:smallCaps w:val="0"/>
        </w:rPr>
        <w:t>0,5%, δηλ.</w:t>
      </w:r>
      <w:r>
        <w:rPr>
          <w:smallCaps w:val="0"/>
          <w:spacing w:val="-2"/>
        </w:rPr>
        <w:t> </w:t>
      </w:r>
      <w:r>
        <w:rPr>
          <w:smallCaps w:val="0"/>
        </w:rPr>
        <w:t>στο</w:t>
      </w:r>
      <w:r>
        <w:rPr>
          <w:smallCaps w:val="0"/>
          <w:spacing w:val="-3"/>
        </w:rPr>
        <w:t> </w:t>
      </w:r>
      <w:r>
        <w:rPr>
          <w:smallCaps w:val="0"/>
        </w:rPr>
        <w:t>επίπεδο του</w:t>
      </w:r>
      <w:r>
        <w:rPr>
          <w:smallCaps w:val="0"/>
          <w:spacing w:val="-5"/>
        </w:rPr>
        <w:t> </w:t>
      </w:r>
      <w:r>
        <w:rPr>
          <w:smallCaps w:val="0"/>
        </w:rPr>
        <w:t>επιδιωκόμενου</w:t>
      </w:r>
      <w:r>
        <w:rPr>
          <w:smallCaps w:val="0"/>
          <w:spacing w:val="-5"/>
        </w:rPr>
        <w:t> </w:t>
      </w:r>
      <w:r>
        <w:rPr>
          <w:smallCaps w:val="0"/>
        </w:rPr>
        <w:t>ποσοστού</w:t>
      </w:r>
      <w:r>
        <w:rPr>
          <w:smallCaps w:val="0"/>
          <w:spacing w:val="-5"/>
        </w:rPr>
        <w:t> </w:t>
      </w:r>
      <w:r>
        <w:rPr>
          <w:smallCaps w:val="0"/>
        </w:rPr>
        <w:t>θετικού</w:t>
      </w:r>
      <w:r>
        <w:rPr>
          <w:smallCaps w:val="0"/>
          <w:spacing w:val="-7"/>
        </w:rPr>
        <w:t> </w:t>
      </w:r>
      <w:r>
        <w:rPr>
          <w:smallCaps w:val="0"/>
        </w:rPr>
        <w:t>αντικυκλικού</w:t>
      </w:r>
      <w:r>
        <w:rPr>
          <w:smallCaps w:val="0"/>
          <w:spacing w:val="-5"/>
        </w:rPr>
        <w:t> </w:t>
      </w:r>
      <w:r>
        <w:rPr>
          <w:smallCaps w:val="0"/>
        </w:rPr>
        <w:t>κεφαλαιακού</w:t>
      </w:r>
      <w:r>
        <w:rPr>
          <w:smallCaps w:val="0"/>
          <w:spacing w:val="-7"/>
        </w:rPr>
        <w:t> </w:t>
      </w:r>
      <w:r>
        <w:rPr>
          <w:smallCaps w:val="0"/>
        </w:rPr>
        <w:t>αποθέματος</w:t>
      </w:r>
      <w:r>
        <w:rPr>
          <w:smallCaps w:val="0"/>
          <w:spacing w:val="-7"/>
        </w:rPr>
        <w:t> </w:t>
      </w:r>
      <w:r>
        <w:rPr>
          <w:smallCaps w:val="0"/>
        </w:rPr>
        <w:t>ασφαλείας</w:t>
      </w:r>
      <w:r>
        <w:rPr>
          <w:smallCaps w:val="0"/>
          <w:spacing w:val="-9"/>
        </w:rPr>
        <w:t> </w:t>
      </w:r>
      <w:r>
        <w:rPr>
          <w:smallCaps w:val="0"/>
        </w:rPr>
        <w:t>σε</w:t>
      </w:r>
      <w:r>
        <w:rPr>
          <w:smallCaps w:val="0"/>
          <w:spacing w:val="-5"/>
        </w:rPr>
        <w:t> </w:t>
      </w:r>
      <w:r>
        <w:rPr>
          <w:smallCaps w:val="0"/>
        </w:rPr>
        <w:t>ου-δέτερο περιβάλλον κινδύνου (Positive Neutral Countercyclical Capital Buffer –</w:t>
      </w:r>
      <w:r>
        <w:rPr>
          <w:smallCaps w:val="0"/>
          <w:spacing w:val="-6"/>
        </w:rPr>
        <w:t> </w:t>
      </w:r>
      <w:r>
        <w:rPr>
          <w:smallCaps w:val="0"/>
        </w:rPr>
        <w:t>PN CCyB), με ημερομηνία εφαρμογής από 1ης Οκτωβρίου 2026.</w:t>
      </w:r>
    </w:p>
    <w:p>
      <w:pPr>
        <w:pStyle w:val="BodyText"/>
        <w:spacing w:line="285" w:lineRule="auto" w:before="40"/>
        <w:ind w:left="172" w:right="958"/>
        <w:jc w:val="both"/>
        <w:rPr>
          <w:position w:val="6"/>
          <w:sz w:val="10"/>
        </w:rPr>
      </w:pPr>
      <w:r>
        <w:rPr/>
        <w:t>Επιπρόσθετα, η Τράπεζα της Ελλάδος προσδιόρισε τα λοιπά συστημικά σημαντικά ιδρύματα (Other</w:t>
      </w:r>
      <w:r>
        <w:rPr>
          <w:spacing w:val="-14"/>
        </w:rPr>
        <w:t> </w:t>
      </w:r>
      <w:r>
        <w:rPr/>
        <w:t>Systemically</w:t>
      </w:r>
      <w:r>
        <w:rPr>
          <w:spacing w:val="-14"/>
        </w:rPr>
        <w:t> </w:t>
      </w:r>
      <w:r>
        <w:rPr/>
        <w:t>Important</w:t>
      </w:r>
      <w:r>
        <w:rPr>
          <w:spacing w:val="-14"/>
        </w:rPr>
        <w:t> </w:t>
      </w:r>
      <w:r>
        <w:rPr/>
        <w:t>Institutions</w:t>
      </w:r>
      <w:r>
        <w:rPr>
          <w:spacing w:val="-13"/>
        </w:rPr>
        <w:t> </w:t>
      </w:r>
      <w:r>
        <w:rPr/>
        <w:t>‒</w:t>
      </w:r>
      <w:r>
        <w:rPr>
          <w:spacing w:val="-4"/>
        </w:rPr>
        <w:t> </w:t>
      </w:r>
      <w:r>
        <w:rPr/>
        <w:t>O-SII)</w:t>
      </w:r>
      <w:r>
        <w:rPr>
          <w:spacing w:val="-12"/>
        </w:rPr>
        <w:t> </w:t>
      </w:r>
      <w:r>
        <w:rPr/>
        <w:t>στην</w:t>
      </w:r>
      <w:r>
        <w:rPr>
          <w:spacing w:val="-12"/>
        </w:rPr>
        <w:t> </w:t>
      </w:r>
      <w:r>
        <w:rPr/>
        <w:t>Ελλάδα</w:t>
      </w:r>
      <w:r>
        <w:rPr>
          <w:spacing w:val="-14"/>
        </w:rPr>
        <w:t> </w:t>
      </w:r>
      <w:r>
        <w:rPr/>
        <w:t>για</w:t>
      </w:r>
      <w:r>
        <w:rPr>
          <w:spacing w:val="-14"/>
        </w:rPr>
        <w:t> </w:t>
      </w:r>
      <w:r>
        <w:rPr/>
        <w:t>το</w:t>
      </w:r>
      <w:r>
        <w:rPr>
          <w:spacing w:val="-14"/>
        </w:rPr>
        <w:t> </w:t>
      </w:r>
      <w:r>
        <w:rPr/>
        <w:t>έτος</w:t>
      </w:r>
      <w:r>
        <w:rPr>
          <w:spacing w:val="-13"/>
        </w:rPr>
        <w:t> </w:t>
      </w:r>
      <w:r>
        <w:rPr/>
        <w:t>2025,</w:t>
      </w:r>
      <w:r>
        <w:rPr>
          <w:spacing w:val="-14"/>
        </w:rPr>
        <w:t> </w:t>
      </w:r>
      <w:r>
        <w:rPr/>
        <w:t>εφαρμόζοντας τις σχετικές κατευθυντήριες γραμμές της Ευρωπαϊκής Αρχής Τραπεζών, και καθόρισε το ποσο-στό</w:t>
      </w:r>
      <w:r>
        <w:rPr>
          <w:spacing w:val="-14"/>
        </w:rPr>
        <w:t> </w:t>
      </w:r>
      <w:r>
        <w:rPr/>
        <w:t>του</w:t>
      </w:r>
      <w:r>
        <w:rPr>
          <w:spacing w:val="-14"/>
        </w:rPr>
        <w:t> </w:t>
      </w:r>
      <w:r>
        <w:rPr/>
        <w:t>αποθέματος</w:t>
      </w:r>
      <w:r>
        <w:rPr>
          <w:spacing w:val="-14"/>
        </w:rPr>
        <w:t> </w:t>
      </w:r>
      <w:r>
        <w:rPr/>
        <w:t>ασφαλείας</w:t>
      </w:r>
      <w:r>
        <w:rPr>
          <w:spacing w:val="-13"/>
        </w:rPr>
        <w:t> </w:t>
      </w:r>
      <w:r>
        <w:rPr/>
        <w:t>O-SII</w:t>
      </w:r>
      <w:r>
        <w:rPr>
          <w:spacing w:val="-14"/>
        </w:rPr>
        <w:t> </w:t>
      </w:r>
      <w:r>
        <w:rPr/>
        <w:t>για</w:t>
      </w:r>
      <w:r>
        <w:rPr>
          <w:spacing w:val="-14"/>
        </w:rPr>
        <w:t> </w:t>
      </w:r>
      <w:r>
        <w:rPr/>
        <w:t>το</w:t>
      </w:r>
      <w:r>
        <w:rPr>
          <w:spacing w:val="-14"/>
        </w:rPr>
        <w:t> </w:t>
      </w:r>
      <w:r>
        <w:rPr/>
        <w:t>έτος</w:t>
      </w:r>
      <w:r>
        <w:rPr>
          <w:spacing w:val="-13"/>
        </w:rPr>
        <w:t> </w:t>
      </w:r>
      <w:r>
        <w:rPr/>
        <w:t>2026</w:t>
      </w:r>
      <w:r>
        <w:rPr>
          <w:spacing w:val="-14"/>
        </w:rPr>
        <w:t> </w:t>
      </w:r>
      <w:r>
        <w:rPr/>
        <w:t>σε</w:t>
      </w:r>
      <w:r>
        <w:rPr>
          <w:spacing w:val="-14"/>
        </w:rPr>
        <w:t> </w:t>
      </w:r>
      <w:r>
        <w:rPr/>
        <w:t>1,25%</w:t>
      </w:r>
      <w:r>
        <w:rPr>
          <w:spacing w:val="-14"/>
        </w:rPr>
        <w:t> </w:t>
      </w:r>
      <w:r>
        <w:rPr/>
        <w:t>για</w:t>
      </w:r>
      <w:r>
        <w:rPr>
          <w:spacing w:val="-13"/>
        </w:rPr>
        <w:t> </w:t>
      </w:r>
      <w:r>
        <w:rPr/>
        <w:t>το</w:t>
      </w:r>
      <w:r>
        <w:rPr>
          <w:spacing w:val="-14"/>
        </w:rPr>
        <w:t> </w:t>
      </w:r>
      <w:r>
        <w:rPr/>
        <w:t>ίδρυμα</w:t>
      </w:r>
      <w:r>
        <w:rPr>
          <w:spacing w:val="-14"/>
        </w:rPr>
        <w:t> </w:t>
      </w:r>
      <w:r>
        <w:rPr/>
        <w:t>Eurobank</w:t>
      </w:r>
      <w:r>
        <w:rPr>
          <w:spacing w:val="-14"/>
        </w:rPr>
        <w:t> </w:t>
      </w:r>
      <w:r>
        <w:rPr/>
        <w:t>Ergasias Υπηρεσιών και Συμμετοχών Α.Ε. σε ενοποιημένη βάση και σε 1,00% για τα τρία λοιπά O-SII</w:t>
      </w:r>
      <w:hyperlink w:history="true" w:anchor="_bookmark1">
        <w:r>
          <w:rPr/>
          <w:t>.</w:t>
        </w:r>
        <w:r>
          <w:rPr>
            <w:position w:val="6"/>
            <w:sz w:val="10"/>
          </w:rPr>
          <w:t>1</w:t>
        </w:r>
      </w:hyperlink>
    </w:p>
    <w:p>
      <w:pPr>
        <w:pStyle w:val="BodyText"/>
        <w:spacing w:line="285" w:lineRule="auto" w:before="55"/>
        <w:ind w:left="172" w:right="954"/>
        <w:jc w:val="both"/>
      </w:pPr>
      <w:r>
        <w:rPr/>
        <w:t>Τέλος, η Τράπεζα της Ελλάδος έχει θεσπίσει μακροπροληπτικά μέτρα σχετικά με τη δανειακή επιβάρυνση που εφαρμόζονται σε επίπεδο δανειολήπτη για δάνεια και λοιπές πιστώσεις προς φυσικά πρόσωπα με εξασφάλιση οικιστικό ακίνητο στην Ελλάδα, τα οποία εφαρμόζονται από τον Ιανουάριο του</w:t>
      </w:r>
      <w:r>
        <w:rPr>
          <w:spacing w:val="-1"/>
        </w:rPr>
        <w:t> </w:t>
      </w:r>
      <w:r>
        <w:rPr/>
        <w:t>2025.</w:t>
      </w:r>
      <w:r>
        <w:rPr>
          <w:spacing w:val="-3"/>
        </w:rPr>
        <w:t> </w:t>
      </w:r>
      <w:r>
        <w:rPr/>
        <w:t>Ειδικότερα,</w:t>
      </w:r>
      <w:r>
        <w:rPr>
          <w:spacing w:val="-3"/>
        </w:rPr>
        <w:t> </w:t>
      </w:r>
      <w:r>
        <w:rPr/>
        <w:t>θεσπίστηκε ανώτατο</w:t>
      </w:r>
      <w:r>
        <w:rPr>
          <w:spacing w:val="-1"/>
        </w:rPr>
        <w:t> </w:t>
      </w:r>
      <w:r>
        <w:rPr/>
        <w:t>επιτρεπόμενο</w:t>
      </w:r>
      <w:r>
        <w:rPr>
          <w:spacing w:val="-3"/>
        </w:rPr>
        <w:t> </w:t>
      </w:r>
      <w:r>
        <w:rPr/>
        <w:t>όριο</w:t>
      </w:r>
      <w:r>
        <w:rPr>
          <w:spacing w:val="-2"/>
        </w:rPr>
        <w:t> </w:t>
      </w:r>
      <w:r>
        <w:rPr/>
        <w:t>για</w:t>
      </w:r>
      <w:r>
        <w:rPr>
          <w:spacing w:val="-2"/>
        </w:rPr>
        <w:t> </w:t>
      </w:r>
      <w:r>
        <w:rPr/>
        <w:t>τον δείκτη</w:t>
      </w:r>
      <w:r>
        <w:rPr>
          <w:spacing w:val="-1"/>
        </w:rPr>
        <w:t> </w:t>
      </w:r>
      <w:r>
        <w:rPr/>
        <w:t>δα-νείου προς αξία κατά την έγκριση (Loan-To-Value at Origination ‒ LTV-O) 90% για τους δα-νειολήπτες</w:t>
      </w:r>
      <w:r>
        <w:rPr>
          <w:spacing w:val="-3"/>
        </w:rPr>
        <w:t> </w:t>
      </w:r>
      <w:r>
        <w:rPr/>
        <w:t>που</w:t>
      </w:r>
      <w:r>
        <w:rPr>
          <w:spacing w:val="-3"/>
        </w:rPr>
        <w:t> </w:t>
      </w:r>
      <w:r>
        <w:rPr/>
        <w:t>είναι</w:t>
      </w:r>
      <w:r>
        <w:rPr>
          <w:spacing w:val="-4"/>
        </w:rPr>
        <w:t> </w:t>
      </w:r>
      <w:r>
        <w:rPr/>
        <w:t>αγοραστές</w:t>
      </w:r>
      <w:r>
        <w:rPr>
          <w:spacing w:val="-5"/>
        </w:rPr>
        <w:t> </w:t>
      </w:r>
      <w:r>
        <w:rPr/>
        <w:t>για</w:t>
      </w:r>
      <w:r>
        <w:rPr>
          <w:spacing w:val="-3"/>
        </w:rPr>
        <w:t> </w:t>
      </w:r>
      <w:r>
        <w:rPr/>
        <w:t>πρώτη</w:t>
      </w:r>
      <w:r>
        <w:rPr>
          <w:spacing w:val="-4"/>
        </w:rPr>
        <w:t> </w:t>
      </w:r>
      <w:r>
        <w:rPr/>
        <w:t>φορά</w:t>
      </w:r>
      <w:r>
        <w:rPr>
          <w:spacing w:val="-4"/>
        </w:rPr>
        <w:t> </w:t>
      </w:r>
      <w:r>
        <w:rPr/>
        <w:t>και</w:t>
      </w:r>
      <w:r>
        <w:rPr>
          <w:spacing w:val="-2"/>
        </w:rPr>
        <w:t> </w:t>
      </w:r>
      <w:r>
        <w:rPr/>
        <w:t>80%</w:t>
      </w:r>
      <w:r>
        <w:rPr>
          <w:spacing w:val="-3"/>
        </w:rPr>
        <w:t> </w:t>
      </w:r>
      <w:r>
        <w:rPr/>
        <w:t>για</w:t>
      </w:r>
      <w:r>
        <w:rPr>
          <w:spacing w:val="-4"/>
        </w:rPr>
        <w:t> </w:t>
      </w:r>
      <w:r>
        <w:rPr/>
        <w:t>τους</w:t>
      </w:r>
      <w:r>
        <w:rPr>
          <w:spacing w:val="-5"/>
        </w:rPr>
        <w:t> </w:t>
      </w:r>
      <w:r>
        <w:rPr/>
        <w:t>λοιπούς</w:t>
      </w:r>
      <w:r>
        <w:rPr>
          <w:spacing w:val="-2"/>
        </w:rPr>
        <w:t> </w:t>
      </w:r>
      <w:r>
        <w:rPr/>
        <w:t>δανειολήπτες,</w:t>
      </w:r>
      <w:r>
        <w:rPr>
          <w:spacing w:val="-2"/>
        </w:rPr>
        <w:t> </w:t>
      </w:r>
      <w:r>
        <w:rPr/>
        <w:t>καθώς επίσης</w:t>
      </w:r>
      <w:r>
        <w:rPr>
          <w:spacing w:val="-14"/>
        </w:rPr>
        <w:t> </w:t>
      </w:r>
      <w:r>
        <w:rPr/>
        <w:t>και</w:t>
      </w:r>
      <w:r>
        <w:rPr>
          <w:spacing w:val="-12"/>
        </w:rPr>
        <w:t> </w:t>
      </w:r>
      <w:r>
        <w:rPr/>
        <w:t>ανώτατο</w:t>
      </w:r>
      <w:r>
        <w:rPr>
          <w:spacing w:val="-13"/>
        </w:rPr>
        <w:t> </w:t>
      </w:r>
      <w:r>
        <w:rPr/>
        <w:t>επιτρεπόμενο</w:t>
      </w:r>
      <w:r>
        <w:rPr>
          <w:spacing w:val="-14"/>
        </w:rPr>
        <w:t> </w:t>
      </w:r>
      <w:r>
        <w:rPr/>
        <w:t>όριο</w:t>
      </w:r>
      <w:r>
        <w:rPr>
          <w:spacing w:val="-14"/>
        </w:rPr>
        <w:t> </w:t>
      </w:r>
      <w:r>
        <w:rPr/>
        <w:t>για</w:t>
      </w:r>
      <w:r>
        <w:rPr>
          <w:spacing w:val="-14"/>
        </w:rPr>
        <w:t> </w:t>
      </w:r>
      <w:r>
        <w:rPr/>
        <w:t>τον</w:t>
      </w:r>
      <w:r>
        <w:rPr>
          <w:spacing w:val="-12"/>
        </w:rPr>
        <w:t> </w:t>
      </w:r>
      <w:r>
        <w:rPr/>
        <w:t>δείκτη</w:t>
      </w:r>
      <w:r>
        <w:rPr>
          <w:spacing w:val="-14"/>
        </w:rPr>
        <w:t> </w:t>
      </w:r>
      <w:r>
        <w:rPr/>
        <w:t>εξυπηρέτησης</w:t>
      </w:r>
      <w:r>
        <w:rPr>
          <w:spacing w:val="-13"/>
        </w:rPr>
        <w:t> </w:t>
      </w:r>
      <w:r>
        <w:rPr/>
        <w:t>δανείου</w:t>
      </w:r>
      <w:r>
        <w:rPr>
          <w:spacing w:val="-12"/>
        </w:rPr>
        <w:t> </w:t>
      </w:r>
      <w:r>
        <w:rPr/>
        <w:t>προς</w:t>
      </w:r>
      <w:r>
        <w:rPr>
          <w:spacing w:val="-14"/>
        </w:rPr>
        <w:t> </w:t>
      </w:r>
      <w:r>
        <w:rPr/>
        <w:t>εισόδημα</w:t>
      </w:r>
      <w:r>
        <w:rPr>
          <w:spacing w:val="-12"/>
        </w:rPr>
        <w:t> </w:t>
      </w:r>
      <w:r>
        <w:rPr/>
        <w:t>κατά την</w:t>
      </w:r>
      <w:r>
        <w:rPr>
          <w:spacing w:val="-4"/>
        </w:rPr>
        <w:t> </w:t>
      </w:r>
      <w:r>
        <w:rPr/>
        <w:t>έγκριση</w:t>
      </w:r>
      <w:r>
        <w:rPr>
          <w:spacing w:val="-7"/>
        </w:rPr>
        <w:t> </w:t>
      </w:r>
      <w:r>
        <w:rPr/>
        <w:t>(Debt</w:t>
      </w:r>
      <w:r>
        <w:rPr>
          <w:spacing w:val="-6"/>
        </w:rPr>
        <w:t> </w:t>
      </w:r>
      <w:r>
        <w:rPr/>
        <w:t>Service-To-Income</w:t>
      </w:r>
      <w:r>
        <w:rPr>
          <w:spacing w:val="-4"/>
        </w:rPr>
        <w:t> </w:t>
      </w:r>
      <w:r>
        <w:rPr/>
        <w:t>at</w:t>
      </w:r>
      <w:r>
        <w:rPr>
          <w:spacing w:val="-4"/>
        </w:rPr>
        <w:t> </w:t>
      </w:r>
      <w:r>
        <w:rPr/>
        <w:t>Origination</w:t>
      </w:r>
      <w:r>
        <w:rPr>
          <w:spacing w:val="-7"/>
        </w:rPr>
        <w:t> </w:t>
      </w:r>
      <w:r>
        <w:rPr/>
        <w:t>‒</w:t>
      </w:r>
      <w:r>
        <w:rPr>
          <w:spacing w:val="-4"/>
        </w:rPr>
        <w:t> </w:t>
      </w:r>
      <w:r>
        <w:rPr/>
        <w:t>DSTI-O)</w:t>
      </w:r>
      <w:r>
        <w:rPr>
          <w:spacing w:val="-4"/>
        </w:rPr>
        <w:t> </w:t>
      </w:r>
      <w:r>
        <w:rPr/>
        <w:t>50%</w:t>
      </w:r>
      <w:r>
        <w:rPr>
          <w:spacing w:val="-4"/>
        </w:rPr>
        <w:t> </w:t>
      </w:r>
      <w:r>
        <w:rPr/>
        <w:t>για</w:t>
      </w:r>
      <w:r>
        <w:rPr>
          <w:spacing w:val="-7"/>
        </w:rPr>
        <w:t> </w:t>
      </w:r>
      <w:r>
        <w:rPr/>
        <w:t>τους</w:t>
      </w:r>
      <w:r>
        <w:rPr>
          <w:spacing w:val="-6"/>
        </w:rPr>
        <w:t> </w:t>
      </w:r>
      <w:r>
        <w:rPr/>
        <w:t>δανειολήπτες</w:t>
      </w:r>
      <w:r>
        <w:rPr>
          <w:spacing w:val="-6"/>
        </w:rPr>
        <w:t> </w:t>
      </w:r>
      <w:r>
        <w:rPr/>
        <w:t>που είναι αγοραστές για πρώτη φορά και 40% για τους λοιπούς δανειολήπτες.</w:t>
      </w:r>
    </w:p>
    <w:p>
      <w:pPr>
        <w:pStyle w:val="BodyText"/>
        <w:rPr>
          <w:sz w:val="20"/>
        </w:rPr>
      </w:pPr>
    </w:p>
    <w:p>
      <w:pPr>
        <w:pStyle w:val="BodyText"/>
        <w:spacing w:before="192"/>
        <w:rPr>
          <w:sz w:val="20"/>
        </w:rPr>
      </w:pPr>
      <w:r>
        <w:rPr>
          <w:sz w:val="20"/>
        </w:rPr>
        <mc:AlternateContent>
          <mc:Choice Requires="wps">
            <w:drawing>
              <wp:anchor distT="0" distB="0" distL="0" distR="0" allowOverlap="1" layoutInCell="1" locked="0" behindDoc="1" simplePos="0" relativeHeight="487589376">
                <wp:simplePos x="0" y="0"/>
                <wp:positionH relativeFrom="page">
                  <wp:posOffset>1009192</wp:posOffset>
                </wp:positionH>
                <wp:positionV relativeFrom="paragraph">
                  <wp:posOffset>283588</wp:posOffset>
                </wp:positionV>
                <wp:extent cx="1829435" cy="762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2.329809pt;width:144.020pt;height:.60004pt;mso-position-horizontal-relative:page;mso-position-vertical-relative:paragraph;z-index:-15727104;mso-wrap-distance-left:0;mso-wrap-distance-right:0" id="docshape19" filled="true" fillcolor="#000000" stroked="false">
                <v:fill type="solid"/>
                <w10:wrap type="topAndBottom"/>
              </v:rect>
            </w:pict>
          </mc:Fallback>
        </mc:AlternateContent>
      </w:r>
    </w:p>
    <w:p>
      <w:pPr>
        <w:pStyle w:val="BodyText"/>
        <w:spacing w:before="2"/>
        <w:rPr>
          <w:sz w:val="16"/>
        </w:rPr>
      </w:pPr>
    </w:p>
    <w:p>
      <w:pPr>
        <w:spacing w:before="0"/>
        <w:ind w:left="172" w:right="959" w:firstLine="0"/>
        <w:jc w:val="both"/>
        <w:rPr>
          <w:sz w:val="16"/>
        </w:rPr>
      </w:pPr>
      <w:bookmarkStart w:name="_bookmark1" w:id="2"/>
      <w:bookmarkEnd w:id="2"/>
      <w:r>
        <w:rPr/>
      </w:r>
      <w:r>
        <w:rPr>
          <w:sz w:val="16"/>
          <w:vertAlign w:val="superscript"/>
        </w:rPr>
        <w:t>1</w:t>
      </w:r>
      <w:r>
        <w:rPr>
          <w:sz w:val="16"/>
          <w:vertAlign w:val="baseline"/>
        </w:rPr>
        <w:t> Σημειώνεται ότι στις 12.12.2025 και στις 19.12.2025 ολοκληρώθηκαν, αντίστοιχα, η συγχώνευση με απορρόφηση της Eurobank</w:t>
      </w:r>
      <w:r>
        <w:rPr>
          <w:spacing w:val="40"/>
          <w:sz w:val="16"/>
          <w:vertAlign w:val="baseline"/>
        </w:rPr>
        <w:t> </w:t>
      </w:r>
      <w:r>
        <w:rPr>
          <w:sz w:val="16"/>
          <w:vertAlign w:val="baseline"/>
        </w:rPr>
        <w:t>Ergasias Υπηρεσιών και Συμμετοχών Α.Ε. από την Τράπεζα Eurobank A.E. και η συγχώνευση με απορρόφηση της Πειραιώς</w:t>
      </w:r>
      <w:r>
        <w:rPr>
          <w:spacing w:val="40"/>
          <w:sz w:val="16"/>
          <w:vertAlign w:val="baseline"/>
        </w:rPr>
        <w:t> </w:t>
      </w:r>
      <w:r>
        <w:rPr>
          <w:sz w:val="16"/>
          <w:vertAlign w:val="baseline"/>
        </w:rPr>
        <w:t>Financial Holdings A.E. από την Τράπεζα Πειραιώς Α.Ε. Κατά συνέπεια, το ποσοστό 1,25% εφαρμόζεται στην Τράπεζα Eurobank</w:t>
      </w:r>
    </w:p>
    <w:p>
      <w:pPr>
        <w:spacing w:before="3"/>
        <w:ind w:left="172" w:right="0" w:firstLine="0"/>
        <w:jc w:val="both"/>
        <w:rPr>
          <w:sz w:val="16"/>
        </w:rPr>
      </w:pPr>
      <w:r>
        <w:rPr>
          <w:sz w:val="16"/>
        </w:rPr>
        <w:t>A.E.</w:t>
      </w:r>
      <w:r>
        <w:rPr>
          <w:spacing w:val="-5"/>
          <w:sz w:val="16"/>
        </w:rPr>
        <w:t> </w:t>
      </w:r>
      <w:r>
        <w:rPr>
          <w:sz w:val="16"/>
        </w:rPr>
        <w:t>σε</w:t>
      </w:r>
      <w:r>
        <w:rPr>
          <w:spacing w:val="-6"/>
          <w:sz w:val="16"/>
        </w:rPr>
        <w:t> </w:t>
      </w:r>
      <w:r>
        <w:rPr>
          <w:sz w:val="16"/>
        </w:rPr>
        <w:t>ενοποιημένη</w:t>
      </w:r>
      <w:r>
        <w:rPr>
          <w:spacing w:val="-6"/>
          <w:sz w:val="16"/>
        </w:rPr>
        <w:t> </w:t>
      </w:r>
      <w:r>
        <w:rPr>
          <w:sz w:val="16"/>
        </w:rPr>
        <w:t>βάση</w:t>
      </w:r>
      <w:r>
        <w:rPr>
          <w:spacing w:val="-5"/>
          <w:sz w:val="16"/>
        </w:rPr>
        <w:t> </w:t>
      </w:r>
      <w:r>
        <w:rPr>
          <w:sz w:val="16"/>
        </w:rPr>
        <w:t>και</w:t>
      </w:r>
      <w:r>
        <w:rPr>
          <w:spacing w:val="-5"/>
          <w:sz w:val="16"/>
        </w:rPr>
        <w:t> </w:t>
      </w:r>
      <w:r>
        <w:rPr>
          <w:sz w:val="16"/>
        </w:rPr>
        <w:t>το</w:t>
      </w:r>
      <w:r>
        <w:rPr>
          <w:spacing w:val="-5"/>
          <w:sz w:val="16"/>
        </w:rPr>
        <w:t> </w:t>
      </w:r>
      <w:r>
        <w:rPr>
          <w:sz w:val="16"/>
        </w:rPr>
        <w:t>ποσοστό</w:t>
      </w:r>
      <w:r>
        <w:rPr>
          <w:spacing w:val="-4"/>
          <w:sz w:val="16"/>
        </w:rPr>
        <w:t> </w:t>
      </w:r>
      <w:r>
        <w:rPr>
          <w:sz w:val="16"/>
        </w:rPr>
        <w:t>1%</w:t>
      </w:r>
      <w:r>
        <w:rPr>
          <w:spacing w:val="-3"/>
          <w:sz w:val="16"/>
        </w:rPr>
        <w:t> </w:t>
      </w:r>
      <w:r>
        <w:rPr>
          <w:sz w:val="16"/>
        </w:rPr>
        <w:t>εφαρμόζεται</w:t>
      </w:r>
      <w:r>
        <w:rPr>
          <w:spacing w:val="-6"/>
          <w:sz w:val="16"/>
        </w:rPr>
        <w:t> </w:t>
      </w:r>
      <w:r>
        <w:rPr>
          <w:sz w:val="16"/>
        </w:rPr>
        <w:t>στην</w:t>
      </w:r>
      <w:r>
        <w:rPr>
          <w:spacing w:val="-3"/>
          <w:sz w:val="16"/>
        </w:rPr>
        <w:t> </w:t>
      </w:r>
      <w:r>
        <w:rPr>
          <w:sz w:val="16"/>
        </w:rPr>
        <w:t>Τράπεζα</w:t>
      </w:r>
      <w:r>
        <w:rPr>
          <w:spacing w:val="-6"/>
          <w:sz w:val="16"/>
        </w:rPr>
        <w:t> </w:t>
      </w:r>
      <w:r>
        <w:rPr>
          <w:sz w:val="16"/>
        </w:rPr>
        <w:t>Πειραιώς</w:t>
      </w:r>
      <w:r>
        <w:rPr>
          <w:spacing w:val="-2"/>
          <w:sz w:val="16"/>
        </w:rPr>
        <w:t> </w:t>
      </w:r>
      <w:r>
        <w:rPr>
          <w:sz w:val="16"/>
        </w:rPr>
        <w:t>Α.Ε.</w:t>
      </w:r>
      <w:r>
        <w:rPr>
          <w:spacing w:val="-2"/>
          <w:sz w:val="16"/>
        </w:rPr>
        <w:t> </w:t>
      </w:r>
      <w:r>
        <w:rPr>
          <w:sz w:val="16"/>
        </w:rPr>
        <w:t>σε</w:t>
      </w:r>
      <w:r>
        <w:rPr>
          <w:spacing w:val="-3"/>
          <w:sz w:val="16"/>
        </w:rPr>
        <w:t> </w:t>
      </w:r>
      <w:r>
        <w:rPr>
          <w:sz w:val="16"/>
        </w:rPr>
        <w:t>ενοποιημένη</w:t>
      </w:r>
      <w:r>
        <w:rPr>
          <w:spacing w:val="-6"/>
          <w:sz w:val="16"/>
        </w:rPr>
        <w:t> </w:t>
      </w:r>
      <w:r>
        <w:rPr>
          <w:sz w:val="16"/>
        </w:rPr>
        <w:t>και</w:t>
      </w:r>
      <w:r>
        <w:rPr>
          <w:spacing w:val="-6"/>
          <w:sz w:val="16"/>
        </w:rPr>
        <w:t> </w:t>
      </w:r>
      <w:r>
        <w:rPr>
          <w:sz w:val="16"/>
        </w:rPr>
        <w:t>ατομική</w:t>
      </w:r>
      <w:r>
        <w:rPr>
          <w:spacing w:val="-3"/>
          <w:sz w:val="16"/>
        </w:rPr>
        <w:t> </w:t>
      </w:r>
      <w:r>
        <w:rPr>
          <w:spacing w:val="-2"/>
          <w:sz w:val="16"/>
        </w:rPr>
        <w:t>βάση.</w:t>
      </w:r>
    </w:p>
    <w:p>
      <w:pPr>
        <w:spacing w:after="0"/>
        <w:jc w:val="both"/>
        <w:rPr>
          <w:sz w:val="16"/>
        </w:rPr>
        <w:sectPr>
          <w:pgSz w:w="11910" w:h="16850"/>
          <w:pgMar w:header="0" w:footer="1180" w:top="1840" w:bottom="1360" w:left="1417" w:right="850"/>
        </w:sectPr>
      </w:pPr>
    </w:p>
    <w:p>
      <w:pPr>
        <w:spacing w:before="66"/>
        <w:ind w:left="38" w:right="824" w:firstLine="0"/>
        <w:jc w:val="center"/>
        <w:rPr>
          <w:sz w:val="22"/>
        </w:rPr>
      </w:pPr>
      <w:r>
        <w:rPr>
          <w:spacing w:val="-5"/>
          <w:sz w:val="22"/>
        </w:rPr>
        <w:t>***</w:t>
      </w:r>
    </w:p>
    <w:p>
      <w:pPr>
        <w:spacing w:line="285" w:lineRule="auto" w:before="107"/>
        <w:ind w:left="172" w:right="958" w:firstLine="0"/>
        <w:jc w:val="both"/>
        <w:rPr>
          <w:sz w:val="22"/>
        </w:rPr>
      </w:pPr>
      <w:r>
        <w:rPr>
          <w:b/>
          <w:color w:val="1F487C"/>
          <w:sz w:val="22"/>
        </w:rPr>
        <w:t>Ο</w:t>
      </w:r>
      <w:r>
        <w:rPr>
          <w:b/>
          <w:color w:val="1F487C"/>
          <w:spacing w:val="-7"/>
          <w:sz w:val="22"/>
        </w:rPr>
        <w:t> </w:t>
      </w:r>
      <w:r>
        <w:rPr>
          <w:b/>
          <w:color w:val="1F487C"/>
          <w:sz w:val="22"/>
        </w:rPr>
        <w:t>ασφαλ</w:t>
      </w:r>
      <w:r>
        <w:rPr>
          <w:b/>
          <w:smallCaps/>
          <w:color w:val="1F487C"/>
          <w:sz w:val="22"/>
        </w:rPr>
        <w:t>ι</w:t>
      </w:r>
      <w:r>
        <w:rPr>
          <w:b/>
          <w:smallCaps w:val="0"/>
          <w:color w:val="1F487C"/>
          <w:sz w:val="22"/>
        </w:rPr>
        <w:t>στ</w:t>
      </w:r>
      <w:r>
        <w:rPr>
          <w:b/>
          <w:smallCaps/>
          <w:color w:val="1F487C"/>
          <w:sz w:val="22"/>
        </w:rPr>
        <w:t>ι</w:t>
      </w:r>
      <w:r>
        <w:rPr>
          <w:b/>
          <w:smallCaps w:val="0"/>
          <w:color w:val="1F487C"/>
          <w:sz w:val="22"/>
        </w:rPr>
        <w:t>κός</w:t>
      </w:r>
      <w:r>
        <w:rPr>
          <w:b/>
          <w:smallCaps w:val="0"/>
          <w:color w:val="1F487C"/>
          <w:spacing w:val="-8"/>
          <w:sz w:val="22"/>
        </w:rPr>
        <w:t> </w:t>
      </w:r>
      <w:r>
        <w:rPr>
          <w:b/>
          <w:smallCaps w:val="0"/>
          <w:color w:val="1F487C"/>
          <w:sz w:val="22"/>
        </w:rPr>
        <w:t>κλάδος</w:t>
      </w:r>
      <w:r>
        <w:rPr>
          <w:b/>
          <w:smallCaps w:val="0"/>
          <w:color w:val="1F487C"/>
          <w:spacing w:val="-7"/>
          <w:sz w:val="22"/>
        </w:rPr>
        <w:t> </w:t>
      </w:r>
      <w:r>
        <w:rPr>
          <w:b/>
          <w:smallCaps w:val="0"/>
          <w:color w:val="1F487C"/>
          <w:sz w:val="22"/>
        </w:rPr>
        <w:t>κατά</w:t>
      </w:r>
      <w:r>
        <w:rPr>
          <w:b/>
          <w:smallCaps w:val="0"/>
          <w:color w:val="1F487C"/>
          <w:spacing w:val="-9"/>
          <w:sz w:val="22"/>
        </w:rPr>
        <w:t> </w:t>
      </w:r>
      <w:r>
        <w:rPr>
          <w:b/>
          <w:smallCaps w:val="0"/>
          <w:color w:val="1F487C"/>
          <w:sz w:val="22"/>
        </w:rPr>
        <w:t>τη</w:t>
      </w:r>
      <w:r>
        <w:rPr>
          <w:b/>
          <w:smallCaps w:val="0"/>
          <w:color w:val="1F487C"/>
          <w:spacing w:val="-7"/>
          <w:sz w:val="22"/>
        </w:rPr>
        <w:t> </w:t>
      </w:r>
      <w:r>
        <w:rPr>
          <w:b/>
          <w:smallCaps w:val="0"/>
          <w:color w:val="1F487C"/>
          <w:sz w:val="22"/>
        </w:rPr>
        <w:t>δ</w:t>
      </w:r>
      <w:r>
        <w:rPr>
          <w:b/>
          <w:smallCaps/>
          <w:color w:val="1F487C"/>
          <w:sz w:val="22"/>
        </w:rPr>
        <w:t>ι</w:t>
      </w:r>
      <w:r>
        <w:rPr>
          <w:b/>
          <w:smallCaps w:val="0"/>
          <w:color w:val="1F487C"/>
          <w:sz w:val="22"/>
        </w:rPr>
        <w:t>άρκε</w:t>
      </w:r>
      <w:r>
        <w:rPr>
          <w:b/>
          <w:smallCaps/>
          <w:color w:val="1F487C"/>
          <w:sz w:val="22"/>
        </w:rPr>
        <w:t>ι</w:t>
      </w:r>
      <w:r>
        <w:rPr>
          <w:b/>
          <w:smallCaps w:val="0"/>
          <w:color w:val="1F487C"/>
          <w:sz w:val="22"/>
        </w:rPr>
        <w:t>α</w:t>
      </w:r>
      <w:r>
        <w:rPr>
          <w:b/>
          <w:smallCaps w:val="0"/>
          <w:color w:val="1F487C"/>
          <w:spacing w:val="-9"/>
          <w:sz w:val="22"/>
        </w:rPr>
        <w:t> </w:t>
      </w:r>
      <w:r>
        <w:rPr>
          <w:b/>
          <w:smallCaps w:val="0"/>
          <w:color w:val="1F487C"/>
          <w:sz w:val="22"/>
        </w:rPr>
        <w:t>του</w:t>
      </w:r>
      <w:r>
        <w:rPr>
          <w:b/>
          <w:smallCaps w:val="0"/>
          <w:color w:val="1F487C"/>
          <w:spacing w:val="-7"/>
          <w:sz w:val="22"/>
        </w:rPr>
        <w:t> </w:t>
      </w:r>
      <w:r>
        <w:rPr>
          <w:b/>
          <w:smallCaps w:val="0"/>
          <w:color w:val="1F487C"/>
          <w:sz w:val="22"/>
        </w:rPr>
        <w:t>2025</w:t>
      </w:r>
      <w:r>
        <w:rPr>
          <w:b/>
          <w:smallCaps w:val="0"/>
          <w:color w:val="1F487C"/>
          <w:spacing w:val="-8"/>
          <w:sz w:val="22"/>
        </w:rPr>
        <w:t> </w:t>
      </w:r>
      <w:r>
        <w:rPr>
          <w:b/>
          <w:smallCaps w:val="0"/>
          <w:color w:val="1F487C"/>
          <w:sz w:val="22"/>
        </w:rPr>
        <w:t>ανταποκρίθηκε</w:t>
      </w:r>
      <w:r>
        <w:rPr>
          <w:b/>
          <w:smallCaps w:val="0"/>
          <w:color w:val="1F487C"/>
          <w:spacing w:val="-9"/>
          <w:sz w:val="22"/>
        </w:rPr>
        <w:t> </w:t>
      </w:r>
      <w:r>
        <w:rPr>
          <w:b/>
          <w:smallCaps w:val="0"/>
          <w:color w:val="1F487C"/>
          <w:sz w:val="22"/>
        </w:rPr>
        <w:t>στ</w:t>
      </w:r>
      <w:r>
        <w:rPr>
          <w:b/>
          <w:smallCaps/>
          <w:color w:val="1F487C"/>
          <w:sz w:val="22"/>
        </w:rPr>
        <w:t>ι</w:t>
      </w:r>
      <w:r>
        <w:rPr>
          <w:b/>
          <w:smallCaps w:val="0"/>
          <w:color w:val="1F487C"/>
          <w:sz w:val="22"/>
        </w:rPr>
        <w:t>ς</w:t>
      </w:r>
      <w:r>
        <w:rPr>
          <w:b/>
          <w:smallCaps w:val="0"/>
          <w:color w:val="1F487C"/>
          <w:spacing w:val="-8"/>
          <w:sz w:val="22"/>
        </w:rPr>
        <w:t> </w:t>
      </w:r>
      <w:r>
        <w:rPr>
          <w:b/>
          <w:smallCaps w:val="0"/>
          <w:color w:val="1F487C"/>
          <w:sz w:val="22"/>
        </w:rPr>
        <w:t>προκλήσε</w:t>
      </w:r>
      <w:r>
        <w:rPr>
          <w:b/>
          <w:smallCaps/>
          <w:color w:val="1F487C"/>
          <w:sz w:val="22"/>
        </w:rPr>
        <w:t>ι</w:t>
      </w:r>
      <w:r>
        <w:rPr>
          <w:b/>
          <w:smallCaps w:val="0"/>
          <w:color w:val="1F487C"/>
          <w:sz w:val="22"/>
        </w:rPr>
        <w:t>ς</w:t>
      </w:r>
      <w:r>
        <w:rPr>
          <w:b/>
          <w:smallCaps w:val="0"/>
          <w:color w:val="1F487C"/>
          <w:spacing w:val="-3"/>
          <w:sz w:val="22"/>
        </w:rPr>
        <w:t> </w:t>
      </w:r>
      <w:r>
        <w:rPr>
          <w:b/>
          <w:smallCaps w:val="0"/>
          <w:color w:val="1F487C"/>
          <w:sz w:val="22"/>
        </w:rPr>
        <w:t>από</w:t>
      </w:r>
      <w:r>
        <w:rPr>
          <w:b/>
          <w:smallCaps w:val="0"/>
          <w:color w:val="1F487C"/>
          <w:spacing w:val="-8"/>
          <w:sz w:val="22"/>
        </w:rPr>
        <w:t> </w:t>
      </w:r>
      <w:r>
        <w:rPr>
          <w:b/>
          <w:smallCaps w:val="0"/>
          <w:color w:val="1F487C"/>
          <w:sz w:val="22"/>
        </w:rPr>
        <w:t>το δ</w:t>
      </w:r>
      <w:r>
        <w:rPr>
          <w:b/>
          <w:smallCaps/>
          <w:color w:val="1F487C"/>
          <w:sz w:val="22"/>
        </w:rPr>
        <w:t>ι</w:t>
      </w:r>
      <w:r>
        <w:rPr>
          <w:b/>
          <w:smallCaps w:val="0"/>
          <w:color w:val="1F487C"/>
          <w:sz w:val="22"/>
        </w:rPr>
        <w:t>εθνές</w:t>
      </w:r>
      <w:r>
        <w:rPr>
          <w:b/>
          <w:smallCaps w:val="0"/>
          <w:color w:val="1F487C"/>
          <w:spacing w:val="-12"/>
          <w:sz w:val="22"/>
        </w:rPr>
        <w:t> </w:t>
      </w:r>
      <w:r>
        <w:rPr>
          <w:b/>
          <w:smallCaps w:val="0"/>
          <w:color w:val="1F487C"/>
          <w:sz w:val="22"/>
        </w:rPr>
        <w:t>περ</w:t>
      </w:r>
      <w:r>
        <w:rPr>
          <w:b/>
          <w:smallCaps/>
          <w:color w:val="1F487C"/>
          <w:sz w:val="22"/>
        </w:rPr>
        <w:t>ι</w:t>
      </w:r>
      <w:r>
        <w:rPr>
          <w:b/>
          <w:smallCaps w:val="0"/>
          <w:color w:val="1F487C"/>
          <w:sz w:val="22"/>
        </w:rPr>
        <w:t>βάλλον,</w:t>
      </w:r>
      <w:r>
        <w:rPr>
          <w:b/>
          <w:smallCaps w:val="0"/>
          <w:color w:val="1F487C"/>
          <w:spacing w:val="-12"/>
          <w:sz w:val="22"/>
        </w:rPr>
        <w:t> </w:t>
      </w:r>
      <w:r>
        <w:rPr>
          <w:b/>
          <w:smallCaps w:val="0"/>
          <w:color w:val="1F487C"/>
          <w:sz w:val="22"/>
        </w:rPr>
        <w:t>ενώ</w:t>
      </w:r>
      <w:r>
        <w:rPr>
          <w:b/>
          <w:smallCaps w:val="0"/>
          <w:color w:val="1F487C"/>
          <w:spacing w:val="-14"/>
          <w:sz w:val="22"/>
        </w:rPr>
        <w:t> </w:t>
      </w:r>
      <w:r>
        <w:rPr>
          <w:b/>
          <w:smallCaps w:val="0"/>
          <w:color w:val="1F487C"/>
          <w:sz w:val="22"/>
        </w:rPr>
        <w:t>δ</w:t>
      </w:r>
      <w:r>
        <w:rPr>
          <w:b/>
          <w:smallCaps/>
          <w:color w:val="1F487C"/>
          <w:sz w:val="22"/>
        </w:rPr>
        <w:t>ι</w:t>
      </w:r>
      <w:r>
        <w:rPr>
          <w:b/>
          <w:smallCaps w:val="0"/>
          <w:color w:val="1F487C"/>
          <w:sz w:val="22"/>
        </w:rPr>
        <w:t>αχε</w:t>
      </w:r>
      <w:r>
        <w:rPr>
          <w:b/>
          <w:smallCaps/>
          <w:color w:val="1F487C"/>
          <w:sz w:val="22"/>
        </w:rPr>
        <w:t>ι</w:t>
      </w:r>
      <w:r>
        <w:rPr>
          <w:b/>
          <w:smallCaps w:val="0"/>
          <w:color w:val="1F487C"/>
          <w:sz w:val="22"/>
        </w:rPr>
        <w:t>ρίζετα</w:t>
      </w:r>
      <w:r>
        <w:rPr>
          <w:b/>
          <w:smallCaps/>
          <w:color w:val="1F487C"/>
          <w:sz w:val="22"/>
        </w:rPr>
        <w:t>ι</w:t>
      </w:r>
      <w:r>
        <w:rPr>
          <w:b/>
          <w:smallCaps w:val="0"/>
          <w:color w:val="1F487C"/>
          <w:spacing w:val="-11"/>
          <w:sz w:val="22"/>
        </w:rPr>
        <w:t> </w:t>
      </w:r>
      <w:r>
        <w:rPr>
          <w:b/>
          <w:smallCaps w:val="0"/>
          <w:color w:val="1F487C"/>
          <w:sz w:val="22"/>
        </w:rPr>
        <w:t>με</w:t>
      </w:r>
      <w:r>
        <w:rPr>
          <w:b/>
          <w:smallCaps w:val="0"/>
          <w:color w:val="1F487C"/>
          <w:spacing w:val="-13"/>
          <w:sz w:val="22"/>
        </w:rPr>
        <w:t> </w:t>
      </w:r>
      <w:r>
        <w:rPr>
          <w:b/>
          <w:smallCaps w:val="0"/>
          <w:color w:val="1F487C"/>
          <w:sz w:val="22"/>
        </w:rPr>
        <w:t>επ</w:t>
      </w:r>
      <w:r>
        <w:rPr>
          <w:b/>
          <w:smallCaps/>
          <w:color w:val="1F487C"/>
          <w:sz w:val="22"/>
        </w:rPr>
        <w:t>ι</w:t>
      </w:r>
      <w:r>
        <w:rPr>
          <w:b/>
          <w:smallCaps w:val="0"/>
          <w:color w:val="1F487C"/>
          <w:sz w:val="22"/>
        </w:rPr>
        <w:t>τυχία</w:t>
      </w:r>
      <w:r>
        <w:rPr>
          <w:b/>
          <w:smallCaps w:val="0"/>
          <w:color w:val="1F487C"/>
          <w:spacing w:val="-12"/>
          <w:sz w:val="22"/>
        </w:rPr>
        <w:t> </w:t>
      </w:r>
      <w:r>
        <w:rPr>
          <w:b/>
          <w:smallCaps w:val="0"/>
          <w:color w:val="1F487C"/>
          <w:sz w:val="22"/>
        </w:rPr>
        <w:t>τ</w:t>
      </w:r>
      <w:r>
        <w:rPr>
          <w:b/>
          <w:smallCaps/>
          <w:color w:val="1F487C"/>
          <w:sz w:val="22"/>
        </w:rPr>
        <w:t>ι</w:t>
      </w:r>
      <w:r>
        <w:rPr>
          <w:b/>
          <w:smallCaps w:val="0"/>
          <w:color w:val="1F487C"/>
          <w:sz w:val="22"/>
        </w:rPr>
        <w:t>ς</w:t>
      </w:r>
      <w:r>
        <w:rPr>
          <w:b/>
          <w:smallCaps w:val="0"/>
          <w:color w:val="1F487C"/>
          <w:spacing w:val="-12"/>
          <w:sz w:val="22"/>
        </w:rPr>
        <w:t> </w:t>
      </w:r>
      <w:r>
        <w:rPr>
          <w:b/>
          <w:smallCaps w:val="0"/>
          <w:color w:val="1F487C"/>
          <w:sz w:val="22"/>
        </w:rPr>
        <w:t>αυξανόμενες</w:t>
      </w:r>
      <w:r>
        <w:rPr>
          <w:b/>
          <w:smallCaps w:val="0"/>
          <w:color w:val="1F487C"/>
          <w:spacing w:val="-12"/>
          <w:sz w:val="22"/>
        </w:rPr>
        <w:t> </w:t>
      </w:r>
      <w:r>
        <w:rPr>
          <w:b/>
          <w:smallCaps w:val="0"/>
          <w:color w:val="1F487C"/>
          <w:sz w:val="22"/>
        </w:rPr>
        <w:t>απα</w:t>
      </w:r>
      <w:r>
        <w:rPr>
          <w:b/>
          <w:smallCaps/>
          <w:color w:val="1F487C"/>
          <w:sz w:val="22"/>
        </w:rPr>
        <w:t>ι</w:t>
      </w:r>
      <w:r>
        <w:rPr>
          <w:b/>
          <w:smallCaps w:val="0"/>
          <w:color w:val="1F487C"/>
          <w:sz w:val="22"/>
        </w:rPr>
        <w:t>τήσε</w:t>
      </w:r>
      <w:r>
        <w:rPr>
          <w:b/>
          <w:smallCaps/>
          <w:color w:val="1F487C"/>
          <w:sz w:val="22"/>
        </w:rPr>
        <w:t>ι</w:t>
      </w:r>
      <w:r>
        <w:rPr>
          <w:b/>
          <w:smallCaps w:val="0"/>
          <w:color w:val="1F487C"/>
          <w:sz w:val="22"/>
        </w:rPr>
        <w:t>ς</w:t>
      </w:r>
      <w:r>
        <w:rPr>
          <w:b/>
          <w:smallCaps w:val="0"/>
          <w:color w:val="1F487C"/>
          <w:spacing w:val="-12"/>
          <w:sz w:val="22"/>
        </w:rPr>
        <w:t> </w:t>
      </w:r>
      <w:r>
        <w:rPr>
          <w:b/>
          <w:smallCaps w:val="0"/>
          <w:color w:val="1F487C"/>
          <w:sz w:val="22"/>
        </w:rPr>
        <w:t>γ</w:t>
      </w:r>
      <w:r>
        <w:rPr>
          <w:b/>
          <w:smallCaps/>
          <w:color w:val="1F487C"/>
          <w:sz w:val="22"/>
        </w:rPr>
        <w:t>ι</w:t>
      </w:r>
      <w:r>
        <w:rPr>
          <w:b/>
          <w:smallCaps w:val="0"/>
          <w:color w:val="1F487C"/>
          <w:sz w:val="22"/>
        </w:rPr>
        <w:t>α</w:t>
      </w:r>
      <w:r>
        <w:rPr>
          <w:b/>
          <w:smallCaps w:val="0"/>
          <w:color w:val="1F487C"/>
          <w:spacing w:val="-13"/>
          <w:sz w:val="22"/>
        </w:rPr>
        <w:t> </w:t>
      </w:r>
      <w:r>
        <w:rPr>
          <w:b/>
          <w:smallCaps w:val="0"/>
          <w:color w:val="1F487C"/>
          <w:sz w:val="22"/>
        </w:rPr>
        <w:t>κα</w:t>
      </w:r>
      <w:r>
        <w:rPr>
          <w:b/>
          <w:smallCaps/>
          <w:color w:val="1F487C"/>
          <w:sz w:val="22"/>
        </w:rPr>
        <w:t>ινο</w:t>
      </w:r>
      <w:r>
        <w:rPr>
          <w:b/>
          <w:smallCaps w:val="0"/>
          <w:color w:val="1F487C"/>
          <w:sz w:val="22"/>
        </w:rPr>
        <w:t>το-μία κα</w:t>
      </w:r>
      <w:r>
        <w:rPr>
          <w:b/>
          <w:smallCaps/>
          <w:color w:val="1F487C"/>
          <w:sz w:val="22"/>
        </w:rPr>
        <w:t>ι</w:t>
      </w:r>
      <w:r>
        <w:rPr>
          <w:b/>
          <w:smallCaps w:val="0"/>
          <w:color w:val="1F487C"/>
          <w:sz w:val="22"/>
        </w:rPr>
        <w:t> ψηφ</w:t>
      </w:r>
      <w:r>
        <w:rPr>
          <w:b/>
          <w:smallCaps/>
          <w:color w:val="1F487C"/>
          <w:sz w:val="22"/>
        </w:rPr>
        <w:t>ι</w:t>
      </w:r>
      <w:r>
        <w:rPr>
          <w:b/>
          <w:smallCaps w:val="0"/>
          <w:color w:val="1F487C"/>
          <w:sz w:val="22"/>
        </w:rPr>
        <w:t>ακή μετάβαση. </w:t>
      </w:r>
      <w:r>
        <w:rPr>
          <w:smallCaps w:val="0"/>
          <w:sz w:val="22"/>
        </w:rPr>
        <w:t>Το ενδιαφέρον των πιστωτικών ιδρυμάτων για απόκτηση ειδικών συμμετοχών στο μετοχικό κεφάλαιο των ασφαλιστικών επιχειρήσεων καταδεικνύει τα υγιή θε-μελιώδη μεγέθη και τις διαφαινόμενες θετικές προσδοκίες για την πορεία του κλάδου.</w:t>
      </w:r>
    </w:p>
    <w:p>
      <w:pPr>
        <w:pStyle w:val="BodyText"/>
        <w:spacing w:line="285" w:lineRule="auto" w:before="235"/>
        <w:ind w:left="172" w:right="955"/>
        <w:jc w:val="both"/>
      </w:pPr>
      <w:r>
        <w:rPr>
          <w:b/>
          <w:color w:val="1F487C"/>
        </w:rPr>
        <w:t>Ο</w:t>
      </w:r>
      <w:r>
        <w:rPr>
          <w:b/>
          <w:smallCaps/>
          <w:color w:val="1F487C"/>
        </w:rPr>
        <w:t>ι</w:t>
      </w:r>
      <w:r>
        <w:rPr>
          <w:b/>
          <w:smallCaps w:val="0"/>
          <w:color w:val="1F487C"/>
          <w:spacing w:val="-1"/>
        </w:rPr>
        <w:t> </w:t>
      </w:r>
      <w:r>
        <w:rPr>
          <w:b/>
          <w:smallCaps w:val="0"/>
          <w:color w:val="1F487C"/>
        </w:rPr>
        <w:t>δ</w:t>
      </w:r>
      <w:r>
        <w:rPr>
          <w:b/>
          <w:smallCaps/>
          <w:color w:val="1F487C"/>
        </w:rPr>
        <w:t>ι</w:t>
      </w:r>
      <w:r>
        <w:rPr>
          <w:b/>
          <w:smallCaps w:val="0"/>
          <w:color w:val="1F487C"/>
        </w:rPr>
        <w:t>αχε</w:t>
      </w:r>
      <w:r>
        <w:rPr>
          <w:b/>
          <w:smallCaps/>
          <w:color w:val="1F487C"/>
        </w:rPr>
        <w:t>ι</w:t>
      </w:r>
      <w:r>
        <w:rPr>
          <w:b/>
          <w:smallCaps w:val="0"/>
          <w:color w:val="1F487C"/>
        </w:rPr>
        <w:t>ρ</w:t>
      </w:r>
      <w:r>
        <w:rPr>
          <w:b/>
          <w:smallCaps/>
          <w:color w:val="1F487C"/>
        </w:rPr>
        <w:t>ι</w:t>
      </w:r>
      <w:r>
        <w:rPr>
          <w:b/>
          <w:smallCaps w:val="0"/>
          <w:color w:val="1F487C"/>
        </w:rPr>
        <w:t>στές</w:t>
      </w:r>
      <w:r>
        <w:rPr>
          <w:b/>
          <w:smallCaps w:val="0"/>
          <w:color w:val="1F487C"/>
          <w:spacing w:val="-2"/>
        </w:rPr>
        <w:t> </w:t>
      </w:r>
      <w:r>
        <w:rPr>
          <w:b/>
          <w:smallCaps w:val="0"/>
          <w:color w:val="1F487C"/>
        </w:rPr>
        <w:t>π</w:t>
      </w:r>
      <w:r>
        <w:rPr>
          <w:b/>
          <w:smallCaps/>
          <w:color w:val="1F487C"/>
        </w:rPr>
        <w:t>ι</w:t>
      </w:r>
      <w:r>
        <w:rPr>
          <w:b/>
          <w:smallCaps w:val="0"/>
          <w:color w:val="1F487C"/>
        </w:rPr>
        <w:t>στώσεων</w:t>
      </w:r>
      <w:r>
        <w:rPr>
          <w:b/>
          <w:smallCaps w:val="0"/>
          <w:color w:val="1F487C"/>
          <w:spacing w:val="-3"/>
        </w:rPr>
        <w:t> </w:t>
      </w:r>
      <w:r>
        <w:rPr>
          <w:b/>
          <w:smallCaps w:val="0"/>
          <w:color w:val="1F487C"/>
        </w:rPr>
        <w:t>δ</w:t>
      </w:r>
      <w:r>
        <w:rPr>
          <w:b/>
          <w:smallCaps/>
          <w:color w:val="1F487C"/>
        </w:rPr>
        <w:t>ι</w:t>
      </w:r>
      <w:r>
        <w:rPr>
          <w:b/>
          <w:smallCaps w:val="0"/>
          <w:color w:val="1F487C"/>
        </w:rPr>
        <w:t>αδραματίζουν</w:t>
      </w:r>
      <w:r>
        <w:rPr>
          <w:b/>
          <w:smallCaps w:val="0"/>
          <w:color w:val="1F487C"/>
          <w:spacing w:val="-2"/>
        </w:rPr>
        <w:t> </w:t>
      </w:r>
      <w:r>
        <w:rPr>
          <w:b/>
          <w:smallCaps w:val="0"/>
          <w:color w:val="1F487C"/>
        </w:rPr>
        <w:t>σημαντ</w:t>
      </w:r>
      <w:r>
        <w:rPr>
          <w:b/>
          <w:smallCaps/>
          <w:color w:val="1F487C"/>
        </w:rPr>
        <w:t>ι</w:t>
      </w:r>
      <w:r>
        <w:rPr>
          <w:b/>
          <w:smallCaps w:val="0"/>
          <w:color w:val="1F487C"/>
        </w:rPr>
        <w:t>κό</w:t>
      </w:r>
      <w:r>
        <w:rPr>
          <w:b/>
          <w:smallCaps w:val="0"/>
          <w:color w:val="1F487C"/>
          <w:spacing w:val="-2"/>
        </w:rPr>
        <w:t> </w:t>
      </w:r>
      <w:r>
        <w:rPr>
          <w:b/>
          <w:smallCaps w:val="0"/>
          <w:color w:val="1F487C"/>
        </w:rPr>
        <w:t>ρόλο</w:t>
      </w:r>
      <w:r>
        <w:rPr>
          <w:b/>
          <w:smallCaps w:val="0"/>
          <w:color w:val="1F487C"/>
          <w:spacing w:val="-2"/>
        </w:rPr>
        <w:t> </w:t>
      </w:r>
      <w:r>
        <w:rPr>
          <w:b/>
          <w:smallCaps w:val="0"/>
          <w:color w:val="1F487C"/>
        </w:rPr>
        <w:t>στη</w:t>
      </w:r>
      <w:r>
        <w:rPr>
          <w:b/>
          <w:smallCaps w:val="0"/>
          <w:color w:val="1F487C"/>
          <w:spacing w:val="-3"/>
        </w:rPr>
        <w:t> </w:t>
      </w:r>
      <w:r>
        <w:rPr>
          <w:b/>
          <w:smallCaps w:val="0"/>
          <w:color w:val="1F487C"/>
        </w:rPr>
        <w:t>δ</w:t>
      </w:r>
      <w:r>
        <w:rPr>
          <w:b/>
          <w:smallCaps/>
          <w:color w:val="1F487C"/>
        </w:rPr>
        <w:t>ι</w:t>
      </w:r>
      <w:r>
        <w:rPr>
          <w:b/>
          <w:smallCaps w:val="0"/>
          <w:color w:val="1F487C"/>
        </w:rPr>
        <w:t>αχείρ</w:t>
      </w:r>
      <w:r>
        <w:rPr>
          <w:b/>
          <w:smallCaps/>
          <w:color w:val="1F487C"/>
        </w:rPr>
        <w:t>ι</w:t>
      </w:r>
      <w:r>
        <w:rPr>
          <w:b/>
          <w:smallCaps w:val="0"/>
          <w:color w:val="1F487C"/>
        </w:rPr>
        <w:t>ση</w:t>
      </w:r>
      <w:r>
        <w:rPr>
          <w:b/>
          <w:smallCaps w:val="0"/>
          <w:color w:val="1F487C"/>
          <w:spacing w:val="-3"/>
        </w:rPr>
        <w:t> </w:t>
      </w:r>
      <w:r>
        <w:rPr>
          <w:b/>
          <w:smallCaps w:val="0"/>
          <w:color w:val="1F487C"/>
        </w:rPr>
        <w:t>του</w:t>
      </w:r>
      <w:r>
        <w:rPr>
          <w:b/>
          <w:smallCaps w:val="0"/>
          <w:color w:val="1F487C"/>
          <w:spacing w:val="-1"/>
        </w:rPr>
        <w:t> </w:t>
      </w:r>
      <w:r>
        <w:rPr>
          <w:b/>
          <w:smallCaps w:val="0"/>
          <w:color w:val="1F487C"/>
        </w:rPr>
        <w:t>μη εξυπη-ρετούμενου</w:t>
      </w:r>
      <w:r>
        <w:rPr>
          <w:b/>
          <w:smallCaps w:val="0"/>
          <w:color w:val="1F487C"/>
          <w:spacing w:val="-9"/>
        </w:rPr>
        <w:t> </w:t>
      </w:r>
      <w:r>
        <w:rPr>
          <w:b/>
          <w:smallCaps/>
          <w:color w:val="1F487C"/>
        </w:rPr>
        <w:t>ι</w:t>
      </w:r>
      <w:r>
        <w:rPr>
          <w:b/>
          <w:smallCaps w:val="0"/>
          <w:color w:val="1F487C"/>
        </w:rPr>
        <w:t>δ</w:t>
      </w:r>
      <w:r>
        <w:rPr>
          <w:b/>
          <w:smallCaps/>
          <w:color w:val="1F487C"/>
        </w:rPr>
        <w:t>ι</w:t>
      </w:r>
      <w:r>
        <w:rPr>
          <w:b/>
          <w:smallCaps w:val="0"/>
          <w:color w:val="1F487C"/>
        </w:rPr>
        <w:t>ωτ</w:t>
      </w:r>
      <w:r>
        <w:rPr>
          <w:b/>
          <w:smallCaps/>
          <w:color w:val="1F487C"/>
        </w:rPr>
        <w:t>ι</w:t>
      </w:r>
      <w:r>
        <w:rPr>
          <w:b/>
          <w:smallCaps w:val="0"/>
          <w:color w:val="1F487C"/>
        </w:rPr>
        <w:t>κού</w:t>
      </w:r>
      <w:r>
        <w:rPr>
          <w:b/>
          <w:smallCaps w:val="0"/>
          <w:color w:val="1F487C"/>
          <w:spacing w:val="-12"/>
        </w:rPr>
        <w:t> </w:t>
      </w:r>
      <w:r>
        <w:rPr>
          <w:b/>
          <w:smallCaps w:val="0"/>
          <w:color w:val="1F487C"/>
        </w:rPr>
        <w:t>χρέους</w:t>
      </w:r>
      <w:r>
        <w:rPr>
          <w:b/>
          <w:smallCaps w:val="0"/>
          <w:color w:val="1F487C"/>
          <w:spacing w:val="-9"/>
        </w:rPr>
        <w:t> </w:t>
      </w:r>
      <w:r>
        <w:rPr>
          <w:b/>
          <w:smallCaps w:val="0"/>
          <w:color w:val="1F487C"/>
        </w:rPr>
        <w:t>στην</w:t>
      </w:r>
      <w:r>
        <w:rPr>
          <w:b/>
          <w:smallCaps w:val="0"/>
          <w:color w:val="1F487C"/>
          <w:spacing w:val="-10"/>
        </w:rPr>
        <w:t> </w:t>
      </w:r>
      <w:r>
        <w:rPr>
          <w:b/>
          <w:smallCaps w:val="0"/>
          <w:color w:val="1F487C"/>
        </w:rPr>
        <w:t>Ελλάδα.</w:t>
      </w:r>
      <w:r>
        <w:rPr>
          <w:b/>
          <w:smallCaps w:val="0"/>
          <w:color w:val="1F487C"/>
          <w:spacing w:val="-11"/>
        </w:rPr>
        <w:t> </w:t>
      </w:r>
      <w:r>
        <w:rPr>
          <w:smallCaps w:val="0"/>
        </w:rPr>
        <w:t>Τον</w:t>
      </w:r>
      <w:r>
        <w:rPr>
          <w:smallCaps w:val="0"/>
          <w:spacing w:val="-11"/>
        </w:rPr>
        <w:t> </w:t>
      </w:r>
      <w:r>
        <w:rPr>
          <w:smallCaps w:val="0"/>
        </w:rPr>
        <w:t>Δεκέμβριο</w:t>
      </w:r>
      <w:r>
        <w:rPr>
          <w:smallCaps w:val="0"/>
          <w:spacing w:val="-12"/>
        </w:rPr>
        <w:t> </w:t>
      </w:r>
      <w:r>
        <w:rPr>
          <w:smallCaps w:val="0"/>
        </w:rPr>
        <w:t>του</w:t>
      </w:r>
      <w:r>
        <w:rPr>
          <w:smallCaps w:val="0"/>
          <w:spacing w:val="-9"/>
        </w:rPr>
        <w:t> </w:t>
      </w:r>
      <w:r>
        <w:rPr>
          <w:smallCaps w:val="0"/>
        </w:rPr>
        <w:t>2025</w:t>
      </w:r>
      <w:r>
        <w:rPr>
          <w:smallCaps w:val="0"/>
          <w:spacing w:val="-10"/>
        </w:rPr>
        <w:t> </w:t>
      </w:r>
      <w:r>
        <w:rPr>
          <w:smallCaps w:val="0"/>
        </w:rPr>
        <w:t>η</w:t>
      </w:r>
      <w:r>
        <w:rPr>
          <w:smallCaps w:val="0"/>
          <w:spacing w:val="-12"/>
        </w:rPr>
        <w:t> </w:t>
      </w:r>
      <w:r>
        <w:rPr>
          <w:smallCaps w:val="0"/>
        </w:rPr>
        <w:t>συνολική</w:t>
      </w:r>
      <w:r>
        <w:rPr>
          <w:smallCaps w:val="0"/>
          <w:spacing w:val="-10"/>
        </w:rPr>
        <w:t> </w:t>
      </w:r>
      <w:r>
        <w:rPr>
          <w:smallCaps w:val="0"/>
        </w:rPr>
        <w:t>αξία</w:t>
      </w:r>
      <w:r>
        <w:rPr>
          <w:smallCaps w:val="0"/>
          <w:spacing w:val="-10"/>
        </w:rPr>
        <w:t> </w:t>
      </w:r>
      <w:r>
        <w:rPr>
          <w:smallCaps w:val="0"/>
        </w:rPr>
        <w:t>των</w:t>
      </w:r>
      <w:r>
        <w:rPr>
          <w:smallCaps w:val="0"/>
          <w:spacing w:val="-11"/>
        </w:rPr>
        <w:t> </w:t>
      </w:r>
      <w:r>
        <w:rPr>
          <w:smallCaps w:val="0"/>
        </w:rPr>
        <w:t>υπό διαχείριση</w:t>
      </w:r>
      <w:r>
        <w:rPr>
          <w:smallCaps w:val="0"/>
          <w:spacing w:val="-14"/>
        </w:rPr>
        <w:t> </w:t>
      </w:r>
      <w:r>
        <w:rPr>
          <w:smallCaps w:val="0"/>
        </w:rPr>
        <w:t>ανοιγμάτων</w:t>
      </w:r>
      <w:r>
        <w:rPr>
          <w:smallCaps w:val="0"/>
          <w:spacing w:val="-13"/>
        </w:rPr>
        <w:t> </w:t>
      </w:r>
      <w:r>
        <w:rPr>
          <w:smallCaps w:val="0"/>
        </w:rPr>
        <w:t>των</w:t>
      </w:r>
      <w:r>
        <w:rPr>
          <w:smallCaps w:val="0"/>
          <w:spacing w:val="-14"/>
        </w:rPr>
        <w:t> </w:t>
      </w:r>
      <w:r>
        <w:rPr>
          <w:smallCaps w:val="0"/>
        </w:rPr>
        <w:t>διαχειριστών</w:t>
      </w:r>
      <w:r>
        <w:rPr>
          <w:smallCaps w:val="0"/>
          <w:spacing w:val="-11"/>
        </w:rPr>
        <w:t> </w:t>
      </w:r>
      <w:r>
        <w:rPr>
          <w:smallCaps w:val="0"/>
        </w:rPr>
        <w:t>πιστώσεων</w:t>
      </w:r>
      <w:r>
        <w:rPr>
          <w:smallCaps w:val="0"/>
          <w:spacing w:val="-12"/>
        </w:rPr>
        <w:t> </w:t>
      </w:r>
      <w:r>
        <w:rPr>
          <w:smallCaps w:val="0"/>
        </w:rPr>
        <w:t>ανήλθε</w:t>
      </w:r>
      <w:r>
        <w:rPr>
          <w:smallCaps w:val="0"/>
          <w:spacing w:val="-14"/>
        </w:rPr>
        <w:t> </w:t>
      </w:r>
      <w:r>
        <w:rPr>
          <w:smallCaps w:val="0"/>
        </w:rPr>
        <w:t>σε</w:t>
      </w:r>
      <w:r>
        <w:rPr>
          <w:smallCaps w:val="0"/>
          <w:spacing w:val="-13"/>
        </w:rPr>
        <w:t> </w:t>
      </w:r>
      <w:r>
        <w:rPr>
          <w:smallCaps w:val="0"/>
        </w:rPr>
        <w:t>91,5</w:t>
      </w:r>
      <w:r>
        <w:rPr>
          <w:smallCaps w:val="0"/>
          <w:spacing w:val="-13"/>
        </w:rPr>
        <w:t> </w:t>
      </w:r>
      <w:r>
        <w:rPr>
          <w:smallCaps w:val="0"/>
        </w:rPr>
        <w:t>δισεκ.</w:t>
      </w:r>
      <w:r>
        <w:rPr>
          <w:smallCaps w:val="0"/>
          <w:spacing w:val="-13"/>
        </w:rPr>
        <w:t> </w:t>
      </w:r>
      <w:r>
        <w:rPr>
          <w:smallCaps w:val="0"/>
        </w:rPr>
        <w:t>ευρώ,</w:t>
      </w:r>
      <w:r>
        <w:rPr>
          <w:smallCaps w:val="0"/>
          <w:spacing w:val="-13"/>
        </w:rPr>
        <w:t> </w:t>
      </w:r>
      <w:r>
        <w:rPr>
          <w:smallCaps w:val="0"/>
        </w:rPr>
        <w:t>αυξημένη</w:t>
      </w:r>
      <w:r>
        <w:rPr>
          <w:smallCaps w:val="0"/>
          <w:spacing w:val="-13"/>
        </w:rPr>
        <w:t> </w:t>
      </w:r>
      <w:r>
        <w:rPr>
          <w:smallCaps w:val="0"/>
        </w:rPr>
        <w:t>κατά 4,1 δισεκ. ευρώ σε σχέση με τον Δεκέμβριο του 2024, μετά την ανάληψη της διαχείρισης νέων χαρτοφυλακίων,</w:t>
      </w:r>
      <w:r>
        <w:rPr>
          <w:smallCaps w:val="0"/>
          <w:spacing w:val="-5"/>
        </w:rPr>
        <w:t> </w:t>
      </w:r>
      <w:r>
        <w:rPr>
          <w:smallCaps w:val="0"/>
        </w:rPr>
        <w:t>κυρίως</w:t>
      </w:r>
      <w:r>
        <w:rPr>
          <w:smallCaps w:val="0"/>
          <w:spacing w:val="-8"/>
        </w:rPr>
        <w:t> </w:t>
      </w:r>
      <w:r>
        <w:rPr>
          <w:smallCaps w:val="0"/>
        </w:rPr>
        <w:t>για</w:t>
      </w:r>
      <w:r>
        <w:rPr>
          <w:smallCaps w:val="0"/>
          <w:spacing w:val="-7"/>
        </w:rPr>
        <w:t> </w:t>
      </w:r>
      <w:r>
        <w:rPr>
          <w:smallCaps w:val="0"/>
        </w:rPr>
        <w:t>λογαριασμό</w:t>
      </w:r>
      <w:r>
        <w:rPr>
          <w:smallCaps w:val="0"/>
          <w:spacing w:val="-7"/>
        </w:rPr>
        <w:t> </w:t>
      </w:r>
      <w:r>
        <w:rPr>
          <w:smallCaps w:val="0"/>
        </w:rPr>
        <w:t>αγοραστών</w:t>
      </w:r>
      <w:r>
        <w:rPr>
          <w:smallCaps w:val="0"/>
          <w:spacing w:val="-4"/>
        </w:rPr>
        <w:t> </w:t>
      </w:r>
      <w:r>
        <w:rPr>
          <w:smallCaps w:val="0"/>
        </w:rPr>
        <w:t>πιστώσεων.</w:t>
      </w:r>
      <w:r>
        <w:rPr>
          <w:smallCaps w:val="0"/>
          <w:spacing w:val="-5"/>
        </w:rPr>
        <w:t> </w:t>
      </w:r>
      <w:r>
        <w:rPr>
          <w:smallCaps w:val="0"/>
        </w:rPr>
        <w:t>Από</w:t>
      </w:r>
      <w:r>
        <w:rPr>
          <w:smallCaps w:val="0"/>
          <w:spacing w:val="-5"/>
        </w:rPr>
        <w:t> </w:t>
      </w:r>
      <w:r>
        <w:rPr>
          <w:smallCaps w:val="0"/>
        </w:rPr>
        <w:t>το</w:t>
      </w:r>
      <w:r>
        <w:rPr>
          <w:smallCaps w:val="0"/>
          <w:spacing w:val="-7"/>
        </w:rPr>
        <w:t> </w:t>
      </w:r>
      <w:r>
        <w:rPr>
          <w:smallCaps w:val="0"/>
        </w:rPr>
        <w:t>σύνολο</w:t>
      </w:r>
      <w:r>
        <w:rPr>
          <w:smallCaps w:val="0"/>
          <w:spacing w:val="-5"/>
        </w:rPr>
        <w:t> </w:t>
      </w:r>
      <w:r>
        <w:rPr>
          <w:smallCaps w:val="0"/>
        </w:rPr>
        <w:t>των</w:t>
      </w:r>
      <w:r>
        <w:rPr>
          <w:smallCaps w:val="0"/>
          <w:spacing w:val="-6"/>
        </w:rPr>
        <w:t> </w:t>
      </w:r>
      <w:r>
        <w:rPr>
          <w:smallCaps w:val="0"/>
        </w:rPr>
        <w:t>υπό</w:t>
      </w:r>
      <w:r>
        <w:rPr>
          <w:smallCaps w:val="0"/>
          <w:spacing w:val="-5"/>
        </w:rPr>
        <w:t> </w:t>
      </w:r>
      <w:r>
        <w:rPr>
          <w:smallCaps w:val="0"/>
        </w:rPr>
        <w:t>διαχεί-ριση</w:t>
      </w:r>
      <w:r>
        <w:rPr>
          <w:smallCaps w:val="0"/>
          <w:spacing w:val="-16"/>
        </w:rPr>
        <w:t> </w:t>
      </w:r>
      <w:r>
        <w:rPr>
          <w:smallCaps w:val="0"/>
        </w:rPr>
        <w:t>ανοιγμάτων,</w:t>
      </w:r>
      <w:r>
        <w:rPr>
          <w:smallCaps w:val="0"/>
          <w:spacing w:val="-14"/>
        </w:rPr>
        <w:t> </w:t>
      </w:r>
      <w:r>
        <w:rPr>
          <w:smallCaps w:val="0"/>
        </w:rPr>
        <w:t>81,5</w:t>
      </w:r>
      <w:r>
        <w:rPr>
          <w:smallCaps w:val="0"/>
          <w:spacing w:val="-14"/>
        </w:rPr>
        <w:t> </w:t>
      </w:r>
      <w:r>
        <w:rPr>
          <w:smallCaps w:val="0"/>
        </w:rPr>
        <w:t>δισεκ.</w:t>
      </w:r>
      <w:r>
        <w:rPr>
          <w:smallCaps w:val="0"/>
          <w:spacing w:val="-13"/>
        </w:rPr>
        <w:t> </w:t>
      </w:r>
      <w:r>
        <w:rPr>
          <w:smallCaps w:val="0"/>
        </w:rPr>
        <w:t>ευρώ</w:t>
      </w:r>
      <w:r>
        <w:rPr>
          <w:smallCaps w:val="0"/>
          <w:spacing w:val="-14"/>
        </w:rPr>
        <w:t> </w:t>
      </w:r>
      <w:r>
        <w:rPr>
          <w:smallCaps w:val="0"/>
        </w:rPr>
        <w:t>(ή</w:t>
      </w:r>
      <w:r>
        <w:rPr>
          <w:smallCaps w:val="0"/>
          <w:spacing w:val="-14"/>
        </w:rPr>
        <w:t> </w:t>
      </w:r>
      <w:r>
        <w:rPr>
          <w:smallCaps w:val="0"/>
        </w:rPr>
        <w:t>89,1%)</w:t>
      </w:r>
      <w:r>
        <w:rPr>
          <w:smallCaps w:val="0"/>
          <w:spacing w:val="-14"/>
        </w:rPr>
        <w:t> </w:t>
      </w:r>
      <w:r>
        <w:rPr>
          <w:smallCaps w:val="0"/>
        </w:rPr>
        <w:t>αφορούν</w:t>
      </w:r>
      <w:r>
        <w:rPr>
          <w:smallCaps w:val="0"/>
          <w:spacing w:val="-13"/>
        </w:rPr>
        <w:t> </w:t>
      </w:r>
      <w:r>
        <w:rPr>
          <w:smallCaps w:val="0"/>
        </w:rPr>
        <w:t>ανοίγματα</w:t>
      </w:r>
      <w:r>
        <w:rPr>
          <w:smallCaps w:val="0"/>
          <w:spacing w:val="-14"/>
        </w:rPr>
        <w:t> </w:t>
      </w:r>
      <w:r>
        <w:rPr>
          <w:smallCaps w:val="0"/>
        </w:rPr>
        <w:t>υπό</w:t>
      </w:r>
      <w:r>
        <w:rPr>
          <w:smallCaps w:val="0"/>
          <w:spacing w:val="-14"/>
        </w:rPr>
        <w:t> </w:t>
      </w:r>
      <w:r>
        <w:rPr>
          <w:smallCaps w:val="0"/>
        </w:rPr>
        <w:t>διαχείριση</w:t>
      </w:r>
      <w:r>
        <w:rPr>
          <w:smallCaps w:val="0"/>
          <w:spacing w:val="-14"/>
        </w:rPr>
        <w:t> </w:t>
      </w:r>
      <w:r>
        <w:rPr>
          <w:smallCaps w:val="0"/>
        </w:rPr>
        <w:t>για</w:t>
      </w:r>
      <w:r>
        <w:rPr>
          <w:smallCaps w:val="0"/>
          <w:spacing w:val="-13"/>
        </w:rPr>
        <w:t> </w:t>
      </w:r>
      <w:r>
        <w:rPr>
          <w:smallCaps w:val="0"/>
        </w:rPr>
        <w:t>λογαριασμό αγοραστών πιστώσεων, ενώ τα υπόλοιπα 10 δισεκ. ευρώ (ή 10,9%) αφορούν τη διαχείριση α-νοιγμάτων για</w:t>
      </w:r>
      <w:r>
        <w:rPr>
          <w:smallCaps w:val="0"/>
          <w:spacing w:val="-3"/>
        </w:rPr>
        <w:t> </w:t>
      </w:r>
      <w:r>
        <w:rPr>
          <w:smallCaps w:val="0"/>
        </w:rPr>
        <w:t>λογαριασμό</w:t>
      </w:r>
      <w:r>
        <w:rPr>
          <w:smallCaps w:val="0"/>
          <w:spacing w:val="-1"/>
        </w:rPr>
        <w:t> </w:t>
      </w:r>
      <w:r>
        <w:rPr>
          <w:smallCaps w:val="0"/>
        </w:rPr>
        <w:t>πιστωτικών/χρηματοδοτικών ιδρυμάτων. Ως</w:t>
      </w:r>
      <w:r>
        <w:rPr>
          <w:smallCaps w:val="0"/>
          <w:spacing w:val="-2"/>
        </w:rPr>
        <w:t> </w:t>
      </w:r>
      <w:r>
        <w:rPr>
          <w:smallCaps w:val="0"/>
        </w:rPr>
        <w:t>προς</w:t>
      </w:r>
      <w:r>
        <w:rPr>
          <w:smallCaps w:val="0"/>
          <w:spacing w:val="-1"/>
        </w:rPr>
        <w:t> </w:t>
      </w:r>
      <w:r>
        <w:rPr>
          <w:smallCaps w:val="0"/>
        </w:rPr>
        <w:t>τη</w:t>
      </w:r>
      <w:r>
        <w:rPr>
          <w:smallCaps w:val="0"/>
          <w:spacing w:val="-1"/>
        </w:rPr>
        <w:t> </w:t>
      </w:r>
      <w:r>
        <w:rPr>
          <w:smallCaps w:val="0"/>
        </w:rPr>
        <w:t>διάρθρωση</w:t>
      </w:r>
      <w:r>
        <w:rPr>
          <w:smallCaps w:val="0"/>
          <w:spacing w:val="-1"/>
        </w:rPr>
        <w:t> </w:t>
      </w:r>
      <w:r>
        <w:rPr>
          <w:smallCaps w:val="0"/>
        </w:rPr>
        <w:t>του χαρτοφυλακίου που διαχειρίζονται οι διαχειριστές πιστώσεων, το μεγαλύτερο μέρος (84%) α-φορά</w:t>
      </w:r>
      <w:r>
        <w:rPr>
          <w:smallCaps w:val="0"/>
          <w:spacing w:val="-3"/>
        </w:rPr>
        <w:t> </w:t>
      </w:r>
      <w:r>
        <w:rPr>
          <w:smallCaps w:val="0"/>
        </w:rPr>
        <w:t>μη</w:t>
      </w:r>
      <w:r>
        <w:rPr>
          <w:smallCaps w:val="0"/>
          <w:spacing w:val="-2"/>
        </w:rPr>
        <w:t> </w:t>
      </w:r>
      <w:r>
        <w:rPr>
          <w:smallCaps w:val="0"/>
        </w:rPr>
        <w:t>εξυπηρετούμενα</w:t>
      </w:r>
      <w:r>
        <w:rPr>
          <w:smallCaps w:val="0"/>
          <w:spacing w:val="-2"/>
        </w:rPr>
        <w:t> </w:t>
      </w:r>
      <w:r>
        <w:rPr>
          <w:smallCaps w:val="0"/>
        </w:rPr>
        <w:t>ανοίγματα</w:t>
      </w:r>
      <w:r>
        <w:rPr>
          <w:smallCaps w:val="0"/>
          <w:spacing w:val="-2"/>
        </w:rPr>
        <w:t> </w:t>
      </w:r>
      <w:r>
        <w:rPr>
          <w:smallCaps w:val="0"/>
        </w:rPr>
        <w:t>και</w:t>
      </w:r>
      <w:r>
        <w:rPr>
          <w:smallCaps w:val="0"/>
          <w:spacing w:val="-2"/>
        </w:rPr>
        <w:t> </w:t>
      </w:r>
      <w:r>
        <w:rPr>
          <w:smallCaps w:val="0"/>
        </w:rPr>
        <w:t>το</w:t>
      </w:r>
      <w:r>
        <w:rPr>
          <w:smallCaps w:val="0"/>
          <w:spacing w:val="-4"/>
        </w:rPr>
        <w:t> </w:t>
      </w:r>
      <w:r>
        <w:rPr>
          <w:smallCaps w:val="0"/>
        </w:rPr>
        <w:t>υπόλοιπο</w:t>
      </w:r>
      <w:r>
        <w:rPr>
          <w:smallCaps w:val="0"/>
          <w:spacing w:val="-2"/>
        </w:rPr>
        <w:t> </w:t>
      </w:r>
      <w:r>
        <w:rPr>
          <w:smallCaps w:val="0"/>
        </w:rPr>
        <w:t>(16%)</w:t>
      </w:r>
      <w:r>
        <w:rPr>
          <w:smallCaps w:val="0"/>
          <w:spacing w:val="-3"/>
        </w:rPr>
        <w:t> </w:t>
      </w:r>
      <w:r>
        <w:rPr>
          <w:smallCaps w:val="0"/>
        </w:rPr>
        <w:t>αφορά</w:t>
      </w:r>
      <w:r>
        <w:rPr>
          <w:smallCaps w:val="0"/>
          <w:spacing w:val="-4"/>
        </w:rPr>
        <w:t> </w:t>
      </w:r>
      <w:r>
        <w:rPr>
          <w:smallCaps w:val="0"/>
        </w:rPr>
        <w:t>εξυπηρετούμενα</w:t>
      </w:r>
      <w:r>
        <w:rPr>
          <w:smallCaps w:val="0"/>
          <w:spacing w:val="-2"/>
        </w:rPr>
        <w:t> </w:t>
      </w:r>
      <w:r>
        <w:rPr>
          <w:smallCaps w:val="0"/>
        </w:rPr>
        <w:t>ανοίγματα.</w:t>
      </w:r>
    </w:p>
    <w:p>
      <w:pPr>
        <w:spacing w:line="285" w:lineRule="auto" w:before="230"/>
        <w:ind w:left="172" w:right="956" w:firstLine="0"/>
        <w:jc w:val="both"/>
        <w:rPr>
          <w:sz w:val="22"/>
        </w:rPr>
      </w:pPr>
      <w:r>
        <w:rPr>
          <w:b/>
          <w:color w:val="1F487C"/>
          <w:sz w:val="22"/>
        </w:rPr>
        <w:t>To 2025 τα Ιδρύματα Πληρωμών (ΙΠ) κα</w:t>
      </w:r>
      <w:r>
        <w:rPr>
          <w:b/>
          <w:smallCaps/>
          <w:color w:val="1F487C"/>
          <w:sz w:val="22"/>
        </w:rPr>
        <w:t>ι</w:t>
      </w:r>
      <w:r>
        <w:rPr>
          <w:b/>
          <w:smallCaps w:val="0"/>
          <w:color w:val="1F487C"/>
          <w:sz w:val="22"/>
        </w:rPr>
        <w:t> τα Ιδρύματα Ηλεκτρον</w:t>
      </w:r>
      <w:r>
        <w:rPr>
          <w:b/>
          <w:smallCaps/>
          <w:color w:val="1F487C"/>
          <w:sz w:val="22"/>
        </w:rPr>
        <w:t>ι</w:t>
      </w:r>
      <w:r>
        <w:rPr>
          <w:b/>
          <w:smallCaps w:val="0"/>
          <w:color w:val="1F487C"/>
          <w:sz w:val="22"/>
        </w:rPr>
        <w:t>κού Χρήματος (ΙΗΧ) ε-νίσχυσαν τόσο τα λε</w:t>
      </w:r>
      <w:r>
        <w:rPr>
          <w:b/>
          <w:smallCaps/>
          <w:color w:val="1F487C"/>
          <w:sz w:val="22"/>
        </w:rPr>
        <w:t>ι</w:t>
      </w:r>
      <w:r>
        <w:rPr>
          <w:b/>
          <w:smallCaps w:val="0"/>
          <w:color w:val="1F487C"/>
          <w:sz w:val="22"/>
        </w:rPr>
        <w:t>τουργ</w:t>
      </w:r>
      <w:r>
        <w:rPr>
          <w:b/>
          <w:smallCaps/>
          <w:color w:val="1F487C"/>
          <w:sz w:val="22"/>
        </w:rPr>
        <w:t>ι</w:t>
      </w:r>
      <w:r>
        <w:rPr>
          <w:b/>
          <w:smallCaps w:val="0"/>
          <w:color w:val="1F487C"/>
          <w:sz w:val="22"/>
        </w:rPr>
        <w:t>κά τους αποτελέσματα όσο κα</w:t>
      </w:r>
      <w:r>
        <w:rPr>
          <w:b/>
          <w:smallCaps/>
          <w:color w:val="1F487C"/>
          <w:sz w:val="22"/>
        </w:rPr>
        <w:t>ι</w:t>
      </w:r>
      <w:r>
        <w:rPr>
          <w:b/>
          <w:smallCaps w:val="0"/>
          <w:color w:val="1F487C"/>
          <w:sz w:val="22"/>
        </w:rPr>
        <w:t> την κεφαλα</w:t>
      </w:r>
      <w:r>
        <w:rPr>
          <w:b/>
          <w:smallCaps/>
          <w:color w:val="1F487C"/>
          <w:sz w:val="22"/>
        </w:rPr>
        <w:t>ι</w:t>
      </w:r>
      <w:r>
        <w:rPr>
          <w:b/>
          <w:smallCaps w:val="0"/>
          <w:color w:val="1F487C"/>
          <w:sz w:val="22"/>
        </w:rPr>
        <w:t>ακή τους βάση. </w:t>
      </w:r>
      <w:r>
        <w:rPr>
          <w:smallCaps w:val="0"/>
          <w:sz w:val="22"/>
        </w:rPr>
        <w:t>Η συνολική αξία των πράξεων πληρωμών που διενεργήθηκαν από τα ΙΠ το 2025 ανήλθε σε 66,1 δισεκ.</w:t>
      </w:r>
      <w:r>
        <w:rPr>
          <w:smallCaps w:val="0"/>
          <w:spacing w:val="-7"/>
          <w:sz w:val="22"/>
        </w:rPr>
        <w:t> </w:t>
      </w:r>
      <w:r>
        <w:rPr>
          <w:smallCaps w:val="0"/>
          <w:sz w:val="22"/>
        </w:rPr>
        <w:t>ευρώ,</w:t>
      </w:r>
      <w:r>
        <w:rPr>
          <w:smallCaps w:val="0"/>
          <w:spacing w:val="-5"/>
          <w:sz w:val="22"/>
        </w:rPr>
        <w:t> </w:t>
      </w:r>
      <w:r>
        <w:rPr>
          <w:smallCaps w:val="0"/>
          <w:sz w:val="22"/>
        </w:rPr>
        <w:t>αυξημένη</w:t>
      </w:r>
      <w:r>
        <w:rPr>
          <w:smallCaps w:val="0"/>
          <w:spacing w:val="-5"/>
          <w:sz w:val="22"/>
        </w:rPr>
        <w:t> </w:t>
      </w:r>
      <w:r>
        <w:rPr>
          <w:smallCaps w:val="0"/>
          <w:sz w:val="22"/>
        </w:rPr>
        <w:t>κατά</w:t>
      </w:r>
      <w:r>
        <w:rPr>
          <w:smallCaps w:val="0"/>
          <w:spacing w:val="-5"/>
          <w:sz w:val="22"/>
        </w:rPr>
        <w:t> </w:t>
      </w:r>
      <w:r>
        <w:rPr>
          <w:smallCaps w:val="0"/>
          <w:sz w:val="22"/>
        </w:rPr>
        <w:t>6%</w:t>
      </w:r>
      <w:r>
        <w:rPr>
          <w:smallCaps w:val="0"/>
          <w:spacing w:val="-4"/>
          <w:sz w:val="22"/>
        </w:rPr>
        <w:t> </w:t>
      </w:r>
      <w:r>
        <w:rPr>
          <w:smallCaps w:val="0"/>
          <w:sz w:val="22"/>
        </w:rPr>
        <w:t>σε</w:t>
      </w:r>
      <w:r>
        <w:rPr>
          <w:smallCaps w:val="0"/>
          <w:spacing w:val="-4"/>
          <w:sz w:val="22"/>
        </w:rPr>
        <w:t> </w:t>
      </w:r>
      <w:r>
        <w:rPr>
          <w:smallCaps w:val="0"/>
          <w:sz w:val="22"/>
        </w:rPr>
        <w:t>σχέση</w:t>
      </w:r>
      <w:r>
        <w:rPr>
          <w:smallCaps w:val="0"/>
          <w:spacing w:val="-5"/>
          <w:sz w:val="22"/>
        </w:rPr>
        <w:t> </w:t>
      </w:r>
      <w:r>
        <w:rPr>
          <w:smallCaps w:val="0"/>
          <w:sz w:val="22"/>
        </w:rPr>
        <w:t>με</w:t>
      </w:r>
      <w:r>
        <w:rPr>
          <w:smallCaps w:val="0"/>
          <w:spacing w:val="-4"/>
          <w:sz w:val="22"/>
        </w:rPr>
        <w:t> </w:t>
      </w:r>
      <w:r>
        <w:rPr>
          <w:smallCaps w:val="0"/>
          <w:sz w:val="22"/>
        </w:rPr>
        <w:t>το</w:t>
      </w:r>
      <w:r>
        <w:rPr>
          <w:smallCaps w:val="0"/>
          <w:spacing w:val="-5"/>
          <w:sz w:val="22"/>
        </w:rPr>
        <w:t> </w:t>
      </w:r>
      <w:r>
        <w:rPr>
          <w:smallCaps w:val="0"/>
          <w:sz w:val="22"/>
        </w:rPr>
        <w:t>2024.</w:t>
      </w:r>
      <w:r>
        <w:rPr>
          <w:smallCaps w:val="0"/>
          <w:spacing w:val="-7"/>
          <w:sz w:val="22"/>
        </w:rPr>
        <w:t> </w:t>
      </w:r>
      <w:r>
        <w:rPr>
          <w:smallCaps w:val="0"/>
          <w:sz w:val="22"/>
        </w:rPr>
        <w:t>Αντίθετα,</w:t>
      </w:r>
      <w:r>
        <w:rPr>
          <w:smallCaps w:val="0"/>
          <w:spacing w:val="-5"/>
          <w:sz w:val="22"/>
        </w:rPr>
        <w:t> </w:t>
      </w:r>
      <w:r>
        <w:rPr>
          <w:smallCaps w:val="0"/>
          <w:sz w:val="22"/>
        </w:rPr>
        <w:t>η</w:t>
      </w:r>
      <w:r>
        <w:rPr>
          <w:smallCaps w:val="0"/>
          <w:spacing w:val="-4"/>
          <w:sz w:val="22"/>
        </w:rPr>
        <w:t> </w:t>
      </w:r>
      <w:r>
        <w:rPr>
          <w:smallCaps w:val="0"/>
          <w:sz w:val="22"/>
        </w:rPr>
        <w:t>αξία</w:t>
      </w:r>
      <w:r>
        <w:rPr>
          <w:smallCaps w:val="0"/>
          <w:spacing w:val="-5"/>
          <w:sz w:val="22"/>
        </w:rPr>
        <w:t> </w:t>
      </w:r>
      <w:r>
        <w:rPr>
          <w:smallCaps w:val="0"/>
          <w:sz w:val="22"/>
        </w:rPr>
        <w:t>των</w:t>
      </w:r>
      <w:r>
        <w:rPr>
          <w:smallCaps w:val="0"/>
          <w:spacing w:val="-4"/>
          <w:sz w:val="22"/>
        </w:rPr>
        <w:t> </w:t>
      </w:r>
      <w:r>
        <w:rPr>
          <w:smallCaps w:val="0"/>
          <w:sz w:val="22"/>
        </w:rPr>
        <w:t>πράξεων</w:t>
      </w:r>
      <w:r>
        <w:rPr>
          <w:smallCaps w:val="0"/>
          <w:spacing w:val="-4"/>
          <w:sz w:val="22"/>
        </w:rPr>
        <w:t> </w:t>
      </w:r>
      <w:r>
        <w:rPr>
          <w:smallCaps w:val="0"/>
          <w:sz w:val="22"/>
        </w:rPr>
        <w:t>πληρωμών που πραγματοποιήθηκαν από τα ΙΗΧ ανήλθε σε 10,8 δισεκ. ευρώ, μειωμένη κατά 68,4% (23,5 δισεκ.</w:t>
      </w:r>
      <w:r>
        <w:rPr>
          <w:smallCaps w:val="0"/>
          <w:spacing w:val="-2"/>
          <w:sz w:val="22"/>
        </w:rPr>
        <w:t> </w:t>
      </w:r>
      <w:r>
        <w:rPr>
          <w:smallCaps w:val="0"/>
          <w:sz w:val="22"/>
        </w:rPr>
        <w:t>ευρώ) σε σχέση με το 2024. Η</w:t>
      </w:r>
      <w:r>
        <w:rPr>
          <w:smallCaps w:val="0"/>
          <w:spacing w:val="-1"/>
          <w:sz w:val="22"/>
        </w:rPr>
        <w:t> </w:t>
      </w:r>
      <w:r>
        <w:rPr>
          <w:smallCaps w:val="0"/>
          <w:sz w:val="22"/>
        </w:rPr>
        <w:t>μείωση</w:t>
      </w:r>
      <w:r>
        <w:rPr>
          <w:smallCaps w:val="0"/>
          <w:spacing w:val="-2"/>
          <w:sz w:val="22"/>
        </w:rPr>
        <w:t> </w:t>
      </w:r>
      <w:r>
        <w:rPr>
          <w:smallCaps w:val="0"/>
          <w:sz w:val="22"/>
        </w:rPr>
        <w:t>οφείλεται σε</w:t>
      </w:r>
      <w:r>
        <w:rPr>
          <w:smallCaps w:val="0"/>
          <w:spacing w:val="-2"/>
          <w:sz w:val="22"/>
        </w:rPr>
        <w:t> </w:t>
      </w:r>
      <w:r>
        <w:rPr>
          <w:smallCaps w:val="0"/>
          <w:sz w:val="22"/>
        </w:rPr>
        <w:t>συγχώνευση με απορρόφηση του με-γαλύτερου ΙΗΧ από το πιστωτικό ίδρυμα του ίδιου ομίλου, γεγονός που οδήγησε στη παροχή των υπηρεσιών πληρωμών απευθείας από το πιστωτικό ίδρυμα.</w:t>
      </w:r>
    </w:p>
    <w:p>
      <w:pPr>
        <w:spacing w:line="285" w:lineRule="auto" w:before="52"/>
        <w:ind w:left="172" w:right="953" w:firstLine="0"/>
        <w:jc w:val="both"/>
        <w:rPr>
          <w:sz w:val="22"/>
        </w:rPr>
      </w:pPr>
      <w:r>
        <w:rPr>
          <w:b/>
          <w:color w:val="1F487C"/>
          <w:sz w:val="22"/>
        </w:rPr>
        <w:t>Το 2025 ο</w:t>
      </w:r>
      <w:r>
        <w:rPr>
          <w:b/>
          <w:smallCaps/>
          <w:color w:val="1F487C"/>
          <w:sz w:val="22"/>
        </w:rPr>
        <w:t>ι</w:t>
      </w:r>
      <w:r>
        <w:rPr>
          <w:b/>
          <w:smallCaps w:val="0"/>
          <w:color w:val="1F487C"/>
          <w:sz w:val="22"/>
        </w:rPr>
        <w:t> υποδομές του χρηματοπ</w:t>
      </w:r>
      <w:r>
        <w:rPr>
          <w:b/>
          <w:smallCaps/>
          <w:color w:val="1F487C"/>
          <w:sz w:val="22"/>
        </w:rPr>
        <w:t>ι</w:t>
      </w:r>
      <w:r>
        <w:rPr>
          <w:b/>
          <w:smallCaps w:val="0"/>
          <w:color w:val="1F487C"/>
          <w:sz w:val="22"/>
        </w:rPr>
        <w:t>στωτ</w:t>
      </w:r>
      <w:r>
        <w:rPr>
          <w:b/>
          <w:smallCaps/>
          <w:color w:val="1F487C"/>
          <w:sz w:val="22"/>
        </w:rPr>
        <w:t>ι</w:t>
      </w:r>
      <w:r>
        <w:rPr>
          <w:b/>
          <w:smallCaps w:val="0"/>
          <w:color w:val="1F487C"/>
          <w:sz w:val="22"/>
        </w:rPr>
        <w:t>κού συστήματος, δηλαδή τα συστήματα πληρω-μών, εκκαθάρ</w:t>
      </w:r>
      <w:r>
        <w:rPr>
          <w:b/>
          <w:smallCaps/>
          <w:color w:val="1F487C"/>
          <w:sz w:val="22"/>
        </w:rPr>
        <w:t>ι</w:t>
      </w:r>
      <w:r>
        <w:rPr>
          <w:b/>
          <w:smallCaps w:val="0"/>
          <w:color w:val="1F487C"/>
          <w:sz w:val="22"/>
        </w:rPr>
        <w:t>σης κα</w:t>
      </w:r>
      <w:r>
        <w:rPr>
          <w:b/>
          <w:smallCaps/>
          <w:color w:val="1F487C"/>
          <w:sz w:val="22"/>
        </w:rPr>
        <w:t>ι</w:t>
      </w:r>
      <w:r>
        <w:rPr>
          <w:b/>
          <w:smallCaps w:val="0"/>
          <w:color w:val="1F487C"/>
          <w:sz w:val="22"/>
        </w:rPr>
        <w:t> δ</w:t>
      </w:r>
      <w:r>
        <w:rPr>
          <w:b/>
          <w:smallCaps/>
          <w:color w:val="1F487C"/>
          <w:sz w:val="22"/>
        </w:rPr>
        <w:t>ι</w:t>
      </w:r>
      <w:r>
        <w:rPr>
          <w:b/>
          <w:smallCaps w:val="0"/>
          <w:color w:val="1F487C"/>
          <w:sz w:val="22"/>
        </w:rPr>
        <w:t>ακανον</w:t>
      </w:r>
      <w:r>
        <w:rPr>
          <w:b/>
          <w:smallCaps/>
          <w:color w:val="1F487C"/>
          <w:sz w:val="22"/>
        </w:rPr>
        <w:t>ι</w:t>
      </w:r>
      <w:r>
        <w:rPr>
          <w:b/>
          <w:smallCaps w:val="0"/>
          <w:color w:val="1F487C"/>
          <w:sz w:val="22"/>
        </w:rPr>
        <w:t>σμού των συναλλαγών, λε</w:t>
      </w:r>
      <w:r>
        <w:rPr>
          <w:b/>
          <w:smallCaps/>
          <w:color w:val="1F487C"/>
          <w:sz w:val="22"/>
        </w:rPr>
        <w:t>ι</w:t>
      </w:r>
      <w:r>
        <w:rPr>
          <w:b/>
          <w:smallCaps w:val="0"/>
          <w:color w:val="1F487C"/>
          <w:sz w:val="22"/>
        </w:rPr>
        <w:t>τούργησαν αποτελεσματ</w:t>
      </w:r>
      <w:r>
        <w:rPr>
          <w:b/>
          <w:smallCaps/>
          <w:color w:val="1F487C"/>
          <w:sz w:val="22"/>
        </w:rPr>
        <w:t>ι</w:t>
      </w:r>
      <w:r>
        <w:rPr>
          <w:b/>
          <w:smallCaps w:val="0"/>
          <w:color w:val="1F487C"/>
          <w:sz w:val="22"/>
        </w:rPr>
        <w:t>κά, ε-ξασφαλίζοντας ασφαλείς κα</w:t>
      </w:r>
      <w:r>
        <w:rPr>
          <w:b/>
          <w:smallCaps/>
          <w:color w:val="1F487C"/>
          <w:sz w:val="22"/>
        </w:rPr>
        <w:t>ι</w:t>
      </w:r>
      <w:r>
        <w:rPr>
          <w:b/>
          <w:smallCaps w:val="0"/>
          <w:color w:val="1F487C"/>
          <w:sz w:val="22"/>
        </w:rPr>
        <w:t> αξ</w:t>
      </w:r>
      <w:r>
        <w:rPr>
          <w:b/>
          <w:smallCaps/>
          <w:color w:val="1F487C"/>
          <w:sz w:val="22"/>
        </w:rPr>
        <w:t>ι</w:t>
      </w:r>
      <w:r>
        <w:rPr>
          <w:b/>
          <w:smallCaps w:val="0"/>
          <w:color w:val="1F487C"/>
          <w:sz w:val="22"/>
        </w:rPr>
        <w:t>όπ</w:t>
      </w:r>
      <w:r>
        <w:rPr>
          <w:b/>
          <w:smallCaps/>
          <w:color w:val="1F487C"/>
          <w:sz w:val="22"/>
        </w:rPr>
        <w:t>ι</w:t>
      </w:r>
      <w:r>
        <w:rPr>
          <w:b/>
          <w:smallCaps w:val="0"/>
          <w:color w:val="1F487C"/>
          <w:sz w:val="22"/>
        </w:rPr>
        <w:t>στες συναλλαγές. </w:t>
      </w:r>
      <w:r>
        <w:rPr>
          <w:smallCaps w:val="0"/>
          <w:sz w:val="22"/>
        </w:rPr>
        <w:t>Σημαντική αύξηση (73%) σε σχέση με το 2024 σημειώθηκε στον αριθμό των συναλλαγών άμεσης μεταφοράς πιστώσεων. Οι περισσό-τερες από τις συναλλαγές αυτές πραγματοποιήθηκαν μέσω της υπηρεσίας IRIS Payments, η ο-ποία συμμορφώνεται με τον Κανονισμό (ΕΕ) 2024/886 και ενισχύει τη χρήση άμεσων πληρω-μών,</w:t>
      </w:r>
      <w:r>
        <w:rPr>
          <w:smallCaps w:val="0"/>
          <w:spacing w:val="-3"/>
          <w:sz w:val="22"/>
        </w:rPr>
        <w:t> </w:t>
      </w:r>
      <w:r>
        <w:rPr>
          <w:smallCaps w:val="0"/>
          <w:sz w:val="22"/>
        </w:rPr>
        <w:t>διασφαλίζοντας</w:t>
      </w:r>
      <w:r>
        <w:rPr>
          <w:smallCaps w:val="0"/>
          <w:spacing w:val="-2"/>
          <w:sz w:val="22"/>
        </w:rPr>
        <w:t> </w:t>
      </w:r>
      <w:r>
        <w:rPr>
          <w:smallCaps w:val="0"/>
          <w:sz w:val="22"/>
        </w:rPr>
        <w:t>παράλληλα την ταχύτητα</w:t>
      </w:r>
      <w:r>
        <w:rPr>
          <w:smallCaps w:val="0"/>
          <w:spacing w:val="-2"/>
          <w:sz w:val="22"/>
        </w:rPr>
        <w:t> </w:t>
      </w:r>
      <w:r>
        <w:rPr>
          <w:smallCaps w:val="0"/>
          <w:sz w:val="22"/>
        </w:rPr>
        <w:t>και</w:t>
      </w:r>
      <w:r>
        <w:rPr>
          <w:smallCaps w:val="0"/>
          <w:spacing w:val="-1"/>
          <w:sz w:val="22"/>
        </w:rPr>
        <w:t> </w:t>
      </w:r>
      <w:r>
        <w:rPr>
          <w:smallCaps w:val="0"/>
          <w:sz w:val="22"/>
        </w:rPr>
        <w:t>ασφάλεια</w:t>
      </w:r>
      <w:r>
        <w:rPr>
          <w:smallCaps w:val="0"/>
          <w:spacing w:val="-3"/>
          <w:sz w:val="22"/>
        </w:rPr>
        <w:t> </w:t>
      </w:r>
      <w:r>
        <w:rPr>
          <w:smallCaps w:val="0"/>
          <w:sz w:val="22"/>
        </w:rPr>
        <w:t>των</w:t>
      </w:r>
      <w:r>
        <w:rPr>
          <w:smallCaps w:val="0"/>
          <w:spacing w:val="-2"/>
          <w:sz w:val="22"/>
        </w:rPr>
        <w:t> </w:t>
      </w:r>
      <w:r>
        <w:rPr>
          <w:smallCaps w:val="0"/>
          <w:sz w:val="22"/>
        </w:rPr>
        <w:t>συναλλαγών</w:t>
      </w:r>
      <w:r>
        <w:rPr>
          <w:smallCaps w:val="0"/>
          <w:spacing w:val="-2"/>
          <w:sz w:val="22"/>
        </w:rPr>
        <w:t> </w:t>
      </w:r>
      <w:r>
        <w:rPr>
          <w:smallCaps w:val="0"/>
          <w:sz w:val="22"/>
        </w:rPr>
        <w:t>στην</w:t>
      </w:r>
      <w:r>
        <w:rPr>
          <w:smallCaps w:val="0"/>
          <w:spacing w:val="-1"/>
          <w:sz w:val="22"/>
        </w:rPr>
        <w:t> </w:t>
      </w:r>
      <w:r>
        <w:rPr>
          <w:smallCaps w:val="0"/>
          <w:sz w:val="22"/>
        </w:rPr>
        <w:t>Ελλάδα.</w:t>
      </w:r>
      <w:r>
        <w:rPr>
          <w:smallCaps w:val="0"/>
          <w:spacing w:val="-2"/>
          <w:sz w:val="22"/>
        </w:rPr>
        <w:t> </w:t>
      </w:r>
      <w:r>
        <w:rPr>
          <w:smallCaps w:val="0"/>
          <w:sz w:val="22"/>
        </w:rPr>
        <w:t>Ε-πίσης, μειώθηκαν οι συναλλαγές απάτης με κάρτες και οι σχετικοί δείκτες τους, εξέλιξη που α-ποδίδεται κυρίως σε ενισχυμένα μέτρα πρόληψης, αποτελεσματική συνεργασία μεταξύ των ε-μπλεκόμενων φορέων και αυξημένη ενημέρωση των χρηστών μέσων πληρωμών.</w:t>
      </w:r>
    </w:p>
    <w:p>
      <w:pPr>
        <w:spacing w:before="230"/>
        <w:ind w:left="38" w:right="824" w:firstLine="0"/>
        <w:jc w:val="center"/>
        <w:rPr>
          <w:sz w:val="22"/>
        </w:rPr>
      </w:pPr>
      <w:r>
        <w:rPr>
          <w:spacing w:val="-5"/>
          <w:sz w:val="22"/>
        </w:rPr>
        <w:t>***</w:t>
      </w:r>
    </w:p>
    <w:p>
      <w:pPr>
        <w:spacing w:line="285" w:lineRule="auto" w:before="107"/>
        <w:ind w:left="172" w:right="959" w:firstLine="0"/>
        <w:jc w:val="both"/>
        <w:rPr>
          <w:sz w:val="22"/>
        </w:rPr>
      </w:pPr>
      <w:r>
        <w:rPr>
          <w:b/>
          <w:color w:val="1F487C"/>
          <w:spacing w:val="-2"/>
          <w:sz w:val="22"/>
        </w:rPr>
        <w:t>O</w:t>
      </w:r>
      <w:r>
        <w:rPr>
          <w:b/>
          <w:smallCaps/>
          <w:color w:val="1F487C"/>
          <w:spacing w:val="-2"/>
          <w:sz w:val="22"/>
        </w:rPr>
        <w:t>ι</w:t>
      </w:r>
      <w:r>
        <w:rPr>
          <w:b/>
          <w:smallCaps w:val="0"/>
          <w:color w:val="1F487C"/>
          <w:spacing w:val="-2"/>
          <w:sz w:val="22"/>
        </w:rPr>
        <w:t> προοπτ</w:t>
      </w:r>
      <w:r>
        <w:rPr>
          <w:b/>
          <w:smallCaps/>
          <w:color w:val="1F487C"/>
          <w:spacing w:val="-2"/>
          <w:sz w:val="22"/>
        </w:rPr>
        <w:t>ι</w:t>
      </w:r>
      <w:r>
        <w:rPr>
          <w:b/>
          <w:smallCaps w:val="0"/>
          <w:color w:val="1F487C"/>
          <w:spacing w:val="-2"/>
          <w:sz w:val="22"/>
        </w:rPr>
        <w:t>κές της</w:t>
      </w:r>
      <w:r>
        <w:rPr>
          <w:b/>
          <w:smallCaps w:val="0"/>
          <w:color w:val="1F487C"/>
          <w:spacing w:val="-4"/>
          <w:sz w:val="22"/>
        </w:rPr>
        <w:t> </w:t>
      </w:r>
      <w:r>
        <w:rPr>
          <w:b/>
          <w:smallCaps w:val="0"/>
          <w:color w:val="1F487C"/>
          <w:spacing w:val="-2"/>
          <w:sz w:val="22"/>
        </w:rPr>
        <w:t>ελλην</w:t>
      </w:r>
      <w:r>
        <w:rPr>
          <w:b/>
          <w:smallCaps/>
          <w:color w:val="1F487C"/>
          <w:spacing w:val="-2"/>
          <w:sz w:val="22"/>
        </w:rPr>
        <w:t>ι</w:t>
      </w:r>
      <w:r>
        <w:rPr>
          <w:b/>
          <w:smallCaps w:val="0"/>
          <w:color w:val="1F487C"/>
          <w:spacing w:val="-2"/>
          <w:sz w:val="22"/>
        </w:rPr>
        <w:t>κής ο</w:t>
      </w:r>
      <w:r>
        <w:rPr>
          <w:b/>
          <w:smallCaps/>
          <w:color w:val="1F487C"/>
          <w:spacing w:val="-2"/>
          <w:sz w:val="22"/>
        </w:rPr>
        <w:t>ι</w:t>
      </w:r>
      <w:r>
        <w:rPr>
          <w:b/>
          <w:smallCaps w:val="0"/>
          <w:color w:val="1F487C"/>
          <w:spacing w:val="-2"/>
          <w:sz w:val="22"/>
        </w:rPr>
        <w:t>κονομίας παραμένουν</w:t>
      </w:r>
      <w:r>
        <w:rPr>
          <w:b/>
          <w:smallCaps w:val="0"/>
          <w:color w:val="1F487C"/>
          <w:spacing w:val="-4"/>
          <w:sz w:val="22"/>
        </w:rPr>
        <w:t> </w:t>
      </w:r>
      <w:r>
        <w:rPr>
          <w:b/>
          <w:smallCaps w:val="0"/>
          <w:color w:val="1F487C"/>
          <w:spacing w:val="-2"/>
          <w:sz w:val="22"/>
        </w:rPr>
        <w:t>ευνοϊκές,</w:t>
      </w:r>
      <w:r>
        <w:rPr>
          <w:b/>
          <w:smallCaps w:val="0"/>
          <w:color w:val="1F487C"/>
          <w:spacing w:val="-4"/>
          <w:sz w:val="22"/>
        </w:rPr>
        <w:t> </w:t>
      </w:r>
      <w:r>
        <w:rPr>
          <w:b/>
          <w:smallCaps w:val="0"/>
          <w:color w:val="1F487C"/>
          <w:spacing w:val="-2"/>
          <w:sz w:val="22"/>
        </w:rPr>
        <w:t>ωστόσο,</w:t>
      </w:r>
      <w:r>
        <w:rPr>
          <w:b/>
          <w:smallCaps w:val="0"/>
          <w:color w:val="1F487C"/>
          <w:spacing w:val="-4"/>
          <w:sz w:val="22"/>
        </w:rPr>
        <w:t> </w:t>
      </w:r>
      <w:r>
        <w:rPr>
          <w:b/>
          <w:smallCaps w:val="0"/>
          <w:color w:val="1F487C"/>
          <w:spacing w:val="-2"/>
          <w:sz w:val="22"/>
        </w:rPr>
        <w:t>η</w:t>
      </w:r>
      <w:r>
        <w:rPr>
          <w:b/>
          <w:smallCaps w:val="0"/>
          <w:color w:val="1F487C"/>
          <w:spacing w:val="-4"/>
          <w:sz w:val="22"/>
        </w:rPr>
        <w:t> </w:t>
      </w:r>
      <w:r>
        <w:rPr>
          <w:b/>
          <w:smallCaps w:val="0"/>
          <w:color w:val="1F487C"/>
          <w:spacing w:val="-2"/>
          <w:sz w:val="22"/>
        </w:rPr>
        <w:t>πρόσφατη</w:t>
      </w:r>
      <w:r>
        <w:rPr>
          <w:b/>
          <w:smallCaps w:val="0"/>
          <w:color w:val="1F487C"/>
          <w:spacing w:val="-4"/>
          <w:sz w:val="22"/>
        </w:rPr>
        <w:t> </w:t>
      </w:r>
      <w:r>
        <w:rPr>
          <w:b/>
          <w:smallCaps w:val="0"/>
          <w:color w:val="1F487C"/>
          <w:spacing w:val="-2"/>
          <w:sz w:val="22"/>
        </w:rPr>
        <w:t>έξαρση </w:t>
      </w:r>
      <w:r>
        <w:rPr>
          <w:b/>
          <w:smallCaps w:val="0"/>
          <w:color w:val="1F487C"/>
          <w:sz w:val="22"/>
        </w:rPr>
        <w:t>της</w:t>
      </w:r>
      <w:r>
        <w:rPr>
          <w:b/>
          <w:smallCaps w:val="0"/>
          <w:color w:val="1F487C"/>
          <w:spacing w:val="-3"/>
          <w:sz w:val="22"/>
        </w:rPr>
        <w:t> </w:t>
      </w:r>
      <w:r>
        <w:rPr>
          <w:b/>
          <w:smallCaps w:val="0"/>
          <w:color w:val="1F487C"/>
          <w:sz w:val="22"/>
        </w:rPr>
        <w:t>γεωπολ</w:t>
      </w:r>
      <w:r>
        <w:rPr>
          <w:b/>
          <w:smallCaps/>
          <w:color w:val="1F487C"/>
          <w:sz w:val="22"/>
        </w:rPr>
        <w:t>ι</w:t>
      </w:r>
      <w:r>
        <w:rPr>
          <w:b/>
          <w:smallCaps w:val="0"/>
          <w:color w:val="1F487C"/>
          <w:sz w:val="22"/>
        </w:rPr>
        <w:t>τ</w:t>
      </w:r>
      <w:r>
        <w:rPr>
          <w:b/>
          <w:smallCaps/>
          <w:color w:val="1F487C"/>
          <w:sz w:val="22"/>
        </w:rPr>
        <w:t>ι</w:t>
      </w:r>
      <w:r>
        <w:rPr>
          <w:b/>
          <w:smallCaps w:val="0"/>
          <w:color w:val="1F487C"/>
          <w:sz w:val="22"/>
        </w:rPr>
        <w:t>κής</w:t>
      </w:r>
      <w:r>
        <w:rPr>
          <w:b/>
          <w:smallCaps w:val="0"/>
          <w:color w:val="1F487C"/>
          <w:spacing w:val="-3"/>
          <w:sz w:val="22"/>
        </w:rPr>
        <w:t> </w:t>
      </w:r>
      <w:r>
        <w:rPr>
          <w:b/>
          <w:smallCaps w:val="0"/>
          <w:color w:val="1F487C"/>
          <w:sz w:val="22"/>
        </w:rPr>
        <w:t>αβεβα</w:t>
      </w:r>
      <w:r>
        <w:rPr>
          <w:b/>
          <w:smallCaps/>
          <w:color w:val="1F487C"/>
          <w:sz w:val="22"/>
        </w:rPr>
        <w:t>ι</w:t>
      </w:r>
      <w:r>
        <w:rPr>
          <w:b/>
          <w:smallCaps w:val="0"/>
          <w:color w:val="1F487C"/>
          <w:sz w:val="22"/>
        </w:rPr>
        <w:t>ότητας</w:t>
      </w:r>
      <w:r>
        <w:rPr>
          <w:b/>
          <w:smallCaps w:val="0"/>
          <w:color w:val="1F487C"/>
          <w:spacing w:val="-3"/>
          <w:sz w:val="22"/>
        </w:rPr>
        <w:t> </w:t>
      </w:r>
      <w:r>
        <w:rPr>
          <w:b/>
          <w:smallCaps w:val="0"/>
          <w:color w:val="1F487C"/>
          <w:sz w:val="22"/>
        </w:rPr>
        <w:t>εκτ</w:t>
      </w:r>
      <w:r>
        <w:rPr>
          <w:b/>
          <w:smallCaps/>
          <w:color w:val="1F487C"/>
          <w:sz w:val="22"/>
        </w:rPr>
        <w:t>ι</w:t>
      </w:r>
      <w:r>
        <w:rPr>
          <w:b/>
          <w:smallCaps w:val="0"/>
          <w:color w:val="1F487C"/>
          <w:sz w:val="22"/>
        </w:rPr>
        <w:t>μάτα</w:t>
      </w:r>
      <w:r>
        <w:rPr>
          <w:b/>
          <w:smallCaps/>
          <w:color w:val="1F487C"/>
          <w:sz w:val="22"/>
        </w:rPr>
        <w:t>ι</w:t>
      </w:r>
      <w:r>
        <w:rPr>
          <w:b/>
          <w:smallCaps w:val="0"/>
          <w:color w:val="1F487C"/>
          <w:spacing w:val="-2"/>
          <w:sz w:val="22"/>
        </w:rPr>
        <w:t> </w:t>
      </w:r>
      <w:r>
        <w:rPr>
          <w:b/>
          <w:smallCaps w:val="0"/>
          <w:color w:val="1F487C"/>
          <w:sz w:val="22"/>
        </w:rPr>
        <w:t>ότ</w:t>
      </w:r>
      <w:r>
        <w:rPr>
          <w:b/>
          <w:smallCaps/>
          <w:color w:val="1F487C"/>
          <w:sz w:val="22"/>
        </w:rPr>
        <w:t>ι</w:t>
      </w:r>
      <w:r>
        <w:rPr>
          <w:b/>
          <w:smallCaps w:val="0"/>
          <w:color w:val="1F487C"/>
          <w:spacing w:val="-4"/>
          <w:sz w:val="22"/>
        </w:rPr>
        <w:t> </w:t>
      </w:r>
      <w:r>
        <w:rPr>
          <w:b/>
          <w:smallCaps w:val="0"/>
          <w:color w:val="1F487C"/>
          <w:sz w:val="22"/>
        </w:rPr>
        <w:t>θα</w:t>
      </w:r>
      <w:r>
        <w:rPr>
          <w:b/>
          <w:smallCaps w:val="0"/>
          <w:color w:val="1F487C"/>
          <w:spacing w:val="-4"/>
          <w:sz w:val="22"/>
        </w:rPr>
        <w:t> </w:t>
      </w:r>
      <w:r>
        <w:rPr>
          <w:b/>
          <w:smallCaps w:val="0"/>
          <w:color w:val="1F487C"/>
          <w:sz w:val="22"/>
        </w:rPr>
        <w:t>μετρ</w:t>
      </w:r>
      <w:r>
        <w:rPr>
          <w:b/>
          <w:smallCaps/>
          <w:color w:val="1F487C"/>
          <w:sz w:val="22"/>
        </w:rPr>
        <w:t>ι</w:t>
      </w:r>
      <w:r>
        <w:rPr>
          <w:b/>
          <w:smallCaps w:val="0"/>
          <w:color w:val="1F487C"/>
          <w:sz w:val="22"/>
        </w:rPr>
        <w:t>άσε</w:t>
      </w:r>
      <w:r>
        <w:rPr>
          <w:b/>
          <w:smallCaps/>
          <w:color w:val="1F487C"/>
          <w:sz w:val="22"/>
        </w:rPr>
        <w:t>ι</w:t>
      </w:r>
      <w:r>
        <w:rPr>
          <w:b/>
          <w:smallCaps w:val="0"/>
          <w:color w:val="1F487C"/>
          <w:spacing w:val="-2"/>
          <w:sz w:val="22"/>
        </w:rPr>
        <w:t> </w:t>
      </w:r>
      <w:r>
        <w:rPr>
          <w:b/>
          <w:smallCaps w:val="0"/>
          <w:color w:val="1F487C"/>
          <w:sz w:val="22"/>
        </w:rPr>
        <w:t>τη</w:t>
      </w:r>
      <w:r>
        <w:rPr>
          <w:b/>
          <w:smallCaps w:val="0"/>
          <w:color w:val="1F487C"/>
          <w:spacing w:val="-5"/>
          <w:sz w:val="22"/>
        </w:rPr>
        <w:t> </w:t>
      </w:r>
      <w:r>
        <w:rPr>
          <w:b/>
          <w:smallCaps w:val="0"/>
          <w:color w:val="1F487C"/>
          <w:sz w:val="22"/>
        </w:rPr>
        <w:t>δυναμ</w:t>
      </w:r>
      <w:r>
        <w:rPr>
          <w:b/>
          <w:smallCaps/>
          <w:color w:val="1F487C"/>
          <w:sz w:val="22"/>
        </w:rPr>
        <w:t>ι</w:t>
      </w:r>
      <w:r>
        <w:rPr>
          <w:b/>
          <w:smallCaps w:val="0"/>
          <w:color w:val="1F487C"/>
          <w:sz w:val="22"/>
        </w:rPr>
        <w:t>κή</w:t>
      </w:r>
      <w:r>
        <w:rPr>
          <w:b/>
          <w:smallCaps w:val="0"/>
          <w:color w:val="1F487C"/>
          <w:spacing w:val="-4"/>
          <w:sz w:val="22"/>
        </w:rPr>
        <w:t> </w:t>
      </w:r>
      <w:r>
        <w:rPr>
          <w:b/>
          <w:smallCaps w:val="0"/>
          <w:color w:val="1F487C"/>
          <w:sz w:val="22"/>
        </w:rPr>
        <w:t>της</w:t>
      </w:r>
      <w:r>
        <w:rPr>
          <w:b/>
          <w:smallCaps w:val="0"/>
          <w:color w:val="1F487C"/>
          <w:spacing w:val="-5"/>
          <w:sz w:val="22"/>
        </w:rPr>
        <w:t> </w:t>
      </w:r>
      <w:r>
        <w:rPr>
          <w:b/>
          <w:smallCaps w:val="0"/>
          <w:color w:val="1F487C"/>
          <w:sz w:val="22"/>
        </w:rPr>
        <w:t>ανάπτυξης</w:t>
      </w:r>
      <w:r>
        <w:rPr>
          <w:b/>
          <w:smallCaps w:val="0"/>
          <w:color w:val="1F487C"/>
          <w:spacing w:val="-3"/>
          <w:sz w:val="22"/>
        </w:rPr>
        <w:t> </w:t>
      </w:r>
      <w:r>
        <w:rPr>
          <w:b/>
          <w:smallCaps w:val="0"/>
          <w:color w:val="1F487C"/>
          <w:sz w:val="22"/>
        </w:rPr>
        <w:t>το 2026. </w:t>
      </w:r>
      <w:r>
        <w:rPr>
          <w:smallCaps w:val="0"/>
          <w:sz w:val="22"/>
        </w:rPr>
        <w:t>Σύμφωνα με τις πιο πρόσφατες</w:t>
      </w:r>
      <w:r>
        <w:rPr>
          <w:smallCaps w:val="0"/>
          <w:spacing w:val="-1"/>
          <w:sz w:val="22"/>
        </w:rPr>
        <w:t> </w:t>
      </w:r>
      <w:r>
        <w:rPr>
          <w:smallCaps w:val="0"/>
          <w:sz w:val="22"/>
        </w:rPr>
        <w:t>εκτιμήσεις της</w:t>
      </w:r>
      <w:r>
        <w:rPr>
          <w:smallCaps w:val="0"/>
          <w:spacing w:val="-1"/>
          <w:sz w:val="22"/>
        </w:rPr>
        <w:t> </w:t>
      </w:r>
      <w:r>
        <w:rPr>
          <w:smallCaps w:val="0"/>
          <w:sz w:val="22"/>
        </w:rPr>
        <w:t>Τράπεζας της Ελλάδος, η οικονομική δρα-στηριότητα</w:t>
      </w:r>
      <w:r>
        <w:rPr>
          <w:smallCaps w:val="0"/>
          <w:spacing w:val="-1"/>
          <w:sz w:val="22"/>
        </w:rPr>
        <w:t> </w:t>
      </w:r>
      <w:r>
        <w:rPr>
          <w:smallCaps w:val="0"/>
          <w:sz w:val="22"/>
        </w:rPr>
        <w:t>αναμένεται</w:t>
      </w:r>
      <w:r>
        <w:rPr>
          <w:smallCaps w:val="0"/>
          <w:spacing w:val="-1"/>
          <w:sz w:val="22"/>
        </w:rPr>
        <w:t> </w:t>
      </w:r>
      <w:r>
        <w:rPr>
          <w:smallCaps w:val="0"/>
          <w:sz w:val="22"/>
        </w:rPr>
        <w:t>να</w:t>
      </w:r>
      <w:r>
        <w:rPr>
          <w:smallCaps w:val="0"/>
          <w:spacing w:val="-1"/>
          <w:sz w:val="22"/>
        </w:rPr>
        <w:t> </w:t>
      </w:r>
      <w:r>
        <w:rPr>
          <w:smallCaps w:val="0"/>
          <w:sz w:val="22"/>
        </w:rPr>
        <w:t>αυξηθεί κατά</w:t>
      </w:r>
      <w:r>
        <w:rPr>
          <w:smallCaps w:val="0"/>
          <w:spacing w:val="-1"/>
          <w:sz w:val="22"/>
        </w:rPr>
        <w:t> </w:t>
      </w:r>
      <w:r>
        <w:rPr>
          <w:smallCaps w:val="0"/>
          <w:sz w:val="22"/>
        </w:rPr>
        <w:t>1,9%</w:t>
      </w:r>
      <w:r>
        <w:rPr>
          <w:smallCaps w:val="0"/>
          <w:spacing w:val="-1"/>
          <w:sz w:val="22"/>
        </w:rPr>
        <w:t> </w:t>
      </w:r>
      <w:r>
        <w:rPr>
          <w:smallCaps w:val="0"/>
          <w:sz w:val="22"/>
        </w:rPr>
        <w:t>το 2026 και ο πληθωρισμός</w:t>
      </w:r>
      <w:r>
        <w:rPr>
          <w:smallCaps w:val="0"/>
          <w:spacing w:val="-1"/>
          <w:sz w:val="22"/>
        </w:rPr>
        <w:t> </w:t>
      </w:r>
      <w:r>
        <w:rPr>
          <w:smallCaps w:val="0"/>
          <w:sz w:val="22"/>
        </w:rPr>
        <w:t>εκτιμάται ότι θα</w:t>
      </w:r>
      <w:r>
        <w:rPr>
          <w:smallCaps w:val="0"/>
          <w:spacing w:val="-1"/>
          <w:sz w:val="22"/>
        </w:rPr>
        <w:t> </w:t>
      </w:r>
      <w:r>
        <w:rPr>
          <w:smallCaps w:val="0"/>
          <w:sz w:val="22"/>
        </w:rPr>
        <w:t>δια-μορφωθεί</w:t>
      </w:r>
      <w:r>
        <w:rPr>
          <w:smallCaps w:val="0"/>
          <w:spacing w:val="-1"/>
          <w:sz w:val="22"/>
        </w:rPr>
        <w:t> </w:t>
      </w:r>
      <w:r>
        <w:rPr>
          <w:smallCaps w:val="0"/>
          <w:sz w:val="22"/>
        </w:rPr>
        <w:t>σε 3,1%.</w:t>
      </w:r>
      <w:r>
        <w:rPr>
          <w:smallCaps w:val="0"/>
          <w:spacing w:val="-2"/>
          <w:sz w:val="22"/>
        </w:rPr>
        <w:t> </w:t>
      </w:r>
      <w:r>
        <w:rPr>
          <w:smallCaps w:val="0"/>
          <w:sz w:val="22"/>
        </w:rPr>
        <w:t>Οι κίνδυνοι</w:t>
      </w:r>
      <w:r>
        <w:rPr>
          <w:smallCaps w:val="0"/>
          <w:spacing w:val="-1"/>
          <w:sz w:val="22"/>
        </w:rPr>
        <w:t> </w:t>
      </w:r>
      <w:r>
        <w:rPr>
          <w:smallCaps w:val="0"/>
          <w:sz w:val="22"/>
        </w:rPr>
        <w:t>που περιβάλλουν</w:t>
      </w:r>
      <w:r>
        <w:rPr>
          <w:smallCaps w:val="0"/>
          <w:spacing w:val="-1"/>
          <w:sz w:val="22"/>
        </w:rPr>
        <w:t> </w:t>
      </w:r>
      <w:r>
        <w:rPr>
          <w:smallCaps w:val="0"/>
          <w:sz w:val="22"/>
        </w:rPr>
        <w:t>τις</w:t>
      </w:r>
      <w:r>
        <w:rPr>
          <w:smallCaps w:val="0"/>
          <w:spacing w:val="-2"/>
          <w:sz w:val="22"/>
        </w:rPr>
        <w:t> </w:t>
      </w:r>
      <w:r>
        <w:rPr>
          <w:smallCaps w:val="0"/>
          <w:sz w:val="22"/>
        </w:rPr>
        <w:t>προβλέψεις</w:t>
      </w:r>
      <w:r>
        <w:rPr>
          <w:smallCaps w:val="0"/>
          <w:spacing w:val="-2"/>
          <w:sz w:val="22"/>
        </w:rPr>
        <w:t> </w:t>
      </w:r>
      <w:r>
        <w:rPr>
          <w:smallCaps w:val="0"/>
          <w:sz w:val="22"/>
        </w:rPr>
        <w:t>της</w:t>
      </w:r>
      <w:r>
        <w:rPr>
          <w:smallCaps w:val="0"/>
          <w:spacing w:val="-3"/>
          <w:sz w:val="22"/>
        </w:rPr>
        <w:t> </w:t>
      </w:r>
      <w:r>
        <w:rPr>
          <w:smallCaps w:val="0"/>
          <w:sz w:val="22"/>
        </w:rPr>
        <w:t>Τράπεζας</w:t>
      </w:r>
      <w:r>
        <w:rPr>
          <w:smallCaps w:val="0"/>
          <w:spacing w:val="-2"/>
          <w:sz w:val="22"/>
        </w:rPr>
        <w:t> </w:t>
      </w:r>
      <w:r>
        <w:rPr>
          <w:smallCaps w:val="0"/>
          <w:sz w:val="22"/>
        </w:rPr>
        <w:t>της</w:t>
      </w:r>
      <w:r>
        <w:rPr>
          <w:smallCaps w:val="0"/>
          <w:spacing w:val="-2"/>
          <w:sz w:val="22"/>
        </w:rPr>
        <w:t> </w:t>
      </w:r>
      <w:r>
        <w:rPr>
          <w:smallCaps w:val="0"/>
          <w:sz w:val="22"/>
        </w:rPr>
        <w:t>Ελλάδος</w:t>
      </w:r>
      <w:r>
        <w:rPr>
          <w:smallCaps w:val="0"/>
          <w:spacing w:val="-2"/>
          <w:sz w:val="22"/>
        </w:rPr>
        <w:t> </w:t>
      </w:r>
      <w:r>
        <w:rPr>
          <w:smallCaps w:val="0"/>
          <w:spacing w:val="-5"/>
          <w:sz w:val="22"/>
        </w:rPr>
        <w:t>για</w:t>
      </w:r>
    </w:p>
    <w:p>
      <w:pPr>
        <w:spacing w:after="0" w:line="285" w:lineRule="auto"/>
        <w:jc w:val="both"/>
        <w:rPr>
          <w:sz w:val="22"/>
        </w:rPr>
        <w:sectPr>
          <w:footerReference w:type="default" r:id="rId13"/>
          <w:pgSz w:w="11910" w:h="16850"/>
          <w:pgMar w:header="0" w:footer="1180" w:top="1840" w:bottom="1360" w:left="1417" w:right="850"/>
        </w:sectPr>
      </w:pPr>
    </w:p>
    <w:p>
      <w:pPr>
        <w:pStyle w:val="BodyText"/>
        <w:spacing w:line="285" w:lineRule="auto" w:before="66"/>
        <w:ind w:left="172" w:right="958"/>
        <w:jc w:val="both"/>
      </w:pPr>
      <w:r>
        <w:rPr/>
        <w:t>την</w:t>
      </w:r>
      <w:r>
        <w:rPr>
          <w:spacing w:val="-1"/>
        </w:rPr>
        <w:t> </w:t>
      </w:r>
      <w:r>
        <w:rPr/>
        <w:t>ανάπτυξη</w:t>
      </w:r>
      <w:r>
        <w:rPr>
          <w:spacing w:val="-4"/>
        </w:rPr>
        <w:t> </w:t>
      </w:r>
      <w:r>
        <w:rPr/>
        <w:t>είναι κυρίως</w:t>
      </w:r>
      <w:r>
        <w:rPr>
          <w:spacing w:val="-4"/>
        </w:rPr>
        <w:t> </w:t>
      </w:r>
      <w:r>
        <w:rPr/>
        <w:t>καθοδικοί</w:t>
      </w:r>
      <w:r>
        <w:rPr>
          <w:spacing w:val="-1"/>
        </w:rPr>
        <w:t> </w:t>
      </w:r>
      <w:r>
        <w:rPr/>
        <w:t>και</w:t>
      </w:r>
      <w:r>
        <w:rPr>
          <w:spacing w:val="-3"/>
        </w:rPr>
        <w:t> </w:t>
      </w:r>
      <w:r>
        <w:rPr/>
        <w:t>αφορούν πρωτίστως</w:t>
      </w:r>
      <w:r>
        <w:rPr>
          <w:spacing w:val="-1"/>
        </w:rPr>
        <w:t> </w:t>
      </w:r>
      <w:r>
        <w:rPr/>
        <w:t>τις</w:t>
      </w:r>
      <w:r>
        <w:rPr>
          <w:spacing w:val="-3"/>
        </w:rPr>
        <w:t> </w:t>
      </w:r>
      <w:r>
        <w:rPr/>
        <w:t>τρέχουσες</w:t>
      </w:r>
      <w:r>
        <w:rPr>
          <w:spacing w:val="-5"/>
        </w:rPr>
        <w:t> </w:t>
      </w:r>
      <w:r>
        <w:rPr/>
        <w:t>διεθνείς</w:t>
      </w:r>
      <w:r>
        <w:rPr>
          <w:spacing w:val="-4"/>
        </w:rPr>
        <w:t> </w:t>
      </w:r>
      <w:r>
        <w:rPr/>
        <w:t>γεωπολιτι-κές εντάσεις, ιδίως τον πόλεμο στη Μέση Ανατολή. Η διάρκεια και η ένταση της σύρραξης θα καθορίσει σε μεγάλο βαθμό τις προοπτικές οικονομικής ανάπτυξης σε εγχώριο επίπεδο. Εντού-τοις, η ελληνική οικονομία εμφανίζει σήμερα μεγαλύτερη ικανότητα απορρόφησης εξωτερικών διαταραχών, χάρη στα ισχυρότερα θεμελιώδη μεγέθη, τις διαρθρωτικές μεταρρυθμίσεις και τη συσσωρευμένη εμπειρία από τη διαχείριση διαδοχικών κρίσεων.</w:t>
      </w:r>
    </w:p>
    <w:p>
      <w:pPr>
        <w:pStyle w:val="BodyText"/>
        <w:spacing w:line="285" w:lineRule="auto" w:before="54"/>
        <w:ind w:left="172" w:right="952"/>
        <w:jc w:val="both"/>
      </w:pPr>
      <w:r>
        <w:rPr>
          <w:b/>
          <w:color w:val="1F487C"/>
        </w:rPr>
        <w:t>Τα</w:t>
      </w:r>
      <w:r>
        <w:rPr>
          <w:b/>
          <w:color w:val="1F487C"/>
          <w:spacing w:val="-1"/>
        </w:rPr>
        <w:t> </w:t>
      </w:r>
      <w:r>
        <w:rPr>
          <w:b/>
          <w:smallCaps/>
          <w:color w:val="1F487C"/>
        </w:rPr>
        <w:t>ι</w:t>
      </w:r>
      <w:r>
        <w:rPr>
          <w:b/>
          <w:smallCaps w:val="0"/>
          <w:color w:val="1F487C"/>
        </w:rPr>
        <w:t>σχυρά</w:t>
      </w:r>
      <w:r>
        <w:rPr>
          <w:b/>
          <w:smallCaps w:val="0"/>
          <w:color w:val="1F487C"/>
          <w:spacing w:val="-1"/>
        </w:rPr>
        <w:t> </w:t>
      </w:r>
      <w:r>
        <w:rPr>
          <w:b/>
          <w:smallCaps w:val="0"/>
          <w:color w:val="1F487C"/>
        </w:rPr>
        <w:t>θεμελ</w:t>
      </w:r>
      <w:r>
        <w:rPr>
          <w:b/>
          <w:smallCaps/>
          <w:color w:val="1F487C"/>
        </w:rPr>
        <w:t>ι</w:t>
      </w:r>
      <w:r>
        <w:rPr>
          <w:b/>
          <w:smallCaps w:val="0"/>
          <w:color w:val="1F487C"/>
        </w:rPr>
        <w:t>ώδη μεγέθη</w:t>
      </w:r>
      <w:r>
        <w:rPr>
          <w:b/>
          <w:smallCaps w:val="0"/>
          <w:color w:val="1F487C"/>
          <w:spacing w:val="-1"/>
        </w:rPr>
        <w:t> </w:t>
      </w:r>
      <w:r>
        <w:rPr>
          <w:b/>
          <w:smallCaps w:val="0"/>
          <w:color w:val="1F487C"/>
        </w:rPr>
        <w:t>του τραπεζ</w:t>
      </w:r>
      <w:r>
        <w:rPr>
          <w:b/>
          <w:smallCaps/>
          <w:color w:val="1F487C"/>
        </w:rPr>
        <w:t>ι</w:t>
      </w:r>
      <w:r>
        <w:rPr>
          <w:b/>
          <w:smallCaps w:val="0"/>
          <w:color w:val="1F487C"/>
        </w:rPr>
        <w:t>κού τομέα</w:t>
      </w:r>
      <w:r>
        <w:rPr>
          <w:b/>
          <w:smallCaps w:val="0"/>
          <w:color w:val="1F487C"/>
          <w:spacing w:val="-1"/>
        </w:rPr>
        <w:t> </w:t>
      </w:r>
      <w:r>
        <w:rPr>
          <w:b/>
          <w:smallCaps w:val="0"/>
          <w:color w:val="1F487C"/>
        </w:rPr>
        <w:t>αποτελούν εχέγγυο γ</w:t>
      </w:r>
      <w:r>
        <w:rPr>
          <w:b/>
          <w:smallCaps/>
          <w:color w:val="1F487C"/>
        </w:rPr>
        <w:t>ι</w:t>
      </w:r>
      <w:r>
        <w:rPr>
          <w:b/>
          <w:smallCaps w:val="0"/>
          <w:color w:val="1F487C"/>
        </w:rPr>
        <w:t>α</w:t>
      </w:r>
      <w:r>
        <w:rPr>
          <w:b/>
          <w:smallCaps w:val="0"/>
          <w:color w:val="1F487C"/>
          <w:spacing w:val="-1"/>
        </w:rPr>
        <w:t> </w:t>
      </w:r>
      <w:r>
        <w:rPr>
          <w:b/>
          <w:smallCaps w:val="0"/>
          <w:color w:val="1F487C"/>
        </w:rPr>
        <w:t>τη</w:t>
      </w:r>
      <w:r>
        <w:rPr>
          <w:b/>
          <w:smallCaps w:val="0"/>
          <w:color w:val="1F487C"/>
          <w:spacing w:val="-1"/>
        </w:rPr>
        <w:t> </w:t>
      </w:r>
      <w:r>
        <w:rPr>
          <w:b/>
          <w:smallCaps w:val="0"/>
          <w:color w:val="1F487C"/>
        </w:rPr>
        <w:t>στήρ</w:t>
      </w:r>
      <w:r>
        <w:rPr>
          <w:b/>
          <w:smallCaps/>
          <w:color w:val="1F487C"/>
        </w:rPr>
        <w:t>ι</w:t>
      </w:r>
      <w:r>
        <w:rPr>
          <w:b/>
          <w:smallCaps w:val="0"/>
          <w:color w:val="1F487C"/>
        </w:rPr>
        <w:t>ξη</w:t>
      </w:r>
      <w:r>
        <w:rPr>
          <w:b/>
          <w:smallCaps w:val="0"/>
          <w:color w:val="1F487C"/>
          <w:spacing w:val="-1"/>
        </w:rPr>
        <w:t> </w:t>
      </w:r>
      <w:r>
        <w:rPr>
          <w:b/>
          <w:smallCaps w:val="0"/>
          <w:color w:val="1F487C"/>
        </w:rPr>
        <w:t>της πραγματ</w:t>
      </w:r>
      <w:r>
        <w:rPr>
          <w:b/>
          <w:smallCaps/>
          <w:color w:val="1F487C"/>
        </w:rPr>
        <w:t>ι</w:t>
      </w:r>
      <w:r>
        <w:rPr>
          <w:b/>
          <w:smallCaps w:val="0"/>
          <w:color w:val="1F487C"/>
        </w:rPr>
        <w:t>κής ο</w:t>
      </w:r>
      <w:r>
        <w:rPr>
          <w:b/>
          <w:smallCaps/>
          <w:color w:val="1F487C"/>
        </w:rPr>
        <w:t>ι</w:t>
      </w:r>
      <w:r>
        <w:rPr>
          <w:b/>
          <w:smallCaps w:val="0"/>
          <w:color w:val="1F487C"/>
        </w:rPr>
        <w:t>κονομίας. </w:t>
      </w:r>
      <w:r>
        <w:rPr>
          <w:smallCaps w:val="0"/>
        </w:rPr>
        <w:t>Οι προοπτικές του τραπεζικού τομέα παραμένουν θετικές, παρά την αυξημένη αβεβαιότητα, καθώς οι τράπεζες είναι σε πολύ καλύτερη θέση σε σχέση με το παρελ-θόν να απορροφήσουν ενδεχόμενες διαταραχές. Επιπρόσθετα, λειτουργεί θετικά</w:t>
      </w:r>
      <w:r>
        <w:rPr>
          <w:smallCaps w:val="0"/>
          <w:spacing w:val="-3"/>
        </w:rPr>
        <w:t> </w:t>
      </w:r>
      <w:r>
        <w:rPr>
          <w:smallCaps w:val="0"/>
        </w:rPr>
        <w:t>και η ενίσχυση του</w:t>
      </w:r>
      <w:r>
        <w:rPr>
          <w:smallCaps w:val="0"/>
          <w:spacing w:val="-3"/>
        </w:rPr>
        <w:t> </w:t>
      </w:r>
      <w:r>
        <w:rPr>
          <w:smallCaps w:val="0"/>
        </w:rPr>
        <w:t>ανταγωνισμού</w:t>
      </w:r>
      <w:r>
        <w:rPr>
          <w:smallCaps w:val="0"/>
          <w:spacing w:val="-5"/>
        </w:rPr>
        <w:t> </w:t>
      </w:r>
      <w:r>
        <w:rPr>
          <w:smallCaps w:val="0"/>
        </w:rPr>
        <w:t>στον</w:t>
      </w:r>
      <w:r>
        <w:rPr>
          <w:smallCaps w:val="0"/>
          <w:spacing w:val="-4"/>
        </w:rPr>
        <w:t> </w:t>
      </w:r>
      <w:r>
        <w:rPr>
          <w:smallCaps w:val="0"/>
        </w:rPr>
        <w:t>εγχώριο</w:t>
      </w:r>
      <w:r>
        <w:rPr>
          <w:smallCaps w:val="0"/>
          <w:spacing w:val="-4"/>
        </w:rPr>
        <w:t> </w:t>
      </w:r>
      <w:r>
        <w:rPr>
          <w:smallCaps w:val="0"/>
        </w:rPr>
        <w:t>τραπεζικό</w:t>
      </w:r>
      <w:r>
        <w:rPr>
          <w:smallCaps w:val="0"/>
          <w:spacing w:val="-5"/>
        </w:rPr>
        <w:t> </w:t>
      </w:r>
      <w:r>
        <w:rPr>
          <w:smallCaps w:val="0"/>
        </w:rPr>
        <w:t>τομέα</w:t>
      </w:r>
      <w:r>
        <w:rPr>
          <w:smallCaps w:val="0"/>
          <w:spacing w:val="-3"/>
        </w:rPr>
        <w:t> </w:t>
      </w:r>
      <w:r>
        <w:rPr>
          <w:smallCaps w:val="0"/>
        </w:rPr>
        <w:t>στο</w:t>
      </w:r>
      <w:r>
        <w:rPr>
          <w:smallCaps w:val="0"/>
          <w:spacing w:val="-4"/>
        </w:rPr>
        <w:t> </w:t>
      </w:r>
      <w:r>
        <w:rPr>
          <w:smallCaps w:val="0"/>
        </w:rPr>
        <w:t>πλαίσιο</w:t>
      </w:r>
      <w:r>
        <w:rPr>
          <w:smallCaps w:val="0"/>
          <w:spacing w:val="-4"/>
        </w:rPr>
        <w:t> </w:t>
      </w:r>
      <w:r>
        <w:rPr>
          <w:smallCaps w:val="0"/>
        </w:rPr>
        <w:t>της</w:t>
      </w:r>
      <w:r>
        <w:rPr>
          <w:smallCaps w:val="0"/>
          <w:spacing w:val="-5"/>
        </w:rPr>
        <w:t> </w:t>
      </w:r>
      <w:r>
        <w:rPr>
          <w:smallCaps w:val="0"/>
        </w:rPr>
        <w:t>αναδιάρθρωσης</w:t>
      </w:r>
      <w:r>
        <w:rPr>
          <w:smallCaps w:val="0"/>
          <w:spacing w:val="-5"/>
        </w:rPr>
        <w:t> </w:t>
      </w:r>
      <w:r>
        <w:rPr>
          <w:smallCaps w:val="0"/>
        </w:rPr>
        <w:t>των</w:t>
      </w:r>
      <w:r>
        <w:rPr>
          <w:smallCaps w:val="0"/>
          <w:spacing w:val="-4"/>
        </w:rPr>
        <w:t> </w:t>
      </w:r>
      <w:r>
        <w:rPr>
          <w:smallCaps w:val="0"/>
        </w:rPr>
        <w:t>λιγότερο σημαντικών τραπεζών. Ωστόσο, το ιδιαίτερα ευμετάβλητο εξωτερικό περιβάλλον δύναται να ε-πηρεάσει τη χρηματοοικονομική κατάσταση των επιχειρήσεων και των νοικοκυριών στην Ελ-λάδα. Η άνοδος του κόστους πρώτων υλών, ενέργειας και μεταφορών αυξάνει το συνολικό κό-στος παραγωγής, συμπιέζει τα περιθώρια κέρδους για τις επιχειρήσεις και, σε συνδυασμό με τις ελλείψεις</w:t>
      </w:r>
      <w:r>
        <w:rPr>
          <w:smallCaps w:val="0"/>
          <w:spacing w:val="-1"/>
        </w:rPr>
        <w:t> </w:t>
      </w:r>
      <w:r>
        <w:rPr>
          <w:smallCaps w:val="0"/>
        </w:rPr>
        <w:t>στην εφοδιαστική αλυσίδα, δυσχεραίνει τη</w:t>
      </w:r>
      <w:r>
        <w:rPr>
          <w:smallCaps w:val="0"/>
          <w:spacing w:val="-3"/>
        </w:rPr>
        <w:t> </w:t>
      </w:r>
      <w:r>
        <w:rPr>
          <w:smallCaps w:val="0"/>
        </w:rPr>
        <w:t>λειτουργία τους. Ταυτόχρονα, η αυξημένη αβεβαιότητα και το ενδεχόμενο υψηλότερο κόστος χρηματοδότησης επηρεάζουν το επενδυτικό κλίμα</w:t>
      </w:r>
      <w:r>
        <w:rPr>
          <w:smallCaps w:val="0"/>
          <w:spacing w:val="-8"/>
        </w:rPr>
        <w:t> </w:t>
      </w:r>
      <w:r>
        <w:rPr>
          <w:smallCaps w:val="0"/>
        </w:rPr>
        <w:t>και</w:t>
      </w:r>
      <w:r>
        <w:rPr>
          <w:smallCaps w:val="0"/>
          <w:spacing w:val="-7"/>
        </w:rPr>
        <w:t> </w:t>
      </w:r>
      <w:r>
        <w:rPr>
          <w:smallCaps w:val="0"/>
        </w:rPr>
        <w:t>μπορεί</w:t>
      </w:r>
      <w:r>
        <w:rPr>
          <w:smallCaps w:val="0"/>
          <w:spacing w:val="-9"/>
        </w:rPr>
        <w:t> </w:t>
      </w:r>
      <w:r>
        <w:rPr>
          <w:smallCaps w:val="0"/>
        </w:rPr>
        <w:t>να</w:t>
      </w:r>
      <w:r>
        <w:rPr>
          <w:smallCaps w:val="0"/>
          <w:spacing w:val="-8"/>
        </w:rPr>
        <w:t> </w:t>
      </w:r>
      <w:r>
        <w:rPr>
          <w:smallCaps w:val="0"/>
        </w:rPr>
        <w:t>οδηγήσουν</w:t>
      </w:r>
      <w:r>
        <w:rPr>
          <w:smallCaps w:val="0"/>
          <w:spacing w:val="-9"/>
        </w:rPr>
        <w:t> </w:t>
      </w:r>
      <w:r>
        <w:rPr>
          <w:smallCaps w:val="0"/>
        </w:rPr>
        <w:t>σε</w:t>
      </w:r>
      <w:r>
        <w:rPr>
          <w:smallCaps w:val="0"/>
          <w:spacing w:val="-9"/>
        </w:rPr>
        <w:t> </w:t>
      </w:r>
      <w:r>
        <w:rPr>
          <w:smallCaps w:val="0"/>
        </w:rPr>
        <w:t>αναβολή</w:t>
      </w:r>
      <w:r>
        <w:rPr>
          <w:smallCaps w:val="0"/>
          <w:spacing w:val="-10"/>
        </w:rPr>
        <w:t> </w:t>
      </w:r>
      <w:r>
        <w:rPr>
          <w:smallCaps w:val="0"/>
        </w:rPr>
        <w:t>επιχειρηματικών</w:t>
      </w:r>
      <w:r>
        <w:rPr>
          <w:smallCaps w:val="0"/>
          <w:spacing w:val="-9"/>
        </w:rPr>
        <w:t> </w:t>
      </w:r>
      <w:r>
        <w:rPr>
          <w:smallCaps w:val="0"/>
        </w:rPr>
        <w:t>αποφάσεων.</w:t>
      </w:r>
      <w:r>
        <w:rPr>
          <w:smallCaps w:val="0"/>
          <w:spacing w:val="-7"/>
        </w:rPr>
        <w:t> </w:t>
      </w:r>
      <w:r>
        <w:rPr>
          <w:smallCaps w:val="0"/>
        </w:rPr>
        <w:t>Επίσης,</w:t>
      </w:r>
      <w:r>
        <w:rPr>
          <w:smallCaps w:val="0"/>
          <w:spacing w:val="-7"/>
        </w:rPr>
        <w:t> </w:t>
      </w:r>
      <w:r>
        <w:rPr>
          <w:smallCaps w:val="0"/>
        </w:rPr>
        <w:t>η</w:t>
      </w:r>
      <w:r>
        <w:rPr>
          <w:smallCaps w:val="0"/>
          <w:spacing w:val="-7"/>
        </w:rPr>
        <w:t> </w:t>
      </w:r>
      <w:r>
        <w:rPr>
          <w:smallCaps w:val="0"/>
        </w:rPr>
        <w:t>αύξηση</w:t>
      </w:r>
      <w:r>
        <w:rPr>
          <w:smallCaps w:val="0"/>
          <w:spacing w:val="-10"/>
        </w:rPr>
        <w:t> </w:t>
      </w:r>
      <w:r>
        <w:rPr>
          <w:smallCaps w:val="0"/>
        </w:rPr>
        <w:t>του πληθωρισμού περιορίζει το διαθέσιμο εισόδημα των νοικοκυριών και επηρεάζει την κατανά-λωση. Συνεπώς, παράταση της σύρραξης στη Μέση Ανατολή για μεγάλο χρονικό διάστημα θα μπορούσε να επηρεάσει δυσμενώς την ποιότητα χαρτοφυλακίου των τραπεζών, αλλά και την υλοποίηση των στόχων τους για πιστωτική επέκταση. Παράλληλα, θα ενέτεινε τους κινδύνους κυβερνοασφάλειας και το ενδεχόμενο απότομης ανατιμολόγησης των χρηματοοικονομικών πε-ριουσιακών στοιχείων διεθνώς.</w:t>
      </w:r>
    </w:p>
    <w:p>
      <w:pPr>
        <w:pStyle w:val="BodyText"/>
        <w:spacing w:line="285" w:lineRule="auto" w:before="222"/>
        <w:ind w:left="172" w:right="956"/>
        <w:jc w:val="both"/>
      </w:pPr>
      <w:r>
        <w:rPr>
          <w:b/>
          <w:color w:val="1F487C"/>
        </w:rPr>
        <w:t>Η</w:t>
      </w:r>
      <w:r>
        <w:rPr>
          <w:b/>
          <w:color w:val="1F487C"/>
          <w:spacing w:val="-5"/>
        </w:rPr>
        <w:t> </w:t>
      </w:r>
      <w:r>
        <w:rPr>
          <w:b/>
          <w:color w:val="1F487C"/>
        </w:rPr>
        <w:t>άσκηση</w:t>
      </w:r>
      <w:r>
        <w:rPr>
          <w:b/>
          <w:color w:val="1F487C"/>
          <w:spacing w:val="-6"/>
        </w:rPr>
        <w:t> </w:t>
      </w:r>
      <w:r>
        <w:rPr>
          <w:b/>
          <w:color w:val="1F487C"/>
        </w:rPr>
        <w:t>συνεκτ</w:t>
      </w:r>
      <w:r>
        <w:rPr>
          <w:b/>
          <w:smallCaps/>
          <w:color w:val="1F487C"/>
        </w:rPr>
        <w:t>ι</w:t>
      </w:r>
      <w:r>
        <w:rPr>
          <w:b/>
          <w:smallCaps w:val="0"/>
          <w:color w:val="1F487C"/>
        </w:rPr>
        <w:t>κών</w:t>
      </w:r>
      <w:r>
        <w:rPr>
          <w:b/>
          <w:smallCaps w:val="0"/>
          <w:color w:val="1F487C"/>
          <w:spacing w:val="-6"/>
        </w:rPr>
        <w:t> </w:t>
      </w:r>
      <w:r>
        <w:rPr>
          <w:b/>
          <w:smallCaps w:val="0"/>
          <w:color w:val="1F487C"/>
        </w:rPr>
        <w:t>πολ</w:t>
      </w:r>
      <w:r>
        <w:rPr>
          <w:b/>
          <w:smallCaps/>
          <w:color w:val="1F487C"/>
        </w:rPr>
        <w:t>ι</w:t>
      </w:r>
      <w:r>
        <w:rPr>
          <w:b/>
          <w:smallCaps w:val="0"/>
          <w:color w:val="1F487C"/>
        </w:rPr>
        <w:t>τ</w:t>
      </w:r>
      <w:r>
        <w:rPr>
          <w:b/>
          <w:smallCaps/>
          <w:color w:val="1F487C"/>
        </w:rPr>
        <w:t>ι</w:t>
      </w:r>
      <w:r>
        <w:rPr>
          <w:b/>
          <w:smallCaps w:val="0"/>
          <w:color w:val="1F487C"/>
        </w:rPr>
        <w:t>κών</w:t>
      </w:r>
      <w:r>
        <w:rPr>
          <w:b/>
          <w:smallCaps w:val="0"/>
          <w:color w:val="1F487C"/>
          <w:spacing w:val="-6"/>
        </w:rPr>
        <w:t> </w:t>
      </w:r>
      <w:r>
        <w:rPr>
          <w:b/>
          <w:smallCaps w:val="0"/>
          <w:color w:val="1F487C"/>
        </w:rPr>
        <w:t>από</w:t>
      </w:r>
      <w:r>
        <w:rPr>
          <w:b/>
          <w:smallCaps w:val="0"/>
          <w:color w:val="1F487C"/>
          <w:spacing w:val="-6"/>
        </w:rPr>
        <w:t> </w:t>
      </w:r>
      <w:r>
        <w:rPr>
          <w:b/>
          <w:smallCaps w:val="0"/>
          <w:color w:val="1F487C"/>
        </w:rPr>
        <w:t>όλους</w:t>
      </w:r>
      <w:r>
        <w:rPr>
          <w:b/>
          <w:smallCaps w:val="0"/>
          <w:color w:val="1F487C"/>
          <w:spacing w:val="-5"/>
        </w:rPr>
        <w:t> </w:t>
      </w:r>
      <w:r>
        <w:rPr>
          <w:b/>
          <w:smallCaps w:val="0"/>
          <w:color w:val="1F487C"/>
        </w:rPr>
        <w:t>τους</w:t>
      </w:r>
      <w:r>
        <w:rPr>
          <w:b/>
          <w:smallCaps w:val="0"/>
          <w:color w:val="1F487C"/>
          <w:spacing w:val="-5"/>
        </w:rPr>
        <w:t> </w:t>
      </w:r>
      <w:r>
        <w:rPr>
          <w:b/>
          <w:smallCaps w:val="0"/>
          <w:color w:val="1F487C"/>
        </w:rPr>
        <w:t>εμπλεκόμενους</w:t>
      </w:r>
      <w:r>
        <w:rPr>
          <w:b/>
          <w:smallCaps w:val="0"/>
          <w:color w:val="1F487C"/>
          <w:spacing w:val="-5"/>
        </w:rPr>
        <w:t> </w:t>
      </w:r>
      <w:r>
        <w:rPr>
          <w:b/>
          <w:smallCaps w:val="0"/>
          <w:color w:val="1F487C"/>
        </w:rPr>
        <w:t>φορείς</w:t>
      </w:r>
      <w:r>
        <w:rPr>
          <w:b/>
          <w:smallCaps w:val="0"/>
          <w:color w:val="1F487C"/>
          <w:spacing w:val="-5"/>
        </w:rPr>
        <w:t> </w:t>
      </w:r>
      <w:r>
        <w:rPr>
          <w:b/>
          <w:smallCaps w:val="0"/>
          <w:color w:val="1F487C"/>
        </w:rPr>
        <w:t>αποτελεί</w:t>
      </w:r>
      <w:r>
        <w:rPr>
          <w:b/>
          <w:smallCaps w:val="0"/>
          <w:color w:val="1F487C"/>
          <w:spacing w:val="-5"/>
        </w:rPr>
        <w:t> </w:t>
      </w:r>
      <w:r>
        <w:rPr>
          <w:b/>
          <w:smallCaps w:val="0"/>
          <w:color w:val="1F487C"/>
        </w:rPr>
        <w:t>ανάχωμα στους</w:t>
      </w:r>
      <w:r>
        <w:rPr>
          <w:b/>
          <w:smallCaps w:val="0"/>
          <w:color w:val="1F487C"/>
          <w:spacing w:val="-4"/>
        </w:rPr>
        <w:t> </w:t>
      </w:r>
      <w:r>
        <w:rPr>
          <w:b/>
          <w:smallCaps w:val="0"/>
          <w:color w:val="1F487C"/>
        </w:rPr>
        <w:t>εξωγενείς</w:t>
      </w:r>
      <w:r>
        <w:rPr>
          <w:b/>
          <w:smallCaps w:val="0"/>
          <w:color w:val="1F487C"/>
          <w:spacing w:val="-5"/>
        </w:rPr>
        <w:t> </w:t>
      </w:r>
      <w:r>
        <w:rPr>
          <w:b/>
          <w:smallCaps w:val="0"/>
          <w:color w:val="1F487C"/>
        </w:rPr>
        <w:t>κ</w:t>
      </w:r>
      <w:r>
        <w:rPr>
          <w:b/>
          <w:smallCaps/>
          <w:color w:val="1F487C"/>
        </w:rPr>
        <w:t>ιν</w:t>
      </w:r>
      <w:r>
        <w:rPr>
          <w:b/>
          <w:smallCaps w:val="0"/>
          <w:color w:val="1F487C"/>
        </w:rPr>
        <w:t>δύνους.</w:t>
      </w:r>
      <w:r>
        <w:rPr>
          <w:b/>
          <w:smallCaps w:val="0"/>
          <w:color w:val="1F487C"/>
          <w:spacing w:val="-3"/>
        </w:rPr>
        <w:t> </w:t>
      </w:r>
      <w:r>
        <w:rPr>
          <w:smallCaps w:val="0"/>
        </w:rPr>
        <w:t>Οι</w:t>
      </w:r>
      <w:r>
        <w:rPr>
          <w:smallCaps w:val="0"/>
          <w:spacing w:val="-4"/>
        </w:rPr>
        <w:t> </w:t>
      </w:r>
      <w:r>
        <w:rPr>
          <w:smallCaps w:val="0"/>
        </w:rPr>
        <w:t>τράπεζες</w:t>
      </w:r>
      <w:r>
        <w:rPr>
          <w:smallCaps w:val="0"/>
          <w:spacing w:val="-6"/>
        </w:rPr>
        <w:t> </w:t>
      </w:r>
      <w:r>
        <w:rPr>
          <w:smallCaps w:val="0"/>
        </w:rPr>
        <w:t>οφείλουν</w:t>
      </w:r>
      <w:r>
        <w:rPr>
          <w:smallCaps w:val="0"/>
          <w:spacing w:val="-6"/>
        </w:rPr>
        <w:t> </w:t>
      </w:r>
      <w:r>
        <w:rPr>
          <w:smallCaps w:val="0"/>
        </w:rPr>
        <w:t>να</w:t>
      </w:r>
      <w:r>
        <w:rPr>
          <w:smallCaps w:val="0"/>
          <w:spacing w:val="-8"/>
        </w:rPr>
        <w:t> </w:t>
      </w:r>
      <w:r>
        <w:rPr>
          <w:smallCaps w:val="0"/>
        </w:rPr>
        <w:t>διασφαλίσουν</w:t>
      </w:r>
      <w:r>
        <w:rPr>
          <w:smallCaps w:val="0"/>
          <w:spacing w:val="-4"/>
        </w:rPr>
        <w:t> </w:t>
      </w:r>
      <w:r>
        <w:rPr>
          <w:smallCaps w:val="0"/>
        </w:rPr>
        <w:t>την</w:t>
      </w:r>
      <w:r>
        <w:rPr>
          <w:smallCaps w:val="0"/>
          <w:spacing w:val="-4"/>
        </w:rPr>
        <w:t> </w:t>
      </w:r>
      <w:r>
        <w:rPr>
          <w:smallCaps w:val="0"/>
        </w:rPr>
        <w:t>απρόσκοπτη</w:t>
      </w:r>
      <w:r>
        <w:rPr>
          <w:smallCaps w:val="0"/>
          <w:spacing w:val="-5"/>
        </w:rPr>
        <w:t> </w:t>
      </w:r>
      <w:r>
        <w:rPr>
          <w:smallCaps w:val="0"/>
        </w:rPr>
        <w:t>χρηματο-δότηση</w:t>
      </w:r>
      <w:r>
        <w:rPr>
          <w:smallCaps w:val="0"/>
          <w:spacing w:val="-6"/>
        </w:rPr>
        <w:t> </w:t>
      </w:r>
      <w:r>
        <w:rPr>
          <w:smallCaps w:val="0"/>
        </w:rPr>
        <w:t>της</w:t>
      </w:r>
      <w:r>
        <w:rPr>
          <w:smallCaps w:val="0"/>
          <w:spacing w:val="-7"/>
        </w:rPr>
        <w:t> </w:t>
      </w:r>
      <w:r>
        <w:rPr>
          <w:smallCaps w:val="0"/>
        </w:rPr>
        <w:t>πραγματικής</w:t>
      </w:r>
      <w:r>
        <w:rPr>
          <w:smallCaps w:val="0"/>
          <w:spacing w:val="-7"/>
        </w:rPr>
        <w:t> </w:t>
      </w:r>
      <w:r>
        <w:rPr>
          <w:smallCaps w:val="0"/>
        </w:rPr>
        <w:t>οικονομίας,</w:t>
      </w:r>
      <w:r>
        <w:rPr>
          <w:smallCaps w:val="0"/>
          <w:spacing w:val="-6"/>
        </w:rPr>
        <w:t> </w:t>
      </w:r>
      <w:r>
        <w:rPr>
          <w:smallCaps w:val="0"/>
        </w:rPr>
        <w:t>εφαρμόζοντας</w:t>
      </w:r>
      <w:r>
        <w:rPr>
          <w:smallCaps w:val="0"/>
          <w:spacing w:val="-10"/>
        </w:rPr>
        <w:t> </w:t>
      </w:r>
      <w:r>
        <w:rPr>
          <w:smallCaps w:val="0"/>
        </w:rPr>
        <w:t>συνετά</w:t>
      </w:r>
      <w:r>
        <w:rPr>
          <w:smallCaps w:val="0"/>
          <w:spacing w:val="-6"/>
        </w:rPr>
        <w:t> </w:t>
      </w:r>
      <w:r>
        <w:rPr>
          <w:smallCaps w:val="0"/>
        </w:rPr>
        <w:t>πιστοδοτικά</w:t>
      </w:r>
      <w:r>
        <w:rPr>
          <w:smallCaps w:val="0"/>
          <w:spacing w:val="-6"/>
        </w:rPr>
        <w:t> </w:t>
      </w:r>
      <w:r>
        <w:rPr>
          <w:smallCaps w:val="0"/>
        </w:rPr>
        <w:t>κριτήρια,</w:t>
      </w:r>
      <w:r>
        <w:rPr>
          <w:smallCaps w:val="0"/>
          <w:spacing w:val="-6"/>
        </w:rPr>
        <w:t> </w:t>
      </w:r>
      <w:r>
        <w:rPr>
          <w:smallCaps w:val="0"/>
        </w:rPr>
        <w:t>αξιοποιώντας την ισχυρή τους ρευστότητα και ενισχύοντας περαιτέρω την κεφαλαιακή τους επάρκεια. Επι-πλέον,</w:t>
      </w:r>
      <w:r>
        <w:rPr>
          <w:smallCaps w:val="0"/>
          <w:spacing w:val="-3"/>
        </w:rPr>
        <w:t> </w:t>
      </w:r>
      <w:r>
        <w:rPr>
          <w:smallCaps w:val="0"/>
        </w:rPr>
        <w:t>κρίνεται</w:t>
      </w:r>
      <w:r>
        <w:rPr>
          <w:smallCaps w:val="0"/>
          <w:spacing w:val="-3"/>
        </w:rPr>
        <w:t> </w:t>
      </w:r>
      <w:r>
        <w:rPr>
          <w:smallCaps w:val="0"/>
        </w:rPr>
        <w:t>αναγκαία</w:t>
      </w:r>
      <w:r>
        <w:rPr>
          <w:smallCaps w:val="0"/>
          <w:spacing w:val="-3"/>
        </w:rPr>
        <w:t> </w:t>
      </w:r>
      <w:r>
        <w:rPr>
          <w:smallCaps w:val="0"/>
        </w:rPr>
        <w:t>η</w:t>
      </w:r>
      <w:r>
        <w:rPr>
          <w:smallCaps w:val="0"/>
          <w:spacing w:val="-5"/>
        </w:rPr>
        <w:t> </w:t>
      </w:r>
      <w:r>
        <w:rPr>
          <w:smallCaps w:val="0"/>
        </w:rPr>
        <w:t>επιτάχυνση</w:t>
      </w:r>
      <w:r>
        <w:rPr>
          <w:smallCaps w:val="0"/>
          <w:spacing w:val="-3"/>
        </w:rPr>
        <w:t> </w:t>
      </w:r>
      <w:r>
        <w:rPr>
          <w:smallCaps w:val="0"/>
        </w:rPr>
        <w:t>των</w:t>
      </w:r>
      <w:r>
        <w:rPr>
          <w:smallCaps w:val="0"/>
          <w:spacing w:val="-2"/>
        </w:rPr>
        <w:t> </w:t>
      </w:r>
      <w:r>
        <w:rPr>
          <w:smallCaps w:val="0"/>
        </w:rPr>
        <w:t>διαδικασιών ολοκλήρωσης</w:t>
      </w:r>
      <w:r>
        <w:rPr>
          <w:smallCaps w:val="0"/>
          <w:spacing w:val="-4"/>
        </w:rPr>
        <w:t> </w:t>
      </w:r>
      <w:r>
        <w:rPr>
          <w:smallCaps w:val="0"/>
        </w:rPr>
        <w:t>της</w:t>
      </w:r>
      <w:r>
        <w:rPr>
          <w:smallCaps w:val="0"/>
          <w:spacing w:val="-5"/>
        </w:rPr>
        <w:t> </w:t>
      </w:r>
      <w:r>
        <w:rPr>
          <w:smallCaps w:val="0"/>
        </w:rPr>
        <w:t>Τραπεζικής</w:t>
      </w:r>
      <w:r>
        <w:rPr>
          <w:smallCaps w:val="0"/>
          <w:spacing w:val="-4"/>
        </w:rPr>
        <w:t> </w:t>
      </w:r>
      <w:r>
        <w:rPr>
          <w:smallCaps w:val="0"/>
        </w:rPr>
        <w:t>Ένωσης και</w:t>
      </w:r>
      <w:r>
        <w:rPr>
          <w:smallCaps w:val="0"/>
          <w:spacing w:val="-14"/>
        </w:rPr>
        <w:t> </w:t>
      </w:r>
      <w:r>
        <w:rPr>
          <w:smallCaps w:val="0"/>
        </w:rPr>
        <w:t>η</w:t>
      </w:r>
      <w:r>
        <w:rPr>
          <w:smallCaps w:val="0"/>
          <w:spacing w:val="-14"/>
        </w:rPr>
        <w:t> </w:t>
      </w:r>
      <w:r>
        <w:rPr>
          <w:smallCaps w:val="0"/>
        </w:rPr>
        <w:t>προώθηση</w:t>
      </w:r>
      <w:r>
        <w:rPr>
          <w:smallCaps w:val="0"/>
          <w:spacing w:val="-14"/>
        </w:rPr>
        <w:t> </w:t>
      </w:r>
      <w:r>
        <w:rPr>
          <w:smallCaps w:val="0"/>
        </w:rPr>
        <w:t>της</w:t>
      </w:r>
      <w:r>
        <w:rPr>
          <w:smallCaps w:val="0"/>
          <w:spacing w:val="-13"/>
        </w:rPr>
        <w:t> </w:t>
      </w:r>
      <w:r>
        <w:rPr>
          <w:smallCaps w:val="0"/>
        </w:rPr>
        <w:t>Ένωσης</w:t>
      </w:r>
      <w:r>
        <w:rPr>
          <w:smallCaps w:val="0"/>
          <w:spacing w:val="-14"/>
        </w:rPr>
        <w:t> </w:t>
      </w:r>
      <w:r>
        <w:rPr>
          <w:smallCaps w:val="0"/>
        </w:rPr>
        <w:t>Αποταμιεύσεων</w:t>
      </w:r>
      <w:r>
        <w:rPr>
          <w:smallCaps w:val="0"/>
          <w:spacing w:val="-14"/>
        </w:rPr>
        <w:t> </w:t>
      </w:r>
      <w:r>
        <w:rPr>
          <w:smallCaps w:val="0"/>
        </w:rPr>
        <w:t>και</w:t>
      </w:r>
      <w:r>
        <w:rPr>
          <w:smallCaps w:val="0"/>
          <w:spacing w:val="-14"/>
        </w:rPr>
        <w:t> </w:t>
      </w:r>
      <w:r>
        <w:rPr>
          <w:smallCaps w:val="0"/>
        </w:rPr>
        <w:t>Επενδύσεων,</w:t>
      </w:r>
      <w:r>
        <w:rPr>
          <w:smallCaps w:val="0"/>
          <w:spacing w:val="-13"/>
        </w:rPr>
        <w:t> </w:t>
      </w:r>
      <w:r>
        <w:rPr>
          <w:smallCaps w:val="0"/>
        </w:rPr>
        <w:t>καθώς</w:t>
      </w:r>
      <w:r>
        <w:rPr>
          <w:smallCaps w:val="0"/>
          <w:spacing w:val="-14"/>
        </w:rPr>
        <w:t> </w:t>
      </w:r>
      <w:r>
        <w:rPr>
          <w:smallCaps w:val="0"/>
        </w:rPr>
        <w:t>αναμένεται</w:t>
      </w:r>
      <w:r>
        <w:rPr>
          <w:smallCaps w:val="0"/>
          <w:spacing w:val="-14"/>
        </w:rPr>
        <w:t> </w:t>
      </w:r>
      <w:r>
        <w:rPr>
          <w:smallCaps w:val="0"/>
        </w:rPr>
        <w:t>να</w:t>
      </w:r>
      <w:r>
        <w:rPr>
          <w:smallCaps w:val="0"/>
          <w:spacing w:val="-14"/>
        </w:rPr>
        <w:t> </w:t>
      </w:r>
      <w:r>
        <w:rPr>
          <w:smallCaps w:val="0"/>
        </w:rPr>
        <w:t>εμβαθύνουν τη χρηματοπιστωτική ενοποίηση και να ενισχύσουν τη χρηματοπιστωτική σταθερότητα και την ανταγωνιστικότητα στην Ευρωπαϊκή Ένωση.</w:t>
      </w:r>
    </w:p>
    <w:p>
      <w:pPr>
        <w:pStyle w:val="BodyText"/>
        <w:spacing w:after="0" w:line="285" w:lineRule="auto"/>
        <w:jc w:val="both"/>
        <w:sectPr>
          <w:pgSz w:w="11910" w:h="16850"/>
          <w:pgMar w:header="0" w:footer="1180" w:top="1840" w:bottom="1360" w:left="1417" w:right="850"/>
        </w:sectPr>
      </w:pPr>
    </w:p>
    <w:p>
      <w:pPr>
        <w:pStyle w:val="Heading1"/>
        <w:numPr>
          <w:ilvl w:val="0"/>
          <w:numId w:val="2"/>
        </w:numPr>
        <w:tabs>
          <w:tab w:pos="892" w:val="left" w:leader="none"/>
        </w:tabs>
        <w:spacing w:line="240" w:lineRule="auto" w:before="71" w:after="0"/>
        <w:ind w:left="892" w:right="0" w:hanging="720"/>
        <w:jc w:val="left"/>
      </w:pPr>
      <w:bookmarkStart w:name="_bookmark2" w:id="3"/>
      <w:bookmarkEnd w:id="3"/>
      <w:r>
        <w:rPr>
          <w:b w:val="0"/>
        </w:rPr>
      </w:r>
      <w:r>
        <w:rPr>
          <w:color w:val="1F487C"/>
          <w:spacing w:val="25"/>
        </w:rPr>
        <w:t>ΟΙΚΟΝΟΜΙΚΟ</w:t>
      </w:r>
      <w:r>
        <w:rPr>
          <w:color w:val="1F487C"/>
          <w:spacing w:val="64"/>
        </w:rPr>
        <w:t> </w:t>
      </w:r>
      <w:r>
        <w:rPr>
          <w:color w:val="1F487C"/>
          <w:spacing w:val="23"/>
        </w:rPr>
        <w:t>ΠΕΡΙΒΑΛΛΟΝ</w:t>
      </w:r>
    </w:p>
    <w:p>
      <w:pPr>
        <w:pStyle w:val="Heading2"/>
        <w:numPr>
          <w:ilvl w:val="1"/>
          <w:numId w:val="2"/>
        </w:numPr>
        <w:tabs>
          <w:tab w:pos="568" w:val="left" w:leader="none"/>
        </w:tabs>
        <w:spacing w:line="240" w:lineRule="auto" w:before="239" w:after="0"/>
        <w:ind w:left="568" w:right="1152" w:hanging="396"/>
        <w:jc w:val="left"/>
        <w:rPr>
          <w:color w:val="1F487C"/>
        </w:rPr>
      </w:pPr>
      <w:bookmarkStart w:name="_bookmark3" w:id="4"/>
      <w:bookmarkEnd w:id="4"/>
      <w:r>
        <w:rPr>
          <w:b w:val="0"/>
        </w:rPr>
      </w:r>
      <w:r>
        <w:rPr>
          <w:color w:val="1F487C"/>
        </w:rPr>
        <w:t>ΕΞΕΛΙΞΕΙΣ</w:t>
      </w:r>
      <w:r>
        <w:rPr>
          <w:color w:val="1F487C"/>
          <w:spacing w:val="-8"/>
        </w:rPr>
        <w:t> </w:t>
      </w:r>
      <w:r>
        <w:rPr>
          <w:color w:val="1F487C"/>
        </w:rPr>
        <w:t>ΚΑΙ</w:t>
      </w:r>
      <w:r>
        <w:rPr>
          <w:color w:val="1F487C"/>
          <w:spacing w:val="-8"/>
        </w:rPr>
        <w:t> </w:t>
      </w:r>
      <w:r>
        <w:rPr>
          <w:color w:val="1F487C"/>
        </w:rPr>
        <w:t>ΠΡΟΟΠΤΙΚΕΣ</w:t>
      </w:r>
      <w:r>
        <w:rPr>
          <w:color w:val="1F487C"/>
          <w:spacing w:val="-8"/>
        </w:rPr>
        <w:t> </w:t>
      </w:r>
      <w:r>
        <w:rPr>
          <w:color w:val="1F487C"/>
        </w:rPr>
        <w:t>ΤΗΣ</w:t>
      </w:r>
      <w:r>
        <w:rPr>
          <w:color w:val="1F487C"/>
          <w:spacing w:val="-7"/>
        </w:rPr>
        <w:t> </w:t>
      </w:r>
      <w:r>
        <w:rPr>
          <w:color w:val="1F487C"/>
        </w:rPr>
        <w:t>ΟΙΚΟΝΟΜΙΚΗΣ</w:t>
      </w:r>
      <w:r>
        <w:rPr>
          <w:color w:val="1F487C"/>
          <w:spacing w:val="-8"/>
        </w:rPr>
        <w:t> </w:t>
      </w:r>
      <w:r>
        <w:rPr>
          <w:color w:val="1F487C"/>
        </w:rPr>
        <w:t>ΔΡΑΣΤΗΡΙΟΤΗ-</w:t>
      </w:r>
      <w:r>
        <w:rPr>
          <w:color w:val="1F487C"/>
          <w:spacing w:val="-4"/>
        </w:rPr>
        <w:t>ΤΑΣ</w:t>
      </w:r>
    </w:p>
    <w:p>
      <w:pPr>
        <w:pStyle w:val="BodyText"/>
        <w:spacing w:line="285" w:lineRule="auto" w:before="96"/>
        <w:ind w:left="172" w:right="956"/>
        <w:jc w:val="both"/>
      </w:pPr>
      <w:r>
        <w:rPr/>
        <w:t>Η</w:t>
      </w:r>
      <w:r>
        <w:rPr>
          <w:spacing w:val="-1"/>
        </w:rPr>
        <w:t> </w:t>
      </w:r>
      <w:r>
        <w:rPr/>
        <w:t>ελληνική</w:t>
      </w:r>
      <w:r>
        <w:rPr>
          <w:spacing w:val="-2"/>
        </w:rPr>
        <w:t> </w:t>
      </w:r>
      <w:r>
        <w:rPr/>
        <w:t>οικονομία αναπτύχθηκε</w:t>
      </w:r>
      <w:r>
        <w:rPr>
          <w:spacing w:val="-2"/>
        </w:rPr>
        <w:t> </w:t>
      </w:r>
      <w:r>
        <w:rPr/>
        <w:t>με</w:t>
      </w:r>
      <w:r>
        <w:rPr>
          <w:spacing w:val="-2"/>
        </w:rPr>
        <w:t> </w:t>
      </w:r>
      <w:r>
        <w:rPr/>
        <w:t>ικανοποιητικούς</w:t>
      </w:r>
      <w:r>
        <w:rPr>
          <w:spacing w:val="-1"/>
        </w:rPr>
        <w:t> </w:t>
      </w:r>
      <w:r>
        <w:rPr/>
        <w:t>ρυθμούς</w:t>
      </w:r>
      <w:r>
        <w:rPr>
          <w:spacing w:val="-4"/>
        </w:rPr>
        <w:t> </w:t>
      </w:r>
      <w:r>
        <w:rPr/>
        <w:t>και</w:t>
      </w:r>
      <w:r>
        <w:rPr>
          <w:spacing w:val="-2"/>
        </w:rPr>
        <w:t> </w:t>
      </w:r>
      <w:r>
        <w:rPr/>
        <w:t>το 2025,</w:t>
      </w:r>
      <w:r>
        <w:rPr>
          <w:spacing w:val="-3"/>
        </w:rPr>
        <w:t> </w:t>
      </w:r>
      <w:r>
        <w:rPr/>
        <w:t>παρά</w:t>
      </w:r>
      <w:r>
        <w:rPr>
          <w:spacing w:val="-1"/>
        </w:rPr>
        <w:t> </w:t>
      </w:r>
      <w:r>
        <w:rPr/>
        <w:t>τις</w:t>
      </w:r>
      <w:r>
        <w:rPr>
          <w:spacing w:val="-3"/>
        </w:rPr>
        <w:t> </w:t>
      </w:r>
      <w:r>
        <w:rPr/>
        <w:t>προκλή-σεις που απορρέουν από το διεθνές περιβάλλον, επιτυγχάνοντας ετήσιο ρυθμό ανάπτυξης 2,1% (στο ίδιο επίπεδο με το 2024) και υπερβαίνοντας έτσι τον μέσο όρο της ευρωζώνης (1,4%). Η μεγέθυνση της οικονομικής δραστηριότητας στηρίχθηκε κυρίως στην άνοδο των επενδύσεων (που κατέγραψαν σχεδόν διπλάσιο ρυθμό αύξησης σε σχέση με το προηγούμενο έτος) και της ιδιωτικής κατανάλωσης, ενώ θετική ήταν και η συμβολή του εξωτερικού τομέα.</w:t>
      </w:r>
    </w:p>
    <w:p>
      <w:pPr>
        <w:pStyle w:val="BodyText"/>
        <w:spacing w:line="285" w:lineRule="auto" w:before="113"/>
        <w:ind w:left="172" w:right="955"/>
        <w:jc w:val="both"/>
      </w:pPr>
      <w:r>
        <w:rPr/>
        <mc:AlternateContent>
          <mc:Choice Requires="wps">
            <w:drawing>
              <wp:anchor distT="0" distB="0" distL="0" distR="0" allowOverlap="1" layoutInCell="1" locked="0" behindDoc="1" simplePos="0" relativeHeight="487589888">
                <wp:simplePos x="0" y="0"/>
                <wp:positionH relativeFrom="page">
                  <wp:posOffset>1009192</wp:posOffset>
                </wp:positionH>
                <wp:positionV relativeFrom="paragraph">
                  <wp:posOffset>1243842</wp:posOffset>
                </wp:positionV>
                <wp:extent cx="5400675" cy="215265"/>
                <wp:effectExtent l="0" t="0" r="0" b="0"/>
                <wp:wrapTopAndBottom/>
                <wp:docPr id="22" name="Textbox 22"/>
                <wp:cNvGraphicFramePr>
                  <a:graphicFrameLocks/>
                </wp:cNvGraphicFramePr>
                <a:graphic>
                  <a:graphicData uri="http://schemas.microsoft.com/office/word/2010/wordprocessingShape">
                    <wps:wsp>
                      <wps:cNvPr id="22" name="Textbox 22"/>
                      <wps:cNvSpPr txBox="1"/>
                      <wps:spPr>
                        <a:xfrm>
                          <a:off x="0" y="0"/>
                          <a:ext cx="5400675" cy="215265"/>
                        </a:xfrm>
                        <a:prstGeom prst="rect">
                          <a:avLst/>
                        </a:prstGeom>
                        <a:solidFill>
                          <a:srgbClr val="1F487C"/>
                        </a:solidFill>
                      </wps:spPr>
                      <wps:txbx>
                        <w:txbxContent>
                          <w:p>
                            <w:pPr>
                              <w:spacing w:before="64"/>
                              <w:ind w:left="220" w:right="0" w:firstLine="0"/>
                              <w:jc w:val="left"/>
                              <w:rPr>
                                <w:b/>
                                <w:color w:val="000000"/>
                                <w:sz w:val="18"/>
                              </w:rPr>
                            </w:pPr>
                            <w:r>
                              <w:rPr>
                                <w:b/>
                                <w:color w:val="FFFFFF"/>
                                <w:sz w:val="18"/>
                              </w:rPr>
                              <w:t>Πίνακας</w:t>
                            </w:r>
                            <w:r>
                              <w:rPr>
                                <w:b/>
                                <w:color w:val="FFFFFF"/>
                                <w:spacing w:val="-1"/>
                                <w:sz w:val="18"/>
                              </w:rPr>
                              <w:t> </w:t>
                            </w:r>
                            <w:r>
                              <w:rPr>
                                <w:b/>
                                <w:color w:val="FFFFFF"/>
                                <w:sz w:val="18"/>
                              </w:rPr>
                              <w:t>II.1</w:t>
                            </w:r>
                            <w:r>
                              <w:rPr>
                                <w:b/>
                                <w:color w:val="FFFFFF"/>
                                <w:spacing w:val="-4"/>
                                <w:sz w:val="18"/>
                              </w:rPr>
                              <w:t> </w:t>
                            </w:r>
                            <w:r>
                              <w:rPr>
                                <w:b/>
                                <w:color w:val="FFFFFF"/>
                                <w:sz w:val="18"/>
                              </w:rPr>
                              <w:t>Το</w:t>
                            </w:r>
                            <w:r>
                              <w:rPr>
                                <w:b/>
                                <w:color w:val="FFFFFF"/>
                                <w:spacing w:val="-1"/>
                                <w:sz w:val="18"/>
                              </w:rPr>
                              <w:t> </w:t>
                            </w:r>
                            <w:r>
                              <w:rPr>
                                <w:b/>
                                <w:color w:val="FFFFFF"/>
                                <w:sz w:val="18"/>
                              </w:rPr>
                              <w:t>ΑΕΠ</w:t>
                            </w:r>
                            <w:r>
                              <w:rPr>
                                <w:b/>
                                <w:color w:val="FFFFFF"/>
                                <w:spacing w:val="-7"/>
                                <w:sz w:val="18"/>
                              </w:rPr>
                              <w:t> </w:t>
                            </w:r>
                            <w:r>
                              <w:rPr>
                                <w:b/>
                                <w:color w:val="FFFFFF"/>
                                <w:sz w:val="18"/>
                              </w:rPr>
                              <w:t>κα</w:t>
                            </w:r>
                            <w:r>
                              <w:rPr>
                                <w:b/>
                                <w:smallCaps/>
                                <w:color w:val="FFFFFF"/>
                                <w:sz w:val="18"/>
                              </w:rPr>
                              <w:t>ι</w:t>
                            </w:r>
                            <w:r>
                              <w:rPr>
                                <w:b/>
                                <w:smallCaps w:val="0"/>
                                <w:color w:val="FFFFFF"/>
                                <w:spacing w:val="-2"/>
                                <w:sz w:val="18"/>
                              </w:rPr>
                              <w:t> </w:t>
                            </w:r>
                            <w:r>
                              <w:rPr>
                                <w:b/>
                                <w:smallCaps/>
                                <w:color w:val="FFFFFF"/>
                                <w:sz w:val="18"/>
                              </w:rPr>
                              <w:t>οι</w:t>
                            </w:r>
                            <w:r>
                              <w:rPr>
                                <w:b/>
                                <w:smallCaps w:val="0"/>
                                <w:color w:val="FFFFFF"/>
                                <w:spacing w:val="-6"/>
                                <w:sz w:val="18"/>
                              </w:rPr>
                              <w:t> </w:t>
                            </w:r>
                            <w:r>
                              <w:rPr>
                                <w:b/>
                                <w:smallCaps w:val="0"/>
                                <w:color w:val="FFFFFF"/>
                                <w:sz w:val="18"/>
                              </w:rPr>
                              <w:t>κύρ</w:t>
                            </w:r>
                            <w:r>
                              <w:rPr>
                                <w:b/>
                                <w:smallCaps/>
                                <w:color w:val="FFFFFF"/>
                                <w:sz w:val="18"/>
                              </w:rPr>
                              <w:t>ι</w:t>
                            </w:r>
                            <w:r>
                              <w:rPr>
                                <w:b/>
                                <w:smallCaps w:val="0"/>
                                <w:color w:val="FFFFFF"/>
                                <w:sz w:val="18"/>
                              </w:rPr>
                              <w:t>ες</w:t>
                            </w:r>
                            <w:r>
                              <w:rPr>
                                <w:b/>
                                <w:smallCaps w:val="0"/>
                                <w:color w:val="FFFFFF"/>
                                <w:spacing w:val="-2"/>
                                <w:sz w:val="18"/>
                              </w:rPr>
                              <w:t> </w:t>
                            </w:r>
                            <w:r>
                              <w:rPr>
                                <w:b/>
                                <w:smallCaps w:val="0"/>
                                <w:color w:val="FFFFFF"/>
                                <w:sz w:val="18"/>
                              </w:rPr>
                              <w:t>συν</w:t>
                            </w:r>
                            <w:r>
                              <w:rPr>
                                <w:b/>
                                <w:smallCaps/>
                                <w:color w:val="FFFFFF"/>
                                <w:sz w:val="18"/>
                              </w:rPr>
                              <w:t>ι</w:t>
                            </w:r>
                            <w:r>
                              <w:rPr>
                                <w:b/>
                                <w:smallCaps w:val="0"/>
                                <w:color w:val="FFFFFF"/>
                                <w:sz w:val="18"/>
                              </w:rPr>
                              <w:t>στώσες</w:t>
                            </w:r>
                            <w:r>
                              <w:rPr>
                                <w:b/>
                                <w:smallCaps w:val="0"/>
                                <w:color w:val="FFFFFF"/>
                                <w:spacing w:val="-4"/>
                                <w:sz w:val="18"/>
                              </w:rPr>
                              <w:t> </w:t>
                            </w:r>
                            <w:r>
                              <w:rPr>
                                <w:b/>
                                <w:smallCaps w:val="0"/>
                                <w:color w:val="FFFFFF"/>
                                <w:sz w:val="18"/>
                              </w:rPr>
                              <w:t>του</w:t>
                            </w:r>
                            <w:r>
                              <w:rPr>
                                <w:b/>
                                <w:smallCaps w:val="0"/>
                                <w:color w:val="FFFFFF"/>
                                <w:spacing w:val="-2"/>
                                <w:sz w:val="18"/>
                              </w:rPr>
                              <w:t> </w:t>
                            </w:r>
                            <w:r>
                              <w:rPr>
                                <w:b/>
                                <w:smallCaps w:val="0"/>
                                <w:color w:val="FFFFFF"/>
                                <w:sz w:val="18"/>
                              </w:rPr>
                              <w:t>(2022</w:t>
                            </w:r>
                            <w:r>
                              <w:rPr>
                                <w:b/>
                                <w:smallCaps w:val="0"/>
                                <w:color w:val="FFFFFF"/>
                                <w:spacing w:val="-1"/>
                                <w:sz w:val="18"/>
                              </w:rPr>
                              <w:t> </w:t>
                            </w:r>
                            <w:r>
                              <w:rPr>
                                <w:b/>
                                <w:smallCaps w:val="0"/>
                                <w:color w:val="FFFFFF"/>
                                <w:sz w:val="18"/>
                              </w:rPr>
                              <w:t>-</w:t>
                            </w:r>
                            <w:r>
                              <w:rPr>
                                <w:b/>
                                <w:smallCaps w:val="0"/>
                                <w:color w:val="FFFFFF"/>
                                <w:spacing w:val="-3"/>
                                <w:sz w:val="18"/>
                              </w:rPr>
                              <w:t> </w:t>
                            </w:r>
                            <w:r>
                              <w:rPr>
                                <w:b/>
                                <w:smallCaps w:val="0"/>
                                <w:color w:val="FFFFFF"/>
                                <w:spacing w:val="-2"/>
                                <w:sz w:val="18"/>
                              </w:rPr>
                              <w:t>2025)</w:t>
                            </w:r>
                          </w:p>
                        </w:txbxContent>
                      </wps:txbx>
                      <wps:bodyPr wrap="square" lIns="0" tIns="0" rIns="0" bIns="0" rtlCol="0">
                        <a:noAutofit/>
                      </wps:bodyPr>
                    </wps:wsp>
                  </a:graphicData>
                </a:graphic>
              </wp:anchor>
            </w:drawing>
          </mc:Choice>
          <mc:Fallback>
            <w:pict>
              <v:shape style="position:absolute;margin-left:79.463997pt;margin-top:97.940384pt;width:425.25pt;height:16.95pt;mso-position-horizontal-relative:page;mso-position-vertical-relative:paragraph;z-index:-15726592;mso-wrap-distance-left:0;mso-wrap-distance-right:0" type="#_x0000_t202" id="docshape22" filled="true" fillcolor="#1f487c" stroked="false">
                <v:textbox inset="0,0,0,0">
                  <w:txbxContent>
                    <w:p>
                      <w:pPr>
                        <w:spacing w:before="64"/>
                        <w:ind w:left="220" w:right="0" w:firstLine="0"/>
                        <w:jc w:val="left"/>
                        <w:rPr>
                          <w:b/>
                          <w:color w:val="000000"/>
                          <w:sz w:val="18"/>
                        </w:rPr>
                      </w:pPr>
                      <w:r>
                        <w:rPr>
                          <w:b/>
                          <w:color w:val="FFFFFF"/>
                          <w:sz w:val="18"/>
                        </w:rPr>
                        <w:t>Πίνακας</w:t>
                      </w:r>
                      <w:r>
                        <w:rPr>
                          <w:b/>
                          <w:color w:val="FFFFFF"/>
                          <w:spacing w:val="-1"/>
                          <w:sz w:val="18"/>
                        </w:rPr>
                        <w:t> </w:t>
                      </w:r>
                      <w:r>
                        <w:rPr>
                          <w:b/>
                          <w:color w:val="FFFFFF"/>
                          <w:sz w:val="18"/>
                        </w:rPr>
                        <w:t>II.1</w:t>
                      </w:r>
                      <w:r>
                        <w:rPr>
                          <w:b/>
                          <w:color w:val="FFFFFF"/>
                          <w:spacing w:val="-4"/>
                          <w:sz w:val="18"/>
                        </w:rPr>
                        <w:t> </w:t>
                      </w:r>
                      <w:r>
                        <w:rPr>
                          <w:b/>
                          <w:color w:val="FFFFFF"/>
                          <w:sz w:val="18"/>
                        </w:rPr>
                        <w:t>Το</w:t>
                      </w:r>
                      <w:r>
                        <w:rPr>
                          <w:b/>
                          <w:color w:val="FFFFFF"/>
                          <w:spacing w:val="-1"/>
                          <w:sz w:val="18"/>
                        </w:rPr>
                        <w:t> </w:t>
                      </w:r>
                      <w:r>
                        <w:rPr>
                          <w:b/>
                          <w:color w:val="FFFFFF"/>
                          <w:sz w:val="18"/>
                        </w:rPr>
                        <w:t>ΑΕΠ</w:t>
                      </w:r>
                      <w:r>
                        <w:rPr>
                          <w:b/>
                          <w:color w:val="FFFFFF"/>
                          <w:spacing w:val="-7"/>
                          <w:sz w:val="18"/>
                        </w:rPr>
                        <w:t> </w:t>
                      </w:r>
                      <w:r>
                        <w:rPr>
                          <w:b/>
                          <w:color w:val="FFFFFF"/>
                          <w:sz w:val="18"/>
                        </w:rPr>
                        <w:t>κα</w:t>
                      </w:r>
                      <w:r>
                        <w:rPr>
                          <w:b/>
                          <w:smallCaps/>
                          <w:color w:val="FFFFFF"/>
                          <w:sz w:val="18"/>
                        </w:rPr>
                        <w:t>ι</w:t>
                      </w:r>
                      <w:r>
                        <w:rPr>
                          <w:b/>
                          <w:smallCaps w:val="0"/>
                          <w:color w:val="FFFFFF"/>
                          <w:spacing w:val="-2"/>
                          <w:sz w:val="18"/>
                        </w:rPr>
                        <w:t> </w:t>
                      </w:r>
                      <w:r>
                        <w:rPr>
                          <w:b/>
                          <w:smallCaps/>
                          <w:color w:val="FFFFFF"/>
                          <w:sz w:val="18"/>
                        </w:rPr>
                        <w:t>οι</w:t>
                      </w:r>
                      <w:r>
                        <w:rPr>
                          <w:b/>
                          <w:smallCaps w:val="0"/>
                          <w:color w:val="FFFFFF"/>
                          <w:spacing w:val="-6"/>
                          <w:sz w:val="18"/>
                        </w:rPr>
                        <w:t> </w:t>
                      </w:r>
                      <w:r>
                        <w:rPr>
                          <w:b/>
                          <w:smallCaps w:val="0"/>
                          <w:color w:val="FFFFFF"/>
                          <w:sz w:val="18"/>
                        </w:rPr>
                        <w:t>κύρ</w:t>
                      </w:r>
                      <w:r>
                        <w:rPr>
                          <w:b/>
                          <w:smallCaps/>
                          <w:color w:val="FFFFFF"/>
                          <w:sz w:val="18"/>
                        </w:rPr>
                        <w:t>ι</w:t>
                      </w:r>
                      <w:r>
                        <w:rPr>
                          <w:b/>
                          <w:smallCaps w:val="0"/>
                          <w:color w:val="FFFFFF"/>
                          <w:sz w:val="18"/>
                        </w:rPr>
                        <w:t>ες</w:t>
                      </w:r>
                      <w:r>
                        <w:rPr>
                          <w:b/>
                          <w:smallCaps w:val="0"/>
                          <w:color w:val="FFFFFF"/>
                          <w:spacing w:val="-2"/>
                          <w:sz w:val="18"/>
                        </w:rPr>
                        <w:t> </w:t>
                      </w:r>
                      <w:r>
                        <w:rPr>
                          <w:b/>
                          <w:smallCaps w:val="0"/>
                          <w:color w:val="FFFFFF"/>
                          <w:sz w:val="18"/>
                        </w:rPr>
                        <w:t>συν</w:t>
                      </w:r>
                      <w:r>
                        <w:rPr>
                          <w:b/>
                          <w:smallCaps/>
                          <w:color w:val="FFFFFF"/>
                          <w:sz w:val="18"/>
                        </w:rPr>
                        <w:t>ι</w:t>
                      </w:r>
                      <w:r>
                        <w:rPr>
                          <w:b/>
                          <w:smallCaps w:val="0"/>
                          <w:color w:val="FFFFFF"/>
                          <w:sz w:val="18"/>
                        </w:rPr>
                        <w:t>στώσες</w:t>
                      </w:r>
                      <w:r>
                        <w:rPr>
                          <w:b/>
                          <w:smallCaps w:val="0"/>
                          <w:color w:val="FFFFFF"/>
                          <w:spacing w:val="-4"/>
                          <w:sz w:val="18"/>
                        </w:rPr>
                        <w:t> </w:t>
                      </w:r>
                      <w:r>
                        <w:rPr>
                          <w:b/>
                          <w:smallCaps w:val="0"/>
                          <w:color w:val="FFFFFF"/>
                          <w:sz w:val="18"/>
                        </w:rPr>
                        <w:t>του</w:t>
                      </w:r>
                      <w:r>
                        <w:rPr>
                          <w:b/>
                          <w:smallCaps w:val="0"/>
                          <w:color w:val="FFFFFF"/>
                          <w:spacing w:val="-2"/>
                          <w:sz w:val="18"/>
                        </w:rPr>
                        <w:t> </w:t>
                      </w:r>
                      <w:r>
                        <w:rPr>
                          <w:b/>
                          <w:smallCaps w:val="0"/>
                          <w:color w:val="FFFFFF"/>
                          <w:sz w:val="18"/>
                        </w:rPr>
                        <w:t>(2022</w:t>
                      </w:r>
                      <w:r>
                        <w:rPr>
                          <w:b/>
                          <w:smallCaps w:val="0"/>
                          <w:color w:val="FFFFFF"/>
                          <w:spacing w:val="-1"/>
                          <w:sz w:val="18"/>
                        </w:rPr>
                        <w:t> </w:t>
                      </w:r>
                      <w:r>
                        <w:rPr>
                          <w:b/>
                          <w:smallCaps w:val="0"/>
                          <w:color w:val="FFFFFF"/>
                          <w:sz w:val="18"/>
                        </w:rPr>
                        <w:t>-</w:t>
                      </w:r>
                      <w:r>
                        <w:rPr>
                          <w:b/>
                          <w:smallCaps w:val="0"/>
                          <w:color w:val="FFFFFF"/>
                          <w:spacing w:val="-3"/>
                          <w:sz w:val="18"/>
                        </w:rPr>
                        <w:t> </w:t>
                      </w:r>
                      <w:r>
                        <w:rPr>
                          <w:b/>
                          <w:smallCaps w:val="0"/>
                          <w:color w:val="FFFFFF"/>
                          <w:spacing w:val="-2"/>
                          <w:sz w:val="18"/>
                        </w:rPr>
                        <w:t>2025)</w:t>
                      </w:r>
                    </w:p>
                  </w:txbxContent>
                </v:textbox>
                <v:fill type="solid"/>
                <w10:wrap type="topAndBottom"/>
              </v:shape>
            </w:pict>
          </mc:Fallback>
        </mc:AlternateContent>
      </w:r>
      <w:r>
        <w:rPr/>
        <w:t>Οι επιχειρηματικές προσδοκίες παρέμειναν και το 2025 σε υψηλότερο επίπεδο σε σχέση με τον μέσο</w:t>
      </w:r>
      <w:r>
        <w:rPr>
          <w:spacing w:val="-12"/>
        </w:rPr>
        <w:t> </w:t>
      </w:r>
      <w:r>
        <w:rPr/>
        <w:t>όρο</w:t>
      </w:r>
      <w:r>
        <w:rPr>
          <w:spacing w:val="-9"/>
        </w:rPr>
        <w:t> </w:t>
      </w:r>
      <w:r>
        <w:rPr/>
        <w:t>της</w:t>
      </w:r>
      <w:r>
        <w:rPr>
          <w:spacing w:val="-13"/>
        </w:rPr>
        <w:t> </w:t>
      </w:r>
      <w:r>
        <w:rPr/>
        <w:t>ευρωζώνης,</w:t>
      </w:r>
      <w:r>
        <w:rPr>
          <w:spacing w:val="-10"/>
        </w:rPr>
        <w:t> </w:t>
      </w:r>
      <w:r>
        <w:rPr/>
        <w:t>ενώ</w:t>
      </w:r>
      <w:r>
        <w:rPr>
          <w:spacing w:val="-11"/>
        </w:rPr>
        <w:t> </w:t>
      </w:r>
      <w:r>
        <w:rPr/>
        <w:t>ο</w:t>
      </w:r>
      <w:r>
        <w:rPr>
          <w:spacing w:val="-10"/>
        </w:rPr>
        <w:t> </w:t>
      </w:r>
      <w:r>
        <w:rPr/>
        <w:t>δείκτης</w:t>
      </w:r>
      <w:r>
        <w:rPr>
          <w:spacing w:val="-11"/>
        </w:rPr>
        <w:t> </w:t>
      </w:r>
      <w:r>
        <w:rPr/>
        <w:t>καταναλωτικής</w:t>
      </w:r>
      <w:r>
        <w:rPr>
          <w:spacing w:val="-11"/>
        </w:rPr>
        <w:t> </w:t>
      </w:r>
      <w:r>
        <w:rPr/>
        <w:t>εμπιστοσύνης</w:t>
      </w:r>
      <w:r>
        <w:rPr>
          <w:spacing w:val="-11"/>
        </w:rPr>
        <w:t> </w:t>
      </w:r>
      <w:r>
        <w:rPr/>
        <w:t>διαμορφώθηκε</w:t>
      </w:r>
      <w:r>
        <w:rPr>
          <w:spacing w:val="-9"/>
        </w:rPr>
        <w:t> </w:t>
      </w:r>
      <w:r>
        <w:rPr/>
        <w:t>σε</w:t>
      </w:r>
      <w:r>
        <w:rPr>
          <w:spacing w:val="-9"/>
        </w:rPr>
        <w:t> </w:t>
      </w:r>
      <w:r>
        <w:rPr/>
        <w:t>χαμηλά επίπεδα, αντίστοιχα με του 2024, εξαιτίας της επιδείνωσης των προσδοκιών για τη γενική οικο-νομική</w:t>
      </w:r>
      <w:r>
        <w:rPr>
          <w:spacing w:val="-14"/>
        </w:rPr>
        <w:t> </w:t>
      </w:r>
      <w:r>
        <w:rPr/>
        <w:t>κατάσταση</w:t>
      </w:r>
      <w:r>
        <w:rPr>
          <w:spacing w:val="-14"/>
        </w:rPr>
        <w:t> </w:t>
      </w:r>
      <w:r>
        <w:rPr/>
        <w:t>της</w:t>
      </w:r>
      <w:r>
        <w:rPr>
          <w:spacing w:val="-14"/>
        </w:rPr>
        <w:t> </w:t>
      </w:r>
      <w:r>
        <w:rPr/>
        <w:t>χώρας</w:t>
      </w:r>
      <w:r>
        <w:rPr>
          <w:spacing w:val="-13"/>
        </w:rPr>
        <w:t> </w:t>
      </w:r>
      <w:r>
        <w:rPr/>
        <w:t>και</w:t>
      </w:r>
      <w:r>
        <w:rPr>
          <w:spacing w:val="-14"/>
        </w:rPr>
        <w:t> </w:t>
      </w:r>
      <w:r>
        <w:rPr/>
        <w:t>τη</w:t>
      </w:r>
      <w:r>
        <w:rPr>
          <w:spacing w:val="-14"/>
        </w:rPr>
        <w:t> </w:t>
      </w:r>
      <w:r>
        <w:rPr/>
        <w:t>χρηματοοικονομική</w:t>
      </w:r>
      <w:r>
        <w:rPr>
          <w:spacing w:val="-14"/>
        </w:rPr>
        <w:t> </w:t>
      </w:r>
      <w:r>
        <w:rPr/>
        <w:t>κατάσταση</w:t>
      </w:r>
      <w:r>
        <w:rPr>
          <w:spacing w:val="-13"/>
        </w:rPr>
        <w:t> </w:t>
      </w:r>
      <w:r>
        <w:rPr/>
        <w:t>των</w:t>
      </w:r>
      <w:r>
        <w:rPr>
          <w:spacing w:val="-14"/>
        </w:rPr>
        <w:t> </w:t>
      </w:r>
      <w:r>
        <w:rPr/>
        <w:t>νοικοκυριών.</w:t>
      </w:r>
      <w:r>
        <w:rPr>
          <w:spacing w:val="-14"/>
        </w:rPr>
        <w:t> </w:t>
      </w:r>
      <w:r>
        <w:rPr/>
        <w:t>Ο</w:t>
      </w:r>
      <w:r>
        <w:rPr>
          <w:spacing w:val="-14"/>
        </w:rPr>
        <w:t> </w:t>
      </w:r>
      <w:r>
        <w:rPr/>
        <w:t>Δείκτης Υπευθύνων Προμηθειών (PMI) υποδηλώνει ισχυρή άνοδο της μεταποιητικής παραγωγής για το 2025, παραμένοντας σε σαφώς υψηλότερο επίπεδο σε σχέση με τον μέσο όρο της ευρωζώνης.</w:t>
      </w:r>
    </w:p>
    <w:p>
      <w:pPr>
        <w:spacing w:before="119"/>
        <w:ind w:left="337" w:right="0" w:firstLine="0"/>
        <w:jc w:val="left"/>
        <w:rPr>
          <w:sz w:val="14"/>
        </w:rPr>
      </w:pPr>
      <w:r>
        <w:rPr>
          <w:color w:val="1F487C"/>
          <w:sz w:val="14"/>
        </w:rPr>
        <w:t>(Ποσοστιαίες</w:t>
      </w:r>
      <w:r>
        <w:rPr>
          <w:color w:val="1F487C"/>
          <w:spacing w:val="-9"/>
          <w:sz w:val="14"/>
        </w:rPr>
        <w:t> </w:t>
      </w:r>
      <w:r>
        <w:rPr>
          <w:color w:val="1F487C"/>
          <w:spacing w:val="-2"/>
          <w:sz w:val="14"/>
        </w:rPr>
        <w:t>μεταβολές)</w:t>
      </w:r>
    </w:p>
    <w:p>
      <w:pPr>
        <w:pStyle w:val="BodyText"/>
        <w:spacing w:before="3"/>
        <w:rPr>
          <w:sz w:val="5"/>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40"/>
        <w:gridCol w:w="732"/>
        <w:gridCol w:w="715"/>
        <w:gridCol w:w="665"/>
        <w:gridCol w:w="675"/>
        <w:gridCol w:w="711"/>
        <w:gridCol w:w="695"/>
        <w:gridCol w:w="687"/>
        <w:gridCol w:w="686"/>
      </w:tblGrid>
      <w:tr>
        <w:trPr>
          <w:trHeight w:val="415" w:hRule="atLeast"/>
        </w:trPr>
        <w:tc>
          <w:tcPr>
            <w:tcW w:w="2940" w:type="dxa"/>
            <w:shd w:val="clear" w:color="auto" w:fill="C0C0C0"/>
          </w:tcPr>
          <w:p>
            <w:pPr>
              <w:pStyle w:val="TableParagraph"/>
              <w:rPr>
                <w:sz w:val="20"/>
              </w:rPr>
            </w:pPr>
          </w:p>
        </w:tc>
        <w:tc>
          <w:tcPr>
            <w:tcW w:w="732" w:type="dxa"/>
            <w:shd w:val="clear" w:color="auto" w:fill="C0C0C0"/>
          </w:tcPr>
          <w:p>
            <w:pPr>
              <w:pStyle w:val="TableParagraph"/>
              <w:spacing w:before="105"/>
              <w:ind w:left="19" w:right="1"/>
              <w:jc w:val="center"/>
              <w:rPr>
                <w:b/>
                <w:sz w:val="18"/>
              </w:rPr>
            </w:pPr>
            <w:r>
              <w:rPr>
                <w:b/>
                <w:color w:val="1F487C"/>
                <w:spacing w:val="-4"/>
                <w:sz w:val="18"/>
              </w:rPr>
              <w:t>2022</w:t>
            </w:r>
          </w:p>
        </w:tc>
        <w:tc>
          <w:tcPr>
            <w:tcW w:w="715" w:type="dxa"/>
            <w:shd w:val="clear" w:color="auto" w:fill="C0C0C0"/>
          </w:tcPr>
          <w:p>
            <w:pPr>
              <w:pStyle w:val="TableParagraph"/>
              <w:spacing w:before="105"/>
              <w:ind w:left="216"/>
              <w:rPr>
                <w:b/>
                <w:sz w:val="18"/>
              </w:rPr>
            </w:pPr>
            <w:r>
              <w:rPr>
                <w:b/>
                <w:color w:val="1F487C"/>
                <w:spacing w:val="-4"/>
                <w:sz w:val="18"/>
              </w:rPr>
              <w:t>2023</w:t>
            </w:r>
          </w:p>
        </w:tc>
        <w:tc>
          <w:tcPr>
            <w:tcW w:w="665" w:type="dxa"/>
            <w:shd w:val="clear" w:color="auto" w:fill="C0C0C0"/>
          </w:tcPr>
          <w:p>
            <w:pPr>
              <w:pStyle w:val="TableParagraph"/>
              <w:spacing w:before="105"/>
              <w:ind w:right="164"/>
              <w:jc w:val="right"/>
              <w:rPr>
                <w:b/>
                <w:sz w:val="18"/>
              </w:rPr>
            </w:pPr>
            <w:r>
              <w:rPr>
                <w:b/>
                <w:color w:val="1F487C"/>
                <w:spacing w:val="-4"/>
                <w:sz w:val="18"/>
              </w:rPr>
              <w:t>2024</w:t>
            </w:r>
          </w:p>
        </w:tc>
        <w:tc>
          <w:tcPr>
            <w:tcW w:w="675" w:type="dxa"/>
            <w:shd w:val="clear" w:color="auto" w:fill="C0C0C0"/>
          </w:tcPr>
          <w:p>
            <w:pPr>
              <w:pStyle w:val="TableParagraph"/>
              <w:spacing w:before="105"/>
              <w:ind w:left="18"/>
              <w:jc w:val="center"/>
              <w:rPr>
                <w:b/>
                <w:sz w:val="18"/>
              </w:rPr>
            </w:pPr>
            <w:r>
              <w:rPr>
                <w:b/>
                <w:color w:val="1F487C"/>
                <w:spacing w:val="-4"/>
                <w:sz w:val="18"/>
              </w:rPr>
              <w:t>2025</w:t>
            </w:r>
          </w:p>
        </w:tc>
        <w:tc>
          <w:tcPr>
            <w:tcW w:w="711" w:type="dxa"/>
            <w:shd w:val="clear" w:color="auto" w:fill="C0C0C0"/>
          </w:tcPr>
          <w:p>
            <w:pPr>
              <w:pStyle w:val="TableParagraph"/>
              <w:ind w:left="146"/>
              <w:rPr>
                <w:b/>
                <w:sz w:val="18"/>
              </w:rPr>
            </w:pPr>
            <w:r>
              <w:rPr>
                <w:b/>
                <w:color w:val="1F487C"/>
                <w:sz w:val="18"/>
              </w:rPr>
              <w:t>α΄ </w:t>
            </w:r>
            <w:r>
              <w:rPr>
                <w:b/>
                <w:color w:val="1F487C"/>
                <w:spacing w:val="-5"/>
                <w:sz w:val="18"/>
              </w:rPr>
              <w:t>τρ.</w:t>
            </w:r>
          </w:p>
          <w:p>
            <w:pPr>
              <w:pStyle w:val="TableParagraph"/>
              <w:spacing w:line="186" w:lineRule="exact" w:before="1"/>
              <w:ind w:left="182"/>
              <w:rPr>
                <w:b/>
                <w:sz w:val="18"/>
              </w:rPr>
            </w:pPr>
            <w:r>
              <w:rPr>
                <w:b/>
                <w:color w:val="1F487C"/>
                <w:spacing w:val="-4"/>
                <w:sz w:val="18"/>
              </w:rPr>
              <w:t>2025</w:t>
            </w:r>
          </w:p>
        </w:tc>
        <w:tc>
          <w:tcPr>
            <w:tcW w:w="695" w:type="dxa"/>
            <w:shd w:val="clear" w:color="auto" w:fill="C0C0C0"/>
          </w:tcPr>
          <w:p>
            <w:pPr>
              <w:pStyle w:val="TableParagraph"/>
              <w:ind w:left="131"/>
              <w:rPr>
                <w:b/>
                <w:sz w:val="18"/>
              </w:rPr>
            </w:pPr>
            <w:r>
              <w:rPr>
                <w:b/>
                <w:color w:val="1F487C"/>
                <w:sz w:val="18"/>
              </w:rPr>
              <w:t>β΄</w:t>
            </w:r>
            <w:r>
              <w:rPr>
                <w:b/>
                <w:color w:val="1F487C"/>
                <w:spacing w:val="1"/>
                <w:sz w:val="18"/>
              </w:rPr>
              <w:t> </w:t>
            </w:r>
            <w:r>
              <w:rPr>
                <w:b/>
                <w:color w:val="1F487C"/>
                <w:spacing w:val="-5"/>
                <w:sz w:val="18"/>
              </w:rPr>
              <w:t>τρ.</w:t>
            </w:r>
          </w:p>
          <w:p>
            <w:pPr>
              <w:pStyle w:val="TableParagraph"/>
              <w:spacing w:line="186" w:lineRule="exact" w:before="1"/>
              <w:ind w:left="162"/>
              <w:rPr>
                <w:b/>
                <w:sz w:val="18"/>
              </w:rPr>
            </w:pPr>
            <w:r>
              <w:rPr>
                <w:b/>
                <w:color w:val="1F487C"/>
                <w:spacing w:val="-4"/>
                <w:sz w:val="18"/>
              </w:rPr>
              <w:t>2025</w:t>
            </w:r>
          </w:p>
        </w:tc>
        <w:tc>
          <w:tcPr>
            <w:tcW w:w="687" w:type="dxa"/>
            <w:shd w:val="clear" w:color="auto" w:fill="C0C0C0"/>
          </w:tcPr>
          <w:p>
            <w:pPr>
              <w:pStyle w:val="TableParagraph"/>
              <w:ind w:left="135"/>
              <w:rPr>
                <w:b/>
                <w:sz w:val="18"/>
              </w:rPr>
            </w:pPr>
            <w:r>
              <w:rPr>
                <w:b/>
                <w:color w:val="1F487C"/>
                <w:sz w:val="18"/>
              </w:rPr>
              <w:t>γ΄</w:t>
            </w:r>
            <w:r>
              <w:rPr>
                <w:b/>
                <w:color w:val="1F487C"/>
                <w:spacing w:val="-1"/>
                <w:sz w:val="18"/>
              </w:rPr>
              <w:t> </w:t>
            </w:r>
            <w:r>
              <w:rPr>
                <w:b/>
                <w:color w:val="1F487C"/>
                <w:spacing w:val="-5"/>
                <w:sz w:val="18"/>
              </w:rPr>
              <w:t>τρ.</w:t>
            </w:r>
          </w:p>
          <w:p>
            <w:pPr>
              <w:pStyle w:val="TableParagraph"/>
              <w:spacing w:line="186" w:lineRule="exact" w:before="1"/>
              <w:ind w:left="161"/>
              <w:rPr>
                <w:b/>
                <w:sz w:val="18"/>
              </w:rPr>
            </w:pPr>
            <w:r>
              <w:rPr>
                <w:b/>
                <w:color w:val="1F487C"/>
                <w:spacing w:val="-4"/>
                <w:sz w:val="18"/>
              </w:rPr>
              <w:t>2025</w:t>
            </w:r>
          </w:p>
        </w:tc>
        <w:tc>
          <w:tcPr>
            <w:tcW w:w="686" w:type="dxa"/>
            <w:shd w:val="clear" w:color="auto" w:fill="C0C0C0"/>
          </w:tcPr>
          <w:p>
            <w:pPr>
              <w:pStyle w:val="TableParagraph"/>
              <w:ind w:left="135"/>
              <w:rPr>
                <w:b/>
                <w:sz w:val="18"/>
              </w:rPr>
            </w:pPr>
            <w:r>
              <w:rPr>
                <w:b/>
                <w:color w:val="1F487C"/>
                <w:sz w:val="18"/>
              </w:rPr>
              <w:t>δ΄ </w:t>
            </w:r>
            <w:r>
              <w:rPr>
                <w:b/>
                <w:color w:val="1F487C"/>
                <w:spacing w:val="-5"/>
                <w:sz w:val="18"/>
              </w:rPr>
              <w:t>τρ.</w:t>
            </w:r>
          </w:p>
          <w:p>
            <w:pPr>
              <w:pStyle w:val="TableParagraph"/>
              <w:spacing w:line="186" w:lineRule="exact" w:before="1"/>
              <w:ind w:left="166"/>
              <w:rPr>
                <w:b/>
                <w:sz w:val="18"/>
              </w:rPr>
            </w:pPr>
            <w:r>
              <w:rPr>
                <w:b/>
                <w:color w:val="1F487C"/>
                <w:spacing w:val="-4"/>
                <w:sz w:val="18"/>
              </w:rPr>
              <w:t>2025</w:t>
            </w:r>
          </w:p>
        </w:tc>
      </w:tr>
      <w:tr>
        <w:trPr>
          <w:trHeight w:val="417" w:hRule="atLeast"/>
        </w:trPr>
        <w:tc>
          <w:tcPr>
            <w:tcW w:w="2940" w:type="dxa"/>
            <w:shd w:val="clear" w:color="auto" w:fill="D9D9D9"/>
          </w:tcPr>
          <w:p>
            <w:pPr>
              <w:pStyle w:val="TableParagraph"/>
              <w:spacing w:before="105"/>
              <w:ind w:left="108"/>
              <w:rPr>
                <w:sz w:val="18"/>
              </w:rPr>
            </w:pPr>
            <w:r>
              <w:rPr>
                <w:sz w:val="18"/>
              </w:rPr>
              <w:t>Ιδιωτική</w:t>
            </w:r>
            <w:r>
              <w:rPr>
                <w:spacing w:val="-6"/>
                <w:sz w:val="18"/>
              </w:rPr>
              <w:t> </w:t>
            </w:r>
            <w:r>
              <w:rPr>
                <w:spacing w:val="-2"/>
                <w:sz w:val="18"/>
              </w:rPr>
              <w:t>κατανάλωση</w:t>
            </w:r>
          </w:p>
        </w:tc>
        <w:tc>
          <w:tcPr>
            <w:tcW w:w="732" w:type="dxa"/>
            <w:shd w:val="clear" w:color="auto" w:fill="D9D9D9"/>
          </w:tcPr>
          <w:p>
            <w:pPr>
              <w:pStyle w:val="TableParagraph"/>
              <w:spacing w:before="105"/>
              <w:ind w:left="19"/>
              <w:jc w:val="center"/>
              <w:rPr>
                <w:sz w:val="18"/>
              </w:rPr>
            </w:pPr>
            <w:r>
              <w:rPr>
                <w:spacing w:val="-5"/>
                <w:sz w:val="18"/>
              </w:rPr>
              <w:t>9,3</w:t>
            </w:r>
          </w:p>
        </w:tc>
        <w:tc>
          <w:tcPr>
            <w:tcW w:w="715" w:type="dxa"/>
            <w:shd w:val="clear" w:color="auto" w:fill="D9D9D9"/>
          </w:tcPr>
          <w:p>
            <w:pPr>
              <w:pStyle w:val="TableParagraph"/>
              <w:spacing w:before="105"/>
              <w:ind w:left="221"/>
              <w:rPr>
                <w:sz w:val="18"/>
              </w:rPr>
            </w:pPr>
            <w:r>
              <w:rPr>
                <w:spacing w:val="-5"/>
                <w:sz w:val="18"/>
              </w:rPr>
              <w:t>2,3</w:t>
            </w:r>
          </w:p>
        </w:tc>
        <w:tc>
          <w:tcPr>
            <w:tcW w:w="665" w:type="dxa"/>
            <w:shd w:val="clear" w:color="auto" w:fill="D9D9D9"/>
          </w:tcPr>
          <w:p>
            <w:pPr>
              <w:pStyle w:val="TableParagraph"/>
              <w:spacing w:before="105"/>
              <w:ind w:right="238"/>
              <w:jc w:val="right"/>
              <w:rPr>
                <w:sz w:val="18"/>
              </w:rPr>
            </w:pPr>
            <w:r>
              <w:rPr>
                <w:spacing w:val="-5"/>
                <w:sz w:val="18"/>
              </w:rPr>
              <w:t>2,4</w:t>
            </w:r>
          </w:p>
        </w:tc>
        <w:tc>
          <w:tcPr>
            <w:tcW w:w="675" w:type="dxa"/>
            <w:shd w:val="clear" w:color="auto" w:fill="D9D9D9"/>
          </w:tcPr>
          <w:p>
            <w:pPr>
              <w:pStyle w:val="TableParagraph"/>
              <w:spacing w:before="105"/>
              <w:ind w:left="4"/>
              <w:jc w:val="center"/>
              <w:rPr>
                <w:sz w:val="18"/>
              </w:rPr>
            </w:pPr>
            <w:r>
              <w:rPr>
                <w:spacing w:val="-5"/>
                <w:sz w:val="18"/>
              </w:rPr>
              <w:t>2,0</w:t>
            </w:r>
          </w:p>
        </w:tc>
        <w:tc>
          <w:tcPr>
            <w:tcW w:w="711" w:type="dxa"/>
            <w:shd w:val="clear" w:color="auto" w:fill="D9D9D9"/>
          </w:tcPr>
          <w:p>
            <w:pPr>
              <w:pStyle w:val="TableParagraph"/>
              <w:spacing w:before="105"/>
              <w:ind w:left="2" w:right="1"/>
              <w:jc w:val="center"/>
              <w:rPr>
                <w:sz w:val="18"/>
              </w:rPr>
            </w:pPr>
            <w:r>
              <w:rPr>
                <w:spacing w:val="-5"/>
                <w:sz w:val="18"/>
              </w:rPr>
              <w:t>2,6</w:t>
            </w:r>
          </w:p>
        </w:tc>
        <w:tc>
          <w:tcPr>
            <w:tcW w:w="695" w:type="dxa"/>
            <w:shd w:val="clear" w:color="auto" w:fill="D9D9D9"/>
          </w:tcPr>
          <w:p>
            <w:pPr>
              <w:pStyle w:val="TableParagraph"/>
              <w:spacing w:before="105"/>
              <w:ind w:right="20"/>
              <w:jc w:val="center"/>
              <w:rPr>
                <w:sz w:val="18"/>
              </w:rPr>
            </w:pPr>
            <w:r>
              <w:rPr>
                <w:spacing w:val="-5"/>
                <w:sz w:val="18"/>
              </w:rPr>
              <w:t>1,2</w:t>
            </w:r>
          </w:p>
        </w:tc>
        <w:tc>
          <w:tcPr>
            <w:tcW w:w="687" w:type="dxa"/>
            <w:shd w:val="clear" w:color="auto" w:fill="D9D9D9"/>
          </w:tcPr>
          <w:p>
            <w:pPr>
              <w:pStyle w:val="TableParagraph"/>
              <w:spacing w:before="105"/>
              <w:ind w:right="15"/>
              <w:jc w:val="center"/>
              <w:rPr>
                <w:sz w:val="18"/>
              </w:rPr>
            </w:pPr>
            <w:r>
              <w:rPr>
                <w:spacing w:val="-5"/>
                <w:sz w:val="18"/>
              </w:rPr>
              <w:t>1,4</w:t>
            </w:r>
          </w:p>
        </w:tc>
        <w:tc>
          <w:tcPr>
            <w:tcW w:w="686" w:type="dxa"/>
            <w:shd w:val="clear" w:color="auto" w:fill="D9D9D9"/>
          </w:tcPr>
          <w:p>
            <w:pPr>
              <w:pStyle w:val="TableParagraph"/>
              <w:spacing w:before="105"/>
              <w:ind w:right="4"/>
              <w:jc w:val="center"/>
              <w:rPr>
                <w:sz w:val="18"/>
              </w:rPr>
            </w:pPr>
            <w:r>
              <w:rPr>
                <w:spacing w:val="-5"/>
                <w:sz w:val="18"/>
              </w:rPr>
              <w:t>2,5</w:t>
            </w:r>
          </w:p>
        </w:tc>
      </w:tr>
      <w:tr>
        <w:trPr>
          <w:trHeight w:val="376" w:hRule="atLeast"/>
        </w:trPr>
        <w:tc>
          <w:tcPr>
            <w:tcW w:w="2940" w:type="dxa"/>
            <w:shd w:val="clear" w:color="auto" w:fill="BEBEBE"/>
          </w:tcPr>
          <w:p>
            <w:pPr>
              <w:pStyle w:val="TableParagraph"/>
              <w:spacing w:before="84"/>
              <w:ind w:left="108"/>
              <w:rPr>
                <w:sz w:val="18"/>
              </w:rPr>
            </w:pPr>
            <w:r>
              <w:rPr>
                <w:sz w:val="18"/>
              </w:rPr>
              <w:t>Δημόσια</w:t>
            </w:r>
            <w:r>
              <w:rPr>
                <w:spacing w:val="-7"/>
                <w:sz w:val="18"/>
              </w:rPr>
              <w:t> </w:t>
            </w:r>
            <w:r>
              <w:rPr>
                <w:spacing w:val="-2"/>
                <w:sz w:val="18"/>
              </w:rPr>
              <w:t>δαπάνη</w:t>
            </w:r>
          </w:p>
        </w:tc>
        <w:tc>
          <w:tcPr>
            <w:tcW w:w="732" w:type="dxa"/>
            <w:shd w:val="clear" w:color="auto" w:fill="BEBEBE"/>
          </w:tcPr>
          <w:p>
            <w:pPr>
              <w:pStyle w:val="TableParagraph"/>
              <w:spacing w:before="84"/>
              <w:ind w:left="19"/>
              <w:jc w:val="center"/>
              <w:rPr>
                <w:sz w:val="18"/>
              </w:rPr>
            </w:pPr>
            <w:r>
              <w:rPr>
                <w:spacing w:val="-5"/>
                <w:sz w:val="18"/>
              </w:rPr>
              <w:t>0,0</w:t>
            </w:r>
          </w:p>
        </w:tc>
        <w:tc>
          <w:tcPr>
            <w:tcW w:w="715" w:type="dxa"/>
            <w:shd w:val="clear" w:color="auto" w:fill="BEBEBE"/>
          </w:tcPr>
          <w:p>
            <w:pPr>
              <w:pStyle w:val="TableParagraph"/>
              <w:spacing w:before="84"/>
              <w:ind w:left="221"/>
              <w:rPr>
                <w:sz w:val="18"/>
              </w:rPr>
            </w:pPr>
            <w:r>
              <w:rPr>
                <w:spacing w:val="-5"/>
                <w:sz w:val="18"/>
              </w:rPr>
              <w:t>2,8</w:t>
            </w:r>
          </w:p>
        </w:tc>
        <w:tc>
          <w:tcPr>
            <w:tcW w:w="665" w:type="dxa"/>
            <w:shd w:val="clear" w:color="auto" w:fill="BEBEBE"/>
          </w:tcPr>
          <w:p>
            <w:pPr>
              <w:pStyle w:val="TableParagraph"/>
              <w:spacing w:before="84"/>
              <w:ind w:right="209"/>
              <w:jc w:val="right"/>
              <w:rPr>
                <w:sz w:val="18"/>
              </w:rPr>
            </w:pPr>
            <w:r>
              <w:rPr>
                <w:sz w:val="18"/>
              </w:rPr>
              <w:t>-</w:t>
            </w:r>
            <w:r>
              <w:rPr>
                <w:spacing w:val="-5"/>
                <w:sz w:val="18"/>
              </w:rPr>
              <w:t>2,6</w:t>
            </w:r>
          </w:p>
        </w:tc>
        <w:tc>
          <w:tcPr>
            <w:tcW w:w="675" w:type="dxa"/>
            <w:shd w:val="clear" w:color="auto" w:fill="BEBEBE"/>
          </w:tcPr>
          <w:p>
            <w:pPr>
              <w:pStyle w:val="TableParagraph"/>
              <w:spacing w:before="84"/>
              <w:ind w:left="4"/>
              <w:jc w:val="center"/>
              <w:rPr>
                <w:sz w:val="18"/>
              </w:rPr>
            </w:pPr>
            <w:r>
              <w:rPr>
                <w:spacing w:val="-5"/>
                <w:sz w:val="18"/>
              </w:rPr>
              <w:t>0,3</w:t>
            </w:r>
          </w:p>
        </w:tc>
        <w:tc>
          <w:tcPr>
            <w:tcW w:w="711" w:type="dxa"/>
            <w:shd w:val="clear" w:color="auto" w:fill="BEBEBE"/>
          </w:tcPr>
          <w:p>
            <w:pPr>
              <w:pStyle w:val="TableParagraph"/>
              <w:spacing w:before="84"/>
              <w:ind w:left="2" w:right="1"/>
              <w:jc w:val="center"/>
              <w:rPr>
                <w:sz w:val="18"/>
              </w:rPr>
            </w:pPr>
            <w:r>
              <w:rPr>
                <w:spacing w:val="-5"/>
                <w:sz w:val="18"/>
              </w:rPr>
              <w:t>3,5</w:t>
            </w:r>
          </w:p>
        </w:tc>
        <w:tc>
          <w:tcPr>
            <w:tcW w:w="695" w:type="dxa"/>
            <w:shd w:val="clear" w:color="auto" w:fill="BEBEBE"/>
          </w:tcPr>
          <w:p>
            <w:pPr>
              <w:pStyle w:val="TableParagraph"/>
              <w:spacing w:before="84"/>
              <w:ind w:right="20"/>
              <w:jc w:val="center"/>
              <w:rPr>
                <w:sz w:val="18"/>
              </w:rPr>
            </w:pPr>
            <w:r>
              <w:rPr>
                <w:spacing w:val="-5"/>
                <w:sz w:val="18"/>
              </w:rPr>
              <w:t>0,8</w:t>
            </w:r>
          </w:p>
        </w:tc>
        <w:tc>
          <w:tcPr>
            <w:tcW w:w="687" w:type="dxa"/>
            <w:shd w:val="clear" w:color="auto" w:fill="BEBEBE"/>
          </w:tcPr>
          <w:p>
            <w:pPr>
              <w:pStyle w:val="TableParagraph"/>
              <w:spacing w:before="84"/>
              <w:ind w:right="17"/>
              <w:jc w:val="center"/>
              <w:rPr>
                <w:sz w:val="18"/>
              </w:rPr>
            </w:pPr>
            <w:r>
              <w:rPr>
                <w:sz w:val="18"/>
              </w:rPr>
              <w:t>-</w:t>
            </w:r>
            <w:r>
              <w:rPr>
                <w:spacing w:val="-5"/>
                <w:sz w:val="18"/>
              </w:rPr>
              <w:t>0,3</w:t>
            </w:r>
          </w:p>
        </w:tc>
        <w:tc>
          <w:tcPr>
            <w:tcW w:w="686" w:type="dxa"/>
            <w:shd w:val="clear" w:color="auto" w:fill="BEBEBE"/>
          </w:tcPr>
          <w:p>
            <w:pPr>
              <w:pStyle w:val="TableParagraph"/>
              <w:spacing w:before="84"/>
              <w:ind w:right="6"/>
              <w:jc w:val="center"/>
              <w:rPr>
                <w:sz w:val="18"/>
              </w:rPr>
            </w:pPr>
            <w:r>
              <w:rPr>
                <w:sz w:val="18"/>
              </w:rPr>
              <w:t>-</w:t>
            </w:r>
            <w:r>
              <w:rPr>
                <w:spacing w:val="-5"/>
                <w:sz w:val="18"/>
              </w:rPr>
              <w:t>2,2</w:t>
            </w:r>
          </w:p>
        </w:tc>
      </w:tr>
      <w:tr>
        <w:trPr>
          <w:trHeight w:val="377" w:hRule="atLeast"/>
        </w:trPr>
        <w:tc>
          <w:tcPr>
            <w:tcW w:w="2940" w:type="dxa"/>
            <w:shd w:val="clear" w:color="auto" w:fill="D9D9D9"/>
          </w:tcPr>
          <w:p>
            <w:pPr>
              <w:pStyle w:val="TableParagraph"/>
              <w:spacing w:before="87"/>
              <w:ind w:left="108"/>
              <w:rPr>
                <w:sz w:val="18"/>
              </w:rPr>
            </w:pPr>
            <w:r>
              <w:rPr>
                <w:sz w:val="18"/>
              </w:rPr>
              <w:t>Ακαθ.</w:t>
            </w:r>
            <w:r>
              <w:rPr>
                <w:spacing w:val="-3"/>
                <w:sz w:val="18"/>
              </w:rPr>
              <w:t> </w:t>
            </w:r>
            <w:r>
              <w:rPr>
                <w:sz w:val="18"/>
              </w:rPr>
              <w:t>επενδύσεις</w:t>
            </w:r>
            <w:r>
              <w:rPr>
                <w:spacing w:val="-2"/>
                <w:sz w:val="18"/>
              </w:rPr>
              <w:t> </w:t>
            </w:r>
            <w:r>
              <w:rPr>
                <w:sz w:val="18"/>
              </w:rPr>
              <w:t>πάγιου</w:t>
            </w:r>
            <w:r>
              <w:rPr>
                <w:spacing w:val="-3"/>
                <w:sz w:val="18"/>
              </w:rPr>
              <w:t> </w:t>
            </w:r>
            <w:r>
              <w:rPr>
                <w:spacing w:val="-2"/>
                <w:sz w:val="18"/>
              </w:rPr>
              <w:t>κεφαλαίου</w:t>
            </w:r>
          </w:p>
        </w:tc>
        <w:tc>
          <w:tcPr>
            <w:tcW w:w="732" w:type="dxa"/>
            <w:shd w:val="clear" w:color="auto" w:fill="D9D9D9"/>
          </w:tcPr>
          <w:p>
            <w:pPr>
              <w:pStyle w:val="TableParagraph"/>
              <w:spacing w:before="87"/>
              <w:ind w:left="19" w:right="3"/>
              <w:jc w:val="center"/>
              <w:rPr>
                <w:sz w:val="18"/>
              </w:rPr>
            </w:pPr>
            <w:r>
              <w:rPr>
                <w:spacing w:val="-4"/>
                <w:sz w:val="18"/>
              </w:rPr>
              <w:t>22,1</w:t>
            </w:r>
          </w:p>
        </w:tc>
        <w:tc>
          <w:tcPr>
            <w:tcW w:w="715" w:type="dxa"/>
            <w:shd w:val="clear" w:color="auto" w:fill="D9D9D9"/>
          </w:tcPr>
          <w:p>
            <w:pPr>
              <w:pStyle w:val="TableParagraph"/>
              <w:spacing w:before="87"/>
              <w:ind w:left="221"/>
              <w:rPr>
                <w:sz w:val="18"/>
              </w:rPr>
            </w:pPr>
            <w:r>
              <w:rPr>
                <w:spacing w:val="-5"/>
                <w:sz w:val="18"/>
              </w:rPr>
              <w:t>6,5</w:t>
            </w:r>
          </w:p>
        </w:tc>
        <w:tc>
          <w:tcPr>
            <w:tcW w:w="665" w:type="dxa"/>
            <w:shd w:val="clear" w:color="auto" w:fill="D9D9D9"/>
          </w:tcPr>
          <w:p>
            <w:pPr>
              <w:pStyle w:val="TableParagraph"/>
              <w:spacing w:before="87"/>
              <w:ind w:right="238"/>
              <w:jc w:val="right"/>
              <w:rPr>
                <w:sz w:val="18"/>
              </w:rPr>
            </w:pPr>
            <w:r>
              <w:rPr>
                <w:spacing w:val="-5"/>
                <w:sz w:val="18"/>
              </w:rPr>
              <w:t>4,5</w:t>
            </w:r>
          </w:p>
        </w:tc>
        <w:tc>
          <w:tcPr>
            <w:tcW w:w="675" w:type="dxa"/>
            <w:shd w:val="clear" w:color="auto" w:fill="D9D9D9"/>
          </w:tcPr>
          <w:p>
            <w:pPr>
              <w:pStyle w:val="TableParagraph"/>
              <w:spacing w:before="87"/>
              <w:ind w:left="4"/>
              <w:jc w:val="center"/>
              <w:rPr>
                <w:sz w:val="18"/>
              </w:rPr>
            </w:pPr>
            <w:r>
              <w:rPr>
                <w:spacing w:val="-5"/>
                <w:sz w:val="18"/>
              </w:rPr>
              <w:t>8,9</w:t>
            </w:r>
          </w:p>
        </w:tc>
        <w:tc>
          <w:tcPr>
            <w:tcW w:w="711" w:type="dxa"/>
            <w:shd w:val="clear" w:color="auto" w:fill="D9D9D9"/>
          </w:tcPr>
          <w:p>
            <w:pPr>
              <w:pStyle w:val="TableParagraph"/>
              <w:spacing w:before="87"/>
              <w:ind w:right="1"/>
              <w:jc w:val="center"/>
              <w:rPr>
                <w:sz w:val="18"/>
              </w:rPr>
            </w:pPr>
            <w:r>
              <w:rPr>
                <w:sz w:val="18"/>
              </w:rPr>
              <w:t>-</w:t>
            </w:r>
            <w:r>
              <w:rPr>
                <w:spacing w:val="-5"/>
                <w:sz w:val="18"/>
              </w:rPr>
              <w:t>1,3</w:t>
            </w:r>
          </w:p>
        </w:tc>
        <w:tc>
          <w:tcPr>
            <w:tcW w:w="695" w:type="dxa"/>
            <w:shd w:val="clear" w:color="auto" w:fill="D9D9D9"/>
          </w:tcPr>
          <w:p>
            <w:pPr>
              <w:pStyle w:val="TableParagraph"/>
              <w:spacing w:before="87"/>
              <w:ind w:right="20"/>
              <w:jc w:val="center"/>
              <w:rPr>
                <w:sz w:val="18"/>
              </w:rPr>
            </w:pPr>
            <w:r>
              <w:rPr>
                <w:spacing w:val="-5"/>
                <w:sz w:val="18"/>
              </w:rPr>
              <w:t>7,7</w:t>
            </w:r>
          </w:p>
        </w:tc>
        <w:tc>
          <w:tcPr>
            <w:tcW w:w="687" w:type="dxa"/>
            <w:shd w:val="clear" w:color="auto" w:fill="D9D9D9"/>
          </w:tcPr>
          <w:p>
            <w:pPr>
              <w:pStyle w:val="TableParagraph"/>
              <w:spacing w:before="87"/>
              <w:ind w:right="17"/>
              <w:jc w:val="center"/>
              <w:rPr>
                <w:sz w:val="18"/>
              </w:rPr>
            </w:pPr>
            <w:r>
              <w:rPr>
                <w:spacing w:val="-4"/>
                <w:sz w:val="18"/>
              </w:rPr>
              <w:t>13,2</w:t>
            </w:r>
          </w:p>
        </w:tc>
        <w:tc>
          <w:tcPr>
            <w:tcW w:w="686" w:type="dxa"/>
            <w:shd w:val="clear" w:color="auto" w:fill="D9D9D9"/>
          </w:tcPr>
          <w:p>
            <w:pPr>
              <w:pStyle w:val="TableParagraph"/>
              <w:spacing w:before="87"/>
              <w:ind w:right="6"/>
              <w:jc w:val="center"/>
              <w:rPr>
                <w:sz w:val="18"/>
              </w:rPr>
            </w:pPr>
            <w:r>
              <w:rPr>
                <w:spacing w:val="-4"/>
                <w:sz w:val="18"/>
              </w:rPr>
              <w:t>14,0</w:t>
            </w:r>
          </w:p>
        </w:tc>
      </w:tr>
      <w:tr>
        <w:trPr>
          <w:trHeight w:val="376" w:hRule="atLeast"/>
        </w:trPr>
        <w:tc>
          <w:tcPr>
            <w:tcW w:w="2940" w:type="dxa"/>
            <w:shd w:val="clear" w:color="auto" w:fill="BEBEBE"/>
          </w:tcPr>
          <w:p>
            <w:pPr>
              <w:pStyle w:val="TableParagraph"/>
              <w:spacing w:before="86"/>
              <w:ind w:left="424"/>
              <w:rPr>
                <w:i/>
                <w:sz w:val="18"/>
              </w:rPr>
            </w:pPr>
            <w:r>
              <w:rPr>
                <w:i/>
                <w:spacing w:val="-2"/>
                <w:sz w:val="18"/>
              </w:rPr>
              <w:t>Κατοικίες</w:t>
            </w:r>
          </w:p>
        </w:tc>
        <w:tc>
          <w:tcPr>
            <w:tcW w:w="732" w:type="dxa"/>
            <w:shd w:val="clear" w:color="auto" w:fill="BEBEBE"/>
          </w:tcPr>
          <w:p>
            <w:pPr>
              <w:pStyle w:val="TableParagraph"/>
              <w:spacing w:before="86"/>
              <w:ind w:left="19" w:right="3"/>
              <w:jc w:val="center"/>
              <w:rPr>
                <w:sz w:val="18"/>
              </w:rPr>
            </w:pPr>
            <w:r>
              <w:rPr>
                <w:spacing w:val="-4"/>
                <w:sz w:val="18"/>
              </w:rPr>
              <w:t>60,1</w:t>
            </w:r>
          </w:p>
        </w:tc>
        <w:tc>
          <w:tcPr>
            <w:tcW w:w="715" w:type="dxa"/>
            <w:shd w:val="clear" w:color="auto" w:fill="BEBEBE"/>
          </w:tcPr>
          <w:p>
            <w:pPr>
              <w:pStyle w:val="TableParagraph"/>
              <w:spacing w:before="86"/>
              <w:ind w:left="175"/>
              <w:rPr>
                <w:sz w:val="18"/>
              </w:rPr>
            </w:pPr>
            <w:r>
              <w:rPr>
                <w:spacing w:val="-4"/>
                <w:sz w:val="18"/>
              </w:rPr>
              <w:t>22,1</w:t>
            </w:r>
          </w:p>
        </w:tc>
        <w:tc>
          <w:tcPr>
            <w:tcW w:w="665" w:type="dxa"/>
            <w:shd w:val="clear" w:color="auto" w:fill="BEBEBE"/>
          </w:tcPr>
          <w:p>
            <w:pPr>
              <w:pStyle w:val="TableParagraph"/>
              <w:spacing w:before="86"/>
              <w:ind w:right="195"/>
              <w:jc w:val="right"/>
              <w:rPr>
                <w:sz w:val="18"/>
              </w:rPr>
            </w:pPr>
            <w:r>
              <w:rPr>
                <w:spacing w:val="-4"/>
                <w:sz w:val="18"/>
              </w:rPr>
              <w:t>12,9</w:t>
            </w:r>
          </w:p>
        </w:tc>
        <w:tc>
          <w:tcPr>
            <w:tcW w:w="675" w:type="dxa"/>
            <w:shd w:val="clear" w:color="auto" w:fill="BEBEBE"/>
          </w:tcPr>
          <w:p>
            <w:pPr>
              <w:pStyle w:val="TableParagraph"/>
              <w:spacing w:before="86"/>
              <w:ind w:left="2"/>
              <w:jc w:val="center"/>
              <w:rPr>
                <w:sz w:val="18"/>
              </w:rPr>
            </w:pPr>
            <w:r>
              <w:rPr>
                <w:spacing w:val="-4"/>
                <w:sz w:val="18"/>
              </w:rPr>
              <w:t>22,4</w:t>
            </w:r>
          </w:p>
        </w:tc>
        <w:tc>
          <w:tcPr>
            <w:tcW w:w="711" w:type="dxa"/>
            <w:shd w:val="clear" w:color="auto" w:fill="BEBEBE"/>
          </w:tcPr>
          <w:p>
            <w:pPr>
              <w:pStyle w:val="TableParagraph"/>
              <w:spacing w:before="86"/>
              <w:ind w:left="2" w:right="1"/>
              <w:jc w:val="center"/>
              <w:rPr>
                <w:sz w:val="18"/>
              </w:rPr>
            </w:pPr>
            <w:r>
              <w:rPr>
                <w:spacing w:val="-5"/>
                <w:sz w:val="18"/>
              </w:rPr>
              <w:t>0,4</w:t>
            </w:r>
          </w:p>
        </w:tc>
        <w:tc>
          <w:tcPr>
            <w:tcW w:w="695" w:type="dxa"/>
            <w:shd w:val="clear" w:color="auto" w:fill="BEBEBE"/>
          </w:tcPr>
          <w:p>
            <w:pPr>
              <w:pStyle w:val="TableParagraph"/>
              <w:spacing w:before="86"/>
              <w:ind w:right="22"/>
              <w:jc w:val="center"/>
              <w:rPr>
                <w:sz w:val="18"/>
              </w:rPr>
            </w:pPr>
            <w:r>
              <w:rPr>
                <w:spacing w:val="-4"/>
                <w:sz w:val="18"/>
              </w:rPr>
              <w:t>16,2</w:t>
            </w:r>
          </w:p>
        </w:tc>
        <w:tc>
          <w:tcPr>
            <w:tcW w:w="687" w:type="dxa"/>
            <w:shd w:val="clear" w:color="auto" w:fill="BEBEBE"/>
          </w:tcPr>
          <w:p>
            <w:pPr>
              <w:pStyle w:val="TableParagraph"/>
              <w:spacing w:before="86"/>
              <w:ind w:right="17"/>
              <w:jc w:val="center"/>
              <w:rPr>
                <w:sz w:val="18"/>
              </w:rPr>
            </w:pPr>
            <w:r>
              <w:rPr>
                <w:spacing w:val="-4"/>
                <w:sz w:val="18"/>
              </w:rPr>
              <w:t>26,2</w:t>
            </w:r>
          </w:p>
        </w:tc>
        <w:tc>
          <w:tcPr>
            <w:tcW w:w="686" w:type="dxa"/>
            <w:shd w:val="clear" w:color="auto" w:fill="BEBEBE"/>
          </w:tcPr>
          <w:p>
            <w:pPr>
              <w:pStyle w:val="TableParagraph"/>
              <w:spacing w:before="86"/>
              <w:ind w:right="6"/>
              <w:jc w:val="center"/>
              <w:rPr>
                <w:sz w:val="18"/>
              </w:rPr>
            </w:pPr>
            <w:r>
              <w:rPr>
                <w:spacing w:val="-4"/>
                <w:sz w:val="18"/>
              </w:rPr>
              <w:t>41,2</w:t>
            </w:r>
          </w:p>
        </w:tc>
      </w:tr>
      <w:tr>
        <w:trPr>
          <w:trHeight w:val="376" w:hRule="atLeast"/>
        </w:trPr>
        <w:tc>
          <w:tcPr>
            <w:tcW w:w="2940" w:type="dxa"/>
            <w:shd w:val="clear" w:color="auto" w:fill="D9D9D9"/>
          </w:tcPr>
          <w:p>
            <w:pPr>
              <w:pStyle w:val="TableParagraph"/>
              <w:spacing w:before="86"/>
              <w:ind w:left="379"/>
              <w:rPr>
                <w:i/>
                <w:sz w:val="18"/>
              </w:rPr>
            </w:pPr>
            <w:r>
              <w:rPr>
                <w:i/>
                <w:sz w:val="18"/>
              </w:rPr>
              <w:t>Άλλες</w:t>
            </w:r>
            <w:r>
              <w:rPr>
                <w:i/>
                <w:spacing w:val="-4"/>
                <w:sz w:val="18"/>
              </w:rPr>
              <w:t> </w:t>
            </w:r>
            <w:r>
              <w:rPr>
                <w:i/>
                <w:spacing w:val="-2"/>
                <w:sz w:val="18"/>
              </w:rPr>
              <w:t>κατασκευές</w:t>
            </w:r>
          </w:p>
        </w:tc>
        <w:tc>
          <w:tcPr>
            <w:tcW w:w="732" w:type="dxa"/>
            <w:shd w:val="clear" w:color="auto" w:fill="D9D9D9"/>
          </w:tcPr>
          <w:p>
            <w:pPr>
              <w:pStyle w:val="TableParagraph"/>
              <w:spacing w:before="86"/>
              <w:ind w:left="19" w:right="3"/>
              <w:jc w:val="center"/>
              <w:rPr>
                <w:sz w:val="18"/>
              </w:rPr>
            </w:pPr>
            <w:r>
              <w:rPr>
                <w:spacing w:val="-4"/>
                <w:sz w:val="18"/>
              </w:rPr>
              <w:t>13,8</w:t>
            </w:r>
          </w:p>
        </w:tc>
        <w:tc>
          <w:tcPr>
            <w:tcW w:w="715" w:type="dxa"/>
            <w:shd w:val="clear" w:color="auto" w:fill="D9D9D9"/>
          </w:tcPr>
          <w:p>
            <w:pPr>
              <w:pStyle w:val="TableParagraph"/>
              <w:spacing w:before="86"/>
              <w:ind w:left="175"/>
              <w:rPr>
                <w:sz w:val="18"/>
              </w:rPr>
            </w:pPr>
            <w:r>
              <w:rPr>
                <w:spacing w:val="-4"/>
                <w:sz w:val="18"/>
              </w:rPr>
              <w:t>13,8</w:t>
            </w:r>
          </w:p>
        </w:tc>
        <w:tc>
          <w:tcPr>
            <w:tcW w:w="665" w:type="dxa"/>
            <w:shd w:val="clear" w:color="auto" w:fill="D9D9D9"/>
          </w:tcPr>
          <w:p>
            <w:pPr>
              <w:pStyle w:val="TableParagraph"/>
              <w:spacing w:before="86"/>
              <w:ind w:right="238"/>
              <w:jc w:val="right"/>
              <w:rPr>
                <w:sz w:val="18"/>
              </w:rPr>
            </w:pPr>
            <w:r>
              <w:rPr>
                <w:spacing w:val="-5"/>
                <w:sz w:val="18"/>
              </w:rPr>
              <w:t>8,1</w:t>
            </w:r>
          </w:p>
        </w:tc>
        <w:tc>
          <w:tcPr>
            <w:tcW w:w="675" w:type="dxa"/>
            <w:shd w:val="clear" w:color="auto" w:fill="D9D9D9"/>
          </w:tcPr>
          <w:p>
            <w:pPr>
              <w:pStyle w:val="TableParagraph"/>
              <w:spacing w:before="86"/>
              <w:ind w:left="4"/>
              <w:jc w:val="center"/>
              <w:rPr>
                <w:sz w:val="18"/>
              </w:rPr>
            </w:pPr>
            <w:r>
              <w:rPr>
                <w:spacing w:val="-5"/>
                <w:sz w:val="18"/>
              </w:rPr>
              <w:t>8,3</w:t>
            </w:r>
          </w:p>
        </w:tc>
        <w:tc>
          <w:tcPr>
            <w:tcW w:w="711" w:type="dxa"/>
            <w:shd w:val="clear" w:color="auto" w:fill="D9D9D9"/>
          </w:tcPr>
          <w:p>
            <w:pPr>
              <w:pStyle w:val="TableParagraph"/>
              <w:spacing w:before="86"/>
              <w:ind w:right="1"/>
              <w:jc w:val="center"/>
              <w:rPr>
                <w:sz w:val="18"/>
              </w:rPr>
            </w:pPr>
            <w:r>
              <w:rPr>
                <w:sz w:val="18"/>
              </w:rPr>
              <w:t>-</w:t>
            </w:r>
            <w:r>
              <w:rPr>
                <w:spacing w:val="-5"/>
                <w:sz w:val="18"/>
              </w:rPr>
              <w:t>2,5</w:t>
            </w:r>
          </w:p>
        </w:tc>
        <w:tc>
          <w:tcPr>
            <w:tcW w:w="695" w:type="dxa"/>
            <w:shd w:val="clear" w:color="auto" w:fill="D9D9D9"/>
          </w:tcPr>
          <w:p>
            <w:pPr>
              <w:pStyle w:val="TableParagraph"/>
              <w:spacing w:before="86"/>
              <w:ind w:right="20"/>
              <w:jc w:val="center"/>
              <w:rPr>
                <w:sz w:val="18"/>
              </w:rPr>
            </w:pPr>
            <w:r>
              <w:rPr>
                <w:spacing w:val="-5"/>
                <w:sz w:val="18"/>
              </w:rPr>
              <w:t>9,8</w:t>
            </w:r>
          </w:p>
        </w:tc>
        <w:tc>
          <w:tcPr>
            <w:tcW w:w="687" w:type="dxa"/>
            <w:shd w:val="clear" w:color="auto" w:fill="D9D9D9"/>
          </w:tcPr>
          <w:p>
            <w:pPr>
              <w:pStyle w:val="TableParagraph"/>
              <w:spacing w:before="86"/>
              <w:ind w:right="17"/>
              <w:jc w:val="center"/>
              <w:rPr>
                <w:sz w:val="18"/>
              </w:rPr>
            </w:pPr>
            <w:r>
              <w:rPr>
                <w:spacing w:val="-4"/>
                <w:sz w:val="18"/>
              </w:rPr>
              <w:t>17,7</w:t>
            </w:r>
          </w:p>
        </w:tc>
        <w:tc>
          <w:tcPr>
            <w:tcW w:w="686" w:type="dxa"/>
            <w:shd w:val="clear" w:color="auto" w:fill="D9D9D9"/>
          </w:tcPr>
          <w:p>
            <w:pPr>
              <w:pStyle w:val="TableParagraph"/>
              <w:spacing w:before="86"/>
              <w:ind w:right="4"/>
              <w:jc w:val="center"/>
              <w:rPr>
                <w:sz w:val="18"/>
              </w:rPr>
            </w:pPr>
            <w:r>
              <w:rPr>
                <w:spacing w:val="-5"/>
                <w:sz w:val="18"/>
              </w:rPr>
              <w:t>8,5</w:t>
            </w:r>
          </w:p>
        </w:tc>
      </w:tr>
      <w:tr>
        <w:trPr>
          <w:trHeight w:val="376" w:hRule="atLeast"/>
        </w:trPr>
        <w:tc>
          <w:tcPr>
            <w:tcW w:w="2940" w:type="dxa"/>
            <w:shd w:val="clear" w:color="auto" w:fill="BEBEBE"/>
          </w:tcPr>
          <w:p>
            <w:pPr>
              <w:pStyle w:val="TableParagraph"/>
              <w:spacing w:before="86"/>
              <w:ind w:left="335"/>
              <w:rPr>
                <w:i/>
                <w:sz w:val="18"/>
              </w:rPr>
            </w:pPr>
            <w:r>
              <w:rPr>
                <w:i/>
                <w:spacing w:val="-2"/>
                <w:sz w:val="18"/>
              </w:rPr>
              <w:t>Εξοπλισμός</w:t>
            </w:r>
          </w:p>
        </w:tc>
        <w:tc>
          <w:tcPr>
            <w:tcW w:w="732" w:type="dxa"/>
            <w:shd w:val="clear" w:color="auto" w:fill="BEBEBE"/>
          </w:tcPr>
          <w:p>
            <w:pPr>
              <w:pStyle w:val="TableParagraph"/>
              <w:spacing w:before="86"/>
              <w:ind w:left="19" w:right="3"/>
              <w:jc w:val="center"/>
              <w:rPr>
                <w:sz w:val="18"/>
              </w:rPr>
            </w:pPr>
            <w:r>
              <w:rPr>
                <w:spacing w:val="-4"/>
                <w:sz w:val="18"/>
              </w:rPr>
              <w:t>23,1</w:t>
            </w:r>
          </w:p>
        </w:tc>
        <w:tc>
          <w:tcPr>
            <w:tcW w:w="715" w:type="dxa"/>
            <w:shd w:val="clear" w:color="auto" w:fill="BEBEBE"/>
          </w:tcPr>
          <w:p>
            <w:pPr>
              <w:pStyle w:val="TableParagraph"/>
              <w:spacing w:before="86"/>
              <w:ind w:left="221"/>
              <w:rPr>
                <w:sz w:val="18"/>
              </w:rPr>
            </w:pPr>
            <w:r>
              <w:rPr>
                <w:spacing w:val="-5"/>
                <w:sz w:val="18"/>
              </w:rPr>
              <w:t>0,5</w:t>
            </w:r>
          </w:p>
        </w:tc>
        <w:tc>
          <w:tcPr>
            <w:tcW w:w="665" w:type="dxa"/>
            <w:shd w:val="clear" w:color="auto" w:fill="BEBEBE"/>
          </w:tcPr>
          <w:p>
            <w:pPr>
              <w:pStyle w:val="TableParagraph"/>
              <w:spacing w:before="86"/>
              <w:ind w:right="238"/>
              <w:jc w:val="right"/>
              <w:rPr>
                <w:sz w:val="18"/>
              </w:rPr>
            </w:pPr>
            <w:r>
              <w:rPr>
                <w:spacing w:val="-5"/>
                <w:sz w:val="18"/>
              </w:rPr>
              <w:t>0,8</w:t>
            </w:r>
          </w:p>
        </w:tc>
        <w:tc>
          <w:tcPr>
            <w:tcW w:w="675" w:type="dxa"/>
            <w:shd w:val="clear" w:color="auto" w:fill="BEBEBE"/>
          </w:tcPr>
          <w:p>
            <w:pPr>
              <w:pStyle w:val="TableParagraph"/>
              <w:spacing w:before="86"/>
              <w:ind w:left="4"/>
              <w:jc w:val="center"/>
              <w:rPr>
                <w:sz w:val="18"/>
              </w:rPr>
            </w:pPr>
            <w:r>
              <w:rPr>
                <w:spacing w:val="-5"/>
                <w:sz w:val="18"/>
              </w:rPr>
              <w:t>6,9</w:t>
            </w:r>
          </w:p>
        </w:tc>
        <w:tc>
          <w:tcPr>
            <w:tcW w:w="711" w:type="dxa"/>
            <w:shd w:val="clear" w:color="auto" w:fill="BEBEBE"/>
          </w:tcPr>
          <w:p>
            <w:pPr>
              <w:pStyle w:val="TableParagraph"/>
              <w:spacing w:before="86"/>
              <w:ind w:left="2" w:right="1"/>
              <w:jc w:val="center"/>
              <w:rPr>
                <w:sz w:val="18"/>
              </w:rPr>
            </w:pPr>
            <w:r>
              <w:rPr>
                <w:spacing w:val="-5"/>
                <w:sz w:val="18"/>
              </w:rPr>
              <w:t>3,8</w:t>
            </w:r>
          </w:p>
        </w:tc>
        <w:tc>
          <w:tcPr>
            <w:tcW w:w="695" w:type="dxa"/>
            <w:shd w:val="clear" w:color="auto" w:fill="BEBEBE"/>
          </w:tcPr>
          <w:p>
            <w:pPr>
              <w:pStyle w:val="TableParagraph"/>
              <w:spacing w:before="86"/>
              <w:ind w:right="22"/>
              <w:jc w:val="center"/>
              <w:rPr>
                <w:sz w:val="18"/>
              </w:rPr>
            </w:pPr>
            <w:r>
              <w:rPr>
                <w:spacing w:val="-4"/>
                <w:sz w:val="18"/>
              </w:rPr>
              <w:t>11,3</w:t>
            </w:r>
          </w:p>
        </w:tc>
        <w:tc>
          <w:tcPr>
            <w:tcW w:w="687" w:type="dxa"/>
            <w:shd w:val="clear" w:color="auto" w:fill="BEBEBE"/>
          </w:tcPr>
          <w:p>
            <w:pPr>
              <w:pStyle w:val="TableParagraph"/>
              <w:spacing w:before="86"/>
              <w:ind w:right="15"/>
              <w:jc w:val="center"/>
              <w:rPr>
                <w:sz w:val="18"/>
              </w:rPr>
            </w:pPr>
            <w:r>
              <w:rPr>
                <w:spacing w:val="-5"/>
                <w:sz w:val="18"/>
              </w:rPr>
              <w:t>5,3</w:t>
            </w:r>
          </w:p>
        </w:tc>
        <w:tc>
          <w:tcPr>
            <w:tcW w:w="686" w:type="dxa"/>
            <w:shd w:val="clear" w:color="auto" w:fill="BEBEBE"/>
          </w:tcPr>
          <w:p>
            <w:pPr>
              <w:pStyle w:val="TableParagraph"/>
              <w:spacing w:before="86"/>
              <w:ind w:right="6"/>
              <w:jc w:val="center"/>
              <w:rPr>
                <w:sz w:val="18"/>
              </w:rPr>
            </w:pPr>
            <w:r>
              <w:rPr>
                <w:spacing w:val="-4"/>
                <w:sz w:val="18"/>
              </w:rPr>
              <w:t>20,6</w:t>
            </w:r>
          </w:p>
        </w:tc>
      </w:tr>
      <w:tr>
        <w:trPr>
          <w:trHeight w:val="379" w:hRule="atLeast"/>
        </w:trPr>
        <w:tc>
          <w:tcPr>
            <w:tcW w:w="2940" w:type="dxa"/>
            <w:shd w:val="clear" w:color="auto" w:fill="D9D9D9"/>
          </w:tcPr>
          <w:p>
            <w:pPr>
              <w:pStyle w:val="TableParagraph"/>
              <w:spacing w:before="86"/>
              <w:ind w:left="108"/>
              <w:rPr>
                <w:b/>
                <w:sz w:val="18"/>
              </w:rPr>
            </w:pPr>
            <w:r>
              <w:rPr>
                <w:b/>
                <w:color w:val="1F487C"/>
                <w:sz w:val="18"/>
              </w:rPr>
              <w:t>Εγχώρ</w:t>
            </w:r>
            <w:r>
              <w:rPr>
                <w:b/>
                <w:smallCaps/>
                <w:color w:val="1F487C"/>
                <w:sz w:val="18"/>
              </w:rPr>
              <w:t>ι</w:t>
            </w:r>
            <w:r>
              <w:rPr>
                <w:b/>
                <w:smallCaps w:val="0"/>
                <w:color w:val="1F487C"/>
                <w:sz w:val="18"/>
              </w:rPr>
              <w:t>α</w:t>
            </w:r>
            <w:r>
              <w:rPr>
                <w:b/>
                <w:smallCaps w:val="0"/>
                <w:color w:val="1F487C"/>
                <w:spacing w:val="-1"/>
                <w:sz w:val="18"/>
              </w:rPr>
              <w:t> </w:t>
            </w:r>
            <w:r>
              <w:rPr>
                <w:b/>
                <w:smallCaps w:val="0"/>
                <w:color w:val="1F487C"/>
                <w:spacing w:val="-2"/>
                <w:sz w:val="18"/>
              </w:rPr>
              <w:t>ζήτηση</w:t>
            </w:r>
          </w:p>
        </w:tc>
        <w:tc>
          <w:tcPr>
            <w:tcW w:w="732" w:type="dxa"/>
            <w:shd w:val="clear" w:color="auto" w:fill="D9D9D9"/>
          </w:tcPr>
          <w:p>
            <w:pPr>
              <w:pStyle w:val="TableParagraph"/>
              <w:spacing w:before="86"/>
              <w:ind w:left="19"/>
              <w:jc w:val="center"/>
              <w:rPr>
                <w:b/>
                <w:sz w:val="18"/>
              </w:rPr>
            </w:pPr>
            <w:r>
              <w:rPr>
                <w:b/>
                <w:color w:val="1F487C"/>
                <w:spacing w:val="-5"/>
                <w:sz w:val="18"/>
              </w:rPr>
              <w:t>7,6</w:t>
            </w:r>
          </w:p>
        </w:tc>
        <w:tc>
          <w:tcPr>
            <w:tcW w:w="715" w:type="dxa"/>
            <w:shd w:val="clear" w:color="auto" w:fill="D9D9D9"/>
          </w:tcPr>
          <w:p>
            <w:pPr>
              <w:pStyle w:val="TableParagraph"/>
              <w:spacing w:before="86"/>
              <w:ind w:left="221"/>
              <w:rPr>
                <w:b/>
                <w:sz w:val="18"/>
              </w:rPr>
            </w:pPr>
            <w:r>
              <w:rPr>
                <w:b/>
                <w:color w:val="1F487C"/>
                <w:spacing w:val="-5"/>
                <w:sz w:val="18"/>
              </w:rPr>
              <w:t>1,1</w:t>
            </w:r>
          </w:p>
        </w:tc>
        <w:tc>
          <w:tcPr>
            <w:tcW w:w="665" w:type="dxa"/>
            <w:shd w:val="clear" w:color="auto" w:fill="D9D9D9"/>
          </w:tcPr>
          <w:p>
            <w:pPr>
              <w:pStyle w:val="TableParagraph"/>
              <w:spacing w:before="86"/>
              <w:ind w:right="238"/>
              <w:jc w:val="right"/>
              <w:rPr>
                <w:b/>
                <w:sz w:val="18"/>
              </w:rPr>
            </w:pPr>
            <w:r>
              <w:rPr>
                <w:b/>
                <w:color w:val="1F487C"/>
                <w:spacing w:val="-5"/>
                <w:sz w:val="18"/>
              </w:rPr>
              <w:t>3,6</w:t>
            </w:r>
          </w:p>
        </w:tc>
        <w:tc>
          <w:tcPr>
            <w:tcW w:w="675" w:type="dxa"/>
            <w:shd w:val="clear" w:color="auto" w:fill="D9D9D9"/>
          </w:tcPr>
          <w:p>
            <w:pPr>
              <w:pStyle w:val="TableParagraph"/>
              <w:spacing w:before="86"/>
              <w:ind w:left="4"/>
              <w:jc w:val="center"/>
              <w:rPr>
                <w:b/>
                <w:sz w:val="18"/>
              </w:rPr>
            </w:pPr>
            <w:r>
              <w:rPr>
                <w:b/>
                <w:color w:val="1F487C"/>
                <w:spacing w:val="-5"/>
                <w:sz w:val="18"/>
              </w:rPr>
              <w:t>0,8</w:t>
            </w:r>
          </w:p>
        </w:tc>
        <w:tc>
          <w:tcPr>
            <w:tcW w:w="711" w:type="dxa"/>
            <w:shd w:val="clear" w:color="auto" w:fill="D9D9D9"/>
          </w:tcPr>
          <w:p>
            <w:pPr>
              <w:pStyle w:val="TableParagraph"/>
              <w:spacing w:before="86"/>
              <w:ind w:left="2" w:right="1"/>
              <w:jc w:val="center"/>
              <w:rPr>
                <w:b/>
                <w:sz w:val="18"/>
              </w:rPr>
            </w:pPr>
            <w:r>
              <w:rPr>
                <w:b/>
                <w:color w:val="1F487C"/>
                <w:spacing w:val="-5"/>
                <w:sz w:val="18"/>
              </w:rPr>
              <w:t>2,1</w:t>
            </w:r>
          </w:p>
        </w:tc>
        <w:tc>
          <w:tcPr>
            <w:tcW w:w="695" w:type="dxa"/>
            <w:shd w:val="clear" w:color="auto" w:fill="D9D9D9"/>
          </w:tcPr>
          <w:p>
            <w:pPr>
              <w:pStyle w:val="TableParagraph"/>
              <w:spacing w:before="86"/>
              <w:ind w:right="20"/>
              <w:jc w:val="center"/>
              <w:rPr>
                <w:b/>
                <w:sz w:val="18"/>
              </w:rPr>
            </w:pPr>
            <w:r>
              <w:rPr>
                <w:b/>
                <w:color w:val="1F487C"/>
                <w:spacing w:val="-5"/>
                <w:sz w:val="18"/>
              </w:rPr>
              <w:t>2,2</w:t>
            </w:r>
          </w:p>
        </w:tc>
        <w:tc>
          <w:tcPr>
            <w:tcW w:w="687" w:type="dxa"/>
            <w:shd w:val="clear" w:color="auto" w:fill="D9D9D9"/>
          </w:tcPr>
          <w:p>
            <w:pPr>
              <w:pStyle w:val="TableParagraph"/>
              <w:spacing w:before="86"/>
              <w:ind w:right="15"/>
              <w:jc w:val="center"/>
              <w:rPr>
                <w:b/>
                <w:sz w:val="18"/>
              </w:rPr>
            </w:pPr>
            <w:r>
              <w:rPr>
                <w:b/>
                <w:color w:val="1F487C"/>
                <w:spacing w:val="-5"/>
                <w:sz w:val="18"/>
              </w:rPr>
              <w:t>2,9</w:t>
            </w:r>
          </w:p>
        </w:tc>
        <w:tc>
          <w:tcPr>
            <w:tcW w:w="686" w:type="dxa"/>
            <w:shd w:val="clear" w:color="auto" w:fill="D9D9D9"/>
          </w:tcPr>
          <w:p>
            <w:pPr>
              <w:pStyle w:val="TableParagraph"/>
              <w:spacing w:before="86"/>
              <w:ind w:right="4"/>
              <w:jc w:val="center"/>
              <w:rPr>
                <w:b/>
                <w:sz w:val="18"/>
              </w:rPr>
            </w:pPr>
            <w:r>
              <w:rPr>
                <w:b/>
                <w:color w:val="1F487C"/>
                <w:spacing w:val="-5"/>
                <w:sz w:val="18"/>
              </w:rPr>
              <w:t>3,5</w:t>
            </w:r>
          </w:p>
        </w:tc>
      </w:tr>
      <w:tr>
        <w:trPr>
          <w:trHeight w:val="376" w:hRule="atLeast"/>
        </w:trPr>
        <w:tc>
          <w:tcPr>
            <w:tcW w:w="2940" w:type="dxa"/>
            <w:shd w:val="clear" w:color="auto" w:fill="BEBEBE"/>
          </w:tcPr>
          <w:p>
            <w:pPr>
              <w:pStyle w:val="TableParagraph"/>
              <w:spacing w:before="84"/>
              <w:ind w:left="108"/>
              <w:rPr>
                <w:sz w:val="18"/>
              </w:rPr>
            </w:pPr>
            <w:r>
              <w:rPr>
                <w:sz w:val="18"/>
              </w:rPr>
              <w:t>Εξαγωγές</w:t>
            </w:r>
            <w:r>
              <w:rPr>
                <w:spacing w:val="-4"/>
                <w:sz w:val="18"/>
              </w:rPr>
              <w:t> </w:t>
            </w:r>
            <w:r>
              <w:rPr>
                <w:sz w:val="18"/>
              </w:rPr>
              <w:t>αγαθών</w:t>
            </w:r>
            <w:r>
              <w:rPr>
                <w:spacing w:val="-3"/>
                <w:sz w:val="18"/>
              </w:rPr>
              <w:t> </w:t>
            </w:r>
            <w:r>
              <w:rPr>
                <w:sz w:val="18"/>
              </w:rPr>
              <w:t>και</w:t>
            </w:r>
            <w:r>
              <w:rPr>
                <w:spacing w:val="-4"/>
                <w:sz w:val="18"/>
              </w:rPr>
              <w:t> </w:t>
            </w:r>
            <w:r>
              <w:rPr>
                <w:spacing w:val="-2"/>
                <w:sz w:val="18"/>
              </w:rPr>
              <w:t>υπηρεσιών</w:t>
            </w:r>
          </w:p>
        </w:tc>
        <w:tc>
          <w:tcPr>
            <w:tcW w:w="732" w:type="dxa"/>
            <w:shd w:val="clear" w:color="auto" w:fill="BEBEBE"/>
          </w:tcPr>
          <w:p>
            <w:pPr>
              <w:pStyle w:val="TableParagraph"/>
              <w:spacing w:before="84"/>
              <w:ind w:left="19"/>
              <w:jc w:val="center"/>
              <w:rPr>
                <w:sz w:val="18"/>
              </w:rPr>
            </w:pPr>
            <w:r>
              <w:rPr>
                <w:spacing w:val="-5"/>
                <w:sz w:val="18"/>
              </w:rPr>
              <w:t>6,2</w:t>
            </w:r>
          </w:p>
        </w:tc>
        <w:tc>
          <w:tcPr>
            <w:tcW w:w="715" w:type="dxa"/>
            <w:shd w:val="clear" w:color="auto" w:fill="BEBEBE"/>
          </w:tcPr>
          <w:p>
            <w:pPr>
              <w:pStyle w:val="TableParagraph"/>
              <w:spacing w:before="84"/>
              <w:ind w:left="221"/>
              <w:rPr>
                <w:sz w:val="18"/>
              </w:rPr>
            </w:pPr>
            <w:r>
              <w:rPr>
                <w:spacing w:val="-5"/>
                <w:sz w:val="18"/>
              </w:rPr>
              <w:t>2,2</w:t>
            </w:r>
          </w:p>
        </w:tc>
        <w:tc>
          <w:tcPr>
            <w:tcW w:w="665" w:type="dxa"/>
            <w:shd w:val="clear" w:color="auto" w:fill="BEBEBE"/>
          </w:tcPr>
          <w:p>
            <w:pPr>
              <w:pStyle w:val="TableParagraph"/>
              <w:spacing w:before="84"/>
              <w:ind w:right="238"/>
              <w:jc w:val="right"/>
              <w:rPr>
                <w:sz w:val="18"/>
              </w:rPr>
            </w:pPr>
            <w:r>
              <w:rPr>
                <w:spacing w:val="-5"/>
                <w:sz w:val="18"/>
              </w:rPr>
              <w:t>1,0</w:t>
            </w:r>
          </w:p>
        </w:tc>
        <w:tc>
          <w:tcPr>
            <w:tcW w:w="675" w:type="dxa"/>
            <w:shd w:val="clear" w:color="auto" w:fill="BEBEBE"/>
          </w:tcPr>
          <w:p>
            <w:pPr>
              <w:pStyle w:val="TableParagraph"/>
              <w:spacing w:before="84"/>
              <w:ind w:left="4"/>
              <w:jc w:val="center"/>
              <w:rPr>
                <w:sz w:val="18"/>
              </w:rPr>
            </w:pPr>
            <w:r>
              <w:rPr>
                <w:spacing w:val="-5"/>
                <w:sz w:val="18"/>
              </w:rPr>
              <w:t>1,7</w:t>
            </w:r>
          </w:p>
        </w:tc>
        <w:tc>
          <w:tcPr>
            <w:tcW w:w="711" w:type="dxa"/>
            <w:shd w:val="clear" w:color="auto" w:fill="BEBEBE"/>
          </w:tcPr>
          <w:p>
            <w:pPr>
              <w:pStyle w:val="TableParagraph"/>
              <w:spacing w:before="84"/>
              <w:ind w:left="2" w:right="1"/>
              <w:jc w:val="center"/>
              <w:rPr>
                <w:sz w:val="18"/>
              </w:rPr>
            </w:pPr>
            <w:r>
              <w:rPr>
                <w:spacing w:val="-5"/>
                <w:sz w:val="18"/>
              </w:rPr>
              <w:t>1,3</w:t>
            </w:r>
          </w:p>
        </w:tc>
        <w:tc>
          <w:tcPr>
            <w:tcW w:w="695" w:type="dxa"/>
            <w:shd w:val="clear" w:color="auto" w:fill="BEBEBE"/>
          </w:tcPr>
          <w:p>
            <w:pPr>
              <w:pStyle w:val="TableParagraph"/>
              <w:spacing w:before="84"/>
              <w:ind w:right="20"/>
              <w:jc w:val="center"/>
              <w:rPr>
                <w:sz w:val="18"/>
              </w:rPr>
            </w:pPr>
            <w:r>
              <w:rPr>
                <w:spacing w:val="-5"/>
                <w:sz w:val="18"/>
              </w:rPr>
              <w:t>1,1</w:t>
            </w:r>
          </w:p>
        </w:tc>
        <w:tc>
          <w:tcPr>
            <w:tcW w:w="687" w:type="dxa"/>
            <w:shd w:val="clear" w:color="auto" w:fill="BEBEBE"/>
          </w:tcPr>
          <w:p>
            <w:pPr>
              <w:pStyle w:val="TableParagraph"/>
              <w:spacing w:before="84"/>
              <w:ind w:right="15"/>
              <w:jc w:val="center"/>
              <w:rPr>
                <w:sz w:val="18"/>
              </w:rPr>
            </w:pPr>
            <w:r>
              <w:rPr>
                <w:spacing w:val="-5"/>
                <w:sz w:val="18"/>
              </w:rPr>
              <w:t>1,5</w:t>
            </w:r>
          </w:p>
        </w:tc>
        <w:tc>
          <w:tcPr>
            <w:tcW w:w="686" w:type="dxa"/>
            <w:shd w:val="clear" w:color="auto" w:fill="BEBEBE"/>
          </w:tcPr>
          <w:p>
            <w:pPr>
              <w:pStyle w:val="TableParagraph"/>
              <w:spacing w:before="84"/>
              <w:ind w:right="4"/>
              <w:jc w:val="center"/>
              <w:rPr>
                <w:sz w:val="18"/>
              </w:rPr>
            </w:pPr>
            <w:r>
              <w:rPr>
                <w:spacing w:val="-5"/>
                <w:sz w:val="18"/>
              </w:rPr>
              <w:t>2,7</w:t>
            </w:r>
          </w:p>
        </w:tc>
      </w:tr>
      <w:tr>
        <w:trPr>
          <w:trHeight w:val="376" w:hRule="atLeast"/>
        </w:trPr>
        <w:tc>
          <w:tcPr>
            <w:tcW w:w="2940" w:type="dxa"/>
            <w:shd w:val="clear" w:color="auto" w:fill="D9D9D9"/>
          </w:tcPr>
          <w:p>
            <w:pPr>
              <w:pStyle w:val="TableParagraph"/>
              <w:spacing w:before="84"/>
              <w:ind w:left="424"/>
              <w:rPr>
                <w:i/>
                <w:sz w:val="18"/>
              </w:rPr>
            </w:pPr>
            <w:r>
              <w:rPr>
                <w:i/>
                <w:sz w:val="18"/>
              </w:rPr>
              <w:t>Εξαγωγές</w:t>
            </w:r>
            <w:r>
              <w:rPr>
                <w:i/>
                <w:spacing w:val="-6"/>
                <w:sz w:val="18"/>
              </w:rPr>
              <w:t> </w:t>
            </w:r>
            <w:r>
              <w:rPr>
                <w:i/>
                <w:spacing w:val="-2"/>
                <w:sz w:val="18"/>
              </w:rPr>
              <w:t>αγαθών</w:t>
            </w:r>
          </w:p>
        </w:tc>
        <w:tc>
          <w:tcPr>
            <w:tcW w:w="732" w:type="dxa"/>
            <w:shd w:val="clear" w:color="auto" w:fill="D9D9D9"/>
          </w:tcPr>
          <w:p>
            <w:pPr>
              <w:pStyle w:val="TableParagraph"/>
              <w:spacing w:before="84"/>
              <w:ind w:left="19"/>
              <w:jc w:val="center"/>
              <w:rPr>
                <w:sz w:val="18"/>
              </w:rPr>
            </w:pPr>
            <w:r>
              <w:rPr>
                <w:spacing w:val="-5"/>
                <w:sz w:val="18"/>
              </w:rPr>
              <w:t>3,4</w:t>
            </w:r>
          </w:p>
        </w:tc>
        <w:tc>
          <w:tcPr>
            <w:tcW w:w="715" w:type="dxa"/>
            <w:shd w:val="clear" w:color="auto" w:fill="D9D9D9"/>
          </w:tcPr>
          <w:p>
            <w:pPr>
              <w:pStyle w:val="TableParagraph"/>
              <w:spacing w:before="84"/>
              <w:ind w:left="221"/>
              <w:rPr>
                <w:sz w:val="18"/>
              </w:rPr>
            </w:pPr>
            <w:r>
              <w:rPr>
                <w:spacing w:val="-5"/>
                <w:sz w:val="18"/>
              </w:rPr>
              <w:t>0,5</w:t>
            </w:r>
          </w:p>
        </w:tc>
        <w:tc>
          <w:tcPr>
            <w:tcW w:w="665" w:type="dxa"/>
            <w:shd w:val="clear" w:color="auto" w:fill="D9D9D9"/>
          </w:tcPr>
          <w:p>
            <w:pPr>
              <w:pStyle w:val="TableParagraph"/>
              <w:spacing w:before="84"/>
              <w:ind w:right="209"/>
              <w:jc w:val="right"/>
              <w:rPr>
                <w:sz w:val="18"/>
              </w:rPr>
            </w:pPr>
            <w:r>
              <w:rPr>
                <w:sz w:val="18"/>
              </w:rPr>
              <w:t>-</w:t>
            </w:r>
            <w:r>
              <w:rPr>
                <w:spacing w:val="-5"/>
                <w:sz w:val="18"/>
              </w:rPr>
              <w:t>1,2</w:t>
            </w:r>
          </w:p>
        </w:tc>
        <w:tc>
          <w:tcPr>
            <w:tcW w:w="675" w:type="dxa"/>
            <w:shd w:val="clear" w:color="auto" w:fill="D9D9D9"/>
          </w:tcPr>
          <w:p>
            <w:pPr>
              <w:pStyle w:val="TableParagraph"/>
              <w:spacing w:before="84"/>
              <w:ind w:left="4"/>
              <w:jc w:val="center"/>
              <w:rPr>
                <w:sz w:val="18"/>
              </w:rPr>
            </w:pPr>
            <w:r>
              <w:rPr>
                <w:spacing w:val="-5"/>
                <w:sz w:val="18"/>
              </w:rPr>
              <w:t>3,0</w:t>
            </w:r>
          </w:p>
        </w:tc>
        <w:tc>
          <w:tcPr>
            <w:tcW w:w="711" w:type="dxa"/>
            <w:shd w:val="clear" w:color="auto" w:fill="D9D9D9"/>
          </w:tcPr>
          <w:p>
            <w:pPr>
              <w:pStyle w:val="TableParagraph"/>
              <w:spacing w:before="84"/>
              <w:ind w:left="2" w:right="1"/>
              <w:jc w:val="center"/>
              <w:rPr>
                <w:sz w:val="18"/>
              </w:rPr>
            </w:pPr>
            <w:r>
              <w:rPr>
                <w:spacing w:val="-5"/>
                <w:sz w:val="18"/>
              </w:rPr>
              <w:t>3,1</w:t>
            </w:r>
          </w:p>
        </w:tc>
        <w:tc>
          <w:tcPr>
            <w:tcW w:w="695" w:type="dxa"/>
            <w:shd w:val="clear" w:color="auto" w:fill="D9D9D9"/>
          </w:tcPr>
          <w:p>
            <w:pPr>
              <w:pStyle w:val="TableParagraph"/>
              <w:spacing w:before="84"/>
              <w:ind w:right="22"/>
              <w:jc w:val="center"/>
              <w:rPr>
                <w:sz w:val="18"/>
              </w:rPr>
            </w:pPr>
            <w:r>
              <w:rPr>
                <w:sz w:val="18"/>
              </w:rPr>
              <w:t>-</w:t>
            </w:r>
            <w:r>
              <w:rPr>
                <w:spacing w:val="-5"/>
                <w:sz w:val="18"/>
              </w:rPr>
              <w:t>0,5</w:t>
            </w:r>
          </w:p>
        </w:tc>
        <w:tc>
          <w:tcPr>
            <w:tcW w:w="687" w:type="dxa"/>
            <w:shd w:val="clear" w:color="auto" w:fill="D9D9D9"/>
          </w:tcPr>
          <w:p>
            <w:pPr>
              <w:pStyle w:val="TableParagraph"/>
              <w:spacing w:before="84"/>
              <w:ind w:right="15"/>
              <w:jc w:val="center"/>
              <w:rPr>
                <w:sz w:val="18"/>
              </w:rPr>
            </w:pPr>
            <w:r>
              <w:rPr>
                <w:spacing w:val="-5"/>
                <w:sz w:val="18"/>
              </w:rPr>
              <w:t>2,4</w:t>
            </w:r>
          </w:p>
        </w:tc>
        <w:tc>
          <w:tcPr>
            <w:tcW w:w="686" w:type="dxa"/>
            <w:shd w:val="clear" w:color="auto" w:fill="D9D9D9"/>
          </w:tcPr>
          <w:p>
            <w:pPr>
              <w:pStyle w:val="TableParagraph"/>
              <w:spacing w:before="84"/>
              <w:ind w:right="4"/>
              <w:jc w:val="center"/>
              <w:rPr>
                <w:sz w:val="18"/>
              </w:rPr>
            </w:pPr>
            <w:r>
              <w:rPr>
                <w:spacing w:val="-5"/>
                <w:sz w:val="18"/>
              </w:rPr>
              <w:t>7,1</w:t>
            </w:r>
          </w:p>
        </w:tc>
      </w:tr>
      <w:tr>
        <w:trPr>
          <w:trHeight w:val="376" w:hRule="atLeast"/>
        </w:trPr>
        <w:tc>
          <w:tcPr>
            <w:tcW w:w="2940" w:type="dxa"/>
            <w:shd w:val="clear" w:color="auto" w:fill="BEBEBE"/>
          </w:tcPr>
          <w:p>
            <w:pPr>
              <w:pStyle w:val="TableParagraph"/>
              <w:spacing w:before="84"/>
              <w:ind w:left="424"/>
              <w:rPr>
                <w:i/>
                <w:sz w:val="18"/>
              </w:rPr>
            </w:pPr>
            <w:r>
              <w:rPr>
                <w:i/>
                <w:sz w:val="18"/>
              </w:rPr>
              <w:t>Εξαγωγές</w:t>
            </w:r>
            <w:r>
              <w:rPr>
                <w:i/>
                <w:spacing w:val="-4"/>
                <w:sz w:val="18"/>
              </w:rPr>
              <w:t> </w:t>
            </w:r>
            <w:r>
              <w:rPr>
                <w:i/>
                <w:spacing w:val="-2"/>
                <w:sz w:val="18"/>
              </w:rPr>
              <w:t>υπηρεσιών</w:t>
            </w:r>
          </w:p>
        </w:tc>
        <w:tc>
          <w:tcPr>
            <w:tcW w:w="732" w:type="dxa"/>
            <w:shd w:val="clear" w:color="auto" w:fill="BEBEBE"/>
          </w:tcPr>
          <w:p>
            <w:pPr>
              <w:pStyle w:val="TableParagraph"/>
              <w:spacing w:before="84"/>
              <w:ind w:left="19"/>
              <w:jc w:val="center"/>
              <w:rPr>
                <w:sz w:val="18"/>
              </w:rPr>
            </w:pPr>
            <w:r>
              <w:rPr>
                <w:spacing w:val="-5"/>
                <w:sz w:val="18"/>
              </w:rPr>
              <w:t>9,3</w:t>
            </w:r>
          </w:p>
        </w:tc>
        <w:tc>
          <w:tcPr>
            <w:tcW w:w="715" w:type="dxa"/>
            <w:shd w:val="clear" w:color="auto" w:fill="BEBEBE"/>
          </w:tcPr>
          <w:p>
            <w:pPr>
              <w:pStyle w:val="TableParagraph"/>
              <w:spacing w:before="84"/>
              <w:ind w:left="221"/>
              <w:rPr>
                <w:sz w:val="18"/>
              </w:rPr>
            </w:pPr>
            <w:r>
              <w:rPr>
                <w:spacing w:val="-5"/>
                <w:sz w:val="18"/>
              </w:rPr>
              <w:t>4,0</w:t>
            </w:r>
          </w:p>
        </w:tc>
        <w:tc>
          <w:tcPr>
            <w:tcW w:w="665" w:type="dxa"/>
            <w:shd w:val="clear" w:color="auto" w:fill="BEBEBE"/>
          </w:tcPr>
          <w:p>
            <w:pPr>
              <w:pStyle w:val="TableParagraph"/>
              <w:spacing w:before="84"/>
              <w:ind w:right="238"/>
              <w:jc w:val="right"/>
              <w:rPr>
                <w:sz w:val="18"/>
              </w:rPr>
            </w:pPr>
            <w:r>
              <w:rPr>
                <w:spacing w:val="-5"/>
                <w:sz w:val="18"/>
              </w:rPr>
              <w:t>3,2</w:t>
            </w:r>
          </w:p>
        </w:tc>
        <w:tc>
          <w:tcPr>
            <w:tcW w:w="675" w:type="dxa"/>
            <w:shd w:val="clear" w:color="auto" w:fill="BEBEBE"/>
          </w:tcPr>
          <w:p>
            <w:pPr>
              <w:pStyle w:val="TableParagraph"/>
              <w:spacing w:before="84"/>
              <w:ind w:left="4"/>
              <w:jc w:val="center"/>
              <w:rPr>
                <w:sz w:val="18"/>
              </w:rPr>
            </w:pPr>
            <w:r>
              <w:rPr>
                <w:spacing w:val="-5"/>
                <w:sz w:val="18"/>
              </w:rPr>
              <w:t>0,4</w:t>
            </w:r>
          </w:p>
        </w:tc>
        <w:tc>
          <w:tcPr>
            <w:tcW w:w="711" w:type="dxa"/>
            <w:shd w:val="clear" w:color="auto" w:fill="BEBEBE"/>
          </w:tcPr>
          <w:p>
            <w:pPr>
              <w:pStyle w:val="TableParagraph"/>
              <w:spacing w:before="84"/>
              <w:ind w:right="1"/>
              <w:jc w:val="center"/>
              <w:rPr>
                <w:sz w:val="18"/>
              </w:rPr>
            </w:pPr>
            <w:r>
              <w:rPr>
                <w:sz w:val="18"/>
              </w:rPr>
              <w:t>-</w:t>
            </w:r>
            <w:r>
              <w:rPr>
                <w:spacing w:val="-5"/>
                <w:sz w:val="18"/>
              </w:rPr>
              <w:t>0,4</w:t>
            </w:r>
          </w:p>
        </w:tc>
        <w:tc>
          <w:tcPr>
            <w:tcW w:w="695" w:type="dxa"/>
            <w:shd w:val="clear" w:color="auto" w:fill="BEBEBE"/>
          </w:tcPr>
          <w:p>
            <w:pPr>
              <w:pStyle w:val="TableParagraph"/>
              <w:spacing w:before="84"/>
              <w:ind w:right="20"/>
              <w:jc w:val="center"/>
              <w:rPr>
                <w:sz w:val="18"/>
              </w:rPr>
            </w:pPr>
            <w:r>
              <w:rPr>
                <w:spacing w:val="-5"/>
                <w:sz w:val="18"/>
              </w:rPr>
              <w:t>2,5</w:t>
            </w:r>
          </w:p>
        </w:tc>
        <w:tc>
          <w:tcPr>
            <w:tcW w:w="687" w:type="dxa"/>
            <w:shd w:val="clear" w:color="auto" w:fill="BEBEBE"/>
          </w:tcPr>
          <w:p>
            <w:pPr>
              <w:pStyle w:val="TableParagraph"/>
              <w:spacing w:before="84"/>
              <w:ind w:right="15"/>
              <w:jc w:val="center"/>
              <w:rPr>
                <w:sz w:val="18"/>
              </w:rPr>
            </w:pPr>
            <w:r>
              <w:rPr>
                <w:spacing w:val="-5"/>
                <w:sz w:val="18"/>
              </w:rPr>
              <w:t>0,4</w:t>
            </w:r>
          </w:p>
        </w:tc>
        <w:tc>
          <w:tcPr>
            <w:tcW w:w="686" w:type="dxa"/>
            <w:shd w:val="clear" w:color="auto" w:fill="BEBEBE"/>
          </w:tcPr>
          <w:p>
            <w:pPr>
              <w:pStyle w:val="TableParagraph"/>
              <w:spacing w:before="84"/>
              <w:ind w:right="6"/>
              <w:jc w:val="center"/>
              <w:rPr>
                <w:sz w:val="18"/>
              </w:rPr>
            </w:pPr>
            <w:r>
              <w:rPr>
                <w:sz w:val="18"/>
              </w:rPr>
              <w:t>-</w:t>
            </w:r>
            <w:r>
              <w:rPr>
                <w:spacing w:val="-5"/>
                <w:sz w:val="18"/>
              </w:rPr>
              <w:t>1,1</w:t>
            </w:r>
          </w:p>
        </w:tc>
      </w:tr>
      <w:tr>
        <w:trPr>
          <w:trHeight w:val="376" w:hRule="atLeast"/>
        </w:trPr>
        <w:tc>
          <w:tcPr>
            <w:tcW w:w="2940" w:type="dxa"/>
            <w:shd w:val="clear" w:color="auto" w:fill="D9D9D9"/>
          </w:tcPr>
          <w:p>
            <w:pPr>
              <w:pStyle w:val="TableParagraph"/>
              <w:spacing w:before="84"/>
              <w:ind w:left="108"/>
              <w:rPr>
                <w:sz w:val="18"/>
              </w:rPr>
            </w:pPr>
            <w:r>
              <w:rPr>
                <w:sz w:val="18"/>
              </w:rPr>
              <w:t>Εισαγωγές</w:t>
            </w:r>
            <w:r>
              <w:rPr>
                <w:spacing w:val="-5"/>
                <w:sz w:val="18"/>
              </w:rPr>
              <w:t> </w:t>
            </w:r>
            <w:r>
              <w:rPr>
                <w:sz w:val="18"/>
              </w:rPr>
              <w:t>αγαθών</w:t>
            </w:r>
            <w:r>
              <w:rPr>
                <w:spacing w:val="-4"/>
                <w:sz w:val="18"/>
              </w:rPr>
              <w:t> </w:t>
            </w:r>
            <w:r>
              <w:rPr>
                <w:sz w:val="18"/>
              </w:rPr>
              <w:t>και</w:t>
            </w:r>
            <w:r>
              <w:rPr>
                <w:spacing w:val="-5"/>
                <w:sz w:val="18"/>
              </w:rPr>
              <w:t> </w:t>
            </w:r>
            <w:r>
              <w:rPr>
                <w:spacing w:val="-2"/>
                <w:sz w:val="18"/>
              </w:rPr>
              <w:t>υπηρεσιών</w:t>
            </w:r>
          </w:p>
        </w:tc>
        <w:tc>
          <w:tcPr>
            <w:tcW w:w="732" w:type="dxa"/>
            <w:shd w:val="clear" w:color="auto" w:fill="D9D9D9"/>
          </w:tcPr>
          <w:p>
            <w:pPr>
              <w:pStyle w:val="TableParagraph"/>
              <w:spacing w:before="84"/>
              <w:ind w:left="19" w:right="3"/>
              <w:jc w:val="center"/>
              <w:rPr>
                <w:sz w:val="18"/>
              </w:rPr>
            </w:pPr>
            <w:r>
              <w:rPr>
                <w:spacing w:val="-4"/>
                <w:sz w:val="18"/>
              </w:rPr>
              <w:t>10,9</w:t>
            </w:r>
          </w:p>
        </w:tc>
        <w:tc>
          <w:tcPr>
            <w:tcW w:w="715" w:type="dxa"/>
            <w:shd w:val="clear" w:color="auto" w:fill="D9D9D9"/>
          </w:tcPr>
          <w:p>
            <w:pPr>
              <w:pStyle w:val="TableParagraph"/>
              <w:spacing w:before="84"/>
              <w:ind w:left="221"/>
              <w:rPr>
                <w:sz w:val="18"/>
              </w:rPr>
            </w:pPr>
            <w:r>
              <w:rPr>
                <w:spacing w:val="-5"/>
                <w:sz w:val="18"/>
              </w:rPr>
              <w:t>0,0</w:t>
            </w:r>
          </w:p>
        </w:tc>
        <w:tc>
          <w:tcPr>
            <w:tcW w:w="665" w:type="dxa"/>
            <w:shd w:val="clear" w:color="auto" w:fill="D9D9D9"/>
          </w:tcPr>
          <w:p>
            <w:pPr>
              <w:pStyle w:val="TableParagraph"/>
              <w:spacing w:before="84"/>
              <w:ind w:right="238"/>
              <w:jc w:val="right"/>
              <w:rPr>
                <w:sz w:val="18"/>
              </w:rPr>
            </w:pPr>
            <w:r>
              <w:rPr>
                <w:spacing w:val="-5"/>
                <w:sz w:val="18"/>
              </w:rPr>
              <w:t>4,8</w:t>
            </w:r>
          </w:p>
        </w:tc>
        <w:tc>
          <w:tcPr>
            <w:tcW w:w="675" w:type="dxa"/>
            <w:shd w:val="clear" w:color="auto" w:fill="D9D9D9"/>
          </w:tcPr>
          <w:p>
            <w:pPr>
              <w:pStyle w:val="TableParagraph"/>
              <w:spacing w:before="84"/>
              <w:ind w:left="2"/>
              <w:jc w:val="center"/>
              <w:rPr>
                <w:sz w:val="18"/>
              </w:rPr>
            </w:pPr>
            <w:r>
              <w:rPr>
                <w:sz w:val="18"/>
              </w:rPr>
              <w:t>-</w:t>
            </w:r>
            <w:r>
              <w:rPr>
                <w:spacing w:val="-5"/>
                <w:sz w:val="18"/>
              </w:rPr>
              <w:t>1,3</w:t>
            </w:r>
          </w:p>
        </w:tc>
        <w:tc>
          <w:tcPr>
            <w:tcW w:w="711" w:type="dxa"/>
            <w:shd w:val="clear" w:color="auto" w:fill="D9D9D9"/>
          </w:tcPr>
          <w:p>
            <w:pPr>
              <w:pStyle w:val="TableParagraph"/>
              <w:spacing w:before="84"/>
              <w:ind w:left="2" w:right="1"/>
              <w:jc w:val="center"/>
              <w:rPr>
                <w:sz w:val="18"/>
              </w:rPr>
            </w:pPr>
            <w:r>
              <w:rPr>
                <w:spacing w:val="-5"/>
                <w:sz w:val="18"/>
              </w:rPr>
              <w:t>1,7</w:t>
            </w:r>
          </w:p>
        </w:tc>
        <w:tc>
          <w:tcPr>
            <w:tcW w:w="695" w:type="dxa"/>
            <w:shd w:val="clear" w:color="auto" w:fill="D9D9D9"/>
          </w:tcPr>
          <w:p>
            <w:pPr>
              <w:pStyle w:val="TableParagraph"/>
              <w:spacing w:before="84"/>
              <w:ind w:right="22"/>
              <w:jc w:val="center"/>
              <w:rPr>
                <w:sz w:val="18"/>
              </w:rPr>
            </w:pPr>
            <w:r>
              <w:rPr>
                <w:sz w:val="18"/>
              </w:rPr>
              <w:t>-</w:t>
            </w:r>
            <w:r>
              <w:rPr>
                <w:spacing w:val="-5"/>
                <w:sz w:val="18"/>
              </w:rPr>
              <w:t>3,1</w:t>
            </w:r>
          </w:p>
        </w:tc>
        <w:tc>
          <w:tcPr>
            <w:tcW w:w="687" w:type="dxa"/>
            <w:shd w:val="clear" w:color="auto" w:fill="D9D9D9"/>
          </w:tcPr>
          <w:p>
            <w:pPr>
              <w:pStyle w:val="TableParagraph"/>
              <w:spacing w:before="84"/>
              <w:ind w:right="17"/>
              <w:jc w:val="center"/>
              <w:rPr>
                <w:sz w:val="18"/>
              </w:rPr>
            </w:pPr>
            <w:r>
              <w:rPr>
                <w:sz w:val="18"/>
              </w:rPr>
              <w:t>-</w:t>
            </w:r>
            <w:r>
              <w:rPr>
                <w:spacing w:val="-5"/>
                <w:sz w:val="18"/>
              </w:rPr>
              <w:t>3,9</w:t>
            </w:r>
          </w:p>
        </w:tc>
        <w:tc>
          <w:tcPr>
            <w:tcW w:w="686" w:type="dxa"/>
            <w:shd w:val="clear" w:color="auto" w:fill="D9D9D9"/>
          </w:tcPr>
          <w:p>
            <w:pPr>
              <w:pStyle w:val="TableParagraph"/>
              <w:spacing w:before="84"/>
              <w:ind w:right="4"/>
              <w:jc w:val="center"/>
              <w:rPr>
                <w:sz w:val="18"/>
              </w:rPr>
            </w:pPr>
            <w:r>
              <w:rPr>
                <w:spacing w:val="-5"/>
                <w:sz w:val="18"/>
              </w:rPr>
              <w:t>1,1</w:t>
            </w:r>
          </w:p>
        </w:tc>
      </w:tr>
      <w:tr>
        <w:trPr>
          <w:trHeight w:val="377" w:hRule="atLeast"/>
        </w:trPr>
        <w:tc>
          <w:tcPr>
            <w:tcW w:w="2940" w:type="dxa"/>
            <w:shd w:val="clear" w:color="auto" w:fill="BEBEBE"/>
          </w:tcPr>
          <w:p>
            <w:pPr>
              <w:pStyle w:val="TableParagraph"/>
              <w:spacing w:before="84"/>
              <w:ind w:left="424"/>
              <w:rPr>
                <w:i/>
                <w:sz w:val="18"/>
              </w:rPr>
            </w:pPr>
            <w:r>
              <w:rPr>
                <w:i/>
                <w:sz w:val="18"/>
              </w:rPr>
              <w:t>Εισαγωγές</w:t>
            </w:r>
            <w:r>
              <w:rPr>
                <w:i/>
                <w:spacing w:val="-7"/>
                <w:sz w:val="18"/>
              </w:rPr>
              <w:t> </w:t>
            </w:r>
            <w:r>
              <w:rPr>
                <w:i/>
                <w:spacing w:val="-2"/>
                <w:sz w:val="18"/>
              </w:rPr>
              <w:t>αγαθών</w:t>
            </w:r>
          </w:p>
        </w:tc>
        <w:tc>
          <w:tcPr>
            <w:tcW w:w="732" w:type="dxa"/>
            <w:shd w:val="clear" w:color="auto" w:fill="BEBEBE"/>
          </w:tcPr>
          <w:p>
            <w:pPr>
              <w:pStyle w:val="TableParagraph"/>
              <w:spacing w:before="84"/>
              <w:ind w:left="19" w:right="3"/>
              <w:jc w:val="center"/>
              <w:rPr>
                <w:sz w:val="18"/>
              </w:rPr>
            </w:pPr>
            <w:r>
              <w:rPr>
                <w:spacing w:val="-4"/>
                <w:sz w:val="18"/>
              </w:rPr>
              <w:t>13,1</w:t>
            </w:r>
          </w:p>
        </w:tc>
        <w:tc>
          <w:tcPr>
            <w:tcW w:w="715" w:type="dxa"/>
            <w:shd w:val="clear" w:color="auto" w:fill="BEBEBE"/>
          </w:tcPr>
          <w:p>
            <w:pPr>
              <w:pStyle w:val="TableParagraph"/>
              <w:spacing w:before="84"/>
              <w:ind w:left="190"/>
              <w:rPr>
                <w:sz w:val="18"/>
              </w:rPr>
            </w:pPr>
            <w:r>
              <w:rPr>
                <w:sz w:val="18"/>
              </w:rPr>
              <w:t>-</w:t>
            </w:r>
            <w:r>
              <w:rPr>
                <w:spacing w:val="-5"/>
                <w:sz w:val="18"/>
              </w:rPr>
              <w:t>1,4</w:t>
            </w:r>
          </w:p>
        </w:tc>
        <w:tc>
          <w:tcPr>
            <w:tcW w:w="665" w:type="dxa"/>
            <w:shd w:val="clear" w:color="auto" w:fill="BEBEBE"/>
          </w:tcPr>
          <w:p>
            <w:pPr>
              <w:pStyle w:val="TableParagraph"/>
              <w:spacing w:before="84"/>
              <w:ind w:right="238"/>
              <w:jc w:val="right"/>
              <w:rPr>
                <w:sz w:val="18"/>
              </w:rPr>
            </w:pPr>
            <w:r>
              <w:rPr>
                <w:spacing w:val="-5"/>
                <w:sz w:val="18"/>
              </w:rPr>
              <w:t>4,2</w:t>
            </w:r>
          </w:p>
        </w:tc>
        <w:tc>
          <w:tcPr>
            <w:tcW w:w="675" w:type="dxa"/>
            <w:shd w:val="clear" w:color="auto" w:fill="BEBEBE"/>
          </w:tcPr>
          <w:p>
            <w:pPr>
              <w:pStyle w:val="TableParagraph"/>
              <w:spacing w:before="84"/>
              <w:ind w:left="2"/>
              <w:jc w:val="center"/>
              <w:rPr>
                <w:sz w:val="18"/>
              </w:rPr>
            </w:pPr>
            <w:r>
              <w:rPr>
                <w:sz w:val="18"/>
              </w:rPr>
              <w:t>-</w:t>
            </w:r>
            <w:r>
              <w:rPr>
                <w:spacing w:val="-5"/>
                <w:sz w:val="18"/>
              </w:rPr>
              <w:t>2,1</w:t>
            </w:r>
          </w:p>
        </w:tc>
        <w:tc>
          <w:tcPr>
            <w:tcW w:w="711" w:type="dxa"/>
            <w:shd w:val="clear" w:color="auto" w:fill="BEBEBE"/>
          </w:tcPr>
          <w:p>
            <w:pPr>
              <w:pStyle w:val="TableParagraph"/>
              <w:spacing w:before="84"/>
              <w:ind w:left="2" w:right="1"/>
              <w:jc w:val="center"/>
              <w:rPr>
                <w:sz w:val="18"/>
              </w:rPr>
            </w:pPr>
            <w:r>
              <w:rPr>
                <w:spacing w:val="-5"/>
                <w:sz w:val="18"/>
              </w:rPr>
              <w:t>1,1</w:t>
            </w:r>
          </w:p>
        </w:tc>
        <w:tc>
          <w:tcPr>
            <w:tcW w:w="695" w:type="dxa"/>
            <w:shd w:val="clear" w:color="auto" w:fill="BEBEBE"/>
          </w:tcPr>
          <w:p>
            <w:pPr>
              <w:pStyle w:val="TableParagraph"/>
              <w:spacing w:before="84"/>
              <w:ind w:right="22"/>
              <w:jc w:val="center"/>
              <w:rPr>
                <w:sz w:val="18"/>
              </w:rPr>
            </w:pPr>
            <w:r>
              <w:rPr>
                <w:sz w:val="18"/>
              </w:rPr>
              <w:t>-</w:t>
            </w:r>
            <w:r>
              <w:rPr>
                <w:spacing w:val="-5"/>
                <w:sz w:val="18"/>
              </w:rPr>
              <w:t>4,7</w:t>
            </w:r>
          </w:p>
        </w:tc>
        <w:tc>
          <w:tcPr>
            <w:tcW w:w="687" w:type="dxa"/>
            <w:shd w:val="clear" w:color="auto" w:fill="BEBEBE"/>
          </w:tcPr>
          <w:p>
            <w:pPr>
              <w:pStyle w:val="TableParagraph"/>
              <w:spacing w:before="84"/>
              <w:ind w:right="17"/>
              <w:jc w:val="center"/>
              <w:rPr>
                <w:sz w:val="18"/>
              </w:rPr>
            </w:pPr>
            <w:r>
              <w:rPr>
                <w:sz w:val="18"/>
              </w:rPr>
              <w:t>-</w:t>
            </w:r>
            <w:r>
              <w:rPr>
                <w:spacing w:val="-5"/>
                <w:sz w:val="18"/>
              </w:rPr>
              <w:t>5,0</w:t>
            </w:r>
          </w:p>
        </w:tc>
        <w:tc>
          <w:tcPr>
            <w:tcW w:w="686" w:type="dxa"/>
            <w:shd w:val="clear" w:color="auto" w:fill="BEBEBE"/>
          </w:tcPr>
          <w:p>
            <w:pPr>
              <w:pStyle w:val="TableParagraph"/>
              <w:spacing w:before="84"/>
              <w:ind w:right="4"/>
              <w:jc w:val="center"/>
              <w:rPr>
                <w:sz w:val="18"/>
              </w:rPr>
            </w:pPr>
            <w:r>
              <w:rPr>
                <w:spacing w:val="-5"/>
                <w:sz w:val="18"/>
              </w:rPr>
              <w:t>0,6</w:t>
            </w:r>
          </w:p>
        </w:tc>
      </w:tr>
      <w:tr>
        <w:trPr>
          <w:trHeight w:val="376" w:hRule="atLeast"/>
        </w:trPr>
        <w:tc>
          <w:tcPr>
            <w:tcW w:w="2940" w:type="dxa"/>
            <w:shd w:val="clear" w:color="auto" w:fill="D9D9D9"/>
          </w:tcPr>
          <w:p>
            <w:pPr>
              <w:pStyle w:val="TableParagraph"/>
              <w:spacing w:before="84"/>
              <w:ind w:left="424"/>
              <w:rPr>
                <w:i/>
                <w:sz w:val="18"/>
              </w:rPr>
            </w:pPr>
            <w:r>
              <w:rPr>
                <w:i/>
                <w:sz w:val="18"/>
              </w:rPr>
              <w:t>Εισαγωγές</w:t>
            </w:r>
            <w:r>
              <w:rPr>
                <w:i/>
                <w:spacing w:val="-5"/>
                <w:sz w:val="18"/>
              </w:rPr>
              <w:t> </w:t>
            </w:r>
            <w:r>
              <w:rPr>
                <w:i/>
                <w:spacing w:val="-2"/>
                <w:sz w:val="18"/>
              </w:rPr>
              <w:t>υπηρεσιών</w:t>
            </w:r>
          </w:p>
        </w:tc>
        <w:tc>
          <w:tcPr>
            <w:tcW w:w="732" w:type="dxa"/>
            <w:shd w:val="clear" w:color="auto" w:fill="D9D9D9"/>
          </w:tcPr>
          <w:p>
            <w:pPr>
              <w:pStyle w:val="TableParagraph"/>
              <w:spacing w:before="84"/>
              <w:ind w:left="19"/>
              <w:jc w:val="center"/>
              <w:rPr>
                <w:sz w:val="18"/>
              </w:rPr>
            </w:pPr>
            <w:r>
              <w:rPr>
                <w:spacing w:val="-5"/>
                <w:sz w:val="18"/>
              </w:rPr>
              <w:t>4,4</w:t>
            </w:r>
          </w:p>
        </w:tc>
        <w:tc>
          <w:tcPr>
            <w:tcW w:w="715" w:type="dxa"/>
            <w:shd w:val="clear" w:color="auto" w:fill="D9D9D9"/>
          </w:tcPr>
          <w:p>
            <w:pPr>
              <w:pStyle w:val="TableParagraph"/>
              <w:spacing w:before="84"/>
              <w:ind w:left="221"/>
              <w:rPr>
                <w:sz w:val="18"/>
              </w:rPr>
            </w:pPr>
            <w:r>
              <w:rPr>
                <w:spacing w:val="-5"/>
                <w:sz w:val="18"/>
              </w:rPr>
              <w:t>5,0</w:t>
            </w:r>
          </w:p>
        </w:tc>
        <w:tc>
          <w:tcPr>
            <w:tcW w:w="665" w:type="dxa"/>
            <w:shd w:val="clear" w:color="auto" w:fill="D9D9D9"/>
          </w:tcPr>
          <w:p>
            <w:pPr>
              <w:pStyle w:val="TableParagraph"/>
              <w:spacing w:before="84"/>
              <w:ind w:right="238"/>
              <w:jc w:val="right"/>
              <w:rPr>
                <w:sz w:val="18"/>
              </w:rPr>
            </w:pPr>
            <w:r>
              <w:rPr>
                <w:spacing w:val="-5"/>
                <w:sz w:val="18"/>
              </w:rPr>
              <w:t>6,4</w:t>
            </w:r>
          </w:p>
        </w:tc>
        <w:tc>
          <w:tcPr>
            <w:tcW w:w="675" w:type="dxa"/>
            <w:shd w:val="clear" w:color="auto" w:fill="D9D9D9"/>
          </w:tcPr>
          <w:p>
            <w:pPr>
              <w:pStyle w:val="TableParagraph"/>
              <w:spacing w:before="84"/>
              <w:ind w:left="4"/>
              <w:jc w:val="center"/>
              <w:rPr>
                <w:sz w:val="18"/>
              </w:rPr>
            </w:pPr>
            <w:r>
              <w:rPr>
                <w:spacing w:val="-5"/>
                <w:sz w:val="18"/>
              </w:rPr>
              <w:t>1,0</w:t>
            </w:r>
          </w:p>
        </w:tc>
        <w:tc>
          <w:tcPr>
            <w:tcW w:w="711" w:type="dxa"/>
            <w:shd w:val="clear" w:color="auto" w:fill="D9D9D9"/>
          </w:tcPr>
          <w:p>
            <w:pPr>
              <w:pStyle w:val="TableParagraph"/>
              <w:spacing w:before="84"/>
              <w:ind w:left="2" w:right="1"/>
              <w:jc w:val="center"/>
              <w:rPr>
                <w:sz w:val="18"/>
              </w:rPr>
            </w:pPr>
            <w:r>
              <w:rPr>
                <w:spacing w:val="-5"/>
                <w:sz w:val="18"/>
              </w:rPr>
              <w:t>3,7</w:t>
            </w:r>
          </w:p>
        </w:tc>
        <w:tc>
          <w:tcPr>
            <w:tcW w:w="695" w:type="dxa"/>
            <w:shd w:val="clear" w:color="auto" w:fill="D9D9D9"/>
          </w:tcPr>
          <w:p>
            <w:pPr>
              <w:pStyle w:val="TableParagraph"/>
              <w:spacing w:before="84"/>
              <w:ind w:right="20"/>
              <w:jc w:val="center"/>
              <w:rPr>
                <w:sz w:val="18"/>
              </w:rPr>
            </w:pPr>
            <w:r>
              <w:rPr>
                <w:spacing w:val="-5"/>
                <w:sz w:val="18"/>
              </w:rPr>
              <w:t>1,1</w:t>
            </w:r>
          </w:p>
        </w:tc>
        <w:tc>
          <w:tcPr>
            <w:tcW w:w="687" w:type="dxa"/>
            <w:shd w:val="clear" w:color="auto" w:fill="D9D9D9"/>
          </w:tcPr>
          <w:p>
            <w:pPr>
              <w:pStyle w:val="TableParagraph"/>
              <w:spacing w:before="84"/>
              <w:ind w:right="17"/>
              <w:jc w:val="center"/>
              <w:rPr>
                <w:sz w:val="18"/>
              </w:rPr>
            </w:pPr>
            <w:r>
              <w:rPr>
                <w:sz w:val="18"/>
              </w:rPr>
              <w:t>-</w:t>
            </w:r>
            <w:r>
              <w:rPr>
                <w:spacing w:val="-5"/>
                <w:sz w:val="18"/>
              </w:rPr>
              <w:t>1,9</w:t>
            </w:r>
          </w:p>
        </w:tc>
        <w:tc>
          <w:tcPr>
            <w:tcW w:w="686" w:type="dxa"/>
            <w:shd w:val="clear" w:color="auto" w:fill="D9D9D9"/>
          </w:tcPr>
          <w:p>
            <w:pPr>
              <w:pStyle w:val="TableParagraph"/>
              <w:spacing w:before="84"/>
              <w:ind w:right="4"/>
              <w:jc w:val="center"/>
              <w:rPr>
                <w:sz w:val="18"/>
              </w:rPr>
            </w:pPr>
            <w:r>
              <w:rPr>
                <w:spacing w:val="-5"/>
                <w:sz w:val="18"/>
              </w:rPr>
              <w:t>1,3</w:t>
            </w:r>
          </w:p>
        </w:tc>
      </w:tr>
      <w:tr>
        <w:trPr>
          <w:trHeight w:val="376" w:hRule="atLeast"/>
        </w:trPr>
        <w:tc>
          <w:tcPr>
            <w:tcW w:w="2940" w:type="dxa"/>
            <w:shd w:val="clear" w:color="auto" w:fill="BEBEBE"/>
          </w:tcPr>
          <w:p>
            <w:pPr>
              <w:pStyle w:val="TableParagraph"/>
              <w:spacing w:before="84"/>
              <w:ind w:left="108"/>
              <w:rPr>
                <w:b/>
                <w:sz w:val="18"/>
              </w:rPr>
            </w:pPr>
            <w:r>
              <w:rPr>
                <w:b/>
                <w:color w:val="1F487C"/>
                <w:sz w:val="18"/>
              </w:rPr>
              <w:t>Πραγματ</w:t>
            </w:r>
            <w:r>
              <w:rPr>
                <w:b/>
                <w:smallCaps/>
                <w:color w:val="1F487C"/>
                <w:sz w:val="18"/>
              </w:rPr>
              <w:t>ι</w:t>
            </w:r>
            <w:r>
              <w:rPr>
                <w:b/>
                <w:smallCaps w:val="0"/>
                <w:color w:val="1F487C"/>
                <w:sz w:val="18"/>
              </w:rPr>
              <w:t>κό ΑΕΠ</w:t>
            </w:r>
            <w:r>
              <w:rPr>
                <w:b/>
                <w:smallCaps w:val="0"/>
                <w:color w:val="1F487C"/>
                <w:spacing w:val="-2"/>
                <w:sz w:val="18"/>
              </w:rPr>
              <w:t> </w:t>
            </w:r>
            <w:r>
              <w:rPr>
                <w:b/>
                <w:smallCaps w:val="0"/>
                <w:color w:val="1F487C"/>
                <w:sz w:val="18"/>
              </w:rPr>
              <w:t>σε</w:t>
            </w:r>
            <w:r>
              <w:rPr>
                <w:b/>
                <w:smallCaps w:val="0"/>
                <w:color w:val="1F487C"/>
                <w:spacing w:val="-3"/>
                <w:sz w:val="18"/>
              </w:rPr>
              <w:t> </w:t>
            </w:r>
            <w:r>
              <w:rPr>
                <w:b/>
                <w:smallCaps w:val="0"/>
                <w:color w:val="1F487C"/>
                <w:sz w:val="18"/>
              </w:rPr>
              <w:t>τ</w:t>
            </w:r>
            <w:r>
              <w:rPr>
                <w:b/>
                <w:smallCaps/>
                <w:color w:val="1F487C"/>
                <w:sz w:val="18"/>
              </w:rPr>
              <w:t>ι</w:t>
            </w:r>
            <w:r>
              <w:rPr>
                <w:b/>
                <w:smallCaps w:val="0"/>
                <w:color w:val="1F487C"/>
                <w:sz w:val="18"/>
              </w:rPr>
              <w:t>μές </w:t>
            </w:r>
            <w:r>
              <w:rPr>
                <w:b/>
                <w:smallCaps w:val="0"/>
                <w:color w:val="1F487C"/>
                <w:spacing w:val="-2"/>
                <w:sz w:val="18"/>
              </w:rPr>
              <w:t>αγοράς</w:t>
            </w:r>
          </w:p>
        </w:tc>
        <w:tc>
          <w:tcPr>
            <w:tcW w:w="732" w:type="dxa"/>
            <w:shd w:val="clear" w:color="auto" w:fill="BEBEBE"/>
          </w:tcPr>
          <w:p>
            <w:pPr>
              <w:pStyle w:val="TableParagraph"/>
              <w:spacing w:before="84"/>
              <w:ind w:left="19" w:right="1"/>
              <w:jc w:val="center"/>
              <w:rPr>
                <w:b/>
                <w:sz w:val="18"/>
              </w:rPr>
            </w:pPr>
            <w:r>
              <w:rPr>
                <w:b/>
                <w:color w:val="1F487C"/>
                <w:spacing w:val="-5"/>
                <w:sz w:val="18"/>
              </w:rPr>
              <w:t>5,5</w:t>
            </w:r>
          </w:p>
        </w:tc>
        <w:tc>
          <w:tcPr>
            <w:tcW w:w="715" w:type="dxa"/>
            <w:shd w:val="clear" w:color="auto" w:fill="BEBEBE"/>
          </w:tcPr>
          <w:p>
            <w:pPr>
              <w:pStyle w:val="TableParagraph"/>
              <w:spacing w:before="84"/>
              <w:ind w:left="221"/>
              <w:rPr>
                <w:b/>
                <w:sz w:val="18"/>
              </w:rPr>
            </w:pPr>
            <w:r>
              <w:rPr>
                <w:b/>
                <w:color w:val="1F487C"/>
                <w:spacing w:val="-5"/>
                <w:sz w:val="18"/>
              </w:rPr>
              <w:t>2,1</w:t>
            </w:r>
          </w:p>
        </w:tc>
        <w:tc>
          <w:tcPr>
            <w:tcW w:w="665" w:type="dxa"/>
            <w:shd w:val="clear" w:color="auto" w:fill="BEBEBE"/>
          </w:tcPr>
          <w:p>
            <w:pPr>
              <w:pStyle w:val="TableParagraph"/>
              <w:spacing w:before="84"/>
              <w:ind w:right="239"/>
              <w:jc w:val="right"/>
              <w:rPr>
                <w:b/>
                <w:sz w:val="18"/>
              </w:rPr>
            </w:pPr>
            <w:r>
              <w:rPr>
                <w:b/>
                <w:color w:val="1F487C"/>
                <w:spacing w:val="-5"/>
                <w:sz w:val="18"/>
              </w:rPr>
              <w:t>2,1</w:t>
            </w:r>
          </w:p>
        </w:tc>
        <w:tc>
          <w:tcPr>
            <w:tcW w:w="675" w:type="dxa"/>
            <w:shd w:val="clear" w:color="auto" w:fill="BEBEBE"/>
          </w:tcPr>
          <w:p>
            <w:pPr>
              <w:pStyle w:val="TableParagraph"/>
              <w:spacing w:before="84"/>
              <w:ind w:left="4"/>
              <w:jc w:val="center"/>
              <w:rPr>
                <w:b/>
                <w:sz w:val="18"/>
              </w:rPr>
            </w:pPr>
            <w:r>
              <w:rPr>
                <w:b/>
                <w:color w:val="1F487C"/>
                <w:spacing w:val="-5"/>
                <w:sz w:val="18"/>
              </w:rPr>
              <w:t>2,1</w:t>
            </w:r>
          </w:p>
        </w:tc>
        <w:tc>
          <w:tcPr>
            <w:tcW w:w="711" w:type="dxa"/>
            <w:shd w:val="clear" w:color="auto" w:fill="BEBEBE"/>
          </w:tcPr>
          <w:p>
            <w:pPr>
              <w:pStyle w:val="TableParagraph"/>
              <w:spacing w:before="84"/>
              <w:jc w:val="center"/>
              <w:rPr>
                <w:b/>
                <w:sz w:val="18"/>
              </w:rPr>
            </w:pPr>
            <w:r>
              <w:rPr>
                <w:b/>
                <w:color w:val="1F487C"/>
                <w:spacing w:val="-5"/>
                <w:sz w:val="18"/>
              </w:rPr>
              <w:t>2,4</w:t>
            </w:r>
          </w:p>
        </w:tc>
        <w:tc>
          <w:tcPr>
            <w:tcW w:w="695" w:type="dxa"/>
            <w:shd w:val="clear" w:color="auto" w:fill="BEBEBE"/>
          </w:tcPr>
          <w:p>
            <w:pPr>
              <w:pStyle w:val="TableParagraph"/>
              <w:spacing w:before="84"/>
              <w:ind w:right="20"/>
              <w:jc w:val="center"/>
              <w:rPr>
                <w:b/>
                <w:sz w:val="18"/>
              </w:rPr>
            </w:pPr>
            <w:r>
              <w:rPr>
                <w:b/>
                <w:color w:val="1F487C"/>
                <w:spacing w:val="-5"/>
                <w:sz w:val="18"/>
              </w:rPr>
              <w:t>1,7</w:t>
            </w:r>
          </w:p>
        </w:tc>
        <w:tc>
          <w:tcPr>
            <w:tcW w:w="687" w:type="dxa"/>
            <w:shd w:val="clear" w:color="auto" w:fill="BEBEBE"/>
          </w:tcPr>
          <w:p>
            <w:pPr>
              <w:pStyle w:val="TableParagraph"/>
              <w:spacing w:before="84"/>
              <w:ind w:right="15"/>
              <w:jc w:val="center"/>
              <w:rPr>
                <w:b/>
                <w:sz w:val="18"/>
              </w:rPr>
            </w:pPr>
            <w:r>
              <w:rPr>
                <w:b/>
                <w:color w:val="1F487C"/>
                <w:spacing w:val="-5"/>
                <w:sz w:val="18"/>
              </w:rPr>
              <w:t>2,1</w:t>
            </w:r>
          </w:p>
        </w:tc>
        <w:tc>
          <w:tcPr>
            <w:tcW w:w="686" w:type="dxa"/>
            <w:shd w:val="clear" w:color="auto" w:fill="BEBEBE"/>
          </w:tcPr>
          <w:p>
            <w:pPr>
              <w:pStyle w:val="TableParagraph"/>
              <w:spacing w:before="84"/>
              <w:ind w:right="4"/>
              <w:jc w:val="center"/>
              <w:rPr>
                <w:b/>
                <w:sz w:val="18"/>
              </w:rPr>
            </w:pPr>
            <w:r>
              <w:rPr>
                <w:b/>
                <w:color w:val="1F487C"/>
                <w:spacing w:val="-5"/>
                <w:sz w:val="18"/>
              </w:rPr>
              <w:t>2,4</w:t>
            </w:r>
          </w:p>
        </w:tc>
      </w:tr>
      <w:tr>
        <w:trPr>
          <w:trHeight w:val="621" w:hRule="atLeast"/>
        </w:trPr>
        <w:tc>
          <w:tcPr>
            <w:tcW w:w="8506" w:type="dxa"/>
            <w:gridSpan w:val="9"/>
            <w:shd w:val="clear" w:color="auto" w:fill="D9D9D9"/>
          </w:tcPr>
          <w:p>
            <w:pPr>
              <w:pStyle w:val="TableParagraph"/>
              <w:spacing w:before="119"/>
              <w:ind w:left="220"/>
              <w:rPr>
                <w:sz w:val="14"/>
              </w:rPr>
            </w:pPr>
            <w:r>
              <w:rPr>
                <w:sz w:val="14"/>
              </w:rPr>
              <w:t>Πηγές:</w:t>
            </w:r>
            <w:r>
              <w:rPr>
                <w:spacing w:val="-5"/>
                <w:sz w:val="14"/>
              </w:rPr>
              <w:t> </w:t>
            </w:r>
            <w:r>
              <w:rPr>
                <w:sz w:val="14"/>
              </w:rPr>
              <w:t>Ελληνική</w:t>
            </w:r>
            <w:r>
              <w:rPr>
                <w:spacing w:val="-4"/>
                <w:sz w:val="14"/>
              </w:rPr>
              <w:t> </w:t>
            </w:r>
            <w:r>
              <w:rPr>
                <w:sz w:val="14"/>
              </w:rPr>
              <w:t>Στατιστική</w:t>
            </w:r>
            <w:r>
              <w:rPr>
                <w:spacing w:val="-5"/>
                <w:sz w:val="14"/>
              </w:rPr>
              <w:t> </w:t>
            </w:r>
            <w:r>
              <w:rPr>
                <w:sz w:val="14"/>
              </w:rPr>
              <w:t>Αρχή</w:t>
            </w:r>
            <w:r>
              <w:rPr>
                <w:spacing w:val="-4"/>
                <w:sz w:val="14"/>
              </w:rPr>
              <w:t> </w:t>
            </w:r>
            <w:r>
              <w:rPr>
                <w:sz w:val="14"/>
              </w:rPr>
              <w:t>και</w:t>
            </w:r>
            <w:r>
              <w:rPr>
                <w:spacing w:val="-4"/>
                <w:sz w:val="14"/>
              </w:rPr>
              <w:t> </w:t>
            </w:r>
            <w:r>
              <w:rPr>
                <w:sz w:val="14"/>
              </w:rPr>
              <w:t>Τράπεζα</w:t>
            </w:r>
            <w:r>
              <w:rPr>
                <w:spacing w:val="-5"/>
                <w:sz w:val="14"/>
              </w:rPr>
              <w:t> </w:t>
            </w:r>
            <w:r>
              <w:rPr>
                <w:sz w:val="14"/>
              </w:rPr>
              <w:t>της</w:t>
            </w:r>
            <w:r>
              <w:rPr>
                <w:spacing w:val="-2"/>
                <w:sz w:val="14"/>
              </w:rPr>
              <w:t> Ελλάδος.</w:t>
            </w:r>
          </w:p>
          <w:p>
            <w:pPr>
              <w:pStyle w:val="TableParagraph"/>
              <w:spacing w:before="119"/>
              <w:ind w:left="220"/>
              <w:rPr>
                <w:sz w:val="14"/>
              </w:rPr>
            </w:pPr>
            <w:r>
              <w:rPr>
                <w:sz w:val="14"/>
              </w:rPr>
              <w:t>Σταθερές</w:t>
            </w:r>
            <w:r>
              <w:rPr>
                <w:spacing w:val="-6"/>
                <w:sz w:val="14"/>
              </w:rPr>
              <w:t> </w:t>
            </w:r>
            <w:r>
              <w:rPr>
                <w:sz w:val="14"/>
              </w:rPr>
              <w:t>αγοραίες</w:t>
            </w:r>
            <w:r>
              <w:rPr>
                <w:spacing w:val="-5"/>
                <w:sz w:val="14"/>
              </w:rPr>
              <w:t> </w:t>
            </w:r>
            <w:r>
              <w:rPr>
                <w:sz w:val="14"/>
              </w:rPr>
              <w:t>τιμές</w:t>
            </w:r>
            <w:r>
              <w:rPr>
                <w:spacing w:val="-6"/>
                <w:sz w:val="14"/>
              </w:rPr>
              <w:t> </w:t>
            </w:r>
            <w:r>
              <w:rPr>
                <w:sz w:val="14"/>
              </w:rPr>
              <w:t>2020.</w:t>
            </w:r>
            <w:r>
              <w:rPr>
                <w:spacing w:val="-3"/>
                <w:sz w:val="14"/>
              </w:rPr>
              <w:t> </w:t>
            </w:r>
            <w:r>
              <w:rPr>
                <w:sz w:val="14"/>
              </w:rPr>
              <w:t>Ετήσια</w:t>
            </w:r>
            <w:r>
              <w:rPr>
                <w:spacing w:val="-6"/>
                <w:sz w:val="14"/>
              </w:rPr>
              <w:t> </w:t>
            </w:r>
            <w:r>
              <w:rPr>
                <w:sz w:val="14"/>
              </w:rPr>
              <w:t>στοιχεία:</w:t>
            </w:r>
            <w:r>
              <w:rPr>
                <w:spacing w:val="-6"/>
                <w:sz w:val="14"/>
              </w:rPr>
              <w:t> </w:t>
            </w:r>
            <w:r>
              <w:rPr>
                <w:sz w:val="14"/>
              </w:rPr>
              <w:t>Μη</w:t>
            </w:r>
            <w:r>
              <w:rPr>
                <w:spacing w:val="-5"/>
                <w:sz w:val="14"/>
              </w:rPr>
              <w:t> </w:t>
            </w:r>
            <w:r>
              <w:rPr>
                <w:sz w:val="14"/>
              </w:rPr>
              <w:t>εποχικώς</w:t>
            </w:r>
            <w:r>
              <w:rPr>
                <w:spacing w:val="-5"/>
                <w:sz w:val="14"/>
              </w:rPr>
              <w:t> </w:t>
            </w:r>
            <w:r>
              <w:rPr>
                <w:sz w:val="14"/>
              </w:rPr>
              <w:t>διορθωμένα.</w:t>
            </w:r>
            <w:r>
              <w:rPr>
                <w:spacing w:val="-4"/>
                <w:sz w:val="14"/>
              </w:rPr>
              <w:t> </w:t>
            </w:r>
            <w:r>
              <w:rPr>
                <w:sz w:val="14"/>
              </w:rPr>
              <w:t>Τριμηνιαία</w:t>
            </w:r>
            <w:r>
              <w:rPr>
                <w:spacing w:val="-6"/>
                <w:sz w:val="14"/>
              </w:rPr>
              <w:t> </w:t>
            </w:r>
            <w:r>
              <w:rPr>
                <w:sz w:val="14"/>
              </w:rPr>
              <w:t>στοιχεία:</w:t>
            </w:r>
            <w:r>
              <w:rPr>
                <w:spacing w:val="-6"/>
                <w:sz w:val="14"/>
              </w:rPr>
              <w:t> </w:t>
            </w:r>
            <w:r>
              <w:rPr>
                <w:sz w:val="14"/>
              </w:rPr>
              <w:t>Εποχικώς</w:t>
            </w:r>
            <w:r>
              <w:rPr>
                <w:spacing w:val="-5"/>
                <w:sz w:val="14"/>
              </w:rPr>
              <w:t> </w:t>
            </w:r>
            <w:r>
              <w:rPr>
                <w:spacing w:val="-2"/>
                <w:sz w:val="14"/>
              </w:rPr>
              <w:t>διορθωμένα.</w:t>
            </w:r>
          </w:p>
        </w:tc>
      </w:tr>
    </w:tbl>
    <w:p>
      <w:pPr>
        <w:pStyle w:val="BodyText"/>
        <w:spacing w:line="285" w:lineRule="auto" w:before="45"/>
        <w:ind w:left="172" w:right="956"/>
        <w:jc w:val="both"/>
      </w:pPr>
      <w:r>
        <w:rPr/>
        <w:t>Αναλυτικότερα, το 2025 ο ρυθμός αύξησης του ακαθάριστου εγχώριου προϊόντος (ΑΕΠ) σε πραγματικούς</w:t>
      </w:r>
      <w:r>
        <w:rPr>
          <w:spacing w:val="-1"/>
        </w:rPr>
        <w:t> </w:t>
      </w:r>
      <w:r>
        <w:rPr/>
        <w:t>όρους διαμορφώθηκε σε 2,1%, αμετάβλητος σε σχέση με το 2024 και το 2023. Η ιδιωτική</w:t>
      </w:r>
      <w:r>
        <w:rPr>
          <w:spacing w:val="-6"/>
        </w:rPr>
        <w:t> </w:t>
      </w:r>
      <w:r>
        <w:rPr/>
        <w:t>κατανάλωση,</w:t>
      </w:r>
      <w:r>
        <w:rPr>
          <w:spacing w:val="-5"/>
        </w:rPr>
        <w:t> </w:t>
      </w:r>
      <w:r>
        <w:rPr/>
        <w:t>αν</w:t>
      </w:r>
      <w:r>
        <w:rPr>
          <w:spacing w:val="-5"/>
        </w:rPr>
        <w:t> </w:t>
      </w:r>
      <w:r>
        <w:rPr/>
        <w:t>και</w:t>
      </w:r>
      <w:r>
        <w:rPr>
          <w:spacing w:val="-5"/>
        </w:rPr>
        <w:t> </w:t>
      </w:r>
      <w:r>
        <w:rPr/>
        <w:t>επιβραδύνθηκε</w:t>
      </w:r>
      <w:r>
        <w:rPr>
          <w:spacing w:val="-7"/>
        </w:rPr>
        <w:t> </w:t>
      </w:r>
      <w:r>
        <w:rPr/>
        <w:t>σε</w:t>
      </w:r>
      <w:r>
        <w:rPr>
          <w:spacing w:val="-4"/>
        </w:rPr>
        <w:t> </w:t>
      </w:r>
      <w:r>
        <w:rPr/>
        <w:t>σχέση</w:t>
      </w:r>
      <w:r>
        <w:rPr>
          <w:spacing w:val="-8"/>
        </w:rPr>
        <w:t> </w:t>
      </w:r>
      <w:r>
        <w:rPr/>
        <w:t>με</w:t>
      </w:r>
      <w:r>
        <w:rPr>
          <w:spacing w:val="-4"/>
        </w:rPr>
        <w:t> </w:t>
      </w:r>
      <w:r>
        <w:rPr/>
        <w:t>το</w:t>
      </w:r>
      <w:r>
        <w:rPr>
          <w:spacing w:val="-6"/>
        </w:rPr>
        <w:t> </w:t>
      </w:r>
      <w:r>
        <w:rPr/>
        <w:t>2024</w:t>
      </w:r>
      <w:r>
        <w:rPr>
          <w:spacing w:val="-5"/>
        </w:rPr>
        <w:t> </w:t>
      </w:r>
      <w:r>
        <w:rPr/>
        <w:t>(2,0%,</w:t>
      </w:r>
      <w:r>
        <w:rPr>
          <w:spacing w:val="-6"/>
        </w:rPr>
        <w:t> </w:t>
      </w:r>
      <w:r>
        <w:rPr/>
        <w:t>από</w:t>
      </w:r>
      <w:r>
        <w:rPr>
          <w:spacing w:val="-5"/>
        </w:rPr>
        <w:t> </w:t>
      </w:r>
      <w:r>
        <w:rPr/>
        <w:t>2,4%),</w:t>
      </w:r>
      <w:r>
        <w:rPr>
          <w:spacing w:val="-6"/>
        </w:rPr>
        <w:t> </w:t>
      </w:r>
      <w:r>
        <w:rPr/>
        <w:t>είχε</w:t>
      </w:r>
      <w:r>
        <w:rPr>
          <w:spacing w:val="-1"/>
        </w:rPr>
        <w:t> </w:t>
      </w:r>
      <w:r>
        <w:rPr>
          <w:spacing w:val="-2"/>
        </w:rPr>
        <w:t>σημα-</w:t>
      </w:r>
    </w:p>
    <w:p>
      <w:pPr>
        <w:pStyle w:val="BodyText"/>
        <w:spacing w:after="0" w:line="285" w:lineRule="auto"/>
        <w:jc w:val="both"/>
        <w:sectPr>
          <w:pgSz w:w="11910" w:h="16850"/>
          <w:pgMar w:header="0" w:footer="1180" w:top="1800" w:bottom="1360" w:left="1417" w:right="850"/>
        </w:sectPr>
      </w:pPr>
    </w:p>
    <w:p>
      <w:pPr>
        <w:pStyle w:val="BodyText"/>
        <w:spacing w:line="285" w:lineRule="auto" w:before="66"/>
        <w:ind w:left="172" w:right="955"/>
        <w:jc w:val="both"/>
      </w:pPr>
      <w:r>
        <w:rPr/>
        <w:t>ντική συμβολή στον ρυθμό ανάπτυξης της ελληνικής οικονομίας. Η κατανάλωση των νοικοκυ-ριών</w:t>
      </w:r>
      <w:r>
        <w:rPr>
          <w:spacing w:val="-4"/>
        </w:rPr>
        <w:t> </w:t>
      </w:r>
      <w:r>
        <w:rPr/>
        <w:t>υποστηρίχθηκε</w:t>
      </w:r>
      <w:r>
        <w:rPr>
          <w:spacing w:val="-4"/>
        </w:rPr>
        <w:t> </w:t>
      </w:r>
      <w:r>
        <w:rPr/>
        <w:t>από</w:t>
      </w:r>
      <w:r>
        <w:rPr>
          <w:spacing w:val="-5"/>
        </w:rPr>
        <w:t> </w:t>
      </w:r>
      <w:r>
        <w:rPr/>
        <w:t>την</w:t>
      </w:r>
      <w:r>
        <w:rPr>
          <w:spacing w:val="-4"/>
        </w:rPr>
        <w:t> </w:t>
      </w:r>
      <w:r>
        <w:rPr/>
        <w:t>ενίσχυση</w:t>
      </w:r>
      <w:r>
        <w:rPr>
          <w:spacing w:val="-5"/>
        </w:rPr>
        <w:t> </w:t>
      </w:r>
      <w:r>
        <w:rPr/>
        <w:t>του</w:t>
      </w:r>
      <w:r>
        <w:rPr>
          <w:spacing w:val="-4"/>
        </w:rPr>
        <w:t> </w:t>
      </w:r>
      <w:r>
        <w:rPr/>
        <w:t>ονομαστικού</w:t>
      </w:r>
      <w:r>
        <w:rPr>
          <w:spacing w:val="-4"/>
        </w:rPr>
        <w:t> </w:t>
      </w:r>
      <w:r>
        <w:rPr/>
        <w:t>διαθέσιμου</w:t>
      </w:r>
      <w:r>
        <w:rPr>
          <w:spacing w:val="-4"/>
        </w:rPr>
        <w:t> </w:t>
      </w:r>
      <w:r>
        <w:rPr/>
        <w:t>εισοδήματός</w:t>
      </w:r>
      <w:r>
        <w:rPr>
          <w:spacing w:val="-6"/>
        </w:rPr>
        <w:t> </w:t>
      </w:r>
      <w:r>
        <w:rPr/>
        <w:t>τους,</w:t>
      </w:r>
      <w:r>
        <w:rPr>
          <w:spacing w:val="-5"/>
        </w:rPr>
        <w:t> </w:t>
      </w:r>
      <w:r>
        <w:rPr/>
        <w:t>το</w:t>
      </w:r>
      <w:r>
        <w:rPr>
          <w:spacing w:val="-5"/>
        </w:rPr>
        <w:t> </w:t>
      </w:r>
      <w:r>
        <w:rPr/>
        <w:t>οποίο αυξήθηκε κατά 5,3% το 2025 λόγω της θετικής συμβολής του εισοδήματος από την εργασία (πρωτίστως</w:t>
      </w:r>
      <w:r>
        <w:rPr>
          <w:spacing w:val="-6"/>
        </w:rPr>
        <w:t> </w:t>
      </w:r>
      <w:r>
        <w:rPr/>
        <w:t>του</w:t>
      </w:r>
      <w:r>
        <w:rPr>
          <w:spacing w:val="-6"/>
        </w:rPr>
        <w:t> </w:t>
      </w:r>
      <w:r>
        <w:rPr/>
        <w:t>εισοδήματος</w:t>
      </w:r>
      <w:r>
        <w:rPr>
          <w:spacing w:val="-6"/>
        </w:rPr>
        <w:t> </w:t>
      </w:r>
      <w:r>
        <w:rPr/>
        <w:t>εξαρτημένης</w:t>
      </w:r>
      <w:r>
        <w:rPr>
          <w:spacing w:val="-6"/>
        </w:rPr>
        <w:t> </w:t>
      </w:r>
      <w:r>
        <w:rPr/>
        <w:t>εργασίας</w:t>
      </w:r>
      <w:r>
        <w:rPr>
          <w:spacing w:val="-6"/>
        </w:rPr>
        <w:t> </w:t>
      </w:r>
      <w:r>
        <w:rPr/>
        <w:t>και</w:t>
      </w:r>
      <w:r>
        <w:rPr>
          <w:spacing w:val="-5"/>
        </w:rPr>
        <w:t> </w:t>
      </w:r>
      <w:r>
        <w:rPr/>
        <w:t>δευτερευόντως</w:t>
      </w:r>
      <w:r>
        <w:rPr>
          <w:spacing w:val="-6"/>
        </w:rPr>
        <w:t> </w:t>
      </w:r>
      <w:r>
        <w:rPr/>
        <w:t>του</w:t>
      </w:r>
      <w:r>
        <w:rPr>
          <w:spacing w:val="-4"/>
        </w:rPr>
        <w:t> </w:t>
      </w:r>
      <w:r>
        <w:rPr/>
        <w:t>εισοδήματος</w:t>
      </w:r>
      <w:r>
        <w:rPr>
          <w:spacing w:val="-6"/>
        </w:rPr>
        <w:t> </w:t>
      </w:r>
      <w:r>
        <w:rPr/>
        <w:t>αυτοα-πασχολουμένων). Το πραγματικό διαθέσιμο εισόδημα το 2025, αυξήθηκε κατά 1,8% ως αποτέ-λεσμα της επίδρασης του πληθωρισμού. Παράλληλα, η δημόσια κατανάλωση αυξήθηκε οριακά κατά 0,3%.</w:t>
      </w:r>
    </w:p>
    <w:p>
      <w:pPr>
        <w:pStyle w:val="BodyText"/>
        <w:spacing w:line="285" w:lineRule="auto" w:before="53"/>
        <w:ind w:left="172" w:right="955"/>
        <w:jc w:val="both"/>
      </w:pPr>
      <w:r>
        <w:rPr/>
        <w:t>Οι επενδύσεις κατέγραψαν σημαντική πρόοδο το 2025 και είχαν τη μεγαλύτερη συμβολή στην αύξηση</w:t>
      </w:r>
      <w:r>
        <w:rPr>
          <w:spacing w:val="-12"/>
        </w:rPr>
        <w:t> </w:t>
      </w:r>
      <w:r>
        <w:rPr/>
        <w:t>του</w:t>
      </w:r>
      <w:r>
        <w:rPr>
          <w:spacing w:val="-9"/>
        </w:rPr>
        <w:t> </w:t>
      </w:r>
      <w:r>
        <w:rPr/>
        <w:t>ΑΕΠ,</w:t>
      </w:r>
      <w:r>
        <w:rPr>
          <w:spacing w:val="-10"/>
        </w:rPr>
        <w:t> </w:t>
      </w:r>
      <w:r>
        <w:rPr/>
        <w:t>καθώς</w:t>
      </w:r>
      <w:r>
        <w:rPr>
          <w:spacing w:val="-11"/>
        </w:rPr>
        <w:t> </w:t>
      </w:r>
      <w:r>
        <w:rPr/>
        <w:t>ο</w:t>
      </w:r>
      <w:r>
        <w:rPr>
          <w:spacing w:val="-12"/>
        </w:rPr>
        <w:t> </w:t>
      </w:r>
      <w:r>
        <w:rPr/>
        <w:t>ακαθάριστος</w:t>
      </w:r>
      <w:r>
        <w:rPr>
          <w:spacing w:val="-13"/>
        </w:rPr>
        <w:t> </w:t>
      </w:r>
      <w:r>
        <w:rPr/>
        <w:t>σχηματισμός</w:t>
      </w:r>
      <w:r>
        <w:rPr>
          <w:spacing w:val="-13"/>
        </w:rPr>
        <w:t> </w:t>
      </w:r>
      <w:r>
        <w:rPr/>
        <w:t>πάγιου</w:t>
      </w:r>
      <w:r>
        <w:rPr>
          <w:spacing w:val="-9"/>
        </w:rPr>
        <w:t> </w:t>
      </w:r>
      <w:r>
        <w:rPr/>
        <w:t>κεφαλαίου</w:t>
      </w:r>
      <w:r>
        <w:rPr>
          <w:spacing w:val="-10"/>
        </w:rPr>
        <w:t> </w:t>
      </w:r>
      <w:r>
        <w:rPr/>
        <w:t>αυξήθηκε</w:t>
      </w:r>
      <w:r>
        <w:rPr>
          <w:spacing w:val="-9"/>
        </w:rPr>
        <w:t> </w:t>
      </w:r>
      <w:r>
        <w:rPr/>
        <w:t>κατά</w:t>
      </w:r>
      <w:r>
        <w:rPr>
          <w:spacing w:val="-10"/>
        </w:rPr>
        <w:t> </w:t>
      </w:r>
      <w:r>
        <w:rPr/>
        <w:t>8,9%</w:t>
      </w:r>
      <w:r>
        <w:rPr>
          <w:spacing w:val="-9"/>
        </w:rPr>
        <w:t> </w:t>
      </w:r>
      <w:r>
        <w:rPr/>
        <w:t>το 2025,</w:t>
      </w:r>
      <w:r>
        <w:rPr>
          <w:spacing w:val="-7"/>
        </w:rPr>
        <w:t> </w:t>
      </w:r>
      <w:r>
        <w:rPr/>
        <w:t>έναντι</w:t>
      </w:r>
      <w:r>
        <w:rPr>
          <w:spacing w:val="-6"/>
        </w:rPr>
        <w:t> </w:t>
      </w:r>
      <w:r>
        <w:rPr/>
        <w:t>4,5%</w:t>
      </w:r>
      <w:r>
        <w:rPr>
          <w:spacing w:val="-6"/>
        </w:rPr>
        <w:t> </w:t>
      </w:r>
      <w:r>
        <w:rPr/>
        <w:t>το</w:t>
      </w:r>
      <w:r>
        <w:rPr>
          <w:spacing w:val="-7"/>
        </w:rPr>
        <w:t> </w:t>
      </w:r>
      <w:r>
        <w:rPr/>
        <w:t>2024.</w:t>
      </w:r>
      <w:r>
        <w:rPr>
          <w:spacing w:val="-7"/>
        </w:rPr>
        <w:t> </w:t>
      </w:r>
      <w:r>
        <w:rPr/>
        <w:t>Θετική</w:t>
      </w:r>
      <w:r>
        <w:rPr>
          <w:spacing w:val="-5"/>
        </w:rPr>
        <w:t> </w:t>
      </w:r>
      <w:r>
        <w:rPr/>
        <w:t>ήταν</w:t>
      </w:r>
      <w:r>
        <w:rPr>
          <w:spacing w:val="-4"/>
        </w:rPr>
        <w:t> </w:t>
      </w:r>
      <w:r>
        <w:rPr/>
        <w:t>η</w:t>
      </w:r>
      <w:r>
        <w:rPr>
          <w:spacing w:val="-7"/>
        </w:rPr>
        <w:t> </w:t>
      </w:r>
      <w:r>
        <w:rPr/>
        <w:t>συμβολή</w:t>
      </w:r>
      <w:r>
        <w:rPr>
          <w:spacing w:val="-5"/>
        </w:rPr>
        <w:t> </w:t>
      </w:r>
      <w:r>
        <w:rPr/>
        <w:t>κυρίως</w:t>
      </w:r>
      <w:r>
        <w:rPr>
          <w:spacing w:val="-6"/>
        </w:rPr>
        <w:t> </w:t>
      </w:r>
      <w:r>
        <w:rPr/>
        <w:t>των</w:t>
      </w:r>
      <w:r>
        <w:rPr>
          <w:spacing w:val="-4"/>
        </w:rPr>
        <w:t> </w:t>
      </w:r>
      <w:r>
        <w:rPr/>
        <w:t>κατηγοριών</w:t>
      </w:r>
      <w:r>
        <w:rPr>
          <w:spacing w:val="-3"/>
        </w:rPr>
        <w:t> </w:t>
      </w:r>
      <w:r>
        <w:rPr/>
        <w:t>“Μεταφορικός</w:t>
      </w:r>
      <w:r>
        <w:rPr>
          <w:spacing w:val="-6"/>
        </w:rPr>
        <w:t> </w:t>
      </w:r>
      <w:r>
        <w:rPr/>
        <w:t>εξο-πλισμός”</w:t>
      </w:r>
      <w:r>
        <w:rPr>
          <w:spacing w:val="-3"/>
        </w:rPr>
        <w:t> </w:t>
      </w:r>
      <w:r>
        <w:rPr/>
        <w:t>(20,8%),</w:t>
      </w:r>
      <w:r>
        <w:rPr>
          <w:spacing w:val="-3"/>
        </w:rPr>
        <w:t> </w:t>
      </w:r>
      <w:r>
        <w:rPr/>
        <w:t>“Κατοικίες” (22,4%), “Άλλες</w:t>
      </w:r>
      <w:r>
        <w:rPr>
          <w:spacing w:val="-2"/>
        </w:rPr>
        <w:t> </w:t>
      </w:r>
      <w:r>
        <w:rPr/>
        <w:t>κατασκευές”</w:t>
      </w:r>
      <w:r>
        <w:rPr>
          <w:spacing w:val="-3"/>
        </w:rPr>
        <w:t> </w:t>
      </w:r>
      <w:r>
        <w:rPr/>
        <w:t>(8,3%) και “Μηχανολογικός</w:t>
      </w:r>
      <w:r>
        <w:rPr>
          <w:spacing w:val="-2"/>
        </w:rPr>
        <w:t> </w:t>
      </w:r>
      <w:r>
        <w:rPr/>
        <w:t>εξο-πλισμός και οπλικά συστήματα” (7,8%), ενώ υποχώρησαν οι επενδύσεις σε “Εξοπλισμό σε Τε-χνολογίες Πληροφορικής &amp; Επικοινωνιών” (-8,6%).</w:t>
      </w:r>
    </w:p>
    <w:p>
      <w:pPr>
        <w:pStyle w:val="BodyText"/>
        <w:spacing w:line="285" w:lineRule="auto" w:before="54"/>
        <w:ind w:left="172" w:right="956"/>
        <w:jc w:val="both"/>
      </w:pPr>
      <w:r>
        <w:rPr/>
        <w:t>Η</w:t>
      </w:r>
      <w:r>
        <w:rPr>
          <w:spacing w:val="-5"/>
        </w:rPr>
        <w:t> </w:t>
      </w:r>
      <w:r>
        <w:rPr/>
        <w:t>συμβολή</w:t>
      </w:r>
      <w:r>
        <w:rPr>
          <w:spacing w:val="-4"/>
        </w:rPr>
        <w:t> </w:t>
      </w:r>
      <w:r>
        <w:rPr/>
        <w:t>των</w:t>
      </w:r>
      <w:r>
        <w:rPr>
          <w:spacing w:val="-3"/>
        </w:rPr>
        <w:t> </w:t>
      </w:r>
      <w:r>
        <w:rPr/>
        <w:t>καθαρών</w:t>
      </w:r>
      <w:r>
        <w:rPr>
          <w:spacing w:val="-3"/>
        </w:rPr>
        <w:t> </w:t>
      </w:r>
      <w:r>
        <w:rPr/>
        <w:t>εξαγωγών</w:t>
      </w:r>
      <w:r>
        <w:rPr>
          <w:spacing w:val="-3"/>
        </w:rPr>
        <w:t> </w:t>
      </w:r>
      <w:r>
        <w:rPr/>
        <w:t>στην</w:t>
      </w:r>
      <w:r>
        <w:rPr>
          <w:spacing w:val="-3"/>
        </w:rPr>
        <w:t> </w:t>
      </w:r>
      <w:r>
        <w:rPr/>
        <w:t>ανάπτυξη</w:t>
      </w:r>
      <w:r>
        <w:rPr>
          <w:spacing w:val="-4"/>
        </w:rPr>
        <w:t> </w:t>
      </w:r>
      <w:r>
        <w:rPr/>
        <w:t>το</w:t>
      </w:r>
      <w:r>
        <w:rPr>
          <w:spacing w:val="-6"/>
        </w:rPr>
        <w:t> </w:t>
      </w:r>
      <w:r>
        <w:rPr/>
        <w:t>2025</w:t>
      </w:r>
      <w:r>
        <w:rPr>
          <w:spacing w:val="-4"/>
        </w:rPr>
        <w:t> </w:t>
      </w:r>
      <w:r>
        <w:rPr/>
        <w:t>ήταν</w:t>
      </w:r>
      <w:r>
        <w:rPr>
          <w:spacing w:val="-3"/>
        </w:rPr>
        <w:t> </w:t>
      </w:r>
      <w:r>
        <w:rPr/>
        <w:t>θετική</w:t>
      </w:r>
      <w:r>
        <w:rPr>
          <w:spacing w:val="-4"/>
        </w:rPr>
        <w:t> </w:t>
      </w:r>
      <w:r>
        <w:rPr/>
        <w:t>(1,2</w:t>
      </w:r>
      <w:r>
        <w:rPr>
          <w:spacing w:val="-4"/>
        </w:rPr>
        <w:t> </w:t>
      </w:r>
      <w:r>
        <w:rPr/>
        <w:t>ποσοστιαίες</w:t>
      </w:r>
      <w:r>
        <w:rPr>
          <w:spacing w:val="-5"/>
        </w:rPr>
        <w:t> </w:t>
      </w:r>
      <w:r>
        <w:rPr/>
        <w:t>μονά-δες),</w:t>
      </w:r>
      <w:r>
        <w:rPr>
          <w:spacing w:val="-1"/>
        </w:rPr>
        <w:t> </w:t>
      </w:r>
      <w:r>
        <w:rPr/>
        <w:t>λόγω της</w:t>
      </w:r>
      <w:r>
        <w:rPr>
          <w:spacing w:val="-3"/>
        </w:rPr>
        <w:t> </w:t>
      </w:r>
      <w:r>
        <w:rPr/>
        <w:t>ταυτόχρονης</w:t>
      </w:r>
      <w:r>
        <w:rPr>
          <w:spacing w:val="-2"/>
        </w:rPr>
        <w:t> </w:t>
      </w:r>
      <w:r>
        <w:rPr/>
        <w:t>αύξησης</w:t>
      </w:r>
      <w:r>
        <w:rPr>
          <w:spacing w:val="-3"/>
        </w:rPr>
        <w:t> </w:t>
      </w:r>
      <w:r>
        <w:rPr/>
        <w:t>των εξαγωγών και</w:t>
      </w:r>
      <w:r>
        <w:rPr>
          <w:spacing w:val="-1"/>
        </w:rPr>
        <w:t> </w:t>
      </w:r>
      <w:r>
        <w:rPr/>
        <w:t>της</w:t>
      </w:r>
      <w:r>
        <w:rPr>
          <w:spacing w:val="-2"/>
        </w:rPr>
        <w:t> </w:t>
      </w:r>
      <w:r>
        <w:rPr/>
        <w:t>μείωσης</w:t>
      </w:r>
      <w:r>
        <w:rPr>
          <w:spacing w:val="-3"/>
        </w:rPr>
        <w:t> </w:t>
      </w:r>
      <w:r>
        <w:rPr/>
        <w:t>των</w:t>
      </w:r>
      <w:r>
        <w:rPr>
          <w:spacing w:val="-3"/>
        </w:rPr>
        <w:t> </w:t>
      </w:r>
      <w:r>
        <w:rPr/>
        <w:t>εισαγωγών.</w:t>
      </w:r>
      <w:r>
        <w:rPr>
          <w:spacing w:val="-1"/>
        </w:rPr>
        <w:t> </w:t>
      </w:r>
      <w:r>
        <w:rPr/>
        <w:t>Οι</w:t>
      </w:r>
      <w:r>
        <w:rPr>
          <w:spacing w:val="-1"/>
        </w:rPr>
        <w:t> </w:t>
      </w:r>
      <w:r>
        <w:rPr/>
        <w:t>εξαγω-γές αυξήθηκαν κατά 1,7%, εξαιτίας κυρίως της αύξησης των εξαγωγών αγαθών κατά 3,0%. Οι εισαγωγές μειώθηκαν κατά 1,3%, λόγω της μείωσης των εισαγωγών αγαθών κατά 2,1%.</w:t>
      </w:r>
    </w:p>
    <w:p>
      <w:pPr>
        <w:pStyle w:val="BodyText"/>
        <w:spacing w:line="285" w:lineRule="auto" w:before="56"/>
        <w:ind w:left="172" w:right="953"/>
        <w:jc w:val="both"/>
      </w:pPr>
      <w:r>
        <w:rPr/>
        <w:t>Από την πλευρά της προσφοράς, η συνολική ακαθάριστη προστιθέμενη αξία αυξήθηκε κατά 1,3% το 2025 εξαιτίας της καλής επίδοσης όλων των τομέων οικονομικής δραστηριότητας. Σε επίπεδο</w:t>
      </w:r>
      <w:r>
        <w:rPr>
          <w:spacing w:val="-2"/>
        </w:rPr>
        <w:t> </w:t>
      </w:r>
      <w:r>
        <w:rPr/>
        <w:t>τομέων,</w:t>
      </w:r>
      <w:r>
        <w:rPr>
          <w:spacing w:val="-2"/>
        </w:rPr>
        <w:t> </w:t>
      </w:r>
      <w:r>
        <w:rPr/>
        <w:t>σημαντική</w:t>
      </w:r>
      <w:r>
        <w:rPr>
          <w:spacing w:val="-4"/>
        </w:rPr>
        <w:t> </w:t>
      </w:r>
      <w:r>
        <w:rPr/>
        <w:t>άνοδο</w:t>
      </w:r>
      <w:r>
        <w:rPr>
          <w:spacing w:val="-2"/>
        </w:rPr>
        <w:t> </w:t>
      </w:r>
      <w:r>
        <w:rPr/>
        <w:t>σημείωσαν</w:t>
      </w:r>
      <w:r>
        <w:rPr>
          <w:spacing w:val="-2"/>
        </w:rPr>
        <w:t> </w:t>
      </w:r>
      <w:r>
        <w:rPr/>
        <w:t>κυρίως</w:t>
      </w:r>
      <w:r>
        <w:rPr>
          <w:spacing w:val="-3"/>
        </w:rPr>
        <w:t> </w:t>
      </w:r>
      <w:r>
        <w:rPr/>
        <w:t>οι</w:t>
      </w:r>
      <w:r>
        <w:rPr>
          <w:spacing w:val="-2"/>
        </w:rPr>
        <w:t> </w:t>
      </w:r>
      <w:r>
        <w:rPr/>
        <w:t>κατασκευές,</w:t>
      </w:r>
      <w:r>
        <w:rPr>
          <w:spacing w:val="-2"/>
        </w:rPr>
        <w:t> </w:t>
      </w:r>
      <w:r>
        <w:rPr/>
        <w:t>ενώ</w:t>
      </w:r>
      <w:r>
        <w:rPr>
          <w:spacing w:val="-1"/>
        </w:rPr>
        <w:t> </w:t>
      </w:r>
      <w:r>
        <w:rPr/>
        <w:t>θετική</w:t>
      </w:r>
      <w:r>
        <w:rPr>
          <w:spacing w:val="-4"/>
        </w:rPr>
        <w:t> </w:t>
      </w:r>
      <w:r>
        <w:rPr/>
        <w:t>συμβολή</w:t>
      </w:r>
      <w:r>
        <w:rPr>
          <w:spacing w:val="-4"/>
        </w:rPr>
        <w:t> </w:t>
      </w:r>
      <w:r>
        <w:rPr/>
        <w:t>είχαν η βιομηχανία και οι περισσότεροι κλάδοι των υπηρεσιών. Αντίθετα, αρνητική ήταν η συμβολή των τομέων “Χονδρικό και λιανικό εμπόριο, επισκευές οχημάτων και μοτοσικλετών”, “Μετα-φορά</w:t>
      </w:r>
      <w:r>
        <w:rPr>
          <w:spacing w:val="-8"/>
        </w:rPr>
        <w:t> </w:t>
      </w:r>
      <w:r>
        <w:rPr/>
        <w:t>και</w:t>
      </w:r>
      <w:r>
        <w:rPr>
          <w:spacing w:val="-7"/>
        </w:rPr>
        <w:t> </w:t>
      </w:r>
      <w:r>
        <w:rPr/>
        <w:t>αποθήκευση”,</w:t>
      </w:r>
      <w:r>
        <w:rPr>
          <w:spacing w:val="-7"/>
        </w:rPr>
        <w:t> </w:t>
      </w:r>
      <w:r>
        <w:rPr/>
        <w:t>“Υπηρεσίες</w:t>
      </w:r>
      <w:r>
        <w:rPr>
          <w:spacing w:val="-8"/>
        </w:rPr>
        <w:t> </w:t>
      </w:r>
      <w:r>
        <w:rPr/>
        <w:t>παροχής</w:t>
      </w:r>
      <w:r>
        <w:rPr>
          <w:spacing w:val="-8"/>
        </w:rPr>
        <w:t> </w:t>
      </w:r>
      <w:r>
        <w:rPr/>
        <w:t>καταλύματος</w:t>
      </w:r>
      <w:r>
        <w:rPr>
          <w:spacing w:val="-9"/>
        </w:rPr>
        <w:t> </w:t>
      </w:r>
      <w:r>
        <w:rPr/>
        <w:t>και</w:t>
      </w:r>
      <w:r>
        <w:rPr>
          <w:spacing w:val="-7"/>
        </w:rPr>
        <w:t> </w:t>
      </w:r>
      <w:r>
        <w:rPr/>
        <w:t>υπηρεσίες</w:t>
      </w:r>
      <w:r>
        <w:rPr>
          <w:spacing w:val="-8"/>
        </w:rPr>
        <w:t> </w:t>
      </w:r>
      <w:r>
        <w:rPr/>
        <w:t>εστίασης”,</w:t>
      </w:r>
      <w:r>
        <w:rPr>
          <w:spacing w:val="-7"/>
        </w:rPr>
        <w:t> </w:t>
      </w:r>
      <w:r>
        <w:rPr/>
        <w:t>που</w:t>
      </w:r>
      <w:r>
        <w:rPr>
          <w:spacing w:val="-6"/>
        </w:rPr>
        <w:t> </w:t>
      </w:r>
      <w:r>
        <w:rPr/>
        <w:t>αποτε-λούν και τους τομείς με το μεγαλύτερο βάρος στην οικονομία.</w:t>
      </w:r>
    </w:p>
    <w:p>
      <w:pPr>
        <w:pStyle w:val="BodyText"/>
        <w:spacing w:line="285" w:lineRule="auto" w:before="53"/>
        <w:ind w:left="172" w:right="956"/>
        <w:jc w:val="both"/>
      </w:pPr>
      <w:r>
        <w:rPr/>
        <w:t>Το έλλειμμα του ισοζυγίου τρεχουσών συναλλαγών παρουσίασε βελτίωση και περιορίστηκε σε 5,7%</w:t>
      </w:r>
      <w:r>
        <w:rPr>
          <w:spacing w:val="-4"/>
        </w:rPr>
        <w:t> </w:t>
      </w:r>
      <w:r>
        <w:rPr/>
        <w:t>του</w:t>
      </w:r>
      <w:r>
        <w:rPr>
          <w:spacing w:val="-4"/>
        </w:rPr>
        <w:t> </w:t>
      </w:r>
      <w:r>
        <w:rPr/>
        <w:t>ΑΕΠ,</w:t>
      </w:r>
      <w:r>
        <w:rPr>
          <w:spacing w:val="-5"/>
        </w:rPr>
        <w:t> </w:t>
      </w:r>
      <w:r>
        <w:rPr/>
        <w:t>από</w:t>
      </w:r>
      <w:r>
        <w:rPr>
          <w:spacing w:val="-5"/>
        </w:rPr>
        <w:t> </w:t>
      </w:r>
      <w:r>
        <w:rPr/>
        <w:t>7,2%</w:t>
      </w:r>
      <w:r>
        <w:rPr>
          <w:spacing w:val="-4"/>
        </w:rPr>
        <w:t> </w:t>
      </w:r>
      <w:r>
        <w:rPr/>
        <w:t>του</w:t>
      </w:r>
      <w:r>
        <w:rPr>
          <w:spacing w:val="-4"/>
        </w:rPr>
        <w:t> </w:t>
      </w:r>
      <w:r>
        <w:rPr/>
        <w:t>ΑΕΠ</w:t>
      </w:r>
      <w:r>
        <w:rPr>
          <w:spacing w:val="-6"/>
        </w:rPr>
        <w:t> </w:t>
      </w:r>
      <w:r>
        <w:rPr/>
        <w:t>το</w:t>
      </w:r>
      <w:r>
        <w:rPr>
          <w:spacing w:val="-5"/>
        </w:rPr>
        <w:t> </w:t>
      </w:r>
      <w:r>
        <w:rPr/>
        <w:t>2024,</w:t>
      </w:r>
      <w:r>
        <w:rPr>
          <w:spacing w:val="-5"/>
        </w:rPr>
        <w:t> </w:t>
      </w:r>
      <w:r>
        <w:rPr/>
        <w:t>κυρίως</w:t>
      </w:r>
      <w:r>
        <w:rPr>
          <w:spacing w:val="-6"/>
        </w:rPr>
        <w:t> </w:t>
      </w:r>
      <w:r>
        <w:rPr/>
        <w:t>λόγω</w:t>
      </w:r>
      <w:r>
        <w:rPr>
          <w:spacing w:val="-4"/>
        </w:rPr>
        <w:t> </w:t>
      </w:r>
      <w:r>
        <w:rPr/>
        <w:t>της</w:t>
      </w:r>
      <w:r>
        <w:rPr>
          <w:spacing w:val="-6"/>
        </w:rPr>
        <w:t> </w:t>
      </w:r>
      <w:r>
        <w:rPr/>
        <w:t>μείωσης</w:t>
      </w:r>
      <w:r>
        <w:rPr>
          <w:spacing w:val="-6"/>
        </w:rPr>
        <w:t> </w:t>
      </w:r>
      <w:r>
        <w:rPr/>
        <w:t>των</w:t>
      </w:r>
      <w:r>
        <w:rPr>
          <w:spacing w:val="-4"/>
        </w:rPr>
        <w:t> </w:t>
      </w:r>
      <w:r>
        <w:rPr/>
        <w:t>καθαρών</w:t>
      </w:r>
      <w:r>
        <w:rPr>
          <w:spacing w:val="-4"/>
        </w:rPr>
        <w:t> </w:t>
      </w:r>
      <w:r>
        <w:rPr/>
        <w:t>πληρωμών για καύσιμα και της αύξησης των εισπράξεων από ταξιδιωτικές</w:t>
      </w:r>
      <w:r>
        <w:rPr>
          <w:spacing w:val="-1"/>
        </w:rPr>
        <w:t> </w:t>
      </w:r>
      <w:r>
        <w:rPr/>
        <w:t>υπηρεσίες. Θετική επίδραση εί-χαν</w:t>
      </w:r>
      <w:r>
        <w:rPr>
          <w:spacing w:val="-2"/>
        </w:rPr>
        <w:t> </w:t>
      </w:r>
      <w:r>
        <w:rPr/>
        <w:t>και</w:t>
      </w:r>
      <w:r>
        <w:rPr>
          <w:spacing w:val="-2"/>
        </w:rPr>
        <w:t> </w:t>
      </w:r>
      <w:r>
        <w:rPr/>
        <w:t>τα</w:t>
      </w:r>
      <w:r>
        <w:rPr>
          <w:spacing w:val="-2"/>
        </w:rPr>
        <w:t> </w:t>
      </w:r>
      <w:r>
        <w:rPr/>
        <w:t>ισοζύγια</w:t>
      </w:r>
      <w:r>
        <w:rPr>
          <w:spacing w:val="-2"/>
        </w:rPr>
        <w:t> </w:t>
      </w:r>
      <w:r>
        <w:rPr/>
        <w:t>πρωτογενών</w:t>
      </w:r>
      <w:r>
        <w:rPr>
          <w:spacing w:val="-1"/>
        </w:rPr>
        <w:t> </w:t>
      </w:r>
      <w:r>
        <w:rPr/>
        <w:t>και</w:t>
      </w:r>
      <w:r>
        <w:rPr>
          <w:spacing w:val="-2"/>
        </w:rPr>
        <w:t> </w:t>
      </w:r>
      <w:r>
        <w:rPr/>
        <w:t>δευτερογενών</w:t>
      </w:r>
      <w:r>
        <w:rPr>
          <w:spacing w:val="-1"/>
        </w:rPr>
        <w:t> </w:t>
      </w:r>
      <w:r>
        <w:rPr/>
        <w:t>εισοδημάτων,</w:t>
      </w:r>
      <w:r>
        <w:rPr>
          <w:spacing w:val="-5"/>
        </w:rPr>
        <w:t> </w:t>
      </w:r>
      <w:r>
        <w:rPr/>
        <w:t>λόγω</w:t>
      </w:r>
      <w:r>
        <w:rPr>
          <w:spacing w:val="-1"/>
        </w:rPr>
        <w:t> </w:t>
      </w:r>
      <w:r>
        <w:rPr/>
        <w:t>κυρίως</w:t>
      </w:r>
      <w:r>
        <w:rPr>
          <w:spacing w:val="-3"/>
        </w:rPr>
        <w:t> </w:t>
      </w:r>
      <w:r>
        <w:rPr/>
        <w:t>της</w:t>
      </w:r>
      <w:r>
        <w:rPr>
          <w:spacing w:val="-4"/>
        </w:rPr>
        <w:t> </w:t>
      </w:r>
      <w:r>
        <w:rPr/>
        <w:t>μείωσης</w:t>
      </w:r>
      <w:r>
        <w:rPr>
          <w:spacing w:val="-4"/>
        </w:rPr>
        <w:t> </w:t>
      </w:r>
      <w:r>
        <w:rPr/>
        <w:t>των καθαρών πληρωμών για τόκους, μερίσματα και κέρδη, καθώς και της εκταμίευσης δύο δόσεων από τον Μηχανισμό Ανάκαμψης και Ανθεκτικότητας (Recovery</w:t>
      </w:r>
      <w:r>
        <w:rPr>
          <w:spacing w:val="-1"/>
        </w:rPr>
        <w:t> </w:t>
      </w:r>
      <w:r>
        <w:rPr/>
        <w:t>and Resilience</w:t>
      </w:r>
      <w:r>
        <w:rPr>
          <w:spacing w:val="-1"/>
        </w:rPr>
        <w:t> </w:t>
      </w:r>
      <w:r>
        <w:rPr/>
        <w:t>Facility – RRF) αντιστοίχως. Αντίθετα, επιδείνωση παρουσίασε το ισοζύγιο λοιπών (εκτός των καυσίμων) αγα-θών, ενώ και το πλεόνασμα των ισοζυγίων μεταφορών και λοιπών υπηρεσιών συρρικνώθηκε.</w:t>
      </w:r>
    </w:p>
    <w:p>
      <w:pPr>
        <w:pStyle w:val="BodyText"/>
        <w:spacing w:line="285" w:lineRule="auto" w:before="51"/>
        <w:ind w:left="172" w:right="954"/>
        <w:jc w:val="both"/>
      </w:pPr>
      <w:r>
        <w:rPr/>
        <w:t>Η</w:t>
      </w:r>
      <w:r>
        <w:rPr>
          <w:spacing w:val="-14"/>
        </w:rPr>
        <w:t> </w:t>
      </w:r>
      <w:r>
        <w:rPr/>
        <w:t>αγορά</w:t>
      </w:r>
      <w:r>
        <w:rPr>
          <w:spacing w:val="-14"/>
        </w:rPr>
        <w:t> </w:t>
      </w:r>
      <w:r>
        <w:rPr/>
        <w:t>εργασίας</w:t>
      </w:r>
      <w:r>
        <w:rPr>
          <w:spacing w:val="-14"/>
        </w:rPr>
        <w:t> </w:t>
      </w:r>
      <w:r>
        <w:rPr/>
        <w:t>συνέχισε</w:t>
      </w:r>
      <w:r>
        <w:rPr>
          <w:spacing w:val="-13"/>
        </w:rPr>
        <w:t> </w:t>
      </w:r>
      <w:r>
        <w:rPr/>
        <w:t>να</w:t>
      </w:r>
      <w:r>
        <w:rPr>
          <w:spacing w:val="-14"/>
        </w:rPr>
        <w:t> </w:t>
      </w:r>
      <w:r>
        <w:rPr/>
        <w:t>αναπτύσσεται</w:t>
      </w:r>
      <w:r>
        <w:rPr>
          <w:spacing w:val="-14"/>
        </w:rPr>
        <w:t> </w:t>
      </w:r>
      <w:r>
        <w:rPr/>
        <w:t>και</w:t>
      </w:r>
      <w:r>
        <w:rPr>
          <w:spacing w:val="-14"/>
        </w:rPr>
        <w:t> </w:t>
      </w:r>
      <w:r>
        <w:rPr/>
        <w:t>το</w:t>
      </w:r>
      <w:r>
        <w:rPr>
          <w:spacing w:val="-13"/>
        </w:rPr>
        <w:t> </w:t>
      </w:r>
      <w:r>
        <w:rPr/>
        <w:t>2025,</w:t>
      </w:r>
      <w:r>
        <w:rPr>
          <w:spacing w:val="-14"/>
        </w:rPr>
        <w:t> </w:t>
      </w:r>
      <w:r>
        <w:rPr/>
        <w:t>με</w:t>
      </w:r>
      <w:r>
        <w:rPr>
          <w:spacing w:val="-14"/>
        </w:rPr>
        <w:t> </w:t>
      </w:r>
      <w:r>
        <w:rPr/>
        <w:t>την</w:t>
      </w:r>
      <w:r>
        <w:rPr>
          <w:spacing w:val="-14"/>
        </w:rPr>
        <w:t> </w:t>
      </w:r>
      <w:r>
        <w:rPr/>
        <w:t>απασχόληση</w:t>
      </w:r>
      <w:r>
        <w:rPr>
          <w:spacing w:val="-13"/>
        </w:rPr>
        <w:t> </w:t>
      </w:r>
      <w:r>
        <w:rPr/>
        <w:t>όμως</w:t>
      </w:r>
      <w:r>
        <w:rPr>
          <w:spacing w:val="-14"/>
        </w:rPr>
        <w:t> </w:t>
      </w:r>
      <w:r>
        <w:rPr/>
        <w:t>να</w:t>
      </w:r>
      <w:r>
        <w:rPr>
          <w:spacing w:val="-14"/>
        </w:rPr>
        <w:t> </w:t>
      </w:r>
      <w:r>
        <w:rPr/>
        <w:t>αυξάνεται με</w:t>
      </w:r>
      <w:r>
        <w:rPr>
          <w:spacing w:val="-2"/>
        </w:rPr>
        <w:t> </w:t>
      </w:r>
      <w:r>
        <w:rPr/>
        <w:t>ηπιότερους</w:t>
      </w:r>
      <w:r>
        <w:rPr>
          <w:spacing w:val="-3"/>
        </w:rPr>
        <w:t> </w:t>
      </w:r>
      <w:r>
        <w:rPr/>
        <w:t>ρυθμούς</w:t>
      </w:r>
      <w:r>
        <w:rPr>
          <w:spacing w:val="-6"/>
        </w:rPr>
        <w:t> </w:t>
      </w:r>
      <w:r>
        <w:rPr/>
        <w:t>σε</w:t>
      </w:r>
      <w:r>
        <w:rPr>
          <w:spacing w:val="-4"/>
        </w:rPr>
        <w:t> </w:t>
      </w:r>
      <w:r>
        <w:rPr/>
        <w:t>σχέση</w:t>
      </w:r>
      <w:r>
        <w:rPr>
          <w:spacing w:val="-2"/>
        </w:rPr>
        <w:t> </w:t>
      </w:r>
      <w:r>
        <w:rPr/>
        <w:t>με</w:t>
      </w:r>
      <w:r>
        <w:rPr>
          <w:spacing w:val="-2"/>
        </w:rPr>
        <w:t> </w:t>
      </w:r>
      <w:r>
        <w:rPr/>
        <w:t>το</w:t>
      </w:r>
      <w:r>
        <w:rPr>
          <w:spacing w:val="-2"/>
        </w:rPr>
        <w:t> </w:t>
      </w:r>
      <w:r>
        <w:rPr/>
        <w:t>2024.</w:t>
      </w:r>
      <w:r>
        <w:rPr>
          <w:spacing w:val="-2"/>
        </w:rPr>
        <w:t> </w:t>
      </w:r>
      <w:r>
        <w:rPr/>
        <w:t>Πιο</w:t>
      </w:r>
      <w:r>
        <w:rPr>
          <w:spacing w:val="-4"/>
        </w:rPr>
        <w:t> </w:t>
      </w:r>
      <w:r>
        <w:rPr/>
        <w:t>συγκεκριμένα,</w:t>
      </w:r>
      <w:r>
        <w:rPr>
          <w:spacing w:val="-2"/>
        </w:rPr>
        <w:t> </w:t>
      </w:r>
      <w:r>
        <w:rPr/>
        <w:t>η</w:t>
      </w:r>
      <w:r>
        <w:rPr>
          <w:spacing w:val="-5"/>
        </w:rPr>
        <w:t> </w:t>
      </w:r>
      <w:r>
        <w:rPr/>
        <w:t>συνολική</w:t>
      </w:r>
      <w:r>
        <w:rPr>
          <w:spacing w:val="-5"/>
        </w:rPr>
        <w:t> </w:t>
      </w:r>
      <w:r>
        <w:rPr/>
        <w:t>απασχόληση</w:t>
      </w:r>
      <w:r>
        <w:rPr>
          <w:spacing w:val="-5"/>
        </w:rPr>
        <w:t> </w:t>
      </w:r>
      <w:r>
        <w:rPr/>
        <w:t>αυξή-θηκε κατά 1,5%, η μισθωτή απασχόληση αυξήθηκε κατά 5,6%, ενώ οι λοιποί απασχολούμενοι μειώθηκαν κατά 7,8% κυρίως λόγω της υποχώρησης των αυτοαπασχολούμενων χωρίς προσω-πικό και των βοηθών στην οικογενειακή επιχείρηση. Το ποσοστό ανεργίας μειώθηκε στο 8,9% από 10,1% το 2024. Σημαντική βελτίωση σημείωσε το ποσοστό ανεργίας τόσο στις γυναίκες (11,2% από 12,8% το 2024) όσο και στους νέους 20-29 ετών (16,1% από 18,4% το 2024). Πα-ράλληλα,</w:t>
      </w:r>
      <w:r>
        <w:rPr>
          <w:spacing w:val="-12"/>
        </w:rPr>
        <w:t> </w:t>
      </w:r>
      <w:r>
        <w:rPr/>
        <w:t>το</w:t>
      </w:r>
      <w:r>
        <w:rPr>
          <w:spacing w:val="-12"/>
        </w:rPr>
        <w:t> </w:t>
      </w:r>
      <w:r>
        <w:rPr/>
        <w:t>ποσοστό</w:t>
      </w:r>
      <w:r>
        <w:rPr>
          <w:spacing w:val="-14"/>
        </w:rPr>
        <w:t> </w:t>
      </w:r>
      <w:r>
        <w:rPr/>
        <w:t>μακροχρόνιας</w:t>
      </w:r>
      <w:r>
        <w:rPr>
          <w:spacing w:val="-13"/>
        </w:rPr>
        <w:t> </w:t>
      </w:r>
      <w:r>
        <w:rPr/>
        <w:t>ανεργίας</w:t>
      </w:r>
      <w:r>
        <w:rPr>
          <w:spacing w:val="-13"/>
        </w:rPr>
        <w:t> </w:t>
      </w:r>
      <w:r>
        <w:rPr/>
        <w:t>σημείωσε</w:t>
      </w:r>
      <w:r>
        <w:rPr>
          <w:spacing w:val="-11"/>
        </w:rPr>
        <w:t> </w:t>
      </w:r>
      <w:r>
        <w:rPr/>
        <w:t>υποχώρηση</w:t>
      </w:r>
      <w:r>
        <w:rPr>
          <w:spacing w:val="-14"/>
        </w:rPr>
        <w:t> </w:t>
      </w:r>
      <w:r>
        <w:rPr/>
        <w:t>στο</w:t>
      </w:r>
      <w:r>
        <w:rPr>
          <w:spacing w:val="-14"/>
        </w:rPr>
        <w:t> </w:t>
      </w:r>
      <w:r>
        <w:rPr/>
        <w:t>4,9%</w:t>
      </w:r>
      <w:r>
        <w:rPr>
          <w:spacing w:val="-11"/>
        </w:rPr>
        <w:t> </w:t>
      </w:r>
      <w:r>
        <w:rPr/>
        <w:t>από</w:t>
      </w:r>
      <w:r>
        <w:rPr>
          <w:spacing w:val="-14"/>
        </w:rPr>
        <w:t> </w:t>
      </w:r>
      <w:r>
        <w:rPr/>
        <w:t>5,4%</w:t>
      </w:r>
      <w:r>
        <w:rPr>
          <w:spacing w:val="-13"/>
        </w:rPr>
        <w:t> </w:t>
      </w:r>
      <w:r>
        <w:rPr/>
        <w:t>το</w:t>
      </w:r>
      <w:r>
        <w:rPr>
          <w:spacing w:val="-12"/>
        </w:rPr>
        <w:t> </w:t>
      </w:r>
      <w:r>
        <w:rPr/>
        <w:t>2024. Το ποσοστό συμμετοχής στο εργατικό δυναμικό για την ηλικιακή ομάδα 15-64 ετών το 2025 αυξήθηκε ελαφρά (70,9%</w:t>
      </w:r>
      <w:r>
        <w:rPr>
          <w:spacing w:val="-2"/>
        </w:rPr>
        <w:t> </w:t>
      </w:r>
      <w:r>
        <w:rPr/>
        <w:t>από 70,5% το 2024), αντανακλώντας την αύξηση του</w:t>
      </w:r>
      <w:r>
        <w:rPr>
          <w:spacing w:val="-1"/>
        </w:rPr>
        <w:t> </w:t>
      </w:r>
      <w:r>
        <w:rPr/>
        <w:t>ποσοστού συμ-μετοχής στο εργατικό δυναμικό τόσο των ανδρών όσο και των γυναικών.</w:t>
      </w:r>
    </w:p>
    <w:p>
      <w:pPr>
        <w:pStyle w:val="BodyText"/>
        <w:spacing w:after="0" w:line="285" w:lineRule="auto"/>
        <w:jc w:val="both"/>
        <w:sectPr>
          <w:pgSz w:w="11910" w:h="16850"/>
          <w:pgMar w:header="0" w:footer="1180" w:top="1840" w:bottom="1360" w:left="1417" w:right="850"/>
        </w:sectPr>
      </w:pPr>
    </w:p>
    <w:p>
      <w:pPr>
        <w:pStyle w:val="BodyText"/>
        <w:spacing w:line="285" w:lineRule="auto" w:before="66"/>
        <w:ind w:left="172" w:right="954"/>
        <w:jc w:val="both"/>
      </w:pPr>
      <w:r>
        <w:rPr/>
        <w:t>Το</w:t>
      </w:r>
      <w:r>
        <w:rPr>
          <w:spacing w:val="-16"/>
        </w:rPr>
        <w:t> </w:t>
      </w:r>
      <w:r>
        <w:rPr/>
        <w:t>κόστος</w:t>
      </w:r>
      <w:r>
        <w:rPr>
          <w:spacing w:val="-14"/>
        </w:rPr>
        <w:t> </w:t>
      </w:r>
      <w:r>
        <w:rPr/>
        <w:t>εργασίας</w:t>
      </w:r>
      <w:r>
        <w:rPr>
          <w:spacing w:val="-14"/>
        </w:rPr>
        <w:t> </w:t>
      </w:r>
      <w:r>
        <w:rPr/>
        <w:t>επιβραδύνθηκε</w:t>
      </w:r>
      <w:r>
        <w:rPr>
          <w:spacing w:val="-13"/>
        </w:rPr>
        <w:t> </w:t>
      </w:r>
      <w:r>
        <w:rPr/>
        <w:t>σημαντικά</w:t>
      </w:r>
      <w:r>
        <w:rPr>
          <w:spacing w:val="-14"/>
        </w:rPr>
        <w:t> </w:t>
      </w:r>
      <w:r>
        <w:rPr/>
        <w:t>το</w:t>
      </w:r>
      <w:r>
        <w:rPr>
          <w:spacing w:val="-14"/>
        </w:rPr>
        <w:t> </w:t>
      </w:r>
      <w:r>
        <w:rPr/>
        <w:t>2025,</w:t>
      </w:r>
      <w:r>
        <w:rPr>
          <w:spacing w:val="-14"/>
        </w:rPr>
        <w:t> </w:t>
      </w:r>
      <w:r>
        <w:rPr/>
        <w:t>καθώς</w:t>
      </w:r>
      <w:r>
        <w:rPr>
          <w:spacing w:val="-13"/>
        </w:rPr>
        <w:t> </w:t>
      </w:r>
      <w:r>
        <w:rPr/>
        <w:t>η</w:t>
      </w:r>
      <w:r>
        <w:rPr>
          <w:spacing w:val="-14"/>
        </w:rPr>
        <w:t> </w:t>
      </w:r>
      <w:r>
        <w:rPr/>
        <w:t>στενότητα</w:t>
      </w:r>
      <w:r>
        <w:rPr>
          <w:spacing w:val="-14"/>
        </w:rPr>
        <w:t> </w:t>
      </w:r>
      <w:r>
        <w:rPr/>
        <w:t>στην</w:t>
      </w:r>
      <w:r>
        <w:rPr>
          <w:spacing w:val="-14"/>
        </w:rPr>
        <w:t> </w:t>
      </w:r>
      <w:r>
        <w:rPr/>
        <w:t>αγορά</w:t>
      </w:r>
      <w:r>
        <w:rPr>
          <w:spacing w:val="-13"/>
        </w:rPr>
        <w:t> </w:t>
      </w:r>
      <w:r>
        <w:rPr/>
        <w:t>εργασίας παρουσίασε</w:t>
      </w:r>
      <w:r>
        <w:rPr>
          <w:spacing w:val="-6"/>
        </w:rPr>
        <w:t> </w:t>
      </w:r>
      <w:r>
        <w:rPr/>
        <w:t>σημάδια</w:t>
      </w:r>
      <w:r>
        <w:rPr>
          <w:spacing w:val="-7"/>
        </w:rPr>
        <w:t> </w:t>
      </w:r>
      <w:r>
        <w:rPr/>
        <w:t>αποκλιμάκωσης,</w:t>
      </w:r>
      <w:r>
        <w:rPr>
          <w:spacing w:val="-7"/>
        </w:rPr>
        <w:t> </w:t>
      </w:r>
      <w:r>
        <w:rPr/>
        <w:t>ενώ</w:t>
      </w:r>
      <w:r>
        <w:rPr>
          <w:spacing w:val="-6"/>
        </w:rPr>
        <w:t> </w:t>
      </w:r>
      <w:r>
        <w:rPr/>
        <w:t>παράλληλα</w:t>
      </w:r>
      <w:r>
        <w:rPr>
          <w:spacing w:val="-8"/>
        </w:rPr>
        <w:t> </w:t>
      </w:r>
      <w:r>
        <w:rPr/>
        <w:t>και</w:t>
      </w:r>
      <w:r>
        <w:rPr>
          <w:spacing w:val="-7"/>
        </w:rPr>
        <w:t> </w:t>
      </w:r>
      <w:r>
        <w:rPr/>
        <w:t>οι</w:t>
      </w:r>
      <w:r>
        <w:rPr>
          <w:spacing w:val="-6"/>
        </w:rPr>
        <w:t> </w:t>
      </w:r>
      <w:r>
        <w:rPr/>
        <w:t>αυξήσεις</w:t>
      </w:r>
      <w:r>
        <w:rPr>
          <w:spacing w:val="-8"/>
        </w:rPr>
        <w:t> </w:t>
      </w:r>
      <w:r>
        <w:rPr/>
        <w:t>στον</w:t>
      </w:r>
      <w:r>
        <w:rPr>
          <w:spacing w:val="-6"/>
        </w:rPr>
        <w:t> </w:t>
      </w:r>
      <w:r>
        <w:rPr/>
        <w:t>κατώτατο</w:t>
      </w:r>
      <w:r>
        <w:rPr>
          <w:spacing w:val="-8"/>
        </w:rPr>
        <w:t> </w:t>
      </w:r>
      <w:r>
        <w:rPr/>
        <w:t>μισθό</w:t>
      </w:r>
      <w:r>
        <w:rPr>
          <w:spacing w:val="-7"/>
        </w:rPr>
        <w:t> </w:t>
      </w:r>
      <w:r>
        <w:rPr/>
        <w:t>και στο</w:t>
      </w:r>
      <w:r>
        <w:rPr>
          <w:spacing w:val="-8"/>
        </w:rPr>
        <w:t> </w:t>
      </w:r>
      <w:r>
        <w:rPr/>
        <w:t>μισθολόγιο</w:t>
      </w:r>
      <w:r>
        <w:rPr>
          <w:spacing w:val="-10"/>
        </w:rPr>
        <w:t> </w:t>
      </w:r>
      <w:r>
        <w:rPr/>
        <w:t>των</w:t>
      </w:r>
      <w:r>
        <w:rPr>
          <w:spacing w:val="-7"/>
        </w:rPr>
        <w:t> </w:t>
      </w:r>
      <w:r>
        <w:rPr/>
        <w:t>δημοσίων</w:t>
      </w:r>
      <w:r>
        <w:rPr>
          <w:spacing w:val="-10"/>
        </w:rPr>
        <w:t> </w:t>
      </w:r>
      <w:r>
        <w:rPr/>
        <w:t>υπαλλήλων</w:t>
      </w:r>
      <w:r>
        <w:rPr>
          <w:spacing w:val="-7"/>
        </w:rPr>
        <w:t> </w:t>
      </w:r>
      <w:r>
        <w:rPr/>
        <w:t>περιορίστηκαν</w:t>
      </w:r>
      <w:r>
        <w:rPr>
          <w:spacing w:val="-10"/>
        </w:rPr>
        <w:t> </w:t>
      </w:r>
      <w:r>
        <w:rPr/>
        <w:t>σε</w:t>
      </w:r>
      <w:r>
        <w:rPr>
          <w:spacing w:val="-10"/>
        </w:rPr>
        <w:t> </w:t>
      </w:r>
      <w:r>
        <w:rPr/>
        <w:t>σχέση</w:t>
      </w:r>
      <w:r>
        <w:rPr>
          <w:spacing w:val="-8"/>
        </w:rPr>
        <w:t> </w:t>
      </w:r>
      <w:r>
        <w:rPr/>
        <w:t>με</w:t>
      </w:r>
      <w:r>
        <w:rPr>
          <w:spacing w:val="-10"/>
        </w:rPr>
        <w:t> </w:t>
      </w:r>
      <w:r>
        <w:rPr/>
        <w:t>το</w:t>
      </w:r>
      <w:r>
        <w:rPr>
          <w:spacing w:val="-11"/>
        </w:rPr>
        <w:t> </w:t>
      </w:r>
      <w:r>
        <w:rPr/>
        <w:t>προηγούμενο</w:t>
      </w:r>
      <w:r>
        <w:rPr>
          <w:spacing w:val="-4"/>
        </w:rPr>
        <w:t> </w:t>
      </w:r>
      <w:r>
        <w:rPr/>
        <w:t>έτος.</w:t>
      </w:r>
      <w:r>
        <w:rPr>
          <w:spacing w:val="-11"/>
        </w:rPr>
        <w:t> </w:t>
      </w:r>
      <w:r>
        <w:rPr/>
        <w:t>Συ-γκεκριμένα, οι αμοιβές ανά μισθωτό αυξήθηκαν κατά 3,5% (έναντι 5,8% το 2024), ενώ το Μο-ναδιαίο Κόστος Εργασίας</w:t>
      </w:r>
      <w:r>
        <w:rPr>
          <w:spacing w:val="-4"/>
        </w:rPr>
        <w:t> </w:t>
      </w:r>
      <w:r>
        <w:rPr/>
        <w:t>αυξήθηκε με ρυθμό 2,3% (έναντι 4,6% το 2024), αρκετά χαμηλότερο σε σχέση με τον μέσο όρο της ευρωζώνης (3,2%).</w:t>
      </w:r>
    </w:p>
    <w:p>
      <w:pPr>
        <w:pStyle w:val="BodyText"/>
        <w:spacing w:line="285" w:lineRule="auto" w:before="54"/>
        <w:ind w:left="172" w:right="955"/>
        <w:jc w:val="both"/>
      </w:pPr>
      <w:r>
        <w:rPr/>
        <w:t>Ο πληθωρισμός, όπως μετρείται από τον Εναρμονισμένο Δείκτη Τιμών Καταναλωτή (ΕνΔΤΚ), υποχώρησε</w:t>
      </w:r>
      <w:r>
        <w:rPr>
          <w:spacing w:val="-1"/>
        </w:rPr>
        <w:t> </w:t>
      </w:r>
      <w:r>
        <w:rPr/>
        <w:t>οριακά</w:t>
      </w:r>
      <w:r>
        <w:rPr>
          <w:spacing w:val="-4"/>
        </w:rPr>
        <w:t> </w:t>
      </w:r>
      <w:r>
        <w:rPr/>
        <w:t>στο</w:t>
      </w:r>
      <w:r>
        <w:rPr>
          <w:spacing w:val="-1"/>
        </w:rPr>
        <w:t> </w:t>
      </w:r>
      <w:r>
        <w:rPr/>
        <w:t>2,9%</w:t>
      </w:r>
      <w:r>
        <w:rPr>
          <w:spacing w:val="-1"/>
        </w:rPr>
        <w:t> </w:t>
      </w:r>
      <w:r>
        <w:rPr/>
        <w:t>το</w:t>
      </w:r>
      <w:r>
        <w:rPr>
          <w:spacing w:val="-1"/>
        </w:rPr>
        <w:t> </w:t>
      </w:r>
      <w:r>
        <w:rPr/>
        <w:t>2025,</w:t>
      </w:r>
      <w:r>
        <w:rPr>
          <w:spacing w:val="-4"/>
        </w:rPr>
        <w:t> </w:t>
      </w:r>
      <w:r>
        <w:rPr/>
        <w:t>έναντι</w:t>
      </w:r>
      <w:r>
        <w:rPr>
          <w:spacing w:val="-1"/>
        </w:rPr>
        <w:t> </w:t>
      </w:r>
      <w:r>
        <w:rPr/>
        <w:t>3,0%</w:t>
      </w:r>
      <w:r>
        <w:rPr>
          <w:spacing w:val="-1"/>
        </w:rPr>
        <w:t> </w:t>
      </w:r>
      <w:r>
        <w:rPr/>
        <w:t>το</w:t>
      </w:r>
      <w:r>
        <w:rPr>
          <w:spacing w:val="-4"/>
        </w:rPr>
        <w:t> </w:t>
      </w:r>
      <w:r>
        <w:rPr/>
        <w:t>2024,</w:t>
      </w:r>
      <w:r>
        <w:rPr>
          <w:spacing w:val="-1"/>
        </w:rPr>
        <w:t> </w:t>
      </w:r>
      <w:r>
        <w:rPr/>
        <w:t>παραμένοντας</w:t>
      </w:r>
      <w:r>
        <w:rPr>
          <w:spacing w:val="-3"/>
        </w:rPr>
        <w:t> </w:t>
      </w:r>
      <w:r>
        <w:rPr/>
        <w:t>σημαντικά</w:t>
      </w:r>
      <w:r>
        <w:rPr>
          <w:spacing w:val="-2"/>
        </w:rPr>
        <w:t> </w:t>
      </w:r>
      <w:r>
        <w:rPr/>
        <w:t>υψηλότε-ρος</w:t>
      </w:r>
      <w:r>
        <w:rPr>
          <w:spacing w:val="-14"/>
        </w:rPr>
        <w:t> </w:t>
      </w:r>
      <w:r>
        <w:rPr/>
        <w:t>από</w:t>
      </w:r>
      <w:r>
        <w:rPr>
          <w:spacing w:val="-14"/>
        </w:rPr>
        <w:t> </w:t>
      </w:r>
      <w:r>
        <w:rPr/>
        <w:t>τον</w:t>
      </w:r>
      <w:r>
        <w:rPr>
          <w:spacing w:val="-14"/>
        </w:rPr>
        <w:t> </w:t>
      </w:r>
      <w:r>
        <w:rPr/>
        <w:t>μέσο</w:t>
      </w:r>
      <w:r>
        <w:rPr>
          <w:spacing w:val="-13"/>
        </w:rPr>
        <w:t> </w:t>
      </w:r>
      <w:r>
        <w:rPr/>
        <w:t>όρο</w:t>
      </w:r>
      <w:r>
        <w:rPr>
          <w:spacing w:val="-14"/>
        </w:rPr>
        <w:t> </w:t>
      </w:r>
      <w:r>
        <w:rPr/>
        <w:t>των</w:t>
      </w:r>
      <w:r>
        <w:rPr>
          <w:spacing w:val="-14"/>
        </w:rPr>
        <w:t> </w:t>
      </w:r>
      <w:r>
        <w:rPr/>
        <w:t>χωρών</w:t>
      </w:r>
      <w:r>
        <w:rPr>
          <w:spacing w:val="-14"/>
        </w:rPr>
        <w:t> </w:t>
      </w:r>
      <w:r>
        <w:rPr/>
        <w:t>της</w:t>
      </w:r>
      <w:r>
        <w:rPr>
          <w:spacing w:val="-13"/>
        </w:rPr>
        <w:t> </w:t>
      </w:r>
      <w:r>
        <w:rPr/>
        <w:t>ζώνης</w:t>
      </w:r>
      <w:r>
        <w:rPr>
          <w:spacing w:val="-14"/>
        </w:rPr>
        <w:t> </w:t>
      </w:r>
      <w:r>
        <w:rPr/>
        <w:t>του</w:t>
      </w:r>
      <w:r>
        <w:rPr>
          <w:spacing w:val="-14"/>
        </w:rPr>
        <w:t> </w:t>
      </w:r>
      <w:r>
        <w:rPr/>
        <w:t>ευρώ</w:t>
      </w:r>
      <w:r>
        <w:rPr>
          <w:spacing w:val="-14"/>
        </w:rPr>
        <w:t> </w:t>
      </w:r>
      <w:r>
        <w:rPr/>
        <w:t>(2,1%).</w:t>
      </w:r>
      <w:r>
        <w:rPr>
          <w:spacing w:val="-12"/>
        </w:rPr>
        <w:t> </w:t>
      </w:r>
      <w:r>
        <w:rPr/>
        <w:t>Η</w:t>
      </w:r>
      <w:r>
        <w:rPr>
          <w:spacing w:val="-13"/>
        </w:rPr>
        <w:t> </w:t>
      </w:r>
      <w:r>
        <w:rPr/>
        <w:t>οριακή</w:t>
      </w:r>
      <w:r>
        <w:rPr>
          <w:spacing w:val="-14"/>
        </w:rPr>
        <w:t> </w:t>
      </w:r>
      <w:r>
        <w:rPr/>
        <w:t>αποκλιμάκωση</w:t>
      </w:r>
      <w:r>
        <w:rPr>
          <w:spacing w:val="-14"/>
        </w:rPr>
        <w:t> </w:t>
      </w:r>
      <w:r>
        <w:rPr/>
        <w:t>οφείλεται στις</w:t>
      </w:r>
      <w:r>
        <w:rPr>
          <w:spacing w:val="-8"/>
        </w:rPr>
        <w:t> </w:t>
      </w:r>
      <w:r>
        <w:rPr/>
        <w:t>αποπληθωριστικές</w:t>
      </w:r>
      <w:r>
        <w:rPr>
          <w:spacing w:val="-8"/>
        </w:rPr>
        <w:t> </w:t>
      </w:r>
      <w:r>
        <w:rPr/>
        <w:t>επιδράσεις</w:t>
      </w:r>
      <w:r>
        <w:rPr>
          <w:spacing w:val="-8"/>
        </w:rPr>
        <w:t> </w:t>
      </w:r>
      <w:r>
        <w:rPr/>
        <w:t>από</w:t>
      </w:r>
      <w:r>
        <w:rPr>
          <w:spacing w:val="-7"/>
        </w:rPr>
        <w:t> </w:t>
      </w:r>
      <w:r>
        <w:rPr/>
        <w:t>τα</w:t>
      </w:r>
      <w:r>
        <w:rPr>
          <w:spacing w:val="-7"/>
        </w:rPr>
        <w:t> </w:t>
      </w:r>
      <w:r>
        <w:rPr/>
        <w:t>επεξεργασμένα</w:t>
      </w:r>
      <w:r>
        <w:rPr>
          <w:spacing w:val="-10"/>
        </w:rPr>
        <w:t> </w:t>
      </w:r>
      <w:r>
        <w:rPr/>
        <w:t>είδη</w:t>
      </w:r>
      <w:r>
        <w:rPr>
          <w:spacing w:val="-8"/>
        </w:rPr>
        <w:t> </w:t>
      </w:r>
      <w:r>
        <w:rPr/>
        <w:t>διατροφής,</w:t>
      </w:r>
      <w:r>
        <w:rPr>
          <w:spacing w:val="-5"/>
        </w:rPr>
        <w:t> </w:t>
      </w:r>
      <w:r>
        <w:rPr/>
        <w:t>τα</w:t>
      </w:r>
      <w:r>
        <w:rPr>
          <w:spacing w:val="-8"/>
        </w:rPr>
        <w:t> </w:t>
      </w:r>
      <w:r>
        <w:rPr/>
        <w:t>μη</w:t>
      </w:r>
      <w:r>
        <w:rPr>
          <w:spacing w:val="-10"/>
        </w:rPr>
        <w:t> </w:t>
      </w:r>
      <w:r>
        <w:rPr/>
        <w:t>ενεργειακά</w:t>
      </w:r>
      <w:r>
        <w:rPr>
          <w:spacing w:val="-8"/>
        </w:rPr>
        <w:t> </w:t>
      </w:r>
      <w:r>
        <w:rPr/>
        <w:t>βιο-μηχανικά αγαθά και την ενέργεια. Αντίθετα, εμπόδιο στην περαιτέρω υποχώρηση του γενικού πληθωρισμού</w:t>
      </w:r>
      <w:r>
        <w:rPr>
          <w:spacing w:val="-5"/>
        </w:rPr>
        <w:t> </w:t>
      </w:r>
      <w:r>
        <w:rPr/>
        <w:t>αποτέλεσε</w:t>
      </w:r>
      <w:r>
        <w:rPr>
          <w:spacing w:val="-5"/>
        </w:rPr>
        <w:t> </w:t>
      </w:r>
      <w:r>
        <w:rPr/>
        <w:t>η</w:t>
      </w:r>
      <w:r>
        <w:rPr>
          <w:spacing w:val="-8"/>
        </w:rPr>
        <w:t> </w:t>
      </w:r>
      <w:r>
        <w:rPr/>
        <w:t>ενίσχυση</w:t>
      </w:r>
      <w:r>
        <w:rPr>
          <w:spacing w:val="-6"/>
        </w:rPr>
        <w:t> </w:t>
      </w:r>
      <w:r>
        <w:rPr/>
        <w:t>του</w:t>
      </w:r>
      <w:r>
        <w:rPr>
          <w:spacing w:val="-5"/>
        </w:rPr>
        <w:t> </w:t>
      </w:r>
      <w:r>
        <w:rPr/>
        <w:t>πληθωρισμού</w:t>
      </w:r>
      <w:r>
        <w:rPr>
          <w:spacing w:val="-7"/>
        </w:rPr>
        <w:t> </w:t>
      </w:r>
      <w:r>
        <w:rPr/>
        <w:t>πρωτίστως</w:t>
      </w:r>
      <w:r>
        <w:rPr>
          <w:spacing w:val="-7"/>
        </w:rPr>
        <w:t> </w:t>
      </w:r>
      <w:r>
        <w:rPr/>
        <w:t>των</w:t>
      </w:r>
      <w:r>
        <w:rPr>
          <w:spacing w:val="-7"/>
        </w:rPr>
        <w:t> </w:t>
      </w:r>
      <w:r>
        <w:rPr/>
        <w:t>υπηρεσιών και</w:t>
      </w:r>
      <w:r>
        <w:rPr>
          <w:spacing w:val="-6"/>
        </w:rPr>
        <w:t> </w:t>
      </w:r>
      <w:r>
        <w:rPr/>
        <w:t>δευτερευ-όντως</w:t>
      </w:r>
      <w:r>
        <w:rPr>
          <w:spacing w:val="-14"/>
        </w:rPr>
        <w:t> </w:t>
      </w:r>
      <w:r>
        <w:rPr/>
        <w:t>των</w:t>
      </w:r>
      <w:r>
        <w:rPr>
          <w:spacing w:val="-14"/>
        </w:rPr>
        <w:t> </w:t>
      </w:r>
      <w:r>
        <w:rPr/>
        <w:t>μη</w:t>
      </w:r>
      <w:r>
        <w:rPr>
          <w:spacing w:val="-14"/>
        </w:rPr>
        <w:t> </w:t>
      </w:r>
      <w:r>
        <w:rPr/>
        <w:t>επεξεργασμένων</w:t>
      </w:r>
      <w:r>
        <w:rPr>
          <w:spacing w:val="-13"/>
        </w:rPr>
        <w:t> </w:t>
      </w:r>
      <w:r>
        <w:rPr/>
        <w:t>ειδών</w:t>
      </w:r>
      <w:r>
        <w:rPr>
          <w:spacing w:val="-14"/>
        </w:rPr>
        <w:t> </w:t>
      </w:r>
      <w:r>
        <w:rPr/>
        <w:t>διατροφής.</w:t>
      </w:r>
      <w:r>
        <w:rPr>
          <w:spacing w:val="-14"/>
        </w:rPr>
        <w:t> </w:t>
      </w:r>
      <w:r>
        <w:rPr/>
        <w:t>Η</w:t>
      </w:r>
      <w:r>
        <w:rPr>
          <w:spacing w:val="-14"/>
        </w:rPr>
        <w:t> </w:t>
      </w:r>
      <w:r>
        <w:rPr/>
        <w:t>μεγάλη</w:t>
      </w:r>
      <w:r>
        <w:rPr>
          <w:spacing w:val="-13"/>
        </w:rPr>
        <w:t> </w:t>
      </w:r>
      <w:r>
        <w:rPr/>
        <w:t>απόκλιση</w:t>
      </w:r>
      <w:r>
        <w:rPr>
          <w:spacing w:val="-14"/>
        </w:rPr>
        <w:t> </w:t>
      </w:r>
      <w:r>
        <w:rPr/>
        <w:t>του</w:t>
      </w:r>
      <w:r>
        <w:rPr>
          <w:spacing w:val="-14"/>
        </w:rPr>
        <w:t> </w:t>
      </w:r>
      <w:r>
        <w:rPr/>
        <w:t>εγχώριου</w:t>
      </w:r>
      <w:r>
        <w:rPr>
          <w:spacing w:val="-14"/>
        </w:rPr>
        <w:t> </w:t>
      </w:r>
      <w:r>
        <w:rPr/>
        <w:t>πληθωρισμού σε σχέση με αυτόν της ζώνης του ευρώ αντικατοπτρίζει, μεταξύ άλλων, το θετικό παραγωγικό κενό</w:t>
      </w:r>
      <w:r>
        <w:rPr>
          <w:spacing w:val="-7"/>
        </w:rPr>
        <w:t> </w:t>
      </w:r>
      <w:r>
        <w:rPr/>
        <w:t>στην</w:t>
      </w:r>
      <w:r>
        <w:rPr>
          <w:spacing w:val="-6"/>
        </w:rPr>
        <w:t> </w:t>
      </w:r>
      <w:r>
        <w:rPr/>
        <w:t>ελληνική</w:t>
      </w:r>
      <w:r>
        <w:rPr>
          <w:spacing w:val="-5"/>
        </w:rPr>
        <w:t> </w:t>
      </w:r>
      <w:r>
        <w:rPr/>
        <w:t>οικονομία.</w:t>
      </w:r>
      <w:r>
        <w:rPr>
          <w:spacing w:val="-5"/>
        </w:rPr>
        <w:t> </w:t>
      </w:r>
      <w:r>
        <w:rPr/>
        <w:t>Ο</w:t>
      </w:r>
      <w:r>
        <w:rPr>
          <w:spacing w:val="-6"/>
        </w:rPr>
        <w:t> </w:t>
      </w:r>
      <w:r>
        <w:rPr/>
        <w:t>πυρήνας</w:t>
      </w:r>
      <w:r>
        <w:rPr>
          <w:spacing w:val="-6"/>
        </w:rPr>
        <w:t> </w:t>
      </w:r>
      <w:r>
        <w:rPr/>
        <w:t>του</w:t>
      </w:r>
      <w:r>
        <w:rPr>
          <w:spacing w:val="-4"/>
        </w:rPr>
        <w:t> </w:t>
      </w:r>
      <w:r>
        <w:rPr/>
        <w:t>πληθωρισμού</w:t>
      </w:r>
      <w:r>
        <w:rPr>
          <w:spacing w:val="-4"/>
        </w:rPr>
        <w:t> </w:t>
      </w:r>
      <w:r>
        <w:rPr/>
        <w:t>(που</w:t>
      </w:r>
      <w:r>
        <w:rPr>
          <w:spacing w:val="-4"/>
        </w:rPr>
        <w:t> </w:t>
      </w:r>
      <w:r>
        <w:rPr/>
        <w:t>δεν</w:t>
      </w:r>
      <w:r>
        <w:rPr>
          <w:spacing w:val="-4"/>
        </w:rPr>
        <w:t> </w:t>
      </w:r>
      <w:r>
        <w:rPr/>
        <w:t>περιλαμβάνει</w:t>
      </w:r>
      <w:r>
        <w:rPr>
          <w:spacing w:val="-6"/>
        </w:rPr>
        <w:t> </w:t>
      </w:r>
      <w:r>
        <w:rPr/>
        <w:t>τα</w:t>
      </w:r>
      <w:r>
        <w:rPr>
          <w:spacing w:val="-5"/>
        </w:rPr>
        <w:t> </w:t>
      </w:r>
      <w:r>
        <w:rPr/>
        <w:t>είδη</w:t>
      </w:r>
      <w:r>
        <w:rPr>
          <w:spacing w:val="-5"/>
        </w:rPr>
        <w:t> </w:t>
      </w:r>
      <w:r>
        <w:rPr/>
        <w:t>δια-τροφής και την ενέργεια) διατηρήθηκε αμετάβλητος στο 3,6%.</w:t>
      </w:r>
    </w:p>
    <w:p>
      <w:pPr>
        <w:pStyle w:val="BodyText"/>
        <w:spacing w:line="285" w:lineRule="auto" w:before="50"/>
        <w:ind w:left="172" w:right="956"/>
        <w:jc w:val="both"/>
      </w:pPr>
      <w:r>
        <w:rPr/>
        <w:t>Σύμφωνα</w:t>
      </w:r>
      <w:r>
        <w:rPr>
          <w:spacing w:val="-3"/>
        </w:rPr>
        <w:t> </w:t>
      </w:r>
      <w:r>
        <w:rPr/>
        <w:t>με</w:t>
      </w:r>
      <w:r>
        <w:rPr>
          <w:spacing w:val="-2"/>
        </w:rPr>
        <w:t> </w:t>
      </w:r>
      <w:r>
        <w:rPr/>
        <w:t>τις</w:t>
      </w:r>
      <w:r>
        <w:rPr>
          <w:spacing w:val="-4"/>
        </w:rPr>
        <w:t> </w:t>
      </w:r>
      <w:r>
        <w:rPr/>
        <w:t>πιο</w:t>
      </w:r>
      <w:r>
        <w:rPr>
          <w:spacing w:val="-3"/>
        </w:rPr>
        <w:t> </w:t>
      </w:r>
      <w:r>
        <w:rPr/>
        <w:t>πρόσφατες</w:t>
      </w:r>
      <w:r>
        <w:rPr>
          <w:spacing w:val="-3"/>
        </w:rPr>
        <w:t> </w:t>
      </w:r>
      <w:r>
        <w:rPr/>
        <w:t>εκτιμήσεις</w:t>
      </w:r>
      <w:r>
        <w:rPr>
          <w:spacing w:val="-3"/>
        </w:rPr>
        <w:t> </w:t>
      </w:r>
      <w:r>
        <w:rPr/>
        <w:t>της</w:t>
      </w:r>
      <w:r>
        <w:rPr>
          <w:spacing w:val="-4"/>
        </w:rPr>
        <w:t> </w:t>
      </w:r>
      <w:r>
        <w:rPr/>
        <w:t>Τράπεζας</w:t>
      </w:r>
      <w:r>
        <w:rPr>
          <w:spacing w:val="-4"/>
        </w:rPr>
        <w:t> </w:t>
      </w:r>
      <w:r>
        <w:rPr/>
        <w:t>της</w:t>
      </w:r>
      <w:r>
        <w:rPr>
          <w:spacing w:val="-4"/>
        </w:rPr>
        <w:t> </w:t>
      </w:r>
      <w:r>
        <w:rPr/>
        <w:t>Ελλάδος,</w:t>
      </w:r>
      <w:r>
        <w:rPr>
          <w:spacing w:val="-3"/>
        </w:rPr>
        <w:t> </w:t>
      </w:r>
      <w:r>
        <w:rPr/>
        <w:t>η</w:t>
      </w:r>
      <w:r>
        <w:rPr>
          <w:spacing w:val="-3"/>
        </w:rPr>
        <w:t> </w:t>
      </w:r>
      <w:r>
        <w:rPr/>
        <w:t>οικονομική</w:t>
      </w:r>
      <w:r>
        <w:rPr>
          <w:spacing w:val="-3"/>
        </w:rPr>
        <w:t> </w:t>
      </w:r>
      <w:r>
        <w:rPr/>
        <w:t>δραστηριό-τητα αναμένεται να αυξηθεί κατά 1,9% το 2026 και κατά 2,0% το 2027, ενώ ο πληθωρισμός εκτιμάται ότι θα διαμορφωθεί σε 3,1% και 2,4% αντίστοιχα. Οι κίνδυνοι που περιβάλλουν τις προβλέψεις της Τράπεζας της Ελλάδος για την ανάπτυξη είναι κυρίως καθοδικοί και αφορούν: α)</w:t>
      </w:r>
      <w:r>
        <w:rPr>
          <w:spacing w:val="-3"/>
        </w:rPr>
        <w:t> </w:t>
      </w:r>
      <w:r>
        <w:rPr/>
        <w:t>το</w:t>
      </w:r>
      <w:r>
        <w:rPr>
          <w:spacing w:val="-5"/>
        </w:rPr>
        <w:t> </w:t>
      </w:r>
      <w:r>
        <w:rPr/>
        <w:t>ενδεχόμενο</w:t>
      </w:r>
      <w:r>
        <w:rPr>
          <w:spacing w:val="-3"/>
        </w:rPr>
        <w:t> </w:t>
      </w:r>
      <w:r>
        <w:rPr/>
        <w:t>παράτασης</w:t>
      </w:r>
      <w:r>
        <w:rPr>
          <w:spacing w:val="-4"/>
        </w:rPr>
        <w:t> </w:t>
      </w:r>
      <w:r>
        <w:rPr/>
        <w:t>του</w:t>
      </w:r>
      <w:r>
        <w:rPr>
          <w:spacing w:val="-5"/>
        </w:rPr>
        <w:t> </w:t>
      </w:r>
      <w:r>
        <w:rPr/>
        <w:t>πολέμου</w:t>
      </w:r>
      <w:r>
        <w:rPr>
          <w:spacing w:val="-5"/>
        </w:rPr>
        <w:t> </w:t>
      </w:r>
      <w:r>
        <w:rPr/>
        <w:t>στη</w:t>
      </w:r>
      <w:r>
        <w:rPr>
          <w:spacing w:val="-3"/>
        </w:rPr>
        <w:t> </w:t>
      </w:r>
      <w:r>
        <w:rPr/>
        <w:t>Μέση</w:t>
      </w:r>
      <w:r>
        <w:rPr>
          <w:spacing w:val="-3"/>
        </w:rPr>
        <w:t> </w:t>
      </w:r>
      <w:r>
        <w:rPr/>
        <w:t>Ανατολή</w:t>
      </w:r>
      <w:r>
        <w:rPr>
          <w:spacing w:val="-5"/>
        </w:rPr>
        <w:t> </w:t>
      </w:r>
      <w:r>
        <w:rPr/>
        <w:t>και</w:t>
      </w:r>
      <w:r>
        <w:rPr>
          <w:spacing w:val="-6"/>
        </w:rPr>
        <w:t> </w:t>
      </w:r>
      <w:r>
        <w:rPr/>
        <w:t>των</w:t>
      </w:r>
      <w:r>
        <w:rPr>
          <w:spacing w:val="-5"/>
        </w:rPr>
        <w:t> </w:t>
      </w:r>
      <w:r>
        <w:rPr/>
        <w:t>επιπτώσεών</w:t>
      </w:r>
      <w:r>
        <w:rPr>
          <w:spacing w:val="-2"/>
        </w:rPr>
        <w:t> </w:t>
      </w:r>
      <w:r>
        <w:rPr/>
        <w:t>του</w:t>
      </w:r>
      <w:r>
        <w:rPr>
          <w:spacing w:val="-5"/>
        </w:rPr>
        <w:t> </w:t>
      </w:r>
      <w:r>
        <w:rPr/>
        <w:t>στις</w:t>
      </w:r>
      <w:r>
        <w:rPr>
          <w:spacing w:val="-3"/>
        </w:rPr>
        <w:t> </w:t>
      </w:r>
      <w:r>
        <w:rPr/>
        <w:t>διε-θνείς</w:t>
      </w:r>
      <w:r>
        <w:rPr>
          <w:spacing w:val="-12"/>
        </w:rPr>
        <w:t> </w:t>
      </w:r>
      <w:r>
        <w:rPr/>
        <w:t>οικονομικές</w:t>
      </w:r>
      <w:r>
        <w:rPr>
          <w:spacing w:val="-12"/>
        </w:rPr>
        <w:t> </w:t>
      </w:r>
      <w:r>
        <w:rPr/>
        <w:t>εξελίξεις,</w:t>
      </w:r>
      <w:r>
        <w:rPr>
          <w:spacing w:val="-12"/>
        </w:rPr>
        <w:t> </w:t>
      </w:r>
      <w:r>
        <w:rPr/>
        <w:t>β)</w:t>
      </w:r>
      <w:r>
        <w:rPr>
          <w:spacing w:val="-11"/>
        </w:rPr>
        <w:t> </w:t>
      </w:r>
      <w:r>
        <w:rPr/>
        <w:t>την</w:t>
      </w:r>
      <w:r>
        <w:rPr>
          <w:spacing w:val="-11"/>
        </w:rPr>
        <w:t> </w:t>
      </w:r>
      <w:r>
        <w:rPr/>
        <w:t>αβεβαιότητα</w:t>
      </w:r>
      <w:r>
        <w:rPr>
          <w:spacing w:val="-10"/>
        </w:rPr>
        <w:t> </w:t>
      </w:r>
      <w:r>
        <w:rPr/>
        <w:t>στο</w:t>
      </w:r>
      <w:r>
        <w:rPr>
          <w:spacing w:val="-9"/>
        </w:rPr>
        <w:t> </w:t>
      </w:r>
      <w:r>
        <w:rPr/>
        <w:t>παγκόσμιο</w:t>
      </w:r>
      <w:r>
        <w:rPr>
          <w:spacing w:val="-11"/>
        </w:rPr>
        <w:t> </w:t>
      </w:r>
      <w:r>
        <w:rPr/>
        <w:t>εμπόριο</w:t>
      </w:r>
      <w:r>
        <w:rPr>
          <w:spacing w:val="-9"/>
        </w:rPr>
        <w:t> </w:t>
      </w:r>
      <w:r>
        <w:rPr/>
        <w:t>από</w:t>
      </w:r>
      <w:r>
        <w:rPr>
          <w:spacing w:val="-10"/>
        </w:rPr>
        <w:t> </w:t>
      </w:r>
      <w:r>
        <w:rPr/>
        <w:t>την</w:t>
      </w:r>
      <w:r>
        <w:rPr>
          <w:spacing w:val="-11"/>
        </w:rPr>
        <w:t> </w:t>
      </w:r>
      <w:r>
        <w:rPr/>
        <w:t>επιβολή</w:t>
      </w:r>
      <w:r>
        <w:rPr>
          <w:spacing w:val="-10"/>
        </w:rPr>
        <w:t> </w:t>
      </w:r>
      <w:r>
        <w:rPr/>
        <w:t>μέτρων εμπορικού</w:t>
      </w:r>
      <w:r>
        <w:rPr>
          <w:spacing w:val="-4"/>
        </w:rPr>
        <w:t> </w:t>
      </w:r>
      <w:r>
        <w:rPr/>
        <w:t>προστατευτισμού,</w:t>
      </w:r>
      <w:r>
        <w:rPr>
          <w:spacing w:val="-5"/>
        </w:rPr>
        <w:t> </w:t>
      </w:r>
      <w:r>
        <w:rPr/>
        <w:t>γ)</w:t>
      </w:r>
      <w:r>
        <w:rPr>
          <w:spacing w:val="-4"/>
        </w:rPr>
        <w:t> </w:t>
      </w:r>
      <w:r>
        <w:rPr/>
        <w:t>τη</w:t>
      </w:r>
      <w:r>
        <w:rPr>
          <w:spacing w:val="-5"/>
        </w:rPr>
        <w:t> </w:t>
      </w:r>
      <w:r>
        <w:rPr/>
        <w:t>στενότητα</w:t>
      </w:r>
      <w:r>
        <w:rPr>
          <w:spacing w:val="-5"/>
        </w:rPr>
        <w:t> </w:t>
      </w:r>
      <w:r>
        <w:rPr/>
        <w:t>στην</w:t>
      </w:r>
      <w:r>
        <w:rPr>
          <w:spacing w:val="-4"/>
        </w:rPr>
        <w:t> </w:t>
      </w:r>
      <w:r>
        <w:rPr/>
        <w:t>αγορά</w:t>
      </w:r>
      <w:r>
        <w:rPr>
          <w:spacing w:val="-5"/>
        </w:rPr>
        <w:t> </w:t>
      </w:r>
      <w:r>
        <w:rPr/>
        <w:t>εργασίας,</w:t>
      </w:r>
      <w:r>
        <w:rPr>
          <w:spacing w:val="-5"/>
        </w:rPr>
        <w:t> </w:t>
      </w:r>
      <w:r>
        <w:rPr/>
        <w:t>που</w:t>
      </w:r>
      <w:r>
        <w:rPr>
          <w:spacing w:val="-4"/>
        </w:rPr>
        <w:t> </w:t>
      </w:r>
      <w:r>
        <w:rPr/>
        <w:t>μπορεί</w:t>
      </w:r>
      <w:r>
        <w:rPr>
          <w:spacing w:val="-4"/>
        </w:rPr>
        <w:t> </w:t>
      </w:r>
      <w:r>
        <w:rPr/>
        <w:t>να</w:t>
      </w:r>
      <w:r>
        <w:rPr>
          <w:spacing w:val="-5"/>
        </w:rPr>
        <w:t> </w:t>
      </w:r>
      <w:r>
        <w:rPr/>
        <w:t>ενισχύσει</w:t>
      </w:r>
      <w:r>
        <w:rPr>
          <w:spacing w:val="-4"/>
        </w:rPr>
        <w:t> </w:t>
      </w:r>
      <w:r>
        <w:rPr/>
        <w:t>τις μισθολογικές πιέσεις και να επιδεινώσει την ανταγωνιστικότητα, και δ) τις επιπτώσεις της κλι-ματικής αλλαγής, που μπορεί να οδηγήσουν σε φυσικές καταστροφές. Ανοδικά στην ανάπτυξη ενδέχεται να επιδράσουν παράγοντες όπως ο υψηλότερος του αναμενομένου δημοσιονομικός πολλαπλασιαστής,</w:t>
      </w:r>
      <w:r>
        <w:rPr>
          <w:spacing w:val="-14"/>
        </w:rPr>
        <w:t> </w:t>
      </w:r>
      <w:r>
        <w:rPr/>
        <w:t>η</w:t>
      </w:r>
      <w:r>
        <w:rPr>
          <w:spacing w:val="-14"/>
        </w:rPr>
        <w:t> </w:t>
      </w:r>
      <w:r>
        <w:rPr/>
        <w:t>ταχύτερη</w:t>
      </w:r>
      <w:r>
        <w:rPr>
          <w:spacing w:val="-14"/>
        </w:rPr>
        <w:t> </w:t>
      </w:r>
      <w:r>
        <w:rPr/>
        <w:t>του</w:t>
      </w:r>
      <w:r>
        <w:rPr>
          <w:spacing w:val="-12"/>
        </w:rPr>
        <w:t> </w:t>
      </w:r>
      <w:r>
        <w:rPr/>
        <w:t>αναμενομένου</w:t>
      </w:r>
      <w:r>
        <w:rPr>
          <w:spacing w:val="-13"/>
        </w:rPr>
        <w:t> </w:t>
      </w:r>
      <w:r>
        <w:rPr/>
        <w:t>υλοποίηση</w:t>
      </w:r>
      <w:r>
        <w:rPr>
          <w:spacing w:val="-14"/>
        </w:rPr>
        <w:t> </w:t>
      </w:r>
      <w:r>
        <w:rPr/>
        <w:t>των</w:t>
      </w:r>
      <w:r>
        <w:rPr>
          <w:spacing w:val="-13"/>
        </w:rPr>
        <w:t> </w:t>
      </w:r>
      <w:r>
        <w:rPr/>
        <w:t>απαραίτητων</w:t>
      </w:r>
      <w:r>
        <w:rPr>
          <w:spacing w:val="-14"/>
        </w:rPr>
        <w:t> </w:t>
      </w:r>
      <w:r>
        <w:rPr/>
        <w:t>μεταρρυθμίσεων, με</w:t>
      </w:r>
      <w:r>
        <w:rPr>
          <w:spacing w:val="-14"/>
        </w:rPr>
        <w:t> </w:t>
      </w:r>
      <w:r>
        <w:rPr/>
        <w:t>θετικές</w:t>
      </w:r>
      <w:r>
        <w:rPr>
          <w:spacing w:val="-14"/>
        </w:rPr>
        <w:t> </w:t>
      </w:r>
      <w:r>
        <w:rPr/>
        <w:t>επιδράσεις</w:t>
      </w:r>
      <w:r>
        <w:rPr>
          <w:spacing w:val="-14"/>
        </w:rPr>
        <w:t> </w:t>
      </w:r>
      <w:r>
        <w:rPr/>
        <w:t>στην</w:t>
      </w:r>
      <w:r>
        <w:rPr>
          <w:spacing w:val="-13"/>
        </w:rPr>
        <w:t> </w:t>
      </w:r>
      <w:r>
        <w:rPr/>
        <w:t>παραγωγικότητα</w:t>
      </w:r>
      <w:r>
        <w:rPr>
          <w:spacing w:val="-14"/>
        </w:rPr>
        <w:t> </w:t>
      </w:r>
      <w:r>
        <w:rPr/>
        <w:t>της</w:t>
      </w:r>
      <w:r>
        <w:rPr>
          <w:spacing w:val="-14"/>
        </w:rPr>
        <w:t> </w:t>
      </w:r>
      <w:r>
        <w:rPr/>
        <w:t>ελληνικής</w:t>
      </w:r>
      <w:r>
        <w:rPr>
          <w:spacing w:val="-14"/>
        </w:rPr>
        <w:t> </w:t>
      </w:r>
      <w:r>
        <w:rPr/>
        <w:t>οικονομίας,</w:t>
      </w:r>
      <w:r>
        <w:rPr>
          <w:spacing w:val="-13"/>
        </w:rPr>
        <w:t> </w:t>
      </w:r>
      <w:r>
        <w:rPr/>
        <w:t>και</w:t>
      </w:r>
      <w:r>
        <w:rPr>
          <w:spacing w:val="-14"/>
        </w:rPr>
        <w:t> </w:t>
      </w:r>
      <w:r>
        <w:rPr/>
        <w:t>η</w:t>
      </w:r>
      <w:r>
        <w:rPr>
          <w:spacing w:val="-14"/>
        </w:rPr>
        <w:t> </w:t>
      </w:r>
      <w:r>
        <w:rPr/>
        <w:t>περαιτέρω</w:t>
      </w:r>
      <w:r>
        <w:rPr>
          <w:spacing w:val="-14"/>
        </w:rPr>
        <w:t> </w:t>
      </w:r>
      <w:r>
        <w:rPr/>
        <w:t>ενίσχυση του τουριστικού τομέα.</w:t>
      </w:r>
    </w:p>
    <w:p>
      <w:pPr>
        <w:pStyle w:val="BodyText"/>
        <w:spacing w:after="0" w:line="285" w:lineRule="auto"/>
        <w:jc w:val="both"/>
        <w:sectPr>
          <w:pgSz w:w="11910" w:h="16850"/>
          <w:pgMar w:header="0" w:footer="1180" w:top="1840" w:bottom="1360" w:left="1417" w:right="850"/>
        </w:sectPr>
      </w:pPr>
    </w:p>
    <w:p>
      <w:pPr>
        <w:pStyle w:val="Heading2"/>
        <w:numPr>
          <w:ilvl w:val="1"/>
          <w:numId w:val="2"/>
        </w:numPr>
        <w:tabs>
          <w:tab w:pos="568" w:val="left" w:leader="none"/>
        </w:tabs>
        <w:spacing w:line="240" w:lineRule="auto" w:before="70" w:after="0"/>
        <w:ind w:left="568" w:right="0" w:hanging="396"/>
        <w:jc w:val="left"/>
      </w:pPr>
      <w:bookmarkStart w:name="_bookmark4" w:id="5"/>
      <w:bookmarkEnd w:id="5"/>
      <w:r>
        <w:rPr>
          <w:b w:val="0"/>
        </w:rPr>
      </w:r>
      <w:r>
        <w:rPr>
          <w:color w:val="1F487C"/>
        </w:rPr>
        <w:t>ΔΗΜΟΣΙΟΝΟΜΙΚΕΣ</w:t>
      </w:r>
      <w:r>
        <w:rPr>
          <w:color w:val="1F487C"/>
          <w:spacing w:val="-1"/>
        </w:rPr>
        <w:t> </w:t>
      </w:r>
      <w:r>
        <w:rPr>
          <w:color w:val="1F487C"/>
          <w:spacing w:val="-2"/>
        </w:rPr>
        <w:t>ΕΞΕΛΙΞΕΙΣ</w:t>
      </w:r>
    </w:p>
    <w:p>
      <w:pPr>
        <w:pStyle w:val="BodyText"/>
        <w:spacing w:line="285" w:lineRule="auto" w:before="96"/>
        <w:ind w:left="172" w:right="955"/>
        <w:jc w:val="both"/>
      </w:pPr>
      <w:r>
        <w:rPr/>
        <w:t>Το</w:t>
      </w:r>
      <w:r>
        <w:rPr>
          <w:spacing w:val="-11"/>
        </w:rPr>
        <w:t> </w:t>
      </w:r>
      <w:r>
        <w:rPr/>
        <w:t>2025</w:t>
      </w:r>
      <w:r>
        <w:rPr>
          <w:spacing w:val="-11"/>
        </w:rPr>
        <w:t> </w:t>
      </w:r>
      <w:r>
        <w:rPr/>
        <w:t>η</w:t>
      </w:r>
      <w:r>
        <w:rPr>
          <w:spacing w:val="-11"/>
        </w:rPr>
        <w:t> </w:t>
      </w:r>
      <w:r>
        <w:rPr/>
        <w:t>πορεία</w:t>
      </w:r>
      <w:r>
        <w:rPr>
          <w:spacing w:val="-10"/>
        </w:rPr>
        <w:t> </w:t>
      </w:r>
      <w:r>
        <w:rPr/>
        <w:t>των</w:t>
      </w:r>
      <w:r>
        <w:rPr>
          <w:spacing w:val="-10"/>
        </w:rPr>
        <w:t> </w:t>
      </w:r>
      <w:r>
        <w:rPr/>
        <w:t>φορολογικών</w:t>
      </w:r>
      <w:r>
        <w:rPr>
          <w:spacing w:val="-10"/>
        </w:rPr>
        <w:t> </w:t>
      </w:r>
      <w:r>
        <w:rPr/>
        <w:t>εσόδων</w:t>
      </w:r>
      <w:r>
        <w:rPr>
          <w:spacing w:val="-10"/>
        </w:rPr>
        <w:t> </w:t>
      </w:r>
      <w:r>
        <w:rPr/>
        <w:t>υπερέβη</w:t>
      </w:r>
      <w:r>
        <w:rPr>
          <w:spacing w:val="-11"/>
        </w:rPr>
        <w:t> </w:t>
      </w:r>
      <w:r>
        <w:rPr/>
        <w:t>σημαντικά</w:t>
      </w:r>
      <w:r>
        <w:rPr>
          <w:spacing w:val="-11"/>
        </w:rPr>
        <w:t> </w:t>
      </w:r>
      <w:r>
        <w:rPr/>
        <w:t>τους</w:t>
      </w:r>
      <w:r>
        <w:rPr>
          <w:spacing w:val="-11"/>
        </w:rPr>
        <w:t> </w:t>
      </w:r>
      <w:r>
        <w:rPr/>
        <w:t>δημοσιονομικούς</w:t>
      </w:r>
      <w:r>
        <w:rPr>
          <w:spacing w:val="-6"/>
        </w:rPr>
        <w:t> </w:t>
      </w:r>
      <w:r>
        <w:rPr/>
        <w:t>στόχους, όπως</w:t>
      </w:r>
      <w:r>
        <w:rPr>
          <w:spacing w:val="-7"/>
        </w:rPr>
        <w:t> </w:t>
      </w:r>
      <w:r>
        <w:rPr/>
        <w:t>επαναπροσδιορίστηκαν</w:t>
      </w:r>
      <w:r>
        <w:rPr>
          <w:spacing w:val="-5"/>
        </w:rPr>
        <w:t> </w:t>
      </w:r>
      <w:r>
        <w:rPr/>
        <w:t>στον</w:t>
      </w:r>
      <w:r>
        <w:rPr>
          <w:spacing w:val="-5"/>
        </w:rPr>
        <w:t> </w:t>
      </w:r>
      <w:r>
        <w:rPr/>
        <w:t>Προϋπολογισμό</w:t>
      </w:r>
      <w:r>
        <w:rPr>
          <w:spacing w:val="-6"/>
        </w:rPr>
        <w:t> </w:t>
      </w:r>
      <w:r>
        <w:rPr/>
        <w:t>του</w:t>
      </w:r>
      <w:r>
        <w:rPr>
          <w:spacing w:val="-5"/>
        </w:rPr>
        <w:t> </w:t>
      </w:r>
      <w:r>
        <w:rPr/>
        <w:t>2026,</w:t>
      </w:r>
      <w:r>
        <w:rPr>
          <w:spacing w:val="-6"/>
        </w:rPr>
        <w:t> </w:t>
      </w:r>
      <w:r>
        <w:rPr/>
        <w:t>επιβεβαιώνοντας</w:t>
      </w:r>
      <w:r>
        <w:rPr>
          <w:spacing w:val="-7"/>
        </w:rPr>
        <w:t> </w:t>
      </w:r>
      <w:r>
        <w:rPr/>
        <w:t>τη</w:t>
      </w:r>
      <w:r>
        <w:rPr>
          <w:spacing w:val="-2"/>
        </w:rPr>
        <w:t> </w:t>
      </w:r>
      <w:r>
        <w:rPr/>
        <w:t>συνεχιζόμενη δυναμική</w:t>
      </w:r>
      <w:r>
        <w:rPr>
          <w:spacing w:val="-5"/>
        </w:rPr>
        <w:t> </w:t>
      </w:r>
      <w:r>
        <w:rPr/>
        <w:t>της</w:t>
      </w:r>
      <w:r>
        <w:rPr>
          <w:spacing w:val="-6"/>
        </w:rPr>
        <w:t> </w:t>
      </w:r>
      <w:r>
        <w:rPr/>
        <w:t>οικονομίας</w:t>
      </w:r>
      <w:r>
        <w:rPr>
          <w:spacing w:val="-6"/>
        </w:rPr>
        <w:t> </w:t>
      </w:r>
      <w:r>
        <w:rPr/>
        <w:t>και</w:t>
      </w:r>
      <w:r>
        <w:rPr>
          <w:spacing w:val="-5"/>
        </w:rPr>
        <w:t> </w:t>
      </w:r>
      <w:r>
        <w:rPr/>
        <w:t>τη</w:t>
      </w:r>
      <w:r>
        <w:rPr>
          <w:spacing w:val="-5"/>
        </w:rPr>
        <w:t> </w:t>
      </w:r>
      <w:r>
        <w:rPr/>
        <w:t>βελτίωση</w:t>
      </w:r>
      <w:r>
        <w:rPr>
          <w:spacing w:val="-5"/>
        </w:rPr>
        <w:t> </w:t>
      </w:r>
      <w:r>
        <w:rPr/>
        <w:t>της</w:t>
      </w:r>
      <w:r>
        <w:rPr>
          <w:spacing w:val="-6"/>
        </w:rPr>
        <w:t> </w:t>
      </w:r>
      <w:r>
        <w:rPr/>
        <w:t>φορολογικής</w:t>
      </w:r>
      <w:r>
        <w:rPr>
          <w:spacing w:val="-6"/>
        </w:rPr>
        <w:t> </w:t>
      </w:r>
      <w:r>
        <w:rPr/>
        <w:t>συμμόρφωσης.</w:t>
      </w:r>
      <w:r>
        <w:rPr>
          <w:spacing w:val="-2"/>
        </w:rPr>
        <w:t> </w:t>
      </w:r>
      <w:r>
        <w:rPr/>
        <w:t>Η</w:t>
      </w:r>
      <w:r>
        <w:rPr>
          <w:spacing w:val="-8"/>
        </w:rPr>
        <w:t> </w:t>
      </w:r>
      <w:r>
        <w:rPr/>
        <w:t>εξέλιξη</w:t>
      </w:r>
      <w:r>
        <w:rPr>
          <w:spacing w:val="-4"/>
        </w:rPr>
        <w:t> </w:t>
      </w:r>
      <w:r>
        <w:rPr/>
        <w:t>αυτή</w:t>
      </w:r>
      <w:r>
        <w:rPr>
          <w:spacing w:val="-5"/>
        </w:rPr>
        <w:t> </w:t>
      </w:r>
      <w:r>
        <w:rPr/>
        <w:t>πρω-τίστως</w:t>
      </w:r>
      <w:r>
        <w:rPr>
          <w:spacing w:val="-6"/>
        </w:rPr>
        <w:t> </w:t>
      </w:r>
      <w:r>
        <w:rPr/>
        <w:t>αντανακλά</w:t>
      </w:r>
      <w:r>
        <w:rPr>
          <w:spacing w:val="-5"/>
        </w:rPr>
        <w:t> </w:t>
      </w:r>
      <w:r>
        <w:rPr/>
        <w:t>βελτιωμένες</w:t>
      </w:r>
      <w:r>
        <w:rPr>
          <w:spacing w:val="-6"/>
        </w:rPr>
        <w:t> </w:t>
      </w:r>
      <w:r>
        <w:rPr/>
        <w:t>επιδόσεις</w:t>
      </w:r>
      <w:r>
        <w:rPr>
          <w:spacing w:val="-2"/>
        </w:rPr>
        <w:t> </w:t>
      </w:r>
      <w:r>
        <w:rPr/>
        <w:t>όσον</w:t>
      </w:r>
      <w:r>
        <w:rPr>
          <w:spacing w:val="-4"/>
        </w:rPr>
        <w:t> </w:t>
      </w:r>
      <w:r>
        <w:rPr/>
        <w:t>αφορά</w:t>
      </w:r>
      <w:r>
        <w:rPr>
          <w:spacing w:val="-7"/>
        </w:rPr>
        <w:t> </w:t>
      </w:r>
      <w:r>
        <w:rPr/>
        <w:t>την</w:t>
      </w:r>
      <w:r>
        <w:rPr>
          <w:spacing w:val="-4"/>
        </w:rPr>
        <w:t> </w:t>
      </w:r>
      <w:r>
        <w:rPr/>
        <w:t>αύξηση</w:t>
      </w:r>
      <w:r>
        <w:rPr>
          <w:spacing w:val="-5"/>
        </w:rPr>
        <w:t> </w:t>
      </w:r>
      <w:r>
        <w:rPr/>
        <w:t>των</w:t>
      </w:r>
      <w:r>
        <w:rPr>
          <w:spacing w:val="-6"/>
        </w:rPr>
        <w:t> </w:t>
      </w:r>
      <w:r>
        <w:rPr/>
        <w:t>εισοδημάτων,</w:t>
      </w:r>
      <w:r>
        <w:rPr>
          <w:spacing w:val="-5"/>
        </w:rPr>
        <w:t> </w:t>
      </w:r>
      <w:r>
        <w:rPr/>
        <w:t>την</w:t>
      </w:r>
      <w:r>
        <w:rPr>
          <w:spacing w:val="-4"/>
        </w:rPr>
        <w:t> </w:t>
      </w:r>
      <w:r>
        <w:rPr/>
        <w:t>κερδο-φορία</w:t>
      </w:r>
      <w:r>
        <w:rPr>
          <w:spacing w:val="-5"/>
        </w:rPr>
        <w:t> </w:t>
      </w:r>
      <w:r>
        <w:rPr/>
        <w:t>των</w:t>
      </w:r>
      <w:r>
        <w:rPr>
          <w:spacing w:val="-7"/>
        </w:rPr>
        <w:t> </w:t>
      </w:r>
      <w:r>
        <w:rPr/>
        <w:t>επιχειρήσεων,</w:t>
      </w:r>
      <w:r>
        <w:rPr>
          <w:spacing w:val="-6"/>
        </w:rPr>
        <w:t> </w:t>
      </w:r>
      <w:r>
        <w:rPr/>
        <w:t>την</w:t>
      </w:r>
      <w:r>
        <w:rPr>
          <w:spacing w:val="-5"/>
        </w:rPr>
        <w:t> </w:t>
      </w:r>
      <w:r>
        <w:rPr/>
        <w:t>απασχόληση</w:t>
      </w:r>
      <w:r>
        <w:rPr>
          <w:spacing w:val="-3"/>
        </w:rPr>
        <w:t> </w:t>
      </w:r>
      <w:r>
        <w:rPr/>
        <w:t>και</w:t>
      </w:r>
      <w:r>
        <w:rPr>
          <w:spacing w:val="-6"/>
        </w:rPr>
        <w:t> </w:t>
      </w:r>
      <w:r>
        <w:rPr/>
        <w:t>τη</w:t>
      </w:r>
      <w:r>
        <w:rPr>
          <w:spacing w:val="-6"/>
        </w:rPr>
        <w:t> </w:t>
      </w:r>
      <w:r>
        <w:rPr/>
        <w:t>φορολογική</w:t>
      </w:r>
      <w:r>
        <w:rPr>
          <w:spacing w:val="-6"/>
        </w:rPr>
        <w:t> </w:t>
      </w:r>
      <w:r>
        <w:rPr/>
        <w:t>συμμόρφωση,</w:t>
      </w:r>
      <w:r>
        <w:rPr>
          <w:spacing w:val="-8"/>
        </w:rPr>
        <w:t> </w:t>
      </w:r>
      <w:r>
        <w:rPr/>
        <w:t>ενώ</w:t>
      </w:r>
      <w:r>
        <w:rPr>
          <w:spacing w:val="-7"/>
        </w:rPr>
        <w:t> </w:t>
      </w:r>
      <w:r>
        <w:rPr/>
        <w:t>δευτερευόντως συνδέεται με την επίδραση του υψηλότερου του αναμενομένου πληθωρισμού.</w:t>
      </w:r>
    </w:p>
    <w:p>
      <w:pPr>
        <w:pStyle w:val="BodyText"/>
        <w:spacing w:line="285" w:lineRule="auto" w:before="54"/>
        <w:ind w:left="172" w:right="954"/>
        <w:jc w:val="both"/>
      </w:pPr>
      <w:r>
        <w:rPr/>
        <w:t>Η υπεραπόδοση των εσόδων συνδέεται σε μεγάλο βαθμό με τη βελτίωση της φορολογικής και ασφαλιστικής συμμόρφωσης μέσω της καταπολέμησης της φοροδιαφυγής και της εισφοροδια-φυγής.</w:t>
      </w:r>
      <w:r>
        <w:rPr>
          <w:spacing w:val="-13"/>
        </w:rPr>
        <w:t> </w:t>
      </w:r>
      <w:r>
        <w:rPr/>
        <w:t>Προς</w:t>
      </w:r>
      <w:r>
        <w:rPr>
          <w:spacing w:val="-13"/>
        </w:rPr>
        <w:t> </w:t>
      </w:r>
      <w:r>
        <w:rPr/>
        <w:t>τούτο</w:t>
      </w:r>
      <w:r>
        <w:rPr>
          <w:spacing w:val="-12"/>
        </w:rPr>
        <w:t> </w:t>
      </w:r>
      <w:r>
        <w:rPr/>
        <w:t>συνέβαλαν</w:t>
      </w:r>
      <w:r>
        <w:rPr>
          <w:spacing w:val="-10"/>
        </w:rPr>
        <w:t> </w:t>
      </w:r>
      <w:r>
        <w:rPr/>
        <w:t>μέτρα</w:t>
      </w:r>
      <w:r>
        <w:rPr>
          <w:spacing w:val="-14"/>
        </w:rPr>
        <w:t> </w:t>
      </w:r>
      <w:r>
        <w:rPr/>
        <w:t>πολιτικής</w:t>
      </w:r>
      <w:r>
        <w:rPr>
          <w:spacing w:val="-13"/>
        </w:rPr>
        <w:t> </w:t>
      </w:r>
      <w:r>
        <w:rPr/>
        <w:t>όπως</w:t>
      </w:r>
      <w:r>
        <w:rPr>
          <w:spacing w:val="-13"/>
        </w:rPr>
        <w:t> </w:t>
      </w:r>
      <w:r>
        <w:rPr/>
        <w:t>η</w:t>
      </w:r>
      <w:r>
        <w:rPr>
          <w:spacing w:val="-14"/>
        </w:rPr>
        <w:t> </w:t>
      </w:r>
      <w:r>
        <w:rPr/>
        <w:t>ευρύτερη</w:t>
      </w:r>
      <w:r>
        <w:rPr>
          <w:spacing w:val="-12"/>
        </w:rPr>
        <w:t> </w:t>
      </w:r>
      <w:r>
        <w:rPr/>
        <w:t>χρήση</w:t>
      </w:r>
      <w:r>
        <w:rPr>
          <w:spacing w:val="-14"/>
        </w:rPr>
        <w:t> </w:t>
      </w:r>
      <w:r>
        <w:rPr/>
        <w:t>ψηφιακών</w:t>
      </w:r>
      <w:r>
        <w:rPr>
          <w:spacing w:val="-13"/>
        </w:rPr>
        <w:t> </w:t>
      </w:r>
      <w:r>
        <w:rPr/>
        <w:t>εργαλείων</w:t>
      </w:r>
      <w:r>
        <w:rPr>
          <w:spacing w:val="-11"/>
        </w:rPr>
        <w:t> </w:t>
      </w:r>
      <w:r>
        <w:rPr/>
        <w:t>και ηλεκτρονικών συναλλαγών, η οποία ενίσχυσε την αποτελεσματικότητα του φοροεισπρακτικού μηχανισμού,</w:t>
      </w:r>
      <w:r>
        <w:rPr>
          <w:spacing w:val="-7"/>
        </w:rPr>
        <w:t> </w:t>
      </w:r>
      <w:r>
        <w:rPr/>
        <w:t>καθώς</w:t>
      </w:r>
      <w:r>
        <w:rPr>
          <w:spacing w:val="-8"/>
        </w:rPr>
        <w:t> </w:t>
      </w:r>
      <w:r>
        <w:rPr/>
        <w:t>και</w:t>
      </w:r>
      <w:r>
        <w:rPr>
          <w:spacing w:val="-5"/>
        </w:rPr>
        <w:t> </w:t>
      </w:r>
      <w:r>
        <w:rPr/>
        <w:t>η</w:t>
      </w:r>
      <w:r>
        <w:rPr>
          <w:spacing w:val="-7"/>
        </w:rPr>
        <w:t> </w:t>
      </w:r>
      <w:r>
        <w:rPr/>
        <w:t>επέκταση</w:t>
      </w:r>
      <w:r>
        <w:rPr>
          <w:spacing w:val="-4"/>
        </w:rPr>
        <w:t> </w:t>
      </w:r>
      <w:r>
        <w:rPr/>
        <w:t>της</w:t>
      </w:r>
      <w:r>
        <w:rPr>
          <w:spacing w:val="-6"/>
        </w:rPr>
        <w:t> </w:t>
      </w:r>
      <w:r>
        <w:rPr/>
        <w:t>εφαρμογής</w:t>
      </w:r>
      <w:r>
        <w:rPr>
          <w:spacing w:val="-8"/>
        </w:rPr>
        <w:t> </w:t>
      </w:r>
      <w:r>
        <w:rPr/>
        <w:t>της</w:t>
      </w:r>
      <w:r>
        <w:rPr>
          <w:spacing w:val="-6"/>
        </w:rPr>
        <w:t> </w:t>
      </w:r>
      <w:r>
        <w:rPr/>
        <w:t>ψηφιακής</w:t>
      </w:r>
      <w:r>
        <w:rPr>
          <w:spacing w:val="-6"/>
        </w:rPr>
        <w:t> </w:t>
      </w:r>
      <w:r>
        <w:rPr/>
        <w:t>κάρτας</w:t>
      </w:r>
      <w:r>
        <w:rPr>
          <w:spacing w:val="-6"/>
        </w:rPr>
        <w:t> </w:t>
      </w:r>
      <w:r>
        <w:rPr/>
        <w:t>εργασίας,</w:t>
      </w:r>
      <w:r>
        <w:rPr>
          <w:spacing w:val="-5"/>
        </w:rPr>
        <w:t> </w:t>
      </w:r>
      <w:r>
        <w:rPr/>
        <w:t>η</w:t>
      </w:r>
      <w:r>
        <w:rPr>
          <w:spacing w:val="-5"/>
        </w:rPr>
        <w:t> </w:t>
      </w:r>
      <w:r>
        <w:rPr/>
        <w:t>οποία</w:t>
      </w:r>
      <w:r>
        <w:rPr>
          <w:spacing w:val="-4"/>
        </w:rPr>
        <w:t> </w:t>
      </w:r>
      <w:r>
        <w:rPr/>
        <w:t>στή-ριξε την αύξηση των εσόδων από ασφαλιστικές εισφορές. Το γεγονός αυτό επέτρεψε τη λήψη δέσμης μόνιμων επεκτατικών δημοσιονομικών μέτρων ύψους 1,76 δισεκ. ευρώ για το 2026. Η δέσμη αυτή περιλαμβάνει φορολογικές ελαφρύνσεις, όπως η μείωση των συντελεστών άμεσης φορολογίας με έμφαση στη στήριξη των μεσαίων εισοδημάτων, των οικογενειών με παιδιά και των νέων εργαζόμενων, καθώς και μέτρα εισοδηματικής στήριξης.</w:t>
      </w:r>
    </w:p>
    <w:p>
      <w:pPr>
        <w:pStyle w:val="BodyText"/>
        <w:spacing w:line="285" w:lineRule="auto" w:before="50"/>
        <w:ind w:left="172" w:right="954"/>
        <w:jc w:val="both"/>
      </w:pPr>
      <w:r>
        <w:rPr/>
        <w:t>Η</w:t>
      </w:r>
      <w:r>
        <w:rPr>
          <w:spacing w:val="-3"/>
        </w:rPr>
        <w:t> </w:t>
      </w:r>
      <w:r>
        <w:rPr/>
        <w:t>διατήρηση</w:t>
      </w:r>
      <w:r>
        <w:rPr>
          <w:spacing w:val="-5"/>
        </w:rPr>
        <w:t> </w:t>
      </w:r>
      <w:r>
        <w:rPr/>
        <w:t>της</w:t>
      </w:r>
      <w:r>
        <w:rPr>
          <w:spacing w:val="-4"/>
        </w:rPr>
        <w:t> </w:t>
      </w:r>
      <w:r>
        <w:rPr/>
        <w:t>θετικής</w:t>
      </w:r>
      <w:r>
        <w:rPr>
          <w:spacing w:val="-4"/>
        </w:rPr>
        <w:t> </w:t>
      </w:r>
      <w:r>
        <w:rPr/>
        <w:t>δημοσιονομικής</w:t>
      </w:r>
      <w:r>
        <w:rPr>
          <w:spacing w:val="-4"/>
        </w:rPr>
        <w:t> </w:t>
      </w:r>
      <w:r>
        <w:rPr/>
        <w:t>δυναμικής</w:t>
      </w:r>
      <w:r>
        <w:rPr>
          <w:spacing w:val="-6"/>
        </w:rPr>
        <w:t> </w:t>
      </w:r>
      <w:r>
        <w:rPr/>
        <w:t>στη</w:t>
      </w:r>
      <w:r>
        <w:rPr>
          <w:spacing w:val="-2"/>
        </w:rPr>
        <w:t> </w:t>
      </w:r>
      <w:r>
        <w:rPr/>
        <w:t>διάρκεια</w:t>
      </w:r>
      <w:r>
        <w:rPr>
          <w:spacing w:val="-2"/>
        </w:rPr>
        <w:t> </w:t>
      </w:r>
      <w:r>
        <w:rPr/>
        <w:t>του</w:t>
      </w:r>
      <w:r>
        <w:rPr>
          <w:spacing w:val="-1"/>
        </w:rPr>
        <w:t> </w:t>
      </w:r>
      <w:r>
        <w:rPr/>
        <w:t>2025</w:t>
      </w:r>
      <w:r>
        <w:rPr>
          <w:spacing w:val="-2"/>
        </w:rPr>
        <w:t> </w:t>
      </w:r>
      <w:r>
        <w:rPr/>
        <w:t>οδήγησε</w:t>
      </w:r>
      <w:r>
        <w:rPr>
          <w:spacing w:val="-2"/>
        </w:rPr>
        <w:t> </w:t>
      </w:r>
      <w:r>
        <w:rPr/>
        <w:t>στη</w:t>
      </w:r>
      <w:r>
        <w:rPr>
          <w:spacing w:val="-2"/>
        </w:rPr>
        <w:t> </w:t>
      </w:r>
      <w:r>
        <w:rPr/>
        <w:t>σημα-ντική</w:t>
      </w:r>
      <w:r>
        <w:rPr>
          <w:spacing w:val="-5"/>
        </w:rPr>
        <w:t> </w:t>
      </w:r>
      <w:r>
        <w:rPr/>
        <w:t>υπέρβαση</w:t>
      </w:r>
      <w:r>
        <w:rPr>
          <w:spacing w:val="-2"/>
        </w:rPr>
        <w:t> </w:t>
      </w:r>
      <w:r>
        <w:rPr/>
        <w:t>του</w:t>
      </w:r>
      <w:r>
        <w:rPr>
          <w:spacing w:val="-4"/>
        </w:rPr>
        <w:t> </w:t>
      </w:r>
      <w:r>
        <w:rPr/>
        <w:t>στόχου</w:t>
      </w:r>
      <w:r>
        <w:rPr>
          <w:spacing w:val="-1"/>
        </w:rPr>
        <w:t> </w:t>
      </w:r>
      <w:r>
        <w:rPr/>
        <w:t>του</w:t>
      </w:r>
      <w:r>
        <w:rPr>
          <w:spacing w:val="-4"/>
        </w:rPr>
        <w:t> </w:t>
      </w:r>
      <w:r>
        <w:rPr/>
        <w:t>Προϋπολογισμού</w:t>
      </w:r>
      <w:r>
        <w:rPr>
          <w:spacing w:val="-1"/>
        </w:rPr>
        <w:t> </w:t>
      </w:r>
      <w:r>
        <w:rPr/>
        <w:t>για</w:t>
      </w:r>
      <w:r>
        <w:rPr>
          <w:spacing w:val="-7"/>
        </w:rPr>
        <w:t> </w:t>
      </w:r>
      <w:r>
        <w:rPr/>
        <w:t>το</w:t>
      </w:r>
      <w:r>
        <w:rPr>
          <w:spacing w:val="-2"/>
        </w:rPr>
        <w:t> </w:t>
      </w:r>
      <w:r>
        <w:rPr/>
        <w:t>πρωτογενές</w:t>
      </w:r>
      <w:r>
        <w:rPr>
          <w:spacing w:val="-3"/>
        </w:rPr>
        <w:t> </w:t>
      </w:r>
      <w:r>
        <w:rPr/>
        <w:t>αποτέλεσμα</w:t>
      </w:r>
      <w:r>
        <w:rPr>
          <w:spacing w:val="-5"/>
        </w:rPr>
        <w:t> </w:t>
      </w:r>
      <w:r>
        <w:rPr/>
        <w:t>το</w:t>
      </w:r>
      <w:r>
        <w:rPr>
          <w:spacing w:val="-5"/>
        </w:rPr>
        <w:t> </w:t>
      </w:r>
      <w:r>
        <w:rPr/>
        <w:t>2025,</w:t>
      </w:r>
      <w:r>
        <w:rPr>
          <w:spacing w:val="-5"/>
        </w:rPr>
        <w:t> </w:t>
      </w:r>
      <w:r>
        <w:rPr/>
        <w:t>όπως είχε συμβεί και το 2024. Σύμφωνα με την πρώτη κοινοποίηση των δημοσιονομικών στοιχείων για</w:t>
      </w:r>
      <w:r>
        <w:rPr>
          <w:spacing w:val="-2"/>
        </w:rPr>
        <w:t> </w:t>
      </w:r>
      <w:r>
        <w:rPr/>
        <w:t>την</w:t>
      </w:r>
      <w:r>
        <w:rPr>
          <w:spacing w:val="-1"/>
        </w:rPr>
        <w:t> </w:t>
      </w:r>
      <w:r>
        <w:rPr/>
        <w:t>περίοδο</w:t>
      </w:r>
      <w:r>
        <w:rPr>
          <w:spacing w:val="-4"/>
        </w:rPr>
        <w:t> </w:t>
      </w:r>
      <w:r>
        <w:rPr/>
        <w:t>2022-2025</w:t>
      </w:r>
      <w:r>
        <w:rPr>
          <w:spacing w:val="-6"/>
        </w:rPr>
        <w:t> </w:t>
      </w:r>
      <w:r>
        <w:rPr/>
        <w:t>από</w:t>
      </w:r>
      <w:r>
        <w:rPr>
          <w:spacing w:val="-2"/>
        </w:rPr>
        <w:t> </w:t>
      </w:r>
      <w:r>
        <w:rPr/>
        <w:t>την</w:t>
      </w:r>
      <w:r>
        <w:rPr>
          <w:spacing w:val="-2"/>
        </w:rPr>
        <w:t> </w:t>
      </w:r>
      <w:r>
        <w:rPr/>
        <w:t>Ελληνική</w:t>
      </w:r>
      <w:r>
        <w:rPr>
          <w:spacing w:val="-5"/>
        </w:rPr>
        <w:t> </w:t>
      </w:r>
      <w:r>
        <w:rPr/>
        <w:t>Στατιστική</w:t>
      </w:r>
      <w:r>
        <w:rPr>
          <w:spacing w:val="-2"/>
        </w:rPr>
        <w:t> </w:t>
      </w:r>
      <w:r>
        <w:rPr/>
        <w:t>Αρχή</w:t>
      </w:r>
      <w:r>
        <w:rPr>
          <w:spacing w:val="-2"/>
        </w:rPr>
        <w:t> </w:t>
      </w:r>
      <w:r>
        <w:rPr/>
        <w:t>(ΕΛΣΤΑΤ)</w:t>
      </w:r>
      <w:r>
        <w:rPr>
          <w:spacing w:val="-4"/>
        </w:rPr>
        <w:t> </w:t>
      </w:r>
      <w:r>
        <w:rPr/>
        <w:t>στο</w:t>
      </w:r>
      <w:r>
        <w:rPr>
          <w:spacing w:val="-5"/>
        </w:rPr>
        <w:t> </w:t>
      </w:r>
      <w:r>
        <w:rPr/>
        <w:t>πλαίσιο</w:t>
      </w:r>
      <w:r>
        <w:rPr>
          <w:spacing w:val="-4"/>
        </w:rPr>
        <w:t> </w:t>
      </w:r>
      <w:r>
        <w:rPr/>
        <w:t>της</w:t>
      </w:r>
      <w:r>
        <w:rPr>
          <w:spacing w:val="-4"/>
        </w:rPr>
        <w:t> </w:t>
      </w:r>
      <w:r>
        <w:rPr/>
        <w:t>δια-δικασίας</w:t>
      </w:r>
      <w:r>
        <w:rPr>
          <w:spacing w:val="-1"/>
        </w:rPr>
        <w:t> </w:t>
      </w:r>
      <w:r>
        <w:rPr/>
        <w:t>υπερβολικού ελλείμματος τον Απρίλιο του 2026, το αποτέλεσμα της γενικής κυβέρνη-σης παρουσίασε πλεόνασμα ύψους 1,7% του ΑΕΠ (έναντι πλεονάσματος 1,3% του ΑΕΠ το 2024).</w:t>
      </w:r>
      <w:r>
        <w:rPr>
          <w:spacing w:val="-4"/>
        </w:rPr>
        <w:t> </w:t>
      </w:r>
      <w:r>
        <w:rPr/>
        <w:t>Το</w:t>
      </w:r>
      <w:r>
        <w:rPr>
          <w:spacing w:val="-4"/>
        </w:rPr>
        <w:t> </w:t>
      </w:r>
      <w:r>
        <w:rPr/>
        <w:t>πρωτογενές</w:t>
      </w:r>
      <w:r>
        <w:rPr>
          <w:spacing w:val="-5"/>
        </w:rPr>
        <w:t> </w:t>
      </w:r>
      <w:r>
        <w:rPr/>
        <w:t>αποτέλεσμα</w:t>
      </w:r>
      <w:r>
        <w:rPr>
          <w:spacing w:val="-4"/>
        </w:rPr>
        <w:t> </w:t>
      </w:r>
      <w:r>
        <w:rPr/>
        <w:t>της</w:t>
      </w:r>
      <w:r>
        <w:rPr>
          <w:spacing w:val="-5"/>
        </w:rPr>
        <w:t> </w:t>
      </w:r>
      <w:r>
        <w:rPr/>
        <w:t>γενικής</w:t>
      </w:r>
      <w:r>
        <w:rPr>
          <w:spacing w:val="-5"/>
        </w:rPr>
        <w:t> </w:t>
      </w:r>
      <w:r>
        <w:rPr/>
        <w:t>κυβέρνησης</w:t>
      </w:r>
      <w:r>
        <w:rPr>
          <w:spacing w:val="-5"/>
        </w:rPr>
        <w:t> </w:t>
      </w:r>
      <w:r>
        <w:rPr/>
        <w:t>για</w:t>
      </w:r>
      <w:r>
        <w:rPr>
          <w:spacing w:val="-3"/>
        </w:rPr>
        <w:t> </w:t>
      </w:r>
      <w:r>
        <w:rPr/>
        <w:t>το</w:t>
      </w:r>
      <w:r>
        <w:rPr>
          <w:spacing w:val="-4"/>
        </w:rPr>
        <w:t> </w:t>
      </w:r>
      <w:r>
        <w:rPr/>
        <w:t>2025</w:t>
      </w:r>
      <w:r>
        <w:rPr>
          <w:spacing w:val="-4"/>
        </w:rPr>
        <w:t> </w:t>
      </w:r>
      <w:r>
        <w:rPr/>
        <w:t>διαμορφώθηκε</w:t>
      </w:r>
      <w:r>
        <w:rPr>
          <w:spacing w:val="-3"/>
        </w:rPr>
        <w:t> </w:t>
      </w:r>
      <w:r>
        <w:rPr/>
        <w:t>σε</w:t>
      </w:r>
      <w:r>
        <w:rPr>
          <w:spacing w:val="-3"/>
        </w:rPr>
        <w:t> </w:t>
      </w:r>
      <w:r>
        <w:rPr/>
        <w:t>πλεό-νασμα 4,9% του ΑΕΠ (από 4,8% του ΑΕΠ το 2024), υπερβαίνοντας σημαντικά την πρόβλεψη του</w:t>
      </w:r>
      <w:r>
        <w:rPr>
          <w:spacing w:val="-1"/>
        </w:rPr>
        <w:t> </w:t>
      </w:r>
      <w:r>
        <w:rPr/>
        <w:t>Προϋπολογισμού</w:t>
      </w:r>
      <w:r>
        <w:rPr>
          <w:spacing w:val="-4"/>
        </w:rPr>
        <w:t> </w:t>
      </w:r>
      <w:r>
        <w:rPr/>
        <w:t>του</w:t>
      </w:r>
      <w:r>
        <w:rPr>
          <w:spacing w:val="-4"/>
        </w:rPr>
        <w:t> </w:t>
      </w:r>
      <w:r>
        <w:rPr/>
        <w:t>2025</w:t>
      </w:r>
      <w:r>
        <w:rPr>
          <w:spacing w:val="-5"/>
        </w:rPr>
        <w:t> </w:t>
      </w:r>
      <w:r>
        <w:rPr/>
        <w:t>(2,4%</w:t>
      </w:r>
      <w:r>
        <w:rPr>
          <w:spacing w:val="-1"/>
        </w:rPr>
        <w:t> </w:t>
      </w:r>
      <w:r>
        <w:rPr/>
        <w:t>του</w:t>
      </w:r>
      <w:r>
        <w:rPr>
          <w:spacing w:val="-4"/>
        </w:rPr>
        <w:t> </w:t>
      </w:r>
      <w:r>
        <w:rPr/>
        <w:t>ΑΕΠ),</w:t>
      </w:r>
      <w:r>
        <w:rPr>
          <w:spacing w:val="-2"/>
        </w:rPr>
        <w:t> </w:t>
      </w:r>
      <w:r>
        <w:rPr/>
        <w:t>αλλά</w:t>
      </w:r>
      <w:r>
        <w:rPr>
          <w:spacing w:val="-5"/>
        </w:rPr>
        <w:t> </w:t>
      </w:r>
      <w:r>
        <w:rPr/>
        <w:t>και</w:t>
      </w:r>
      <w:r>
        <w:rPr>
          <w:spacing w:val="-2"/>
        </w:rPr>
        <w:t> </w:t>
      </w:r>
      <w:r>
        <w:rPr/>
        <w:t>τη</w:t>
      </w:r>
      <w:r>
        <w:rPr>
          <w:spacing w:val="-5"/>
        </w:rPr>
        <w:t> </w:t>
      </w:r>
      <w:r>
        <w:rPr/>
        <w:t>μεταγενέστερη</w:t>
      </w:r>
      <w:r>
        <w:rPr>
          <w:spacing w:val="-5"/>
        </w:rPr>
        <w:t> </w:t>
      </w:r>
      <w:r>
        <w:rPr/>
        <w:t>εκτίμησή</w:t>
      </w:r>
      <w:r>
        <w:rPr>
          <w:spacing w:val="-2"/>
        </w:rPr>
        <w:t> </w:t>
      </w:r>
      <w:r>
        <w:rPr/>
        <w:t>του</w:t>
      </w:r>
      <w:r>
        <w:rPr>
          <w:spacing w:val="-4"/>
        </w:rPr>
        <w:t> </w:t>
      </w:r>
      <w:r>
        <w:rPr/>
        <w:t>στον Προϋπολογισμό του 2026 (3,7% του ΑΕΠ). Οι επιδόσεις αυτές, σε συνέχεια των αντίστοιχων επιδόσεων το 2024, αποτελούν ιστορικό ορόσημο για τα δημοσιονομικά δεδομένα τουλάχιστον της τελευταίας τριακονταετίας. Παράλληλα, το δημόσιο χρέος το 2025 μειώθηκε αισθητά κατά 8 ποσοστιαίες μονάδες του ΑΕΠ σε 146,1% του ΑΕΠ – το χαμηλότερο επίπεδο που έχει κατα-γραφεί</w:t>
      </w:r>
      <w:r>
        <w:rPr>
          <w:spacing w:val="-6"/>
        </w:rPr>
        <w:t> </w:t>
      </w:r>
      <w:r>
        <w:rPr/>
        <w:t>από</w:t>
      </w:r>
      <w:r>
        <w:rPr>
          <w:spacing w:val="-7"/>
        </w:rPr>
        <w:t> </w:t>
      </w:r>
      <w:r>
        <w:rPr/>
        <w:t>το</w:t>
      </w:r>
      <w:r>
        <w:rPr>
          <w:spacing w:val="-7"/>
        </w:rPr>
        <w:t> </w:t>
      </w:r>
      <w:r>
        <w:rPr/>
        <w:t>2009</w:t>
      </w:r>
      <w:r>
        <w:rPr>
          <w:spacing w:val="-7"/>
        </w:rPr>
        <w:t> </w:t>
      </w:r>
      <w:r>
        <w:rPr/>
        <w:t>και</w:t>
      </w:r>
      <w:r>
        <w:rPr>
          <w:spacing w:val="-9"/>
        </w:rPr>
        <w:t> </w:t>
      </w:r>
      <w:r>
        <w:rPr/>
        <w:t>μετά</w:t>
      </w:r>
      <w:r>
        <w:rPr>
          <w:spacing w:val="-7"/>
        </w:rPr>
        <w:t> </w:t>
      </w:r>
      <w:r>
        <w:rPr/>
        <w:t>–</w:t>
      </w:r>
      <w:r>
        <w:rPr>
          <w:spacing w:val="-7"/>
        </w:rPr>
        <w:t> </w:t>
      </w:r>
      <w:r>
        <w:rPr/>
        <w:t>από</w:t>
      </w:r>
      <w:r>
        <w:rPr>
          <w:spacing w:val="-7"/>
        </w:rPr>
        <w:t> </w:t>
      </w:r>
      <w:r>
        <w:rPr/>
        <w:t>154,2%</w:t>
      </w:r>
      <w:r>
        <w:rPr>
          <w:spacing w:val="-6"/>
        </w:rPr>
        <w:t> </w:t>
      </w:r>
      <w:r>
        <w:rPr/>
        <w:t>το</w:t>
      </w:r>
      <w:r>
        <w:rPr>
          <w:spacing w:val="-10"/>
        </w:rPr>
        <w:t> </w:t>
      </w:r>
      <w:r>
        <w:rPr/>
        <w:t>2024.</w:t>
      </w:r>
      <w:r>
        <w:rPr>
          <w:spacing w:val="-9"/>
        </w:rPr>
        <w:t> </w:t>
      </w:r>
      <w:r>
        <w:rPr/>
        <w:t>Η</w:t>
      </w:r>
      <w:r>
        <w:rPr>
          <w:spacing w:val="-11"/>
        </w:rPr>
        <w:t> </w:t>
      </w:r>
      <w:r>
        <w:rPr/>
        <w:t>αποκλιμάκωση</w:t>
      </w:r>
      <w:r>
        <w:rPr>
          <w:spacing w:val="-10"/>
        </w:rPr>
        <w:t> </w:t>
      </w:r>
      <w:r>
        <w:rPr/>
        <w:t>αυτή</w:t>
      </w:r>
      <w:r>
        <w:rPr>
          <w:spacing w:val="-7"/>
        </w:rPr>
        <w:t> </w:t>
      </w:r>
      <w:r>
        <w:rPr/>
        <w:t>οφείλεται</w:t>
      </w:r>
      <w:r>
        <w:rPr>
          <w:spacing w:val="-7"/>
        </w:rPr>
        <w:t> </w:t>
      </w:r>
      <w:r>
        <w:rPr/>
        <w:t>τόσο</w:t>
      </w:r>
      <w:r>
        <w:rPr>
          <w:spacing w:val="-10"/>
        </w:rPr>
        <w:t> </w:t>
      </w:r>
      <w:r>
        <w:rPr/>
        <w:t>στην αύξηση του ΑΕΠ όσο και στη μείωση του χρέους σε ονομαστικούς όρους κατά 2 δισεκ. ευρώ. Συγκριτικά με τις υπόλοιπες χώρες της Ευρωπαϊκής Ένωσης, η Ελλάδα κατέγραψε τη μεγαλύ-τερη μείωση του χρέους και το υψηλότερο πρωτογενές πλεόνασμα ως ποσοστά του ΑΕΠ.</w:t>
      </w:r>
    </w:p>
    <w:p>
      <w:pPr>
        <w:pStyle w:val="BodyText"/>
        <w:spacing w:line="285" w:lineRule="auto" w:before="43"/>
        <w:ind w:left="172" w:right="956"/>
        <w:jc w:val="both"/>
      </w:pPr>
      <w:r>
        <w:rPr/>
        <w:t>Όσον</w:t>
      </w:r>
      <w:r>
        <w:rPr>
          <w:spacing w:val="-2"/>
        </w:rPr>
        <w:t> </w:t>
      </w:r>
      <w:r>
        <w:rPr/>
        <w:t>αφορά</w:t>
      </w:r>
      <w:r>
        <w:rPr>
          <w:spacing w:val="-3"/>
        </w:rPr>
        <w:t> </w:t>
      </w:r>
      <w:r>
        <w:rPr/>
        <w:t>το</w:t>
      </w:r>
      <w:r>
        <w:rPr>
          <w:spacing w:val="-3"/>
        </w:rPr>
        <w:t> </w:t>
      </w:r>
      <w:r>
        <w:rPr/>
        <w:t>2026,</w:t>
      </w:r>
      <w:r>
        <w:rPr>
          <w:spacing w:val="-6"/>
        </w:rPr>
        <w:t> </w:t>
      </w:r>
      <w:r>
        <w:rPr/>
        <w:t>σύμφωνα</w:t>
      </w:r>
      <w:r>
        <w:rPr>
          <w:spacing w:val="-6"/>
        </w:rPr>
        <w:t> </w:t>
      </w:r>
      <w:r>
        <w:rPr/>
        <w:t>με</w:t>
      </w:r>
      <w:r>
        <w:rPr>
          <w:spacing w:val="-3"/>
        </w:rPr>
        <w:t> </w:t>
      </w:r>
      <w:r>
        <w:rPr/>
        <w:t>τον</w:t>
      </w:r>
      <w:r>
        <w:rPr>
          <w:spacing w:val="-2"/>
        </w:rPr>
        <w:t> </w:t>
      </w:r>
      <w:r>
        <w:rPr/>
        <w:t>Προϋπολογισμό</w:t>
      </w:r>
      <w:r>
        <w:rPr>
          <w:spacing w:val="-3"/>
        </w:rPr>
        <w:t> </w:t>
      </w:r>
      <w:r>
        <w:rPr/>
        <w:t>του</w:t>
      </w:r>
      <w:r>
        <w:rPr>
          <w:spacing w:val="-5"/>
        </w:rPr>
        <w:t> </w:t>
      </w:r>
      <w:r>
        <w:rPr/>
        <w:t>2026,</w:t>
      </w:r>
      <w:r>
        <w:rPr>
          <w:spacing w:val="-3"/>
        </w:rPr>
        <w:t> </w:t>
      </w:r>
      <w:r>
        <w:rPr/>
        <w:t>προβλέπεται πρωτογενές</w:t>
      </w:r>
      <w:r>
        <w:rPr>
          <w:spacing w:val="-4"/>
        </w:rPr>
        <w:t> </w:t>
      </w:r>
      <w:r>
        <w:rPr/>
        <w:t>πλε-όνασμα ύψους 2,8% του ΑΕΠ, ενώ το δημόσιο χρέος εκτιμάται ότι θα μειωθεί περαιτέρω στο 138,2%</w:t>
      </w:r>
      <w:r>
        <w:rPr>
          <w:spacing w:val="-10"/>
        </w:rPr>
        <w:t> </w:t>
      </w:r>
      <w:r>
        <w:rPr/>
        <w:t>του</w:t>
      </w:r>
      <w:r>
        <w:rPr>
          <w:spacing w:val="-8"/>
        </w:rPr>
        <w:t> </w:t>
      </w:r>
      <w:r>
        <w:rPr/>
        <w:t>ΑΕΠ.</w:t>
      </w:r>
      <w:r>
        <w:rPr>
          <w:spacing w:val="-8"/>
        </w:rPr>
        <w:t> </w:t>
      </w:r>
      <w:r>
        <w:rPr/>
        <w:t>Ωστόσο,</w:t>
      </w:r>
      <w:r>
        <w:rPr>
          <w:spacing w:val="-11"/>
        </w:rPr>
        <w:t> </w:t>
      </w:r>
      <w:r>
        <w:rPr/>
        <w:t>λαμβάνοντας</w:t>
      </w:r>
      <w:r>
        <w:rPr>
          <w:spacing w:val="-10"/>
        </w:rPr>
        <w:t> </w:t>
      </w:r>
      <w:r>
        <w:rPr/>
        <w:t>υπόψη</w:t>
      </w:r>
      <w:r>
        <w:rPr>
          <w:spacing w:val="-9"/>
        </w:rPr>
        <w:t> </w:t>
      </w:r>
      <w:r>
        <w:rPr/>
        <w:t>τη</w:t>
      </w:r>
      <w:r>
        <w:rPr>
          <w:spacing w:val="-11"/>
        </w:rPr>
        <w:t> </w:t>
      </w:r>
      <w:r>
        <w:rPr/>
        <w:t>σημαντική</w:t>
      </w:r>
      <w:r>
        <w:rPr>
          <w:spacing w:val="-11"/>
        </w:rPr>
        <w:t> </w:t>
      </w:r>
      <w:r>
        <w:rPr/>
        <w:t>υπέρβαση</w:t>
      </w:r>
      <w:r>
        <w:rPr>
          <w:spacing w:val="-9"/>
        </w:rPr>
        <w:t> </w:t>
      </w:r>
      <w:r>
        <w:rPr/>
        <w:t>του</w:t>
      </w:r>
      <w:r>
        <w:rPr>
          <w:spacing w:val="-10"/>
        </w:rPr>
        <w:t> </w:t>
      </w:r>
      <w:r>
        <w:rPr/>
        <w:t>στόχου</w:t>
      </w:r>
      <w:r>
        <w:rPr>
          <w:spacing w:val="-8"/>
        </w:rPr>
        <w:t> </w:t>
      </w:r>
      <w:r>
        <w:rPr/>
        <w:t>για</w:t>
      </w:r>
      <w:r>
        <w:rPr>
          <w:spacing w:val="-11"/>
        </w:rPr>
        <w:t> </w:t>
      </w:r>
      <w:r>
        <w:rPr/>
        <w:t>το</w:t>
      </w:r>
      <w:r>
        <w:rPr>
          <w:spacing w:val="-8"/>
        </w:rPr>
        <w:t> </w:t>
      </w:r>
      <w:r>
        <w:rPr/>
        <w:t>πρω-τογενές</w:t>
      </w:r>
      <w:r>
        <w:rPr>
          <w:spacing w:val="-3"/>
        </w:rPr>
        <w:t> </w:t>
      </w:r>
      <w:r>
        <w:rPr/>
        <w:t>αποτέλεσμα</w:t>
      </w:r>
      <w:r>
        <w:rPr>
          <w:spacing w:val="-2"/>
        </w:rPr>
        <w:t> </w:t>
      </w:r>
      <w:r>
        <w:rPr/>
        <w:t>το</w:t>
      </w:r>
      <w:r>
        <w:rPr>
          <w:spacing w:val="-2"/>
        </w:rPr>
        <w:t> </w:t>
      </w:r>
      <w:r>
        <w:rPr/>
        <w:t>2025,</w:t>
      </w:r>
      <w:r>
        <w:rPr>
          <w:spacing w:val="-2"/>
        </w:rPr>
        <w:t> </w:t>
      </w:r>
      <w:r>
        <w:rPr/>
        <w:t>καθώς</w:t>
      </w:r>
      <w:r>
        <w:rPr>
          <w:spacing w:val="-3"/>
        </w:rPr>
        <w:t> </w:t>
      </w:r>
      <w:r>
        <w:rPr/>
        <w:t>και</w:t>
      </w:r>
      <w:r>
        <w:rPr>
          <w:spacing w:val="-2"/>
        </w:rPr>
        <w:t> </w:t>
      </w:r>
      <w:r>
        <w:rPr/>
        <w:t>το</w:t>
      </w:r>
      <w:r>
        <w:rPr>
          <w:spacing w:val="-2"/>
        </w:rPr>
        <w:t> </w:t>
      </w:r>
      <w:r>
        <w:rPr/>
        <w:t>γεγονός</w:t>
      </w:r>
      <w:r>
        <w:rPr>
          <w:spacing w:val="-3"/>
        </w:rPr>
        <w:t> </w:t>
      </w:r>
      <w:r>
        <w:rPr/>
        <w:t>ότι</w:t>
      </w:r>
      <w:r>
        <w:rPr>
          <w:spacing w:val="-1"/>
        </w:rPr>
        <w:t> </w:t>
      </w:r>
      <w:r>
        <w:rPr/>
        <w:t>οφείλεται</w:t>
      </w:r>
      <w:r>
        <w:rPr>
          <w:spacing w:val="-2"/>
        </w:rPr>
        <w:t> </w:t>
      </w:r>
      <w:r>
        <w:rPr/>
        <w:t>σε</w:t>
      </w:r>
      <w:r>
        <w:rPr>
          <w:spacing w:val="-2"/>
        </w:rPr>
        <w:t> </w:t>
      </w:r>
      <w:r>
        <w:rPr/>
        <w:t>πρόσθετα</w:t>
      </w:r>
      <w:r>
        <w:rPr>
          <w:spacing w:val="-2"/>
        </w:rPr>
        <w:t> </w:t>
      </w:r>
      <w:r>
        <w:rPr/>
        <w:t>μόνιμα</w:t>
      </w:r>
      <w:r>
        <w:rPr>
          <w:spacing w:val="-2"/>
        </w:rPr>
        <w:t> </w:t>
      </w:r>
      <w:r>
        <w:rPr/>
        <w:t>έσοδα</w:t>
      </w:r>
      <w:r>
        <w:rPr>
          <w:spacing w:val="-2"/>
        </w:rPr>
        <w:t> </w:t>
      </w:r>
      <w:r>
        <w:rPr/>
        <w:t>ως απόρροια</w:t>
      </w:r>
      <w:r>
        <w:rPr>
          <w:spacing w:val="-14"/>
        </w:rPr>
        <w:t> </w:t>
      </w:r>
      <w:r>
        <w:rPr/>
        <w:t>διαρθρωτικών</w:t>
      </w:r>
      <w:r>
        <w:rPr>
          <w:spacing w:val="-11"/>
        </w:rPr>
        <w:t> </w:t>
      </w:r>
      <w:r>
        <w:rPr/>
        <w:t>μεταρρυθμίσεων</w:t>
      </w:r>
      <w:r>
        <w:rPr>
          <w:spacing w:val="-12"/>
        </w:rPr>
        <w:t> </w:t>
      </w:r>
      <w:r>
        <w:rPr/>
        <w:t>καθώς</w:t>
      </w:r>
      <w:r>
        <w:rPr>
          <w:spacing w:val="-14"/>
        </w:rPr>
        <w:t> </w:t>
      </w:r>
      <w:r>
        <w:rPr/>
        <w:t>και</w:t>
      </w:r>
      <w:r>
        <w:rPr>
          <w:spacing w:val="-14"/>
        </w:rPr>
        <w:t> </w:t>
      </w:r>
      <w:r>
        <w:rPr/>
        <w:t>σε</w:t>
      </w:r>
      <w:r>
        <w:rPr>
          <w:spacing w:val="-11"/>
        </w:rPr>
        <w:t> </w:t>
      </w:r>
      <w:r>
        <w:rPr/>
        <w:t>συγκράτηση</w:t>
      </w:r>
      <w:r>
        <w:rPr>
          <w:spacing w:val="-13"/>
        </w:rPr>
        <w:t> </w:t>
      </w:r>
      <w:r>
        <w:rPr/>
        <w:t>πρωτογενών</w:t>
      </w:r>
      <w:r>
        <w:rPr>
          <w:spacing w:val="-14"/>
        </w:rPr>
        <w:t> </w:t>
      </w:r>
      <w:r>
        <w:rPr/>
        <w:t>δαπανών,</w:t>
      </w:r>
      <w:r>
        <w:rPr>
          <w:spacing w:val="-14"/>
        </w:rPr>
        <w:t> </w:t>
      </w:r>
      <w:r>
        <w:rPr/>
        <w:t>εκτι-μάται ότι οι</w:t>
      </w:r>
      <w:r>
        <w:rPr>
          <w:spacing w:val="-3"/>
        </w:rPr>
        <w:t> </w:t>
      </w:r>
      <w:r>
        <w:rPr/>
        <w:t>στόχοι</w:t>
      </w:r>
      <w:r>
        <w:rPr>
          <w:spacing w:val="-3"/>
        </w:rPr>
        <w:t> </w:t>
      </w:r>
      <w:r>
        <w:rPr/>
        <w:t>του</w:t>
      </w:r>
      <w:r>
        <w:rPr>
          <w:spacing w:val="-2"/>
        </w:rPr>
        <w:t> </w:t>
      </w:r>
      <w:r>
        <w:rPr/>
        <w:t>Προϋπολογισμού</w:t>
      </w:r>
      <w:r>
        <w:rPr>
          <w:spacing w:val="-2"/>
        </w:rPr>
        <w:t> </w:t>
      </w:r>
      <w:r>
        <w:rPr/>
        <w:t>για</w:t>
      </w:r>
      <w:r>
        <w:rPr>
          <w:spacing w:val="-1"/>
        </w:rPr>
        <w:t> </w:t>
      </w:r>
      <w:r>
        <w:rPr/>
        <w:t>το</w:t>
      </w:r>
      <w:r>
        <w:rPr>
          <w:spacing w:val="-1"/>
        </w:rPr>
        <w:t> </w:t>
      </w:r>
      <w:r>
        <w:rPr/>
        <w:t>2026</w:t>
      </w:r>
      <w:r>
        <w:rPr>
          <w:spacing w:val="-3"/>
        </w:rPr>
        <w:t> </w:t>
      </w:r>
      <w:r>
        <w:rPr/>
        <w:t>θα</w:t>
      </w:r>
      <w:r>
        <w:rPr>
          <w:spacing w:val="-2"/>
        </w:rPr>
        <w:t> </w:t>
      </w:r>
      <w:r>
        <w:rPr/>
        <w:t>υπερκαλυφθούν. Σύμφωνα</w:t>
      </w:r>
      <w:r>
        <w:rPr>
          <w:spacing w:val="-2"/>
        </w:rPr>
        <w:t> </w:t>
      </w:r>
      <w:r>
        <w:rPr/>
        <w:t>με</w:t>
      </w:r>
      <w:r>
        <w:rPr>
          <w:spacing w:val="-1"/>
        </w:rPr>
        <w:t> </w:t>
      </w:r>
      <w:r>
        <w:rPr/>
        <w:t>την Ετή-σια</w:t>
      </w:r>
      <w:r>
        <w:rPr>
          <w:spacing w:val="-12"/>
        </w:rPr>
        <w:t> </w:t>
      </w:r>
      <w:r>
        <w:rPr/>
        <w:t>Έκθεση</w:t>
      </w:r>
      <w:r>
        <w:rPr>
          <w:spacing w:val="-10"/>
        </w:rPr>
        <w:t> </w:t>
      </w:r>
      <w:r>
        <w:rPr/>
        <w:t>Προόδου</w:t>
      </w:r>
      <w:r>
        <w:rPr>
          <w:spacing w:val="-9"/>
        </w:rPr>
        <w:t> </w:t>
      </w:r>
      <w:r>
        <w:rPr/>
        <w:t>που</w:t>
      </w:r>
      <w:r>
        <w:rPr>
          <w:spacing w:val="-9"/>
        </w:rPr>
        <w:t> </w:t>
      </w:r>
      <w:r>
        <w:rPr/>
        <w:t>υπέβαλε</w:t>
      </w:r>
      <w:r>
        <w:rPr>
          <w:spacing w:val="-9"/>
        </w:rPr>
        <w:t> </w:t>
      </w:r>
      <w:r>
        <w:rPr/>
        <w:t>η</w:t>
      </w:r>
      <w:r>
        <w:rPr>
          <w:spacing w:val="-10"/>
        </w:rPr>
        <w:t> </w:t>
      </w:r>
      <w:r>
        <w:rPr/>
        <w:t>Ελλάδα</w:t>
      </w:r>
      <w:r>
        <w:rPr>
          <w:spacing w:val="-10"/>
        </w:rPr>
        <w:t> </w:t>
      </w:r>
      <w:r>
        <w:rPr/>
        <w:t>τον</w:t>
      </w:r>
      <w:r>
        <w:rPr>
          <w:spacing w:val="-9"/>
        </w:rPr>
        <w:t> </w:t>
      </w:r>
      <w:r>
        <w:rPr/>
        <w:t>Απρίλιο</w:t>
      </w:r>
      <w:r>
        <w:rPr>
          <w:spacing w:val="-9"/>
        </w:rPr>
        <w:t> </w:t>
      </w:r>
      <w:r>
        <w:rPr/>
        <w:t>του</w:t>
      </w:r>
      <w:r>
        <w:rPr>
          <w:spacing w:val="-11"/>
        </w:rPr>
        <w:t> </w:t>
      </w:r>
      <w:r>
        <w:rPr/>
        <w:t>2026</w:t>
      </w:r>
      <w:r>
        <w:rPr>
          <w:spacing w:val="-12"/>
        </w:rPr>
        <w:t> </w:t>
      </w:r>
      <w:r>
        <w:rPr/>
        <w:t>στο</w:t>
      </w:r>
      <w:r>
        <w:rPr>
          <w:spacing w:val="-12"/>
        </w:rPr>
        <w:t> </w:t>
      </w:r>
      <w:r>
        <w:rPr/>
        <w:t>πλαίσιο</w:t>
      </w:r>
      <w:r>
        <w:rPr>
          <w:spacing w:val="-11"/>
        </w:rPr>
        <w:t> </w:t>
      </w:r>
      <w:r>
        <w:rPr/>
        <w:t>του</w:t>
      </w:r>
      <w:r>
        <w:rPr>
          <w:spacing w:val="-9"/>
        </w:rPr>
        <w:t> </w:t>
      </w:r>
      <w:r>
        <w:rPr/>
        <w:t>Ευρωπαϊκού Εξαμήνου</w:t>
      </w:r>
      <w:r>
        <w:rPr>
          <w:spacing w:val="-11"/>
        </w:rPr>
        <w:t> </w:t>
      </w:r>
      <w:r>
        <w:rPr/>
        <w:t>το</w:t>
      </w:r>
      <w:r>
        <w:rPr>
          <w:spacing w:val="-12"/>
        </w:rPr>
        <w:t> </w:t>
      </w:r>
      <w:r>
        <w:rPr/>
        <w:t>πρωτογενές</w:t>
      </w:r>
      <w:r>
        <w:rPr>
          <w:spacing w:val="-13"/>
        </w:rPr>
        <w:t> </w:t>
      </w:r>
      <w:r>
        <w:rPr/>
        <w:t>αποτέλεσμα</w:t>
      </w:r>
      <w:r>
        <w:rPr>
          <w:spacing w:val="-12"/>
        </w:rPr>
        <w:t> </w:t>
      </w:r>
      <w:r>
        <w:rPr/>
        <w:t>το</w:t>
      </w:r>
      <w:r>
        <w:rPr>
          <w:spacing w:val="-12"/>
        </w:rPr>
        <w:t> </w:t>
      </w:r>
      <w:r>
        <w:rPr/>
        <w:t>2026</w:t>
      </w:r>
      <w:r>
        <w:rPr>
          <w:spacing w:val="-14"/>
        </w:rPr>
        <w:t> </w:t>
      </w:r>
      <w:r>
        <w:rPr/>
        <w:t>εκτιμάται</w:t>
      </w:r>
      <w:r>
        <w:rPr>
          <w:spacing w:val="-11"/>
        </w:rPr>
        <w:t> </w:t>
      </w:r>
      <w:r>
        <w:rPr/>
        <w:t>πλέον</w:t>
      </w:r>
      <w:r>
        <w:rPr>
          <w:spacing w:val="-11"/>
        </w:rPr>
        <w:t> </w:t>
      </w:r>
      <w:r>
        <w:rPr/>
        <w:t>σε</w:t>
      </w:r>
      <w:r>
        <w:rPr>
          <w:spacing w:val="-11"/>
        </w:rPr>
        <w:t> </w:t>
      </w:r>
      <w:r>
        <w:rPr/>
        <w:t>πλεόνασμα</w:t>
      </w:r>
      <w:r>
        <w:rPr>
          <w:spacing w:val="-12"/>
        </w:rPr>
        <w:t> </w:t>
      </w:r>
      <w:r>
        <w:rPr/>
        <w:t>3,2%</w:t>
      </w:r>
      <w:r>
        <w:rPr>
          <w:spacing w:val="-11"/>
        </w:rPr>
        <w:t> </w:t>
      </w:r>
      <w:r>
        <w:rPr/>
        <w:t>του</w:t>
      </w:r>
      <w:r>
        <w:rPr>
          <w:spacing w:val="-11"/>
        </w:rPr>
        <w:t> </w:t>
      </w:r>
      <w:r>
        <w:rPr/>
        <w:t>ΑΕΠ</w:t>
      </w:r>
      <w:r>
        <w:rPr>
          <w:spacing w:val="-13"/>
        </w:rPr>
        <w:t> </w:t>
      </w:r>
      <w:r>
        <w:rPr/>
        <w:t>και το</w:t>
      </w:r>
      <w:r>
        <w:rPr>
          <w:spacing w:val="-10"/>
        </w:rPr>
        <w:t> </w:t>
      </w:r>
      <w:r>
        <w:rPr/>
        <w:t>δημόσιο</w:t>
      </w:r>
      <w:r>
        <w:rPr>
          <w:spacing w:val="-7"/>
        </w:rPr>
        <w:t> </w:t>
      </w:r>
      <w:r>
        <w:rPr/>
        <w:t>χρέος</w:t>
      </w:r>
      <w:r>
        <w:rPr>
          <w:spacing w:val="-9"/>
        </w:rPr>
        <w:t> </w:t>
      </w:r>
      <w:r>
        <w:rPr/>
        <w:t>σε</w:t>
      </w:r>
      <w:r>
        <w:rPr>
          <w:spacing w:val="-7"/>
        </w:rPr>
        <w:t> </w:t>
      </w:r>
      <w:r>
        <w:rPr/>
        <w:t>136,8%</w:t>
      </w:r>
      <w:r>
        <w:rPr>
          <w:spacing w:val="-7"/>
        </w:rPr>
        <w:t> </w:t>
      </w:r>
      <w:r>
        <w:rPr/>
        <w:t>του</w:t>
      </w:r>
      <w:r>
        <w:rPr>
          <w:spacing w:val="-7"/>
        </w:rPr>
        <w:t> </w:t>
      </w:r>
      <w:r>
        <w:rPr/>
        <w:t>ΑΕΠ.</w:t>
      </w:r>
      <w:r>
        <w:rPr>
          <w:spacing w:val="-8"/>
        </w:rPr>
        <w:t> </w:t>
      </w:r>
      <w:r>
        <w:rPr/>
        <w:t>Όσον</w:t>
      </w:r>
      <w:r>
        <w:rPr>
          <w:spacing w:val="-7"/>
        </w:rPr>
        <w:t> </w:t>
      </w:r>
      <w:r>
        <w:rPr/>
        <w:t>αφορά</w:t>
      </w:r>
      <w:r>
        <w:rPr>
          <w:spacing w:val="-7"/>
        </w:rPr>
        <w:t> </w:t>
      </w:r>
      <w:r>
        <w:rPr/>
        <w:t>τον</w:t>
      </w:r>
      <w:r>
        <w:rPr>
          <w:spacing w:val="-7"/>
        </w:rPr>
        <w:t> </w:t>
      </w:r>
      <w:r>
        <w:rPr/>
        <w:t>δείκτη</w:t>
      </w:r>
      <w:r>
        <w:rPr>
          <w:spacing w:val="-9"/>
        </w:rPr>
        <w:t> </w:t>
      </w:r>
      <w:r>
        <w:rPr/>
        <w:t>δαπανών</w:t>
      </w:r>
      <w:r>
        <w:rPr>
          <w:spacing w:val="-6"/>
        </w:rPr>
        <w:t> </w:t>
      </w:r>
      <w:r>
        <w:rPr/>
        <w:t>–</w:t>
      </w:r>
      <w:r>
        <w:rPr>
          <w:spacing w:val="-8"/>
        </w:rPr>
        <w:t> </w:t>
      </w:r>
      <w:r>
        <w:rPr/>
        <w:t>ο</w:t>
      </w:r>
      <w:r>
        <w:rPr>
          <w:spacing w:val="-11"/>
        </w:rPr>
        <w:t> </w:t>
      </w:r>
      <w:r>
        <w:rPr/>
        <w:t>οποίος</w:t>
      </w:r>
      <w:r>
        <w:rPr>
          <w:spacing w:val="-9"/>
        </w:rPr>
        <w:t> </w:t>
      </w:r>
      <w:r>
        <w:rPr/>
        <w:t>εκφράζει</w:t>
      </w:r>
      <w:r>
        <w:rPr>
          <w:spacing w:val="-6"/>
        </w:rPr>
        <w:t> </w:t>
      </w:r>
      <w:r>
        <w:rPr>
          <w:spacing w:val="-5"/>
        </w:rPr>
        <w:t>τις</w:t>
      </w:r>
    </w:p>
    <w:p>
      <w:pPr>
        <w:pStyle w:val="BodyText"/>
        <w:spacing w:after="0" w:line="285" w:lineRule="auto"/>
        <w:jc w:val="both"/>
        <w:sectPr>
          <w:pgSz w:w="11910" w:h="16850"/>
          <w:pgMar w:header="0" w:footer="1180" w:top="1800" w:bottom="1360" w:left="1417" w:right="850"/>
        </w:sectPr>
      </w:pPr>
    </w:p>
    <w:p>
      <w:pPr>
        <w:pStyle w:val="BodyText"/>
        <w:spacing w:line="285" w:lineRule="auto" w:before="66"/>
        <w:ind w:left="172" w:right="956"/>
        <w:jc w:val="both"/>
      </w:pPr>
      <w:r>
        <w:rPr/>
        <w:t>καθαρές εθνικά χρηματοδοτούμενες πρωτογενείς δαπάνες</w:t>
      </w:r>
      <w:hyperlink w:history="true" w:anchor="_bookmark5">
        <w:r>
          <w:rPr>
            <w:position w:val="6"/>
            <w:sz w:val="10"/>
          </w:rPr>
          <w:t>2</w:t>
        </w:r>
      </w:hyperlink>
      <w:r>
        <w:rPr>
          <w:spacing w:val="40"/>
          <w:position w:val="6"/>
          <w:sz w:val="10"/>
        </w:rPr>
        <w:t> </w:t>
      </w:r>
      <w:r>
        <w:rPr/>
        <w:t>– το όριο του ρυθμού αύξησής του αναθεωρήθηκε ανοδικά στο 7,5% (από 5,7% που προβλεπόταν στον Προϋπολογισμό του 2026 και έναντι δημοσιονομικής δέσμευσης 3,6% στο Μεσοπρόθεσμο Πρόγραμμα Δημοσιονομικής Στρατηγικής</w:t>
      </w:r>
      <w:r>
        <w:rPr>
          <w:spacing w:val="-10"/>
        </w:rPr>
        <w:t> </w:t>
      </w:r>
      <w:r>
        <w:rPr/>
        <w:t>(ΜΔΣ)</w:t>
      </w:r>
      <w:r>
        <w:rPr>
          <w:spacing w:val="-7"/>
        </w:rPr>
        <w:t> </w:t>
      </w:r>
      <w:r>
        <w:rPr/>
        <w:t>2025-2028).</w:t>
      </w:r>
      <w:r>
        <w:rPr>
          <w:spacing w:val="-8"/>
        </w:rPr>
        <w:t> </w:t>
      </w:r>
      <w:r>
        <w:rPr/>
        <w:t>Η</w:t>
      </w:r>
      <w:r>
        <w:rPr>
          <w:spacing w:val="-9"/>
        </w:rPr>
        <w:t> </w:t>
      </w:r>
      <w:r>
        <w:rPr/>
        <w:t>αναθεώρηση</w:t>
      </w:r>
      <w:r>
        <w:rPr>
          <w:spacing w:val="-8"/>
        </w:rPr>
        <w:t> </w:t>
      </w:r>
      <w:r>
        <w:rPr/>
        <w:t>αυτή</w:t>
      </w:r>
      <w:r>
        <w:rPr>
          <w:spacing w:val="-11"/>
        </w:rPr>
        <w:t> </w:t>
      </w:r>
      <w:r>
        <w:rPr/>
        <w:t>οφείλεται</w:t>
      </w:r>
      <w:r>
        <w:rPr>
          <w:spacing w:val="-7"/>
        </w:rPr>
        <w:t> </w:t>
      </w:r>
      <w:r>
        <w:rPr/>
        <w:t>κυρίως</w:t>
      </w:r>
      <w:r>
        <w:rPr>
          <w:spacing w:val="-12"/>
        </w:rPr>
        <w:t> </w:t>
      </w:r>
      <w:r>
        <w:rPr/>
        <w:t>στον</w:t>
      </w:r>
      <w:r>
        <w:rPr>
          <w:spacing w:val="-7"/>
        </w:rPr>
        <w:t> </w:t>
      </w:r>
      <w:r>
        <w:rPr/>
        <w:t>μόνιμο</w:t>
      </w:r>
      <w:r>
        <w:rPr>
          <w:spacing w:val="-8"/>
        </w:rPr>
        <w:t> </w:t>
      </w:r>
      <w:r>
        <w:rPr/>
        <w:t>χαρακτήρα της καλύτερης</w:t>
      </w:r>
      <w:r>
        <w:rPr>
          <w:spacing w:val="-1"/>
        </w:rPr>
        <w:t> </w:t>
      </w:r>
      <w:r>
        <w:rPr/>
        <w:t>επίδοσης του δείκτη για το 2025, του οποίου ο ρυθμός αύξησης περιορίστηκε σε 2,9% (έναντι εκτίμησης για αύξηση 4,4% στον Προϋπολογισμό του 2026 και δημοσιονομικής δέσμευσης 3,7% στο ΜΔΣ)</w:t>
      </w:r>
      <w:hyperlink w:history="true" w:anchor="_bookmark6">
        <w:r>
          <w:rPr/>
          <w:t>,</w:t>
        </w:r>
        <w:r>
          <w:rPr>
            <w:position w:val="6"/>
            <w:sz w:val="10"/>
          </w:rPr>
          <w:t>3</w:t>
        </w:r>
      </w:hyperlink>
      <w:r>
        <w:rPr>
          <w:spacing w:val="40"/>
          <w:position w:val="6"/>
          <w:sz w:val="10"/>
        </w:rPr>
        <w:t> </w:t>
      </w:r>
      <w:r>
        <w:rPr/>
        <w:t>ενώ συγκρατήθηκε από τους περιορισμούς που εισάγουν οι νέοι δημοσιονομικοί</w:t>
      </w:r>
      <w:r>
        <w:rPr>
          <w:spacing w:val="-7"/>
        </w:rPr>
        <w:t> </w:t>
      </w:r>
      <w:r>
        <w:rPr/>
        <w:t>κανόνες</w:t>
      </w:r>
      <w:r>
        <w:rPr>
          <w:spacing w:val="-7"/>
        </w:rPr>
        <w:t> </w:t>
      </w:r>
      <w:r>
        <w:rPr/>
        <w:t>ως</w:t>
      </w:r>
      <w:r>
        <w:rPr>
          <w:spacing w:val="-8"/>
        </w:rPr>
        <w:t> </w:t>
      </w:r>
      <w:r>
        <w:rPr/>
        <w:t>προς</w:t>
      </w:r>
      <w:r>
        <w:rPr>
          <w:spacing w:val="-7"/>
        </w:rPr>
        <w:t> </w:t>
      </w:r>
      <w:r>
        <w:rPr/>
        <w:t>το</w:t>
      </w:r>
      <w:r>
        <w:rPr>
          <w:spacing w:val="-7"/>
        </w:rPr>
        <w:t> </w:t>
      </w:r>
      <w:r>
        <w:rPr/>
        <w:t>ανώτατο</w:t>
      </w:r>
      <w:r>
        <w:rPr>
          <w:spacing w:val="-7"/>
        </w:rPr>
        <w:t> </w:t>
      </w:r>
      <w:r>
        <w:rPr/>
        <w:t>όριο</w:t>
      </w:r>
      <w:r>
        <w:rPr>
          <w:spacing w:val="-7"/>
        </w:rPr>
        <w:t> </w:t>
      </w:r>
      <w:r>
        <w:rPr/>
        <w:t>ετήσιας</w:t>
      </w:r>
      <w:r>
        <w:rPr>
          <w:spacing w:val="-7"/>
        </w:rPr>
        <w:t> </w:t>
      </w:r>
      <w:r>
        <w:rPr/>
        <w:t>αύξησης</w:t>
      </w:r>
      <w:r>
        <w:rPr>
          <w:spacing w:val="-8"/>
        </w:rPr>
        <w:t> </w:t>
      </w:r>
      <w:r>
        <w:rPr/>
        <w:t>των</w:t>
      </w:r>
      <w:r>
        <w:rPr>
          <w:spacing w:val="-6"/>
        </w:rPr>
        <w:t> </w:t>
      </w:r>
      <w:r>
        <w:rPr/>
        <w:t>δημοσίων</w:t>
      </w:r>
      <w:r>
        <w:rPr>
          <w:spacing w:val="-8"/>
        </w:rPr>
        <w:t> </w:t>
      </w:r>
      <w:r>
        <w:rPr/>
        <w:t>δαπανών</w:t>
      </w:r>
      <w:r>
        <w:rPr>
          <w:spacing w:val="-8"/>
        </w:rPr>
        <w:t> </w:t>
      </w:r>
      <w:r>
        <w:rPr/>
        <w:t>(μέ-γιστη</w:t>
      </w:r>
      <w:r>
        <w:rPr>
          <w:spacing w:val="-1"/>
        </w:rPr>
        <w:t> </w:t>
      </w:r>
      <w:r>
        <w:rPr/>
        <w:t>αύξηση</w:t>
      </w:r>
      <w:r>
        <w:rPr>
          <w:spacing w:val="-1"/>
        </w:rPr>
        <w:t> </w:t>
      </w:r>
      <w:r>
        <w:rPr/>
        <w:t>0,3%</w:t>
      </w:r>
      <w:r>
        <w:rPr>
          <w:spacing w:val="-2"/>
        </w:rPr>
        <w:t> </w:t>
      </w:r>
      <w:r>
        <w:rPr/>
        <w:t>του ΑΕΠ</w:t>
      </w:r>
      <w:r>
        <w:rPr>
          <w:spacing w:val="-2"/>
        </w:rPr>
        <w:t> </w:t>
      </w:r>
      <w:r>
        <w:rPr/>
        <w:t>ετησίως</w:t>
      </w:r>
      <w:r>
        <w:rPr>
          <w:spacing w:val="-2"/>
        </w:rPr>
        <w:t> </w:t>
      </w:r>
      <w:r>
        <w:rPr/>
        <w:t>ή</w:t>
      </w:r>
      <w:r>
        <w:rPr>
          <w:spacing w:val="-2"/>
        </w:rPr>
        <w:t> </w:t>
      </w:r>
      <w:r>
        <w:rPr/>
        <w:t>0,6%</w:t>
      </w:r>
      <w:r>
        <w:rPr>
          <w:spacing w:val="-2"/>
        </w:rPr>
        <w:t> </w:t>
      </w:r>
      <w:r>
        <w:rPr/>
        <w:t>του ΑΕΠ</w:t>
      </w:r>
      <w:r>
        <w:rPr>
          <w:spacing w:val="-2"/>
        </w:rPr>
        <w:t> </w:t>
      </w:r>
      <w:r>
        <w:rPr/>
        <w:t>σωρευτικά</w:t>
      </w:r>
      <w:r>
        <w:rPr>
          <w:spacing w:val="-3"/>
        </w:rPr>
        <w:t> </w:t>
      </w:r>
      <w:r>
        <w:rPr/>
        <w:t>από</w:t>
      </w:r>
      <w:r>
        <w:rPr>
          <w:spacing w:val="-1"/>
        </w:rPr>
        <w:t> </w:t>
      </w:r>
      <w:r>
        <w:rPr/>
        <w:t>το</w:t>
      </w:r>
      <w:r>
        <w:rPr>
          <w:spacing w:val="-3"/>
        </w:rPr>
        <w:t> </w:t>
      </w:r>
      <w:r>
        <w:rPr/>
        <w:t>2023 με προσαύξηση που απορρέει από την εφαρμογή της ρήτρας διαφυγής για τις αμυντικές δαπάνες).</w:t>
      </w:r>
    </w:p>
    <w:p>
      <w:pPr>
        <w:pStyle w:val="BodyText"/>
        <w:spacing w:line="285" w:lineRule="auto" w:before="49"/>
        <w:ind w:left="172" w:right="958"/>
        <w:jc w:val="both"/>
      </w:pPr>
      <w:r>
        <w:rPr/>
        <w:t>Το</w:t>
      </w:r>
      <w:r>
        <w:rPr>
          <w:spacing w:val="-6"/>
        </w:rPr>
        <w:t> </w:t>
      </w:r>
      <w:r>
        <w:rPr/>
        <w:t>γεγονός</w:t>
      </w:r>
      <w:r>
        <w:rPr>
          <w:spacing w:val="-7"/>
        </w:rPr>
        <w:t> </w:t>
      </w:r>
      <w:r>
        <w:rPr/>
        <w:t>αυτό</w:t>
      </w:r>
      <w:r>
        <w:rPr>
          <w:spacing w:val="-7"/>
        </w:rPr>
        <w:t> </w:t>
      </w:r>
      <w:r>
        <w:rPr/>
        <w:t>επέτρεψε</w:t>
      </w:r>
      <w:r>
        <w:rPr>
          <w:spacing w:val="-7"/>
        </w:rPr>
        <w:t> </w:t>
      </w:r>
      <w:r>
        <w:rPr/>
        <w:t>την</w:t>
      </w:r>
      <w:r>
        <w:rPr>
          <w:spacing w:val="-5"/>
        </w:rPr>
        <w:t> </w:t>
      </w:r>
      <w:r>
        <w:rPr/>
        <w:t>εφαρμογή</w:t>
      </w:r>
      <w:r>
        <w:rPr>
          <w:spacing w:val="-8"/>
        </w:rPr>
        <w:t> </w:t>
      </w:r>
      <w:r>
        <w:rPr/>
        <w:t>έκτακτων</w:t>
      </w:r>
      <w:r>
        <w:rPr>
          <w:spacing w:val="-7"/>
        </w:rPr>
        <w:t> </w:t>
      </w:r>
      <w:r>
        <w:rPr/>
        <w:t>επεκτατικών</w:t>
      </w:r>
      <w:r>
        <w:rPr>
          <w:spacing w:val="-5"/>
        </w:rPr>
        <w:t> </w:t>
      </w:r>
      <w:r>
        <w:rPr/>
        <w:t>δημοσιονομικών</w:t>
      </w:r>
      <w:r>
        <w:rPr>
          <w:spacing w:val="-7"/>
        </w:rPr>
        <w:t> </w:t>
      </w:r>
      <w:r>
        <w:rPr/>
        <w:t>παρεμβάσεων τον Μάρτιο και τον Απρίλιο του 2026 ύψους 800 εκατ. ευρώ, με στόχο αφενός την άμβλυνση των επιπτώσεων από την αύξηση των τιμών των καυσίμων λόγω του πολέμου στη Μέση Ανα-τολή, και αφετέρου τη στήριξη των ευάλωτων κοινωνικών ομάδων, χωρίς να διακυβεύεται η συμμόρφωση με τους κανόνες του νέου πλαισίου δημοσιονομικής διακυβέρνησης. Πρόκειται, κατά κύριο λόγο, για προσωρινά, στοχευμένα και κλιμακωτά μέτρα στήριξης προς νοικοκυριά, συνταξιούχους, ενοικιαστές, αγρότες και παραγωγικούς κλάδους της οικονομίας, καθώς και για παρεμβάσεις μετριασμού του ενεργειακού κόστους για τη βιομηχανία</w:t>
      </w:r>
    </w:p>
    <w:p>
      <w:pPr>
        <w:pStyle w:val="BodyText"/>
        <w:spacing w:line="285" w:lineRule="auto" w:before="53"/>
        <w:ind w:left="172" w:right="957"/>
        <w:jc w:val="both"/>
      </w:pPr>
      <w:r>
        <w:rPr/>
        <w:t>Στο διάστημα Οκτωβρίου 2025-Απριλίου 2026 το επενδυτικό κλίμα για την Ελλάδα παρέμεινε θετικό. Τον Νοέμβριο ο οίκος Fitch αναβάθμισε την κρατική πιστοληπτική αξιολόγηση για την ελληνική οικονομία σε ΒΒΒ από ΒΒΒ-, μία βαθμίδα πάνω από την επενδυτική κατηγορία, με σταθερές</w:t>
      </w:r>
      <w:r>
        <w:rPr>
          <w:spacing w:val="-8"/>
        </w:rPr>
        <w:t> </w:t>
      </w:r>
      <w:r>
        <w:rPr/>
        <w:t>προοπτικές,</w:t>
      </w:r>
      <w:r>
        <w:rPr>
          <w:spacing w:val="-7"/>
        </w:rPr>
        <w:t> </w:t>
      </w:r>
      <w:r>
        <w:rPr/>
        <w:t>ενώ</w:t>
      </w:r>
      <w:r>
        <w:rPr>
          <w:spacing w:val="-6"/>
        </w:rPr>
        <w:t> </w:t>
      </w:r>
      <w:r>
        <w:rPr/>
        <w:t>ο</w:t>
      </w:r>
      <w:r>
        <w:rPr>
          <w:spacing w:val="-10"/>
        </w:rPr>
        <w:t> </w:t>
      </w:r>
      <w:r>
        <w:rPr/>
        <w:t>οίκος</w:t>
      </w:r>
      <w:r>
        <w:rPr>
          <w:spacing w:val="-8"/>
        </w:rPr>
        <w:t> </w:t>
      </w:r>
      <w:r>
        <w:rPr/>
        <w:t>Scope</w:t>
      </w:r>
      <w:r>
        <w:rPr>
          <w:spacing w:val="-7"/>
        </w:rPr>
        <w:t> </w:t>
      </w:r>
      <w:r>
        <w:rPr/>
        <w:t>μετέβαλε</w:t>
      </w:r>
      <w:r>
        <w:rPr>
          <w:spacing w:val="-6"/>
        </w:rPr>
        <w:t> </w:t>
      </w:r>
      <w:r>
        <w:rPr/>
        <w:t>σε</w:t>
      </w:r>
      <w:r>
        <w:rPr>
          <w:spacing w:val="-6"/>
        </w:rPr>
        <w:t> </w:t>
      </w:r>
      <w:r>
        <w:rPr/>
        <w:t>θετικές</w:t>
      </w:r>
      <w:r>
        <w:rPr>
          <w:spacing w:val="-4"/>
        </w:rPr>
        <w:t> </w:t>
      </w:r>
      <w:r>
        <w:rPr/>
        <w:t>τις</w:t>
      </w:r>
      <w:r>
        <w:rPr>
          <w:spacing w:val="-8"/>
        </w:rPr>
        <w:t> </w:t>
      </w:r>
      <w:r>
        <w:rPr/>
        <w:t>προοπτικές</w:t>
      </w:r>
      <w:r>
        <w:rPr>
          <w:spacing w:val="-8"/>
        </w:rPr>
        <w:t> </w:t>
      </w:r>
      <w:r>
        <w:rPr/>
        <w:t>της</w:t>
      </w:r>
      <w:r>
        <w:rPr>
          <w:spacing w:val="-8"/>
        </w:rPr>
        <w:t> </w:t>
      </w:r>
      <w:r>
        <w:rPr/>
        <w:t>ελληνικής</w:t>
      </w:r>
      <w:r>
        <w:rPr>
          <w:spacing w:val="-9"/>
        </w:rPr>
        <w:t> </w:t>
      </w:r>
      <w:r>
        <w:rPr/>
        <w:t>οικο-νομίας. Τον Απρίλιο 2026, ο οίκος S&amp;P διατήρησε την αξιολόγηση της ελληνικής οικονομίας στο ΒΒΒ- με σταθερές προοπτικές. Οι θετικές αυτές εξελίξεις αντανακλούν την ενισχυμένη α-ξιοπιστία</w:t>
      </w:r>
      <w:r>
        <w:rPr>
          <w:spacing w:val="-4"/>
        </w:rPr>
        <w:t> </w:t>
      </w:r>
      <w:r>
        <w:rPr/>
        <w:t>της</w:t>
      </w:r>
      <w:r>
        <w:rPr>
          <w:spacing w:val="-6"/>
        </w:rPr>
        <w:t> </w:t>
      </w:r>
      <w:r>
        <w:rPr/>
        <w:t>ελληνικής</w:t>
      </w:r>
      <w:r>
        <w:rPr>
          <w:spacing w:val="-6"/>
        </w:rPr>
        <w:t> </w:t>
      </w:r>
      <w:r>
        <w:rPr/>
        <w:t>οικονομίας,</w:t>
      </w:r>
      <w:r>
        <w:rPr>
          <w:spacing w:val="-5"/>
        </w:rPr>
        <w:t> </w:t>
      </w:r>
      <w:r>
        <w:rPr/>
        <w:t>με</w:t>
      </w:r>
      <w:r>
        <w:rPr>
          <w:spacing w:val="-4"/>
        </w:rPr>
        <w:t> </w:t>
      </w:r>
      <w:r>
        <w:rPr/>
        <w:t>βασικούς</w:t>
      </w:r>
      <w:r>
        <w:rPr>
          <w:spacing w:val="-6"/>
        </w:rPr>
        <w:t> </w:t>
      </w:r>
      <w:r>
        <w:rPr/>
        <w:t>παράγοντες</w:t>
      </w:r>
      <w:r>
        <w:rPr>
          <w:spacing w:val="-6"/>
        </w:rPr>
        <w:t> </w:t>
      </w:r>
      <w:r>
        <w:rPr/>
        <w:t>τη</w:t>
      </w:r>
      <w:r>
        <w:rPr>
          <w:spacing w:val="-5"/>
        </w:rPr>
        <w:t> </w:t>
      </w:r>
      <w:r>
        <w:rPr/>
        <w:t>συστηματική</w:t>
      </w:r>
      <w:r>
        <w:rPr>
          <w:spacing w:val="-5"/>
        </w:rPr>
        <w:t> </w:t>
      </w:r>
      <w:r>
        <w:rPr/>
        <w:t>υπεραπόδοση</w:t>
      </w:r>
      <w:r>
        <w:rPr>
          <w:spacing w:val="-5"/>
        </w:rPr>
        <w:t> </w:t>
      </w:r>
      <w:r>
        <w:rPr/>
        <w:t>του πρωτογενούς</w:t>
      </w:r>
      <w:r>
        <w:rPr>
          <w:spacing w:val="-2"/>
        </w:rPr>
        <w:t> </w:t>
      </w:r>
      <w:r>
        <w:rPr/>
        <w:t>δημοσιονομικού αποτελέσματος</w:t>
      </w:r>
      <w:r>
        <w:rPr>
          <w:spacing w:val="-3"/>
        </w:rPr>
        <w:t> </w:t>
      </w:r>
      <w:r>
        <w:rPr/>
        <w:t>την</w:t>
      </w:r>
      <w:r>
        <w:rPr>
          <w:spacing w:val="-1"/>
        </w:rPr>
        <w:t> </w:t>
      </w:r>
      <w:r>
        <w:rPr/>
        <w:t>τελευταία</w:t>
      </w:r>
      <w:r>
        <w:rPr>
          <w:spacing w:val="-2"/>
        </w:rPr>
        <w:t> </w:t>
      </w:r>
      <w:r>
        <w:rPr/>
        <w:t>περίοδο,</w:t>
      </w:r>
      <w:r>
        <w:rPr>
          <w:spacing w:val="-1"/>
        </w:rPr>
        <w:t> </w:t>
      </w:r>
      <w:r>
        <w:rPr/>
        <w:t>καθώς</w:t>
      </w:r>
      <w:r>
        <w:rPr>
          <w:spacing w:val="-2"/>
        </w:rPr>
        <w:t> </w:t>
      </w:r>
      <w:r>
        <w:rPr/>
        <w:t>και</w:t>
      </w:r>
      <w:r>
        <w:rPr>
          <w:spacing w:val="-1"/>
        </w:rPr>
        <w:t> </w:t>
      </w:r>
      <w:r>
        <w:rPr/>
        <w:t>την</w:t>
      </w:r>
      <w:r>
        <w:rPr>
          <w:spacing w:val="-1"/>
        </w:rPr>
        <w:t> </w:t>
      </w:r>
      <w:r>
        <w:rPr/>
        <w:t>προσδοκία για περαιτέρω αποκλιμάκωση του λόγου χρέους προς ΑΕΠ τα επόμενα χρόνια.</w:t>
      </w:r>
    </w:p>
    <w:p>
      <w:pPr>
        <w:pStyle w:val="BodyText"/>
        <w:spacing w:line="285" w:lineRule="auto" w:before="51"/>
        <w:ind w:left="172" w:right="956"/>
        <w:jc w:val="both"/>
      </w:pPr>
      <w:r>
        <w:rPr/>
        <w:t>Μέσα σε αυτό το ευνοϊκό κλίμα, το πρώτο τετράμηνο του 2026 το Ελληνικό Δημόσιο άντλησε από</w:t>
      </w:r>
      <w:r>
        <w:rPr>
          <w:spacing w:val="-12"/>
        </w:rPr>
        <w:t> </w:t>
      </w:r>
      <w:r>
        <w:rPr/>
        <w:t>τις</w:t>
      </w:r>
      <w:r>
        <w:rPr>
          <w:spacing w:val="-12"/>
        </w:rPr>
        <w:t> </w:t>
      </w:r>
      <w:r>
        <w:rPr/>
        <w:t>διεθνείς</w:t>
      </w:r>
      <w:r>
        <w:rPr>
          <w:spacing w:val="-12"/>
        </w:rPr>
        <w:t> </w:t>
      </w:r>
      <w:r>
        <w:rPr/>
        <w:t>αγορές</w:t>
      </w:r>
      <w:r>
        <w:rPr>
          <w:spacing w:val="-13"/>
        </w:rPr>
        <w:t> </w:t>
      </w:r>
      <w:r>
        <w:rPr/>
        <w:t>ποσό,</w:t>
      </w:r>
      <w:r>
        <w:rPr>
          <w:spacing w:val="-12"/>
        </w:rPr>
        <w:t> </w:t>
      </w:r>
      <w:r>
        <w:rPr/>
        <w:t>που</w:t>
      </w:r>
      <w:r>
        <w:rPr>
          <w:spacing w:val="-11"/>
        </w:rPr>
        <w:t> </w:t>
      </w:r>
      <w:r>
        <w:rPr/>
        <w:t>υπερβαίνει</w:t>
      </w:r>
      <w:r>
        <w:rPr>
          <w:spacing w:val="-11"/>
        </w:rPr>
        <w:t> </w:t>
      </w:r>
      <w:r>
        <w:rPr/>
        <w:t>το</w:t>
      </w:r>
      <w:r>
        <w:rPr>
          <w:spacing w:val="-12"/>
        </w:rPr>
        <w:t> </w:t>
      </w:r>
      <w:r>
        <w:rPr/>
        <w:t>50%</w:t>
      </w:r>
      <w:r>
        <w:rPr>
          <w:spacing w:val="-11"/>
        </w:rPr>
        <w:t> </w:t>
      </w:r>
      <w:r>
        <w:rPr/>
        <w:t>της</w:t>
      </w:r>
      <w:r>
        <w:rPr>
          <w:spacing w:val="-13"/>
        </w:rPr>
        <w:t> </w:t>
      </w:r>
      <w:r>
        <w:rPr/>
        <w:t>ετήσιας</w:t>
      </w:r>
      <w:r>
        <w:rPr>
          <w:spacing w:val="-13"/>
        </w:rPr>
        <w:t> </w:t>
      </w:r>
      <w:r>
        <w:rPr/>
        <w:t>πρόβλεψης</w:t>
      </w:r>
      <w:r>
        <w:rPr>
          <w:spacing w:val="-13"/>
        </w:rPr>
        <w:t> </w:t>
      </w:r>
      <w:r>
        <w:rPr/>
        <w:t>για</w:t>
      </w:r>
      <w:r>
        <w:rPr>
          <w:spacing w:val="-12"/>
        </w:rPr>
        <w:t> </w:t>
      </w:r>
      <w:r>
        <w:rPr/>
        <w:t>δανεισμό</w:t>
      </w:r>
      <w:r>
        <w:rPr>
          <w:spacing w:val="-14"/>
        </w:rPr>
        <w:t> </w:t>
      </w:r>
      <w:r>
        <w:rPr/>
        <w:t>ύψους 8 δισεκ. ευρώ</w:t>
      </w:r>
      <w:hyperlink w:history="true" w:anchor="_bookmark7">
        <w:r>
          <w:rPr/>
          <w:t>.</w:t>
        </w:r>
        <w:r>
          <w:rPr>
            <w:position w:val="6"/>
            <w:sz w:val="10"/>
          </w:rPr>
          <w:t>4</w:t>
        </w:r>
      </w:hyperlink>
      <w:r>
        <w:rPr>
          <w:spacing w:val="40"/>
          <w:position w:val="6"/>
          <w:sz w:val="10"/>
        </w:rPr>
        <w:t> </w:t>
      </w:r>
      <w:r>
        <w:rPr/>
        <w:t>Ειδικότερα, τον Ιανουάριο αντλήθηκαν 4 δισεκ. ευρώ μέσω έκδοσης 10ετούς ομολόγου, με τις προσφορές να υπερκαλύπτουν κατά 12 φορές το ύψος της έκδοσης και την απόδοση</w:t>
      </w:r>
      <w:r>
        <w:rPr>
          <w:spacing w:val="-8"/>
        </w:rPr>
        <w:t> </w:t>
      </w:r>
      <w:r>
        <w:rPr/>
        <w:t>να</w:t>
      </w:r>
      <w:r>
        <w:rPr>
          <w:spacing w:val="-9"/>
        </w:rPr>
        <w:t> </w:t>
      </w:r>
      <w:r>
        <w:rPr/>
        <w:t>διαμορφώνεται</w:t>
      </w:r>
      <w:r>
        <w:rPr>
          <w:spacing w:val="-10"/>
        </w:rPr>
        <w:t> </w:t>
      </w:r>
      <w:r>
        <w:rPr/>
        <w:t>σε</w:t>
      </w:r>
      <w:r>
        <w:rPr>
          <w:spacing w:val="-7"/>
        </w:rPr>
        <w:t> </w:t>
      </w:r>
      <w:r>
        <w:rPr/>
        <w:t>3,47%,</w:t>
      </w:r>
      <w:r>
        <w:rPr>
          <w:spacing w:val="-8"/>
        </w:rPr>
        <w:t> </w:t>
      </w:r>
      <w:r>
        <w:rPr/>
        <w:t>ενώ</w:t>
      </w:r>
      <w:r>
        <w:rPr>
          <w:spacing w:val="-10"/>
        </w:rPr>
        <w:t> </w:t>
      </w:r>
      <w:r>
        <w:rPr/>
        <w:t>τον</w:t>
      </w:r>
      <w:r>
        <w:rPr>
          <w:spacing w:val="-7"/>
        </w:rPr>
        <w:t> </w:t>
      </w:r>
      <w:r>
        <w:rPr/>
        <w:t>Φεβρουάριο</w:t>
      </w:r>
      <w:r>
        <w:rPr>
          <w:spacing w:val="-4"/>
        </w:rPr>
        <w:t> </w:t>
      </w:r>
      <w:r>
        <w:rPr/>
        <w:t>και</w:t>
      </w:r>
      <w:r>
        <w:rPr>
          <w:spacing w:val="-8"/>
        </w:rPr>
        <w:t> </w:t>
      </w:r>
      <w:r>
        <w:rPr/>
        <w:t>τον</w:t>
      </w:r>
      <w:r>
        <w:rPr>
          <w:spacing w:val="-7"/>
        </w:rPr>
        <w:t> </w:t>
      </w:r>
      <w:r>
        <w:rPr/>
        <w:t>Απρίλιο</w:t>
      </w:r>
      <w:r>
        <w:rPr>
          <w:spacing w:val="-7"/>
        </w:rPr>
        <w:t> </w:t>
      </w:r>
      <w:r>
        <w:rPr/>
        <w:t>διενεργήθηκαν</w:t>
      </w:r>
      <w:r>
        <w:rPr>
          <w:spacing w:val="-9"/>
        </w:rPr>
        <w:t> </w:t>
      </w:r>
      <w:r>
        <w:rPr/>
        <w:t>επα-νεκδόσεις</w:t>
      </w:r>
      <w:r>
        <w:rPr>
          <w:spacing w:val="-5"/>
        </w:rPr>
        <w:t> </w:t>
      </w:r>
      <w:r>
        <w:rPr/>
        <w:t>ύψους</w:t>
      </w:r>
      <w:r>
        <w:rPr>
          <w:spacing w:val="-6"/>
        </w:rPr>
        <w:t> </w:t>
      </w:r>
      <w:r>
        <w:rPr/>
        <w:t>300</w:t>
      </w:r>
      <w:r>
        <w:rPr>
          <w:spacing w:val="-4"/>
        </w:rPr>
        <w:t> </w:t>
      </w:r>
      <w:r>
        <w:rPr/>
        <w:t>και</w:t>
      </w:r>
      <w:r>
        <w:rPr>
          <w:spacing w:val="-5"/>
        </w:rPr>
        <w:t> </w:t>
      </w:r>
      <w:r>
        <w:rPr/>
        <w:t>250</w:t>
      </w:r>
      <w:r>
        <w:rPr>
          <w:spacing w:val="-4"/>
        </w:rPr>
        <w:t> </w:t>
      </w:r>
      <w:r>
        <w:rPr/>
        <w:t>εκατ.</w:t>
      </w:r>
      <w:r>
        <w:rPr>
          <w:spacing w:val="-5"/>
        </w:rPr>
        <w:t> </w:t>
      </w:r>
      <w:r>
        <w:rPr/>
        <w:t>ευρώ</w:t>
      </w:r>
      <w:r>
        <w:rPr>
          <w:spacing w:val="-3"/>
        </w:rPr>
        <w:t> </w:t>
      </w:r>
      <w:r>
        <w:rPr/>
        <w:t>αντίστοιχα</w:t>
      </w:r>
      <w:r>
        <w:rPr>
          <w:spacing w:val="-4"/>
        </w:rPr>
        <w:t> </w:t>
      </w:r>
      <w:r>
        <w:rPr/>
        <w:t>με</w:t>
      </w:r>
      <w:r>
        <w:rPr>
          <w:spacing w:val="-4"/>
        </w:rPr>
        <w:t> </w:t>
      </w:r>
      <w:r>
        <w:rPr/>
        <w:t>αποδόσεις</w:t>
      </w:r>
      <w:r>
        <w:rPr>
          <w:spacing w:val="-5"/>
        </w:rPr>
        <w:t> </w:t>
      </w:r>
      <w:r>
        <w:rPr/>
        <w:t>3,34%</w:t>
      </w:r>
      <w:r>
        <w:rPr>
          <w:spacing w:val="-6"/>
        </w:rPr>
        <w:t> </w:t>
      </w:r>
      <w:r>
        <w:rPr/>
        <w:t>(χαμηλότερη</w:t>
      </w:r>
      <w:r>
        <w:rPr>
          <w:spacing w:val="-5"/>
        </w:rPr>
        <w:t> </w:t>
      </w:r>
      <w:r>
        <w:rPr/>
        <w:t>της</w:t>
      </w:r>
      <w:r>
        <w:rPr>
          <w:spacing w:val="-6"/>
        </w:rPr>
        <w:t> </w:t>
      </w:r>
      <w:r>
        <w:rPr/>
        <w:t>αρχι-κής) και 3,7% αντίστοιχα.</w:t>
      </w:r>
    </w:p>
    <w:p>
      <w:pPr>
        <w:pStyle w:val="BodyText"/>
        <w:spacing w:line="285" w:lineRule="auto" w:before="53"/>
        <w:ind w:left="172" w:right="959"/>
        <w:jc w:val="both"/>
      </w:pPr>
      <w:r>
        <w:rPr/>
        <w:t>Το δημόσιο χρέος αναμένεται να συνεχίσει την καθοδική του πορεία τα επόμενα έτη, με αυξη-μένη ανθεκτικότητα μεσοπρόθεσμα, αλλά και εντεινόμενους κινδύνους μακροπρόθεσμα λόγω</w:t>
      </w:r>
    </w:p>
    <w:p>
      <w:pPr>
        <w:pStyle w:val="BodyText"/>
        <w:rPr>
          <w:sz w:val="20"/>
        </w:rPr>
      </w:pPr>
    </w:p>
    <w:p>
      <w:pPr>
        <w:pStyle w:val="BodyText"/>
        <w:spacing w:before="223"/>
        <w:rPr>
          <w:sz w:val="20"/>
        </w:rPr>
      </w:pPr>
      <w:r>
        <w:rPr>
          <w:sz w:val="20"/>
        </w:rPr>
        <mc:AlternateContent>
          <mc:Choice Requires="wps">
            <w:drawing>
              <wp:anchor distT="0" distB="0" distL="0" distR="0" allowOverlap="1" layoutInCell="1" locked="0" behindDoc="1" simplePos="0" relativeHeight="487590400">
                <wp:simplePos x="0" y="0"/>
                <wp:positionH relativeFrom="page">
                  <wp:posOffset>1009192</wp:posOffset>
                </wp:positionH>
                <wp:positionV relativeFrom="paragraph">
                  <wp:posOffset>303288</wp:posOffset>
                </wp:positionV>
                <wp:extent cx="1829435" cy="762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3.880957pt;width:144.020pt;height:.60004pt;mso-position-horizontal-relative:page;mso-position-vertical-relative:paragraph;z-index:-15726080;mso-wrap-distance-left:0;mso-wrap-distance-right:0" id="docshape23" filled="true" fillcolor="#000000" stroked="false">
                <v:fill type="solid"/>
                <w10:wrap type="topAndBottom"/>
              </v:rect>
            </w:pict>
          </mc:Fallback>
        </mc:AlternateContent>
      </w:r>
    </w:p>
    <w:p>
      <w:pPr>
        <w:spacing w:before="167"/>
        <w:ind w:left="172" w:right="956" w:firstLine="0"/>
        <w:jc w:val="both"/>
        <w:rPr>
          <w:sz w:val="16"/>
        </w:rPr>
      </w:pPr>
      <w:bookmarkStart w:name="_bookmark5" w:id="6"/>
      <w:bookmarkEnd w:id="6"/>
      <w:r>
        <w:rPr/>
      </w:r>
      <w:r>
        <w:rPr>
          <w:sz w:val="16"/>
          <w:vertAlign w:val="superscript"/>
        </w:rPr>
        <w:t>2</w:t>
      </w:r>
      <w:r>
        <w:rPr>
          <w:spacing w:val="-2"/>
          <w:sz w:val="16"/>
          <w:vertAlign w:val="baseline"/>
        </w:rPr>
        <w:t> </w:t>
      </w:r>
      <w:r>
        <w:rPr>
          <w:sz w:val="16"/>
          <w:vertAlign w:val="baseline"/>
        </w:rPr>
        <w:t>Ο</w:t>
      </w:r>
      <w:r>
        <w:rPr>
          <w:spacing w:val="-3"/>
          <w:sz w:val="16"/>
          <w:vertAlign w:val="baseline"/>
        </w:rPr>
        <w:t> </w:t>
      </w:r>
      <w:r>
        <w:rPr>
          <w:sz w:val="16"/>
          <w:vertAlign w:val="baseline"/>
        </w:rPr>
        <w:t>δείκτης</w:t>
      </w:r>
      <w:r>
        <w:rPr>
          <w:spacing w:val="-1"/>
          <w:sz w:val="16"/>
          <w:vertAlign w:val="baseline"/>
        </w:rPr>
        <w:t> </w:t>
      </w:r>
      <w:r>
        <w:rPr>
          <w:sz w:val="16"/>
          <w:vertAlign w:val="baseline"/>
        </w:rPr>
        <w:t>υπολογίζεται</w:t>
      </w:r>
      <w:r>
        <w:rPr>
          <w:spacing w:val="-4"/>
          <w:sz w:val="16"/>
          <w:vertAlign w:val="baseline"/>
        </w:rPr>
        <w:t> </w:t>
      </w:r>
      <w:r>
        <w:rPr>
          <w:sz w:val="16"/>
          <w:vertAlign w:val="baseline"/>
        </w:rPr>
        <w:t>αφαιρώντας</w:t>
      </w:r>
      <w:r>
        <w:rPr>
          <w:spacing w:val="-2"/>
          <w:sz w:val="16"/>
          <w:vertAlign w:val="baseline"/>
        </w:rPr>
        <w:t> </w:t>
      </w:r>
      <w:r>
        <w:rPr>
          <w:sz w:val="16"/>
          <w:vertAlign w:val="baseline"/>
        </w:rPr>
        <w:t>από</w:t>
      </w:r>
      <w:r>
        <w:rPr>
          <w:spacing w:val="-1"/>
          <w:sz w:val="16"/>
          <w:vertAlign w:val="baseline"/>
        </w:rPr>
        <w:t> </w:t>
      </w:r>
      <w:r>
        <w:rPr>
          <w:sz w:val="16"/>
          <w:vertAlign w:val="baseline"/>
        </w:rPr>
        <w:t>τις</w:t>
      </w:r>
      <w:r>
        <w:rPr>
          <w:spacing w:val="-1"/>
          <w:sz w:val="16"/>
          <w:vertAlign w:val="baseline"/>
        </w:rPr>
        <w:t> </w:t>
      </w:r>
      <w:r>
        <w:rPr>
          <w:sz w:val="16"/>
          <w:vertAlign w:val="baseline"/>
        </w:rPr>
        <w:t>συνολικές</w:t>
      </w:r>
      <w:r>
        <w:rPr>
          <w:spacing w:val="-3"/>
          <w:sz w:val="16"/>
          <w:vertAlign w:val="baseline"/>
        </w:rPr>
        <w:t> </w:t>
      </w:r>
      <w:r>
        <w:rPr>
          <w:sz w:val="16"/>
          <w:vertAlign w:val="baseline"/>
        </w:rPr>
        <w:t>δαπάνες</w:t>
      </w:r>
      <w:r>
        <w:rPr>
          <w:spacing w:val="-1"/>
          <w:sz w:val="16"/>
          <w:vertAlign w:val="baseline"/>
        </w:rPr>
        <w:t> </w:t>
      </w:r>
      <w:r>
        <w:rPr>
          <w:sz w:val="16"/>
          <w:vertAlign w:val="baseline"/>
        </w:rPr>
        <w:t>της</w:t>
      </w:r>
      <w:r>
        <w:rPr>
          <w:spacing w:val="-1"/>
          <w:sz w:val="16"/>
          <w:vertAlign w:val="baseline"/>
        </w:rPr>
        <w:t> </w:t>
      </w:r>
      <w:r>
        <w:rPr>
          <w:sz w:val="16"/>
          <w:vertAlign w:val="baseline"/>
        </w:rPr>
        <w:t>γενικής</w:t>
      </w:r>
      <w:r>
        <w:rPr>
          <w:spacing w:val="-1"/>
          <w:sz w:val="16"/>
          <w:vertAlign w:val="baseline"/>
        </w:rPr>
        <w:t> </w:t>
      </w:r>
      <w:r>
        <w:rPr>
          <w:sz w:val="16"/>
          <w:vertAlign w:val="baseline"/>
        </w:rPr>
        <w:t>κυβέρνησης τους τόκους,</w:t>
      </w:r>
      <w:r>
        <w:rPr>
          <w:spacing w:val="-1"/>
          <w:sz w:val="16"/>
          <w:vertAlign w:val="baseline"/>
        </w:rPr>
        <w:t> </w:t>
      </w:r>
      <w:r>
        <w:rPr>
          <w:sz w:val="16"/>
          <w:vertAlign w:val="baseline"/>
        </w:rPr>
        <w:t>τα</w:t>
      </w:r>
      <w:r>
        <w:rPr>
          <w:spacing w:val="-2"/>
          <w:sz w:val="16"/>
          <w:vertAlign w:val="baseline"/>
        </w:rPr>
        <w:t> </w:t>
      </w:r>
      <w:r>
        <w:rPr>
          <w:sz w:val="16"/>
          <w:vertAlign w:val="baseline"/>
        </w:rPr>
        <w:t>προγράμματα</w:t>
      </w:r>
      <w:r>
        <w:rPr>
          <w:spacing w:val="-2"/>
          <w:sz w:val="16"/>
          <w:vertAlign w:val="baseline"/>
        </w:rPr>
        <w:t> </w:t>
      </w:r>
      <w:r>
        <w:rPr>
          <w:sz w:val="16"/>
          <w:vertAlign w:val="baseline"/>
        </w:rPr>
        <w:t>που</w:t>
      </w:r>
      <w:r>
        <w:rPr>
          <w:spacing w:val="-2"/>
          <w:sz w:val="16"/>
          <w:vertAlign w:val="baseline"/>
        </w:rPr>
        <w:t> </w:t>
      </w:r>
      <w:r>
        <w:rPr>
          <w:sz w:val="16"/>
          <w:vertAlign w:val="baseline"/>
        </w:rPr>
        <w:t>χρημα-τοδοτούνται</w:t>
      </w:r>
      <w:r>
        <w:rPr>
          <w:spacing w:val="-10"/>
          <w:sz w:val="16"/>
          <w:vertAlign w:val="baseline"/>
        </w:rPr>
        <w:t> </w:t>
      </w:r>
      <w:r>
        <w:rPr>
          <w:sz w:val="16"/>
          <w:vertAlign w:val="baseline"/>
        </w:rPr>
        <w:t>από</w:t>
      </w:r>
      <w:r>
        <w:rPr>
          <w:spacing w:val="-10"/>
          <w:sz w:val="16"/>
          <w:vertAlign w:val="baseline"/>
        </w:rPr>
        <w:t> </w:t>
      </w:r>
      <w:r>
        <w:rPr>
          <w:sz w:val="16"/>
          <w:vertAlign w:val="baseline"/>
        </w:rPr>
        <w:t>την</w:t>
      </w:r>
      <w:r>
        <w:rPr>
          <w:spacing w:val="-10"/>
          <w:sz w:val="16"/>
          <w:vertAlign w:val="baseline"/>
        </w:rPr>
        <w:t> </w:t>
      </w:r>
      <w:r>
        <w:rPr>
          <w:sz w:val="16"/>
          <w:vertAlign w:val="baseline"/>
        </w:rPr>
        <w:t>ΕΕ,</w:t>
      </w:r>
      <w:r>
        <w:rPr>
          <w:spacing w:val="-10"/>
          <w:sz w:val="16"/>
          <w:vertAlign w:val="baseline"/>
        </w:rPr>
        <w:t> </w:t>
      </w:r>
      <w:r>
        <w:rPr>
          <w:sz w:val="16"/>
          <w:vertAlign w:val="baseline"/>
        </w:rPr>
        <w:t>την</w:t>
      </w:r>
      <w:r>
        <w:rPr>
          <w:spacing w:val="-10"/>
          <w:sz w:val="16"/>
          <w:vertAlign w:val="baseline"/>
        </w:rPr>
        <w:t> </w:t>
      </w:r>
      <w:r>
        <w:rPr>
          <w:sz w:val="16"/>
          <w:vertAlign w:val="baseline"/>
        </w:rPr>
        <w:t>εθνική</w:t>
      </w:r>
      <w:r>
        <w:rPr>
          <w:spacing w:val="-10"/>
          <w:sz w:val="16"/>
          <w:vertAlign w:val="baseline"/>
        </w:rPr>
        <w:t> </w:t>
      </w:r>
      <w:r>
        <w:rPr>
          <w:sz w:val="16"/>
          <w:vertAlign w:val="baseline"/>
        </w:rPr>
        <w:t>συμμετοχή</w:t>
      </w:r>
      <w:r>
        <w:rPr>
          <w:spacing w:val="-10"/>
          <w:sz w:val="16"/>
          <w:vertAlign w:val="baseline"/>
        </w:rPr>
        <w:t> </w:t>
      </w:r>
      <w:r>
        <w:rPr>
          <w:sz w:val="16"/>
          <w:vertAlign w:val="baseline"/>
        </w:rPr>
        <w:t>σε</w:t>
      </w:r>
      <w:r>
        <w:rPr>
          <w:spacing w:val="-10"/>
          <w:sz w:val="16"/>
          <w:vertAlign w:val="baseline"/>
        </w:rPr>
        <w:t> </w:t>
      </w:r>
      <w:r>
        <w:rPr>
          <w:sz w:val="16"/>
          <w:vertAlign w:val="baseline"/>
        </w:rPr>
        <w:t>προγράμματα</w:t>
      </w:r>
      <w:r>
        <w:rPr>
          <w:spacing w:val="-10"/>
          <w:sz w:val="16"/>
          <w:vertAlign w:val="baseline"/>
        </w:rPr>
        <w:t> </w:t>
      </w:r>
      <w:r>
        <w:rPr>
          <w:sz w:val="16"/>
          <w:vertAlign w:val="baseline"/>
        </w:rPr>
        <w:t>της</w:t>
      </w:r>
      <w:r>
        <w:rPr>
          <w:spacing w:val="-10"/>
          <w:sz w:val="16"/>
          <w:vertAlign w:val="baseline"/>
        </w:rPr>
        <w:t> </w:t>
      </w:r>
      <w:r>
        <w:rPr>
          <w:sz w:val="16"/>
          <w:vertAlign w:val="baseline"/>
        </w:rPr>
        <w:t>ΕΕ,</w:t>
      </w:r>
      <w:r>
        <w:rPr>
          <w:spacing w:val="-10"/>
          <w:sz w:val="16"/>
          <w:vertAlign w:val="baseline"/>
        </w:rPr>
        <w:t> </w:t>
      </w:r>
      <w:r>
        <w:rPr>
          <w:sz w:val="16"/>
          <w:vertAlign w:val="baseline"/>
        </w:rPr>
        <w:t>την</w:t>
      </w:r>
      <w:r>
        <w:rPr>
          <w:spacing w:val="-10"/>
          <w:sz w:val="16"/>
          <w:vertAlign w:val="baseline"/>
        </w:rPr>
        <w:t> </w:t>
      </w:r>
      <w:r>
        <w:rPr>
          <w:sz w:val="16"/>
          <w:vertAlign w:val="baseline"/>
        </w:rPr>
        <w:t>κυκλική</w:t>
      </w:r>
      <w:r>
        <w:rPr>
          <w:spacing w:val="-10"/>
          <w:sz w:val="16"/>
          <w:vertAlign w:val="baseline"/>
        </w:rPr>
        <w:t> </w:t>
      </w:r>
      <w:r>
        <w:rPr>
          <w:sz w:val="16"/>
          <w:vertAlign w:val="baseline"/>
        </w:rPr>
        <w:t>δαπάνη</w:t>
      </w:r>
      <w:r>
        <w:rPr>
          <w:spacing w:val="-10"/>
          <w:sz w:val="16"/>
          <w:vertAlign w:val="baseline"/>
        </w:rPr>
        <w:t> </w:t>
      </w:r>
      <w:r>
        <w:rPr>
          <w:sz w:val="16"/>
          <w:vertAlign w:val="baseline"/>
        </w:rPr>
        <w:t>για</w:t>
      </w:r>
      <w:r>
        <w:rPr>
          <w:spacing w:val="-10"/>
          <w:sz w:val="16"/>
          <w:vertAlign w:val="baseline"/>
        </w:rPr>
        <w:t> </w:t>
      </w:r>
      <w:r>
        <w:rPr>
          <w:sz w:val="16"/>
          <w:vertAlign w:val="baseline"/>
        </w:rPr>
        <w:t>την</w:t>
      </w:r>
      <w:r>
        <w:rPr>
          <w:spacing w:val="-10"/>
          <w:sz w:val="16"/>
          <w:vertAlign w:val="baseline"/>
        </w:rPr>
        <w:t> </w:t>
      </w:r>
      <w:r>
        <w:rPr>
          <w:sz w:val="16"/>
          <w:vertAlign w:val="baseline"/>
        </w:rPr>
        <w:t>καταβολή</w:t>
      </w:r>
      <w:r>
        <w:rPr>
          <w:spacing w:val="-10"/>
          <w:sz w:val="16"/>
          <w:vertAlign w:val="baseline"/>
        </w:rPr>
        <w:t> </w:t>
      </w:r>
      <w:r>
        <w:rPr>
          <w:sz w:val="16"/>
          <w:vertAlign w:val="baseline"/>
        </w:rPr>
        <w:t>επιδομάτων</w:t>
      </w:r>
      <w:r>
        <w:rPr>
          <w:spacing w:val="-10"/>
          <w:sz w:val="16"/>
          <w:vertAlign w:val="baseline"/>
        </w:rPr>
        <w:t> </w:t>
      </w:r>
      <w:r>
        <w:rPr>
          <w:sz w:val="16"/>
          <w:vertAlign w:val="baseline"/>
        </w:rPr>
        <w:t>ανεργίας,</w:t>
      </w:r>
      <w:r>
        <w:rPr>
          <w:spacing w:val="40"/>
          <w:sz w:val="16"/>
          <w:vertAlign w:val="baseline"/>
        </w:rPr>
        <w:t> </w:t>
      </w:r>
      <w:r>
        <w:rPr>
          <w:sz w:val="16"/>
          <w:vertAlign w:val="baseline"/>
        </w:rPr>
        <w:t>τις έκτακτες μη προβλεπόμενες δαπάνες και τα δημοσιονομικά ενεργητικά μέτρα εσόδων.</w:t>
      </w:r>
    </w:p>
    <w:p>
      <w:pPr>
        <w:spacing w:before="19"/>
        <w:ind w:left="172" w:right="956" w:firstLine="0"/>
        <w:jc w:val="both"/>
        <w:rPr>
          <w:sz w:val="16"/>
        </w:rPr>
      </w:pPr>
      <w:bookmarkStart w:name="_bookmark6" w:id="7"/>
      <w:bookmarkEnd w:id="7"/>
      <w:r>
        <w:rPr/>
      </w:r>
      <w:r>
        <w:rPr>
          <w:sz w:val="16"/>
          <w:vertAlign w:val="superscript"/>
        </w:rPr>
        <w:t>3</w:t>
      </w:r>
      <w:r>
        <w:rPr>
          <w:sz w:val="16"/>
          <w:vertAlign w:val="baseline"/>
        </w:rPr>
        <w:t> Η σημαντικά καλύτερη επίδοση του</w:t>
      </w:r>
      <w:r>
        <w:rPr>
          <w:spacing w:val="-1"/>
          <w:sz w:val="16"/>
          <w:vertAlign w:val="baseline"/>
        </w:rPr>
        <w:t> </w:t>
      </w:r>
      <w:r>
        <w:rPr>
          <w:sz w:val="16"/>
          <w:vertAlign w:val="baseline"/>
        </w:rPr>
        <w:t>δείκτη</w:t>
      </w:r>
      <w:r>
        <w:rPr>
          <w:spacing w:val="-1"/>
          <w:sz w:val="16"/>
          <w:vertAlign w:val="baseline"/>
        </w:rPr>
        <w:t> </w:t>
      </w:r>
      <w:r>
        <w:rPr>
          <w:sz w:val="16"/>
          <w:vertAlign w:val="baseline"/>
        </w:rPr>
        <w:t>δαπανών το 2025 σε σχέση</w:t>
      </w:r>
      <w:r>
        <w:rPr>
          <w:spacing w:val="-1"/>
          <w:sz w:val="16"/>
          <w:vertAlign w:val="baseline"/>
        </w:rPr>
        <w:t> </w:t>
      </w:r>
      <w:r>
        <w:rPr>
          <w:sz w:val="16"/>
          <w:vertAlign w:val="baseline"/>
        </w:rPr>
        <w:t>με</w:t>
      </w:r>
      <w:r>
        <w:rPr>
          <w:spacing w:val="-1"/>
          <w:sz w:val="16"/>
          <w:vertAlign w:val="baseline"/>
        </w:rPr>
        <w:t> </w:t>
      </w:r>
      <w:r>
        <w:rPr>
          <w:sz w:val="16"/>
          <w:vertAlign w:val="baseline"/>
        </w:rPr>
        <w:t>τις αρχικές προβλέψεις αποδίδεται αφενός στη συγκρά-τηση του επιπέδου των δαπανών το 2025 και αφετέρου σε υπεραπόδοση των δημοσίων εσόδων, η οποία αποτυπώθηκε ως αύξηση</w:t>
      </w:r>
      <w:r>
        <w:rPr>
          <w:spacing w:val="40"/>
          <w:sz w:val="16"/>
          <w:vertAlign w:val="baseline"/>
        </w:rPr>
        <w:t> </w:t>
      </w:r>
      <w:r>
        <w:rPr>
          <w:sz w:val="16"/>
          <w:vertAlign w:val="baseline"/>
        </w:rPr>
        <w:t>των ενεργητικών μέτρων εσόδων. Η εξέλιξη αυτή διεύρυνε τον διαθέσιμο δημοσιονομικό χώρο και κατέστησε εφικτή την αναπρο-σαρμογή του ανώτατου ορίου δαπανών.</w:t>
      </w:r>
    </w:p>
    <w:p>
      <w:pPr>
        <w:spacing w:before="23"/>
        <w:ind w:left="172" w:right="0" w:firstLine="0"/>
        <w:jc w:val="both"/>
        <w:rPr>
          <w:sz w:val="16"/>
        </w:rPr>
      </w:pPr>
      <w:bookmarkStart w:name="_bookmark7" w:id="8"/>
      <w:bookmarkEnd w:id="8"/>
      <w:r>
        <w:rPr/>
      </w:r>
      <w:r>
        <w:rPr>
          <w:sz w:val="16"/>
          <w:vertAlign w:val="superscript"/>
        </w:rPr>
        <w:t>4</w:t>
      </w:r>
      <w:r>
        <w:rPr>
          <w:spacing w:val="-6"/>
          <w:sz w:val="16"/>
          <w:vertAlign w:val="baseline"/>
        </w:rPr>
        <w:t> </w:t>
      </w:r>
      <w:r>
        <w:rPr>
          <w:sz w:val="16"/>
          <w:vertAlign w:val="baseline"/>
        </w:rPr>
        <w:t>Οργανισμός</w:t>
      </w:r>
      <w:r>
        <w:rPr>
          <w:spacing w:val="-4"/>
          <w:sz w:val="16"/>
          <w:vertAlign w:val="baseline"/>
        </w:rPr>
        <w:t> </w:t>
      </w:r>
      <w:r>
        <w:rPr>
          <w:sz w:val="16"/>
          <w:vertAlign w:val="baseline"/>
        </w:rPr>
        <w:t>Διαχείρισης</w:t>
      </w:r>
      <w:r>
        <w:rPr>
          <w:spacing w:val="-5"/>
          <w:sz w:val="16"/>
          <w:vertAlign w:val="baseline"/>
        </w:rPr>
        <w:t> </w:t>
      </w:r>
      <w:r>
        <w:rPr>
          <w:sz w:val="16"/>
          <w:vertAlign w:val="baseline"/>
        </w:rPr>
        <w:t>Δημοσίου</w:t>
      </w:r>
      <w:r>
        <w:rPr>
          <w:spacing w:val="-8"/>
          <w:sz w:val="16"/>
          <w:vertAlign w:val="baseline"/>
        </w:rPr>
        <w:t> </w:t>
      </w:r>
      <w:r>
        <w:rPr>
          <w:sz w:val="16"/>
          <w:vertAlign w:val="baseline"/>
        </w:rPr>
        <w:t>Χρέους</w:t>
      </w:r>
      <w:r>
        <w:rPr>
          <w:spacing w:val="-5"/>
          <w:sz w:val="16"/>
          <w:vertAlign w:val="baseline"/>
        </w:rPr>
        <w:t> </w:t>
      </w:r>
      <w:r>
        <w:rPr>
          <w:sz w:val="16"/>
          <w:vertAlign w:val="baseline"/>
        </w:rPr>
        <w:t>(Ο.Δ.ΔΗ.Χ.),</w:t>
      </w:r>
      <w:r>
        <w:rPr>
          <w:spacing w:val="-7"/>
          <w:sz w:val="16"/>
          <w:vertAlign w:val="baseline"/>
        </w:rPr>
        <w:t> </w:t>
      </w:r>
      <w:r>
        <w:rPr>
          <w:sz w:val="16"/>
          <w:vertAlign w:val="baseline"/>
        </w:rPr>
        <w:t>Στρατηγική</w:t>
      </w:r>
      <w:r>
        <w:rPr>
          <w:spacing w:val="-7"/>
          <w:sz w:val="16"/>
          <w:vertAlign w:val="baseline"/>
        </w:rPr>
        <w:t> </w:t>
      </w:r>
      <w:r>
        <w:rPr>
          <w:sz w:val="16"/>
          <w:vertAlign w:val="baseline"/>
        </w:rPr>
        <w:t>Χρηματοδότησης</w:t>
      </w:r>
      <w:r>
        <w:rPr>
          <w:spacing w:val="-5"/>
          <w:sz w:val="16"/>
          <w:vertAlign w:val="baseline"/>
        </w:rPr>
        <w:t> </w:t>
      </w:r>
      <w:r>
        <w:rPr>
          <w:sz w:val="16"/>
          <w:vertAlign w:val="baseline"/>
        </w:rPr>
        <w:t>Ελληνικού</w:t>
      </w:r>
      <w:r>
        <w:rPr>
          <w:spacing w:val="-5"/>
          <w:sz w:val="16"/>
          <w:vertAlign w:val="baseline"/>
        </w:rPr>
        <w:t> </w:t>
      </w:r>
      <w:r>
        <w:rPr>
          <w:sz w:val="16"/>
          <w:vertAlign w:val="baseline"/>
        </w:rPr>
        <w:t>Δημοσίου</w:t>
      </w:r>
      <w:r>
        <w:rPr>
          <w:spacing w:val="-8"/>
          <w:sz w:val="16"/>
          <w:vertAlign w:val="baseline"/>
        </w:rPr>
        <w:t> </w:t>
      </w:r>
      <w:r>
        <w:rPr>
          <w:spacing w:val="-2"/>
          <w:sz w:val="16"/>
          <w:vertAlign w:val="baseline"/>
        </w:rPr>
        <w:t>2026.</w:t>
      </w:r>
    </w:p>
    <w:p>
      <w:pPr>
        <w:spacing w:after="0"/>
        <w:jc w:val="both"/>
        <w:rPr>
          <w:sz w:val="16"/>
        </w:rPr>
        <w:sectPr>
          <w:pgSz w:w="11910" w:h="16850"/>
          <w:pgMar w:header="0" w:footer="1180" w:top="1840" w:bottom="1360" w:left="1417" w:right="850"/>
        </w:sectPr>
      </w:pPr>
    </w:p>
    <w:p>
      <w:pPr>
        <w:pStyle w:val="BodyText"/>
        <w:spacing w:line="285" w:lineRule="auto" w:before="66"/>
        <w:ind w:left="172" w:right="955"/>
        <w:jc w:val="both"/>
      </w:pPr>
      <w:r>
        <w:rPr/>
        <w:t>της</w:t>
      </w:r>
      <w:r>
        <w:rPr>
          <w:spacing w:val="-9"/>
        </w:rPr>
        <w:t> </w:t>
      </w:r>
      <w:r>
        <w:rPr/>
        <w:t>σταδιακής</w:t>
      </w:r>
      <w:r>
        <w:rPr>
          <w:spacing w:val="-9"/>
        </w:rPr>
        <w:t> </w:t>
      </w:r>
      <w:r>
        <w:rPr/>
        <w:t>μετάβασης</w:t>
      </w:r>
      <w:r>
        <w:rPr>
          <w:spacing w:val="-9"/>
        </w:rPr>
        <w:t> </w:t>
      </w:r>
      <w:r>
        <w:rPr/>
        <w:t>σε</w:t>
      </w:r>
      <w:r>
        <w:rPr>
          <w:spacing w:val="-7"/>
        </w:rPr>
        <w:t> </w:t>
      </w:r>
      <w:r>
        <w:rPr/>
        <w:t>χρηματοδότηση</w:t>
      </w:r>
      <w:r>
        <w:rPr>
          <w:spacing w:val="-10"/>
        </w:rPr>
        <w:t> </w:t>
      </w:r>
      <w:r>
        <w:rPr/>
        <w:t>με</w:t>
      </w:r>
      <w:r>
        <w:rPr>
          <w:spacing w:val="-9"/>
        </w:rPr>
        <w:t> </w:t>
      </w:r>
      <w:r>
        <w:rPr/>
        <w:t>όρους</w:t>
      </w:r>
      <w:r>
        <w:rPr>
          <w:spacing w:val="-11"/>
        </w:rPr>
        <w:t> </w:t>
      </w:r>
      <w:r>
        <w:rPr/>
        <w:t>αγοράς.</w:t>
      </w:r>
      <w:r>
        <w:rPr>
          <w:spacing w:val="-8"/>
        </w:rPr>
        <w:t> </w:t>
      </w:r>
      <w:r>
        <w:rPr/>
        <w:t>Υπό</w:t>
      </w:r>
      <w:r>
        <w:rPr>
          <w:spacing w:val="-8"/>
        </w:rPr>
        <w:t> </w:t>
      </w:r>
      <w:r>
        <w:rPr/>
        <w:t>την</w:t>
      </w:r>
      <w:r>
        <w:rPr>
          <w:spacing w:val="-7"/>
        </w:rPr>
        <w:t> </w:t>
      </w:r>
      <w:r>
        <w:rPr/>
        <w:t>προϋπόθεση</w:t>
      </w:r>
      <w:r>
        <w:rPr>
          <w:spacing w:val="-8"/>
        </w:rPr>
        <w:t> </w:t>
      </w:r>
      <w:r>
        <w:rPr/>
        <w:t>της</w:t>
      </w:r>
      <w:r>
        <w:rPr>
          <w:spacing w:val="-9"/>
        </w:rPr>
        <w:t> </w:t>
      </w:r>
      <w:r>
        <w:rPr/>
        <w:t>προσή-λωσης στην επίτευξη των δημοσιονομικών στόχων και της αποτελεσματικής αξιοποίησης των ευρωπαϊκών</w:t>
      </w:r>
      <w:r>
        <w:rPr>
          <w:spacing w:val="-14"/>
        </w:rPr>
        <w:t> </w:t>
      </w:r>
      <w:r>
        <w:rPr/>
        <w:t>πόρων,</w:t>
      </w:r>
      <w:r>
        <w:rPr>
          <w:spacing w:val="-14"/>
        </w:rPr>
        <w:t> </w:t>
      </w:r>
      <w:r>
        <w:rPr/>
        <w:t>ο</w:t>
      </w:r>
      <w:r>
        <w:rPr>
          <w:spacing w:val="-14"/>
        </w:rPr>
        <w:t> </w:t>
      </w:r>
      <w:r>
        <w:rPr/>
        <w:t>λόγος</w:t>
      </w:r>
      <w:r>
        <w:rPr>
          <w:spacing w:val="-13"/>
        </w:rPr>
        <w:t> </w:t>
      </w:r>
      <w:r>
        <w:rPr/>
        <w:t>χρέους</w:t>
      </w:r>
      <w:r>
        <w:rPr>
          <w:spacing w:val="-14"/>
        </w:rPr>
        <w:t> </w:t>
      </w:r>
      <w:r>
        <w:rPr/>
        <w:t>προς</w:t>
      </w:r>
      <w:r>
        <w:rPr>
          <w:spacing w:val="-14"/>
        </w:rPr>
        <w:t> </w:t>
      </w:r>
      <w:r>
        <w:rPr/>
        <w:t>ΑΕΠ</w:t>
      </w:r>
      <w:r>
        <w:rPr>
          <w:spacing w:val="-14"/>
        </w:rPr>
        <w:t> </w:t>
      </w:r>
      <w:r>
        <w:rPr/>
        <w:t>εκτιμάται</w:t>
      </w:r>
      <w:r>
        <w:rPr>
          <w:spacing w:val="-13"/>
        </w:rPr>
        <w:t> </w:t>
      </w:r>
      <w:r>
        <w:rPr/>
        <w:t>ότι</w:t>
      </w:r>
      <w:r>
        <w:rPr>
          <w:spacing w:val="-14"/>
        </w:rPr>
        <w:t> </w:t>
      </w:r>
      <w:r>
        <w:rPr/>
        <w:t>τίθεται</w:t>
      </w:r>
      <w:r>
        <w:rPr>
          <w:spacing w:val="-14"/>
        </w:rPr>
        <w:t> </w:t>
      </w:r>
      <w:r>
        <w:rPr/>
        <w:t>σε</w:t>
      </w:r>
      <w:r>
        <w:rPr>
          <w:spacing w:val="-14"/>
        </w:rPr>
        <w:t> </w:t>
      </w:r>
      <w:r>
        <w:rPr/>
        <w:t>σταθερή</w:t>
      </w:r>
      <w:r>
        <w:rPr>
          <w:spacing w:val="-13"/>
        </w:rPr>
        <w:t> </w:t>
      </w:r>
      <w:r>
        <w:rPr/>
        <w:t>καθοδική</w:t>
      </w:r>
      <w:r>
        <w:rPr>
          <w:spacing w:val="-14"/>
        </w:rPr>
        <w:t> </w:t>
      </w:r>
      <w:r>
        <w:rPr/>
        <w:t>τροχιά, ενώ οι ακαθάριστες χρηματοδοτικές ανάγκες εκτιμώνται κάτω από τα όρια αναφοράς (15% με-σοπρόθεσμα</w:t>
      </w:r>
      <w:r>
        <w:rPr>
          <w:spacing w:val="-8"/>
        </w:rPr>
        <w:t> </w:t>
      </w:r>
      <w:r>
        <w:rPr/>
        <w:t>και</w:t>
      </w:r>
      <w:r>
        <w:rPr>
          <w:spacing w:val="-7"/>
        </w:rPr>
        <w:t> </w:t>
      </w:r>
      <w:r>
        <w:rPr/>
        <w:t>20%</w:t>
      </w:r>
      <w:r>
        <w:rPr>
          <w:spacing w:val="-6"/>
        </w:rPr>
        <w:t> </w:t>
      </w:r>
      <w:r>
        <w:rPr/>
        <w:t>μακροπρόθεσμα),</w:t>
      </w:r>
      <w:r>
        <w:rPr>
          <w:spacing w:val="-7"/>
        </w:rPr>
        <w:t> </w:t>
      </w:r>
      <w:r>
        <w:rPr/>
        <w:t>με</w:t>
      </w:r>
      <w:r>
        <w:rPr>
          <w:spacing w:val="-6"/>
        </w:rPr>
        <w:t> </w:t>
      </w:r>
      <w:r>
        <w:rPr/>
        <w:t>αυξημένη</w:t>
      </w:r>
      <w:r>
        <w:rPr>
          <w:spacing w:val="-10"/>
        </w:rPr>
        <w:t> </w:t>
      </w:r>
      <w:r>
        <w:rPr/>
        <w:t>ανθεκτικότητα</w:t>
      </w:r>
      <w:r>
        <w:rPr>
          <w:spacing w:val="-8"/>
        </w:rPr>
        <w:t> </w:t>
      </w:r>
      <w:r>
        <w:rPr/>
        <w:t>σε</w:t>
      </w:r>
      <w:r>
        <w:rPr>
          <w:spacing w:val="-6"/>
        </w:rPr>
        <w:t> </w:t>
      </w:r>
      <w:r>
        <w:rPr/>
        <w:t>μια</w:t>
      </w:r>
      <w:r>
        <w:rPr>
          <w:spacing w:val="-9"/>
        </w:rPr>
        <w:t> </w:t>
      </w:r>
      <w:r>
        <w:rPr/>
        <w:t>σειρά</w:t>
      </w:r>
      <w:r>
        <w:rPr>
          <w:spacing w:val="-10"/>
        </w:rPr>
        <w:t> </w:t>
      </w:r>
      <w:r>
        <w:rPr/>
        <w:t>από</w:t>
      </w:r>
      <w:r>
        <w:rPr>
          <w:spacing w:val="-7"/>
        </w:rPr>
        <w:t> </w:t>
      </w:r>
      <w:r>
        <w:rPr/>
        <w:t>αρνητικές επισφάλειες μεσοπρόθεσμα.</w:t>
      </w:r>
    </w:p>
    <w:p>
      <w:pPr>
        <w:pStyle w:val="BodyText"/>
        <w:spacing w:line="285" w:lineRule="auto" w:before="54"/>
        <w:ind w:left="172" w:right="954"/>
        <w:jc w:val="both"/>
      </w:pPr>
      <w:r>
        <w:rPr/>
        <w:t>Όπως έγινε σαφές μέσα από την πρακτική εφαρμογή των κανόνων του νέου δημοσιονομικού πλαισίου τα δύο τελευταία έτη, η υλοποίηση διαρθρωτικών μεταρρυθμίσεων και η ταχεία απο-κλιμάκωση</w:t>
      </w:r>
      <w:r>
        <w:rPr>
          <w:spacing w:val="-2"/>
        </w:rPr>
        <w:t> </w:t>
      </w:r>
      <w:r>
        <w:rPr/>
        <w:t>του</w:t>
      </w:r>
      <w:r>
        <w:rPr>
          <w:spacing w:val="-2"/>
        </w:rPr>
        <w:t> </w:t>
      </w:r>
      <w:r>
        <w:rPr/>
        <w:t>δημόσιου</w:t>
      </w:r>
      <w:r>
        <w:rPr>
          <w:spacing w:val="-1"/>
        </w:rPr>
        <w:t> </w:t>
      </w:r>
      <w:r>
        <w:rPr/>
        <w:t>χρέους</w:t>
      </w:r>
      <w:r>
        <w:rPr>
          <w:spacing w:val="-3"/>
        </w:rPr>
        <w:t> </w:t>
      </w:r>
      <w:r>
        <w:rPr/>
        <w:t>δημιουργούν</w:t>
      </w:r>
      <w:r>
        <w:rPr>
          <w:spacing w:val="-1"/>
        </w:rPr>
        <w:t> </w:t>
      </w:r>
      <w:r>
        <w:rPr/>
        <w:t>τις</w:t>
      </w:r>
      <w:r>
        <w:rPr>
          <w:spacing w:val="-2"/>
        </w:rPr>
        <w:t> </w:t>
      </w:r>
      <w:r>
        <w:rPr/>
        <w:t>προϋποθέσεις</w:t>
      </w:r>
      <w:r>
        <w:rPr>
          <w:spacing w:val="-2"/>
        </w:rPr>
        <w:t> </w:t>
      </w:r>
      <w:r>
        <w:rPr/>
        <w:t>για</w:t>
      </w:r>
      <w:r>
        <w:rPr>
          <w:spacing w:val="-2"/>
        </w:rPr>
        <w:t> </w:t>
      </w:r>
      <w:r>
        <w:rPr/>
        <w:t>την</w:t>
      </w:r>
      <w:r>
        <w:rPr>
          <w:spacing w:val="-4"/>
        </w:rPr>
        <w:t> </w:t>
      </w:r>
      <w:r>
        <w:rPr/>
        <w:t>υιοθέτηση</w:t>
      </w:r>
      <w:r>
        <w:rPr>
          <w:spacing w:val="-2"/>
        </w:rPr>
        <w:t> </w:t>
      </w:r>
      <w:r>
        <w:rPr/>
        <w:t>επεκτατικών δημοσιονομικών</w:t>
      </w:r>
      <w:r>
        <w:rPr>
          <w:spacing w:val="-5"/>
        </w:rPr>
        <w:t> </w:t>
      </w:r>
      <w:r>
        <w:rPr/>
        <w:t>μέτρων</w:t>
      </w:r>
      <w:r>
        <w:rPr>
          <w:spacing w:val="-5"/>
        </w:rPr>
        <w:t> </w:t>
      </w:r>
      <w:r>
        <w:rPr/>
        <w:t>χωρίς</w:t>
      </w:r>
      <w:r>
        <w:rPr>
          <w:spacing w:val="-9"/>
        </w:rPr>
        <w:t> </w:t>
      </w:r>
      <w:r>
        <w:rPr/>
        <w:t>να</w:t>
      </w:r>
      <w:r>
        <w:rPr>
          <w:spacing w:val="-6"/>
        </w:rPr>
        <w:t> </w:t>
      </w:r>
      <w:r>
        <w:rPr/>
        <w:t>διακυβεύεται</w:t>
      </w:r>
      <w:r>
        <w:rPr>
          <w:spacing w:val="-5"/>
        </w:rPr>
        <w:t> </w:t>
      </w:r>
      <w:r>
        <w:rPr/>
        <w:t>η</w:t>
      </w:r>
      <w:r>
        <w:rPr>
          <w:spacing w:val="-6"/>
        </w:rPr>
        <w:t> </w:t>
      </w:r>
      <w:r>
        <w:rPr/>
        <w:t>μακροπρόθεσμη</w:t>
      </w:r>
      <w:r>
        <w:rPr>
          <w:spacing w:val="-6"/>
        </w:rPr>
        <w:t> </w:t>
      </w:r>
      <w:r>
        <w:rPr/>
        <w:t>δημοσιονομική</w:t>
      </w:r>
      <w:r>
        <w:rPr>
          <w:spacing w:val="-6"/>
        </w:rPr>
        <w:t> </w:t>
      </w:r>
      <w:r>
        <w:rPr/>
        <w:t>ισορροπία.</w:t>
      </w:r>
      <w:r>
        <w:rPr>
          <w:spacing w:val="-8"/>
        </w:rPr>
        <w:t> </w:t>
      </w:r>
      <w:r>
        <w:rPr/>
        <w:t>Η σταθερή</w:t>
      </w:r>
      <w:r>
        <w:rPr>
          <w:spacing w:val="-3"/>
        </w:rPr>
        <w:t> </w:t>
      </w:r>
      <w:r>
        <w:rPr/>
        <w:t>υπεραπόδοση</w:t>
      </w:r>
      <w:r>
        <w:rPr>
          <w:spacing w:val="-6"/>
        </w:rPr>
        <w:t> </w:t>
      </w:r>
      <w:r>
        <w:rPr/>
        <w:t>των</w:t>
      </w:r>
      <w:r>
        <w:rPr>
          <w:spacing w:val="-5"/>
        </w:rPr>
        <w:t> </w:t>
      </w:r>
      <w:r>
        <w:rPr/>
        <w:t>φορολογικών</w:t>
      </w:r>
      <w:r>
        <w:rPr>
          <w:spacing w:val="-5"/>
        </w:rPr>
        <w:t> </w:t>
      </w:r>
      <w:r>
        <w:rPr/>
        <w:t>εσόδων</w:t>
      </w:r>
      <w:r>
        <w:rPr>
          <w:spacing w:val="-2"/>
        </w:rPr>
        <w:t> </w:t>
      </w:r>
      <w:r>
        <w:rPr/>
        <w:t>και</w:t>
      </w:r>
      <w:r>
        <w:rPr>
          <w:spacing w:val="-2"/>
        </w:rPr>
        <w:t> </w:t>
      </w:r>
      <w:r>
        <w:rPr/>
        <w:t>των</w:t>
      </w:r>
      <w:r>
        <w:rPr>
          <w:spacing w:val="-2"/>
        </w:rPr>
        <w:t> </w:t>
      </w:r>
      <w:r>
        <w:rPr/>
        <w:t>ασφαλιστικών</w:t>
      </w:r>
      <w:r>
        <w:rPr>
          <w:spacing w:val="-5"/>
        </w:rPr>
        <w:t> </w:t>
      </w:r>
      <w:r>
        <w:rPr/>
        <w:t>εισφορών,</w:t>
      </w:r>
      <w:r>
        <w:rPr>
          <w:spacing w:val="-3"/>
        </w:rPr>
        <w:t> </w:t>
      </w:r>
      <w:r>
        <w:rPr/>
        <w:t>ως</w:t>
      </w:r>
      <w:r>
        <w:rPr>
          <w:spacing w:val="-4"/>
        </w:rPr>
        <w:t> </w:t>
      </w:r>
      <w:r>
        <w:rPr/>
        <w:t>αποτέλε-σμα</w:t>
      </w:r>
      <w:r>
        <w:rPr>
          <w:spacing w:val="-2"/>
        </w:rPr>
        <w:t> </w:t>
      </w:r>
      <w:r>
        <w:rPr/>
        <w:t>σειράς</w:t>
      </w:r>
      <w:r>
        <w:rPr>
          <w:spacing w:val="-3"/>
        </w:rPr>
        <w:t> </w:t>
      </w:r>
      <w:r>
        <w:rPr/>
        <w:t>μεταρρυθμίσεων που</w:t>
      </w:r>
      <w:r>
        <w:rPr>
          <w:spacing w:val="-2"/>
        </w:rPr>
        <w:t> </w:t>
      </w:r>
      <w:r>
        <w:rPr/>
        <w:t>στόχο</w:t>
      </w:r>
      <w:r>
        <w:rPr>
          <w:spacing w:val="-3"/>
        </w:rPr>
        <w:t> </w:t>
      </w:r>
      <w:r>
        <w:rPr/>
        <w:t>έχουν την αποτελεσματική</w:t>
      </w:r>
      <w:r>
        <w:rPr>
          <w:spacing w:val="-2"/>
        </w:rPr>
        <w:t> </w:t>
      </w:r>
      <w:r>
        <w:rPr/>
        <w:t>καταπολέμηση</w:t>
      </w:r>
      <w:r>
        <w:rPr>
          <w:spacing w:val="-1"/>
        </w:rPr>
        <w:t> </w:t>
      </w:r>
      <w:r>
        <w:rPr/>
        <w:t>της</w:t>
      </w:r>
      <w:r>
        <w:rPr>
          <w:spacing w:val="-2"/>
        </w:rPr>
        <w:t> </w:t>
      </w:r>
      <w:r>
        <w:rPr/>
        <w:t>φοροδια-φυγής</w:t>
      </w:r>
      <w:r>
        <w:rPr>
          <w:spacing w:val="-10"/>
        </w:rPr>
        <w:t> </w:t>
      </w:r>
      <w:r>
        <w:rPr/>
        <w:t>και</w:t>
      </w:r>
      <w:r>
        <w:rPr>
          <w:spacing w:val="-8"/>
        </w:rPr>
        <w:t> </w:t>
      </w:r>
      <w:r>
        <w:rPr/>
        <w:t>της</w:t>
      </w:r>
      <w:r>
        <w:rPr>
          <w:spacing w:val="-10"/>
        </w:rPr>
        <w:t> </w:t>
      </w:r>
      <w:r>
        <w:rPr/>
        <w:t>εισφοροδιαφυγής,</w:t>
      </w:r>
      <w:r>
        <w:rPr>
          <w:spacing w:val="-9"/>
        </w:rPr>
        <w:t> </w:t>
      </w:r>
      <w:r>
        <w:rPr/>
        <w:t>καταδεικνύει</w:t>
      </w:r>
      <w:r>
        <w:rPr>
          <w:spacing w:val="-8"/>
        </w:rPr>
        <w:t> </w:t>
      </w:r>
      <w:r>
        <w:rPr/>
        <w:t>τη</w:t>
      </w:r>
      <w:r>
        <w:rPr>
          <w:spacing w:val="-9"/>
        </w:rPr>
        <w:t> </w:t>
      </w:r>
      <w:r>
        <w:rPr/>
        <w:t>διαρκή</w:t>
      </w:r>
      <w:r>
        <w:rPr>
          <w:spacing w:val="-9"/>
        </w:rPr>
        <w:t> </w:t>
      </w:r>
      <w:r>
        <w:rPr/>
        <w:t>μείωση</w:t>
      </w:r>
      <w:r>
        <w:rPr>
          <w:spacing w:val="-9"/>
        </w:rPr>
        <w:t> </w:t>
      </w:r>
      <w:r>
        <w:rPr/>
        <w:t>της</w:t>
      </w:r>
      <w:r>
        <w:rPr>
          <w:spacing w:val="-10"/>
        </w:rPr>
        <w:t> </w:t>
      </w:r>
      <w:r>
        <w:rPr/>
        <w:t>παραοικονομίας,</w:t>
      </w:r>
      <w:r>
        <w:rPr>
          <w:spacing w:val="-9"/>
        </w:rPr>
        <w:t> </w:t>
      </w:r>
      <w:r>
        <w:rPr/>
        <w:t>όπως</w:t>
      </w:r>
      <w:r>
        <w:rPr>
          <w:spacing w:val="-10"/>
        </w:rPr>
        <w:t> </w:t>
      </w:r>
      <w:r>
        <w:rPr/>
        <w:t>απο-καλύπτουν</w:t>
      </w:r>
      <w:r>
        <w:rPr>
          <w:spacing w:val="-5"/>
        </w:rPr>
        <w:t> </w:t>
      </w:r>
      <w:r>
        <w:rPr/>
        <w:t>και</w:t>
      </w:r>
      <w:r>
        <w:rPr>
          <w:spacing w:val="-5"/>
        </w:rPr>
        <w:t> </w:t>
      </w:r>
      <w:r>
        <w:rPr/>
        <w:t>τα</w:t>
      </w:r>
      <w:r>
        <w:rPr>
          <w:spacing w:val="-6"/>
        </w:rPr>
        <w:t> </w:t>
      </w:r>
      <w:r>
        <w:rPr/>
        <w:t>πρόσφατα</w:t>
      </w:r>
      <w:r>
        <w:rPr>
          <w:spacing w:val="-6"/>
        </w:rPr>
        <w:t> </w:t>
      </w:r>
      <w:r>
        <w:rPr/>
        <w:t>στοιχεία</w:t>
      </w:r>
      <w:r>
        <w:rPr>
          <w:spacing w:val="-5"/>
        </w:rPr>
        <w:t> </w:t>
      </w:r>
      <w:r>
        <w:rPr/>
        <w:t>της</w:t>
      </w:r>
      <w:r>
        <w:rPr>
          <w:spacing w:val="-6"/>
        </w:rPr>
        <w:t> </w:t>
      </w:r>
      <w:r>
        <w:rPr/>
        <w:t>Ευρωπαϊκής</w:t>
      </w:r>
      <w:r>
        <w:rPr>
          <w:spacing w:val="-8"/>
        </w:rPr>
        <w:t> </w:t>
      </w:r>
      <w:r>
        <w:rPr/>
        <w:t>Επιτροπής</w:t>
      </w:r>
      <w:r>
        <w:rPr>
          <w:spacing w:val="-4"/>
        </w:rPr>
        <w:t> </w:t>
      </w:r>
      <w:r>
        <w:rPr/>
        <w:t>για</w:t>
      </w:r>
      <w:r>
        <w:rPr>
          <w:spacing w:val="-7"/>
        </w:rPr>
        <w:t> </w:t>
      </w:r>
      <w:r>
        <w:rPr/>
        <w:t>τη</w:t>
      </w:r>
      <w:r>
        <w:rPr>
          <w:spacing w:val="-6"/>
        </w:rPr>
        <w:t> </w:t>
      </w:r>
      <w:r>
        <w:rPr/>
        <w:t>μείωση</w:t>
      </w:r>
      <w:r>
        <w:rPr>
          <w:spacing w:val="-7"/>
        </w:rPr>
        <w:t> </w:t>
      </w:r>
      <w:r>
        <w:rPr/>
        <w:t>του</w:t>
      </w:r>
      <w:r>
        <w:rPr>
          <w:spacing w:val="-5"/>
        </w:rPr>
        <w:t> </w:t>
      </w:r>
      <w:r>
        <w:rPr/>
        <w:t>κενού</w:t>
      </w:r>
      <w:r>
        <w:rPr>
          <w:spacing w:val="-5"/>
        </w:rPr>
        <w:t> </w:t>
      </w:r>
      <w:r>
        <w:rPr/>
        <w:t>ΦΠΑ τα</w:t>
      </w:r>
      <w:r>
        <w:rPr>
          <w:spacing w:val="-14"/>
        </w:rPr>
        <w:t> </w:t>
      </w:r>
      <w:r>
        <w:rPr/>
        <w:t>τελευταία</w:t>
      </w:r>
      <w:r>
        <w:rPr>
          <w:spacing w:val="-14"/>
        </w:rPr>
        <w:t> </w:t>
      </w:r>
      <w:r>
        <w:rPr/>
        <w:t>χρόνια</w:t>
      </w:r>
      <w:hyperlink w:history="true" w:anchor="_bookmark8">
        <w:r>
          <w:rPr/>
          <w:t>.</w:t>
        </w:r>
        <w:r>
          <w:rPr>
            <w:position w:val="6"/>
            <w:sz w:val="10"/>
          </w:rPr>
          <w:t>5</w:t>
        </w:r>
      </w:hyperlink>
      <w:r>
        <w:rPr>
          <w:position w:val="6"/>
          <w:sz w:val="10"/>
        </w:rPr>
        <w:t> </w:t>
      </w:r>
      <w:r>
        <w:rPr/>
        <w:t>Το</w:t>
      </w:r>
      <w:r>
        <w:rPr>
          <w:spacing w:val="-14"/>
        </w:rPr>
        <w:t> </w:t>
      </w:r>
      <w:r>
        <w:rPr/>
        <w:t>γεγονός</w:t>
      </w:r>
      <w:r>
        <w:rPr>
          <w:spacing w:val="-14"/>
        </w:rPr>
        <w:t> </w:t>
      </w:r>
      <w:r>
        <w:rPr/>
        <w:t>αυτό</w:t>
      </w:r>
      <w:r>
        <w:rPr>
          <w:spacing w:val="-14"/>
        </w:rPr>
        <w:t> </w:t>
      </w:r>
      <w:r>
        <w:rPr/>
        <w:t>δημιουργεί</w:t>
      </w:r>
      <w:r>
        <w:rPr>
          <w:spacing w:val="-13"/>
        </w:rPr>
        <w:t> </w:t>
      </w:r>
      <w:r>
        <w:rPr/>
        <w:t>περιθώριο</w:t>
      </w:r>
      <w:r>
        <w:rPr>
          <w:spacing w:val="-14"/>
        </w:rPr>
        <w:t> </w:t>
      </w:r>
      <w:r>
        <w:rPr/>
        <w:t>πρόσθετης</w:t>
      </w:r>
      <w:r>
        <w:rPr>
          <w:spacing w:val="-14"/>
        </w:rPr>
        <w:t> </w:t>
      </w:r>
      <w:r>
        <w:rPr/>
        <w:t>μόνιμης</w:t>
      </w:r>
      <w:r>
        <w:rPr>
          <w:spacing w:val="-14"/>
        </w:rPr>
        <w:t> </w:t>
      </w:r>
      <w:r>
        <w:rPr/>
        <w:t>δημοσιονομικής επέκτασης, καθώς,</w:t>
      </w:r>
      <w:r>
        <w:rPr>
          <w:spacing w:val="-2"/>
        </w:rPr>
        <w:t> </w:t>
      </w:r>
      <w:r>
        <w:rPr/>
        <w:t>υπό το</w:t>
      </w:r>
      <w:r>
        <w:rPr>
          <w:spacing w:val="-2"/>
        </w:rPr>
        <w:t> </w:t>
      </w:r>
      <w:r>
        <w:rPr/>
        <w:t>νέο</w:t>
      </w:r>
      <w:r>
        <w:rPr>
          <w:spacing w:val="-3"/>
        </w:rPr>
        <w:t> </w:t>
      </w:r>
      <w:r>
        <w:rPr/>
        <w:t>δημοσιονομικό</w:t>
      </w:r>
      <w:r>
        <w:rPr>
          <w:spacing w:val="-3"/>
        </w:rPr>
        <w:t> </w:t>
      </w:r>
      <w:r>
        <w:rPr/>
        <w:t>πλαίσιο, ο ετήσιος</w:t>
      </w:r>
      <w:r>
        <w:rPr>
          <w:spacing w:val="-1"/>
        </w:rPr>
        <w:t> </w:t>
      </w:r>
      <w:r>
        <w:rPr/>
        <w:t>ρυθμός αύξησης</w:t>
      </w:r>
      <w:r>
        <w:rPr>
          <w:spacing w:val="-1"/>
        </w:rPr>
        <w:t> </w:t>
      </w:r>
      <w:r>
        <w:rPr/>
        <w:t>των</w:t>
      </w:r>
      <w:r>
        <w:rPr>
          <w:spacing w:val="-1"/>
        </w:rPr>
        <w:t> </w:t>
      </w:r>
      <w:r>
        <w:rPr/>
        <w:t>καθαρών δαπανών</w:t>
      </w:r>
      <w:r>
        <w:rPr>
          <w:spacing w:val="-14"/>
        </w:rPr>
        <w:t> </w:t>
      </w:r>
      <w:r>
        <w:rPr/>
        <w:t>προσαρμόζεται</w:t>
      </w:r>
      <w:r>
        <w:rPr>
          <w:spacing w:val="-13"/>
        </w:rPr>
        <w:t> </w:t>
      </w:r>
      <w:r>
        <w:rPr/>
        <w:t>ανάλογα</w:t>
      </w:r>
      <w:r>
        <w:rPr>
          <w:spacing w:val="-14"/>
        </w:rPr>
        <w:t> </w:t>
      </w:r>
      <w:r>
        <w:rPr/>
        <w:t>με</w:t>
      </w:r>
      <w:r>
        <w:rPr>
          <w:spacing w:val="-14"/>
        </w:rPr>
        <w:t> </w:t>
      </w:r>
      <w:r>
        <w:rPr/>
        <w:t>την</w:t>
      </w:r>
      <w:r>
        <w:rPr>
          <w:spacing w:val="-13"/>
        </w:rPr>
        <w:t> </w:t>
      </w:r>
      <w:r>
        <w:rPr/>
        <w:t>πορεία</w:t>
      </w:r>
      <w:r>
        <w:rPr>
          <w:spacing w:val="-12"/>
        </w:rPr>
        <w:t> </w:t>
      </w:r>
      <w:r>
        <w:rPr/>
        <w:t>των</w:t>
      </w:r>
      <w:r>
        <w:rPr>
          <w:spacing w:val="-13"/>
        </w:rPr>
        <w:t> </w:t>
      </w:r>
      <w:r>
        <w:rPr/>
        <w:t>μόνιμων</w:t>
      </w:r>
      <w:r>
        <w:rPr>
          <w:spacing w:val="-13"/>
        </w:rPr>
        <w:t> </w:t>
      </w:r>
      <w:r>
        <w:rPr/>
        <w:t>ενεργητικών</w:t>
      </w:r>
      <w:r>
        <w:rPr>
          <w:spacing w:val="-13"/>
        </w:rPr>
        <w:t> </w:t>
      </w:r>
      <w:r>
        <w:rPr/>
        <w:t>μέτρων</w:t>
      </w:r>
      <w:r>
        <w:rPr>
          <w:spacing w:val="-13"/>
        </w:rPr>
        <w:t> </w:t>
      </w:r>
      <w:r>
        <w:rPr/>
        <w:t>πολιτικής</w:t>
      </w:r>
      <w:r>
        <w:rPr>
          <w:spacing w:val="-14"/>
        </w:rPr>
        <w:t> </w:t>
      </w:r>
      <w:r>
        <w:rPr/>
        <w:t>στο σκέλος των εσόδων υπό συγκεκριμένους περιορισμούς.</w:t>
      </w:r>
    </w:p>
    <w:p>
      <w:pPr>
        <w:pStyle w:val="BodyText"/>
        <w:spacing w:line="285" w:lineRule="auto" w:before="48"/>
        <w:ind w:left="172" w:right="953"/>
        <w:jc w:val="both"/>
      </w:pPr>
      <w:r>
        <w:rPr/>
        <w:t>Η προσπάθεια περαιτέρω καταπολέμησης της φοροδιαφυγής και διεύρυνσης της φορολογητέας βάσης πρέπει να συνεχιστεί. Αυτή η προσπάθεια θα πρέπει να περνά μέσα και από την απλού-στευση του φορολογικού συστήματος, την προσπάθεια για μείωση του κόστους συμμόρφωσης και</w:t>
      </w:r>
      <w:r>
        <w:rPr>
          <w:spacing w:val="-2"/>
        </w:rPr>
        <w:t> </w:t>
      </w:r>
      <w:r>
        <w:rPr/>
        <w:t>της</w:t>
      </w:r>
      <w:r>
        <w:rPr>
          <w:spacing w:val="-3"/>
        </w:rPr>
        <w:t> </w:t>
      </w:r>
      <w:r>
        <w:rPr/>
        <w:t>γραφειοκρατίας,</w:t>
      </w:r>
      <w:r>
        <w:rPr>
          <w:spacing w:val="-2"/>
        </w:rPr>
        <w:t> </w:t>
      </w:r>
      <w:r>
        <w:rPr/>
        <w:t>καθώς</w:t>
      </w:r>
      <w:r>
        <w:rPr>
          <w:spacing w:val="-3"/>
        </w:rPr>
        <w:t> </w:t>
      </w:r>
      <w:r>
        <w:rPr/>
        <w:t>και</w:t>
      </w:r>
      <w:r>
        <w:rPr>
          <w:spacing w:val="-2"/>
        </w:rPr>
        <w:t> </w:t>
      </w:r>
      <w:r>
        <w:rPr/>
        <w:t>την</w:t>
      </w:r>
      <w:r>
        <w:rPr>
          <w:spacing w:val="-2"/>
        </w:rPr>
        <w:t> </w:t>
      </w:r>
      <w:r>
        <w:rPr/>
        <w:t>ενίσχυση</w:t>
      </w:r>
      <w:r>
        <w:rPr>
          <w:spacing w:val="-2"/>
        </w:rPr>
        <w:t> </w:t>
      </w:r>
      <w:r>
        <w:rPr/>
        <w:t>της</w:t>
      </w:r>
      <w:r>
        <w:rPr>
          <w:spacing w:val="-4"/>
        </w:rPr>
        <w:t> </w:t>
      </w:r>
      <w:r>
        <w:rPr/>
        <w:t>φορολογικής</w:t>
      </w:r>
      <w:r>
        <w:rPr>
          <w:spacing w:val="-4"/>
        </w:rPr>
        <w:t> </w:t>
      </w:r>
      <w:r>
        <w:rPr/>
        <w:t>συνείδησης</w:t>
      </w:r>
      <w:r>
        <w:rPr>
          <w:spacing w:val="-3"/>
        </w:rPr>
        <w:t> </w:t>
      </w:r>
      <w:r>
        <w:rPr/>
        <w:t>μέσω</w:t>
      </w:r>
      <w:r>
        <w:rPr>
          <w:spacing w:val="-1"/>
        </w:rPr>
        <w:t> </w:t>
      </w:r>
      <w:r>
        <w:rPr/>
        <w:t>της χρημα-τοοικονομικής εκπαίδευσης στα σχολεία.</w:t>
      </w:r>
    </w:p>
    <w:p>
      <w:pPr>
        <w:pStyle w:val="BodyText"/>
        <w:spacing w:line="285" w:lineRule="auto" w:before="55"/>
        <w:ind w:left="172" w:right="954"/>
        <w:jc w:val="both"/>
      </w:pPr>
      <w:r>
        <w:rPr/>
        <w:t>Μέσα από μια τέτοια προσέγγιση, πλήρως εναρμονισμένη με το νέο ευρωπαϊκό δημοσιονομικό πλαίσιο,</w:t>
      </w:r>
      <w:r>
        <w:rPr>
          <w:spacing w:val="-9"/>
        </w:rPr>
        <w:t> </w:t>
      </w:r>
      <w:r>
        <w:rPr/>
        <w:t>ο</w:t>
      </w:r>
      <w:r>
        <w:rPr>
          <w:spacing w:val="-11"/>
        </w:rPr>
        <w:t> </w:t>
      </w:r>
      <w:r>
        <w:rPr/>
        <w:t>παραγόμενος</w:t>
      </w:r>
      <w:r>
        <w:rPr>
          <w:spacing w:val="-10"/>
        </w:rPr>
        <w:t> </w:t>
      </w:r>
      <w:r>
        <w:rPr/>
        <w:t>δημοσιονομικός</w:t>
      </w:r>
      <w:r>
        <w:rPr>
          <w:spacing w:val="-10"/>
        </w:rPr>
        <w:t> </w:t>
      </w:r>
      <w:r>
        <w:rPr/>
        <w:t>χώρος</w:t>
      </w:r>
      <w:r>
        <w:rPr>
          <w:spacing w:val="-12"/>
        </w:rPr>
        <w:t> </w:t>
      </w:r>
      <w:r>
        <w:rPr/>
        <w:t>θα</w:t>
      </w:r>
      <w:r>
        <w:rPr>
          <w:spacing w:val="-10"/>
        </w:rPr>
        <w:t> </w:t>
      </w:r>
      <w:r>
        <w:rPr/>
        <w:t>επιτρέψει</w:t>
      </w:r>
      <w:r>
        <w:rPr>
          <w:spacing w:val="-10"/>
        </w:rPr>
        <w:t> </w:t>
      </w:r>
      <w:r>
        <w:rPr/>
        <w:t>τη</w:t>
      </w:r>
      <w:r>
        <w:rPr>
          <w:spacing w:val="-11"/>
        </w:rPr>
        <w:t> </w:t>
      </w:r>
      <w:r>
        <w:rPr/>
        <w:t>λήψη</w:t>
      </w:r>
      <w:r>
        <w:rPr>
          <w:spacing w:val="-11"/>
        </w:rPr>
        <w:t> </w:t>
      </w:r>
      <w:r>
        <w:rPr/>
        <w:t>νέων</w:t>
      </w:r>
      <w:r>
        <w:rPr>
          <w:spacing w:val="-10"/>
        </w:rPr>
        <w:t> </w:t>
      </w:r>
      <w:r>
        <w:rPr/>
        <w:t>μέτρων</w:t>
      </w:r>
      <w:r>
        <w:rPr>
          <w:spacing w:val="-9"/>
        </w:rPr>
        <w:t> </w:t>
      </w:r>
      <w:r>
        <w:rPr/>
        <w:t>με</w:t>
      </w:r>
      <w:r>
        <w:rPr>
          <w:spacing w:val="-10"/>
        </w:rPr>
        <w:t> </w:t>
      </w:r>
      <w:r>
        <w:rPr/>
        <w:t>σκοπό</w:t>
      </w:r>
      <w:r>
        <w:rPr>
          <w:spacing w:val="-11"/>
        </w:rPr>
        <w:t> </w:t>
      </w:r>
      <w:r>
        <w:rPr/>
        <w:t>την περαιτέρω μείωση της υψηλής φορολογικής επιβάρυνσης της εργασίας, την ενίσχυση των εισο-δημάτων, την αύξηση των δημοσίων επενδύσεων και τη θωράκιση της οικονομικής ανθεκτικό-τητας.</w:t>
      </w:r>
      <w:r>
        <w:rPr>
          <w:spacing w:val="-5"/>
        </w:rPr>
        <w:t> </w:t>
      </w:r>
      <w:r>
        <w:rPr/>
        <w:t>Με</w:t>
      </w:r>
      <w:r>
        <w:rPr>
          <w:spacing w:val="-4"/>
        </w:rPr>
        <w:t> </w:t>
      </w:r>
      <w:r>
        <w:rPr/>
        <w:t>αυτόν</w:t>
      </w:r>
      <w:r>
        <w:rPr>
          <w:spacing w:val="-4"/>
        </w:rPr>
        <w:t> </w:t>
      </w:r>
      <w:r>
        <w:rPr/>
        <w:t>τον</w:t>
      </w:r>
      <w:r>
        <w:rPr>
          <w:spacing w:val="-4"/>
        </w:rPr>
        <w:t> </w:t>
      </w:r>
      <w:r>
        <w:rPr/>
        <w:t>τρόπο,</w:t>
      </w:r>
      <w:r>
        <w:rPr>
          <w:spacing w:val="-7"/>
        </w:rPr>
        <w:t> </w:t>
      </w:r>
      <w:r>
        <w:rPr/>
        <w:t>η</w:t>
      </w:r>
      <w:r>
        <w:rPr>
          <w:spacing w:val="-5"/>
        </w:rPr>
        <w:t> </w:t>
      </w:r>
      <w:r>
        <w:rPr/>
        <w:t>τρέχουσα</w:t>
      </w:r>
      <w:r>
        <w:rPr>
          <w:spacing w:val="-3"/>
        </w:rPr>
        <w:t> </w:t>
      </w:r>
      <w:r>
        <w:rPr/>
        <w:t>δημοσιονομική</w:t>
      </w:r>
      <w:r>
        <w:rPr>
          <w:spacing w:val="-5"/>
        </w:rPr>
        <w:t> </w:t>
      </w:r>
      <w:r>
        <w:rPr/>
        <w:t>υπεραπόδοση</w:t>
      </w:r>
      <w:r>
        <w:rPr>
          <w:spacing w:val="-5"/>
        </w:rPr>
        <w:t> </w:t>
      </w:r>
      <w:r>
        <w:rPr/>
        <w:t>θα</w:t>
      </w:r>
      <w:r>
        <w:rPr>
          <w:spacing w:val="-5"/>
        </w:rPr>
        <w:t> </w:t>
      </w:r>
      <w:r>
        <w:rPr/>
        <w:t>ενισχύσει</w:t>
      </w:r>
      <w:r>
        <w:rPr>
          <w:spacing w:val="-4"/>
        </w:rPr>
        <w:t> </w:t>
      </w:r>
      <w:r>
        <w:rPr/>
        <w:t>τη</w:t>
      </w:r>
      <w:r>
        <w:rPr>
          <w:spacing w:val="-5"/>
        </w:rPr>
        <w:t> </w:t>
      </w:r>
      <w:r>
        <w:rPr/>
        <w:t>μεσοπρό-θεσμη</w:t>
      </w:r>
      <w:r>
        <w:rPr>
          <w:spacing w:val="-14"/>
        </w:rPr>
        <w:t> </w:t>
      </w:r>
      <w:r>
        <w:rPr/>
        <w:t>ανθεκτικότητα</w:t>
      </w:r>
      <w:r>
        <w:rPr>
          <w:spacing w:val="-14"/>
        </w:rPr>
        <w:t> </w:t>
      </w:r>
      <w:r>
        <w:rPr/>
        <w:t>της</w:t>
      </w:r>
      <w:r>
        <w:rPr>
          <w:spacing w:val="-14"/>
        </w:rPr>
        <w:t> </w:t>
      </w:r>
      <w:r>
        <w:rPr/>
        <w:t>ελληνικής</w:t>
      </w:r>
      <w:r>
        <w:rPr>
          <w:spacing w:val="-13"/>
        </w:rPr>
        <w:t> </w:t>
      </w:r>
      <w:r>
        <w:rPr/>
        <w:t>οικονομίας</w:t>
      </w:r>
      <w:r>
        <w:rPr>
          <w:spacing w:val="-14"/>
        </w:rPr>
        <w:t> </w:t>
      </w:r>
      <w:r>
        <w:rPr/>
        <w:t>απέναντι</w:t>
      </w:r>
      <w:r>
        <w:rPr>
          <w:spacing w:val="-14"/>
        </w:rPr>
        <w:t> </w:t>
      </w:r>
      <w:r>
        <w:rPr/>
        <w:t>στις</w:t>
      </w:r>
      <w:r>
        <w:rPr>
          <w:spacing w:val="-14"/>
        </w:rPr>
        <w:t> </w:t>
      </w:r>
      <w:r>
        <w:rPr/>
        <w:t>τρέχουσες</w:t>
      </w:r>
      <w:r>
        <w:rPr>
          <w:spacing w:val="-13"/>
        </w:rPr>
        <w:t> </w:t>
      </w:r>
      <w:r>
        <w:rPr/>
        <w:t>και</w:t>
      </w:r>
      <w:r>
        <w:rPr>
          <w:spacing w:val="-14"/>
        </w:rPr>
        <w:t> </w:t>
      </w:r>
      <w:r>
        <w:rPr/>
        <w:t>τις</w:t>
      </w:r>
      <w:r>
        <w:rPr>
          <w:spacing w:val="-14"/>
        </w:rPr>
        <w:t> </w:t>
      </w:r>
      <w:r>
        <w:rPr/>
        <w:t>μελλοντικές</w:t>
      </w:r>
      <w:r>
        <w:rPr>
          <w:spacing w:val="-14"/>
        </w:rPr>
        <w:t> </w:t>
      </w:r>
      <w:r>
        <w:rPr/>
        <w:t>προ-</w:t>
      </w:r>
      <w:r>
        <w:rPr>
          <w:spacing w:val="-2"/>
        </w:rPr>
        <w:t>κλήσεις.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r>
        <w:rPr>
          <w:sz w:val="20"/>
        </w:rPr>
        <mc:AlternateContent>
          <mc:Choice Requires="wps">
            <w:drawing>
              <wp:anchor distT="0" distB="0" distL="0" distR="0" allowOverlap="1" layoutInCell="1" locked="0" behindDoc="1" simplePos="0" relativeHeight="487590912">
                <wp:simplePos x="0" y="0"/>
                <wp:positionH relativeFrom="page">
                  <wp:posOffset>1009192</wp:posOffset>
                </wp:positionH>
                <wp:positionV relativeFrom="paragraph">
                  <wp:posOffset>163804</wp:posOffset>
                </wp:positionV>
                <wp:extent cx="1829435" cy="762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2.897958pt;width:144.020pt;height:.60004pt;mso-position-horizontal-relative:page;mso-position-vertical-relative:paragraph;z-index:-15725568;mso-wrap-distance-left:0;mso-wrap-distance-right:0" id="docshape24" filled="true" fillcolor="#000000" stroked="false">
                <v:fill type="solid"/>
                <w10:wrap type="topAndBottom"/>
              </v:rect>
            </w:pict>
          </mc:Fallback>
        </mc:AlternateContent>
      </w:r>
    </w:p>
    <w:p>
      <w:pPr>
        <w:spacing w:before="167"/>
        <w:ind w:left="172" w:right="956" w:firstLine="0"/>
        <w:jc w:val="left"/>
        <w:rPr>
          <w:sz w:val="16"/>
        </w:rPr>
      </w:pPr>
      <w:bookmarkStart w:name="_bookmark8" w:id="9"/>
      <w:bookmarkEnd w:id="9"/>
      <w:r>
        <w:rPr/>
      </w:r>
      <w:r>
        <w:rPr>
          <w:sz w:val="16"/>
          <w:vertAlign w:val="superscript"/>
        </w:rPr>
        <w:t>5</w:t>
      </w:r>
      <w:r>
        <w:rPr>
          <w:sz w:val="16"/>
          <w:vertAlign w:val="baseline"/>
        </w:rPr>
        <w:t> European Commission (2025), </w:t>
      </w:r>
      <w:r>
        <w:rPr>
          <w:i/>
          <w:sz w:val="16"/>
          <w:vertAlign w:val="baseline"/>
        </w:rPr>
        <w:t>Mind the Gap – Challenges</w:t>
      </w:r>
      <w:r>
        <w:rPr>
          <w:i/>
          <w:spacing w:val="-1"/>
          <w:sz w:val="16"/>
          <w:vertAlign w:val="baseline"/>
        </w:rPr>
        <w:t> </w:t>
      </w:r>
      <w:r>
        <w:rPr>
          <w:i/>
          <w:sz w:val="16"/>
          <w:vertAlign w:val="baseline"/>
        </w:rPr>
        <w:t>and opportunities for</w:t>
      </w:r>
      <w:r>
        <w:rPr>
          <w:i/>
          <w:spacing w:val="-1"/>
          <w:sz w:val="16"/>
          <w:vertAlign w:val="baseline"/>
        </w:rPr>
        <w:t> </w:t>
      </w:r>
      <w:r>
        <w:rPr>
          <w:i/>
          <w:sz w:val="16"/>
          <w:vertAlign w:val="baseline"/>
        </w:rPr>
        <w:t>tax compliance and tax expenditures in the EU –</w:t>
      </w:r>
      <w:r>
        <w:rPr>
          <w:i/>
          <w:spacing w:val="40"/>
          <w:sz w:val="16"/>
          <w:vertAlign w:val="baseline"/>
        </w:rPr>
        <w:t> </w:t>
      </w:r>
      <w:r>
        <w:rPr>
          <w:i/>
          <w:sz w:val="16"/>
          <w:vertAlign w:val="baseline"/>
        </w:rPr>
        <w:t>Full report</w:t>
      </w:r>
      <w:r>
        <w:rPr>
          <w:sz w:val="16"/>
          <w:vertAlign w:val="baseline"/>
        </w:rPr>
        <w:t>, Publications Office of the European Union, December.</w:t>
      </w:r>
    </w:p>
    <w:p>
      <w:pPr>
        <w:spacing w:after="0"/>
        <w:jc w:val="left"/>
        <w:rPr>
          <w:sz w:val="16"/>
        </w:rPr>
        <w:sectPr>
          <w:pgSz w:w="11910" w:h="16850"/>
          <w:pgMar w:header="0" w:footer="1180" w:top="1840" w:bottom="1360" w:left="1417" w:right="850"/>
        </w:sectPr>
      </w:pPr>
    </w:p>
    <w:p>
      <w:pPr>
        <w:pStyle w:val="Heading2"/>
        <w:numPr>
          <w:ilvl w:val="1"/>
          <w:numId w:val="2"/>
        </w:numPr>
        <w:tabs>
          <w:tab w:pos="568" w:val="left" w:leader="none"/>
        </w:tabs>
        <w:spacing w:line="240" w:lineRule="auto" w:before="70" w:after="0"/>
        <w:ind w:left="568" w:right="0" w:hanging="396"/>
        <w:jc w:val="left"/>
        <w:rPr>
          <w:color w:val="1F487C"/>
        </w:rPr>
      </w:pPr>
      <w:bookmarkStart w:name="_bookmark9" w:id="10"/>
      <w:bookmarkEnd w:id="10"/>
      <w:r>
        <w:rPr>
          <w:b w:val="0"/>
        </w:rPr>
      </w:r>
      <w:r>
        <w:rPr>
          <w:color w:val="1F487C"/>
        </w:rPr>
        <w:t>ΧΡΗΜΑΤΟΟΙΚΟΝΟΜΙΚΗ</w:t>
      </w:r>
      <w:r>
        <w:rPr>
          <w:color w:val="1F487C"/>
          <w:spacing w:val="-4"/>
        </w:rPr>
        <w:t> </w:t>
      </w:r>
      <w:r>
        <w:rPr>
          <w:color w:val="1F487C"/>
        </w:rPr>
        <w:t>ΚΑΤΑΣΤΑΣΗ</w:t>
      </w:r>
      <w:r>
        <w:rPr>
          <w:color w:val="1F487C"/>
          <w:spacing w:val="-3"/>
        </w:rPr>
        <w:t> </w:t>
      </w:r>
      <w:r>
        <w:rPr>
          <w:color w:val="1F487C"/>
          <w:spacing w:val="-2"/>
        </w:rPr>
        <w:t>ΝΟΙΚΟΚΥΡΙΩΝ</w:t>
      </w:r>
    </w:p>
    <w:p>
      <w:pPr>
        <w:pStyle w:val="Heading3"/>
        <w:numPr>
          <w:ilvl w:val="2"/>
          <w:numId w:val="2"/>
        </w:numPr>
        <w:tabs>
          <w:tab w:pos="738" w:val="left" w:leader="none"/>
        </w:tabs>
        <w:spacing w:line="240" w:lineRule="auto" w:before="120" w:after="0"/>
        <w:ind w:left="738" w:right="1216" w:hanging="567"/>
        <w:jc w:val="left"/>
        <w:rPr>
          <w:color w:val="1F487C"/>
        </w:rPr>
      </w:pPr>
      <w:bookmarkStart w:name="_bookmark10" w:id="11"/>
      <w:bookmarkEnd w:id="11"/>
      <w:r>
        <w:rPr>
          <w:b w:val="0"/>
        </w:rPr>
      </w:r>
      <w:r>
        <w:rPr>
          <w:color w:val="1F487C"/>
        </w:rPr>
        <w:t>ΠΙΣΤΩΤΙΚΕΣ</w:t>
      </w:r>
      <w:r>
        <w:rPr>
          <w:color w:val="1F487C"/>
          <w:spacing w:val="-6"/>
        </w:rPr>
        <w:t> </w:t>
      </w:r>
      <w:r>
        <w:rPr>
          <w:color w:val="1F487C"/>
        </w:rPr>
        <w:t>ΕΞΕΛΙΞΕΙΣ</w:t>
      </w:r>
      <w:r>
        <w:rPr>
          <w:color w:val="1F487C"/>
          <w:spacing w:val="-6"/>
        </w:rPr>
        <w:t> </w:t>
      </w:r>
      <w:r>
        <w:rPr>
          <w:color w:val="1F487C"/>
        </w:rPr>
        <w:t>ΚΑΙ</w:t>
      </w:r>
      <w:r>
        <w:rPr>
          <w:color w:val="1F487C"/>
          <w:spacing w:val="-8"/>
        </w:rPr>
        <w:t> </w:t>
      </w:r>
      <w:r>
        <w:rPr>
          <w:color w:val="1F487C"/>
        </w:rPr>
        <w:t>ΔΑΝΕΙΑΚΗ</w:t>
      </w:r>
      <w:r>
        <w:rPr>
          <w:color w:val="1F487C"/>
          <w:spacing w:val="-5"/>
        </w:rPr>
        <w:t> </w:t>
      </w:r>
      <w:r>
        <w:rPr>
          <w:color w:val="1F487C"/>
        </w:rPr>
        <w:t>ΕΠΙΒΑΡΥΝΣΗ</w:t>
      </w:r>
      <w:r>
        <w:rPr>
          <w:color w:val="1F487C"/>
          <w:spacing w:val="-6"/>
        </w:rPr>
        <w:t> </w:t>
      </w:r>
      <w:r>
        <w:rPr>
          <w:color w:val="1F487C"/>
        </w:rPr>
        <w:t>ΤΩΝ</w:t>
      </w:r>
      <w:r>
        <w:rPr>
          <w:color w:val="1F487C"/>
          <w:spacing w:val="-6"/>
        </w:rPr>
        <w:t> </w:t>
      </w:r>
      <w:r>
        <w:rPr>
          <w:color w:val="1F487C"/>
        </w:rPr>
        <w:t>ΝΟΙΚΟΚΥ-</w:t>
      </w:r>
      <w:r>
        <w:rPr>
          <w:color w:val="1F487C"/>
          <w:spacing w:val="-4"/>
        </w:rPr>
        <w:t>ΡΙΩΝ</w:t>
      </w:r>
    </w:p>
    <w:p>
      <w:pPr>
        <w:pStyle w:val="BodyText"/>
        <w:spacing w:line="300" w:lineRule="atLeast" w:before="82"/>
        <w:ind w:left="172" w:right="5436"/>
        <w:jc w:val="both"/>
      </w:pPr>
      <w:r>
        <w:rPr/>
        <mc:AlternateContent>
          <mc:Choice Requires="wps">
            <w:drawing>
              <wp:anchor distT="0" distB="0" distL="0" distR="0" allowOverlap="1" layoutInCell="1" locked="0" behindDoc="0" simplePos="0" relativeHeight="15733248">
                <wp:simplePos x="0" y="0"/>
                <wp:positionH relativeFrom="page">
                  <wp:posOffset>3681095</wp:posOffset>
                </wp:positionH>
                <wp:positionV relativeFrom="paragraph">
                  <wp:posOffset>184192</wp:posOffset>
                </wp:positionV>
                <wp:extent cx="2719705" cy="36004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719705" cy="360045"/>
                        </a:xfrm>
                        <a:prstGeom prst="rect">
                          <a:avLst/>
                        </a:prstGeom>
                        <a:solidFill>
                          <a:srgbClr val="1F487C"/>
                        </a:solidFill>
                      </wps:spPr>
                      <wps:txbx>
                        <w:txbxContent>
                          <w:p>
                            <w:pPr>
                              <w:spacing w:before="76"/>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ΙΙ.1</w:t>
                            </w:r>
                            <w:r>
                              <w:rPr>
                                <w:b/>
                                <w:smallCaps w:val="0"/>
                                <w:color w:val="FFFFFF"/>
                                <w:spacing w:val="-7"/>
                                <w:sz w:val="18"/>
                              </w:rPr>
                              <w:t> </w:t>
                            </w:r>
                            <w:r>
                              <w:rPr>
                                <w:b/>
                                <w:smallCaps w:val="0"/>
                                <w:color w:val="FFFFFF"/>
                                <w:sz w:val="18"/>
                              </w:rPr>
                              <w:t>Χρηματοδότηση</w:t>
                            </w:r>
                            <w:r>
                              <w:rPr>
                                <w:b/>
                                <w:smallCaps w:val="0"/>
                                <w:color w:val="FFFFFF"/>
                                <w:spacing w:val="-5"/>
                                <w:sz w:val="18"/>
                              </w:rPr>
                              <w:t> </w:t>
                            </w:r>
                            <w:r>
                              <w:rPr>
                                <w:b/>
                                <w:smallCaps w:val="0"/>
                                <w:color w:val="FFFFFF"/>
                                <w:sz w:val="18"/>
                              </w:rPr>
                              <w:t>προς</w:t>
                            </w:r>
                            <w:r>
                              <w:rPr>
                                <w:b/>
                                <w:smallCaps w:val="0"/>
                                <w:color w:val="FFFFFF"/>
                                <w:spacing w:val="-8"/>
                                <w:sz w:val="18"/>
                              </w:rPr>
                              <w:t> </w:t>
                            </w:r>
                            <w:r>
                              <w:rPr>
                                <w:b/>
                                <w:smallCaps w:val="0"/>
                                <w:color w:val="FFFFFF"/>
                                <w:sz w:val="18"/>
                              </w:rPr>
                              <w:t>τα</w:t>
                            </w:r>
                            <w:r>
                              <w:rPr>
                                <w:b/>
                                <w:smallCaps w:val="0"/>
                                <w:color w:val="FFFFFF"/>
                                <w:spacing w:val="-8"/>
                                <w:sz w:val="18"/>
                              </w:rPr>
                              <w:t> </w:t>
                            </w:r>
                            <w:r>
                              <w:rPr>
                                <w:b/>
                                <w:smallCaps w:val="0"/>
                                <w:color w:val="FFFFFF"/>
                                <w:sz w:val="18"/>
                              </w:rPr>
                              <w:t>νο</w:t>
                            </w:r>
                            <w:r>
                              <w:rPr>
                                <w:b/>
                                <w:smallCaps/>
                                <w:color w:val="FFFFFF"/>
                                <w:sz w:val="18"/>
                              </w:rPr>
                              <w:t>ι</w:t>
                            </w:r>
                            <w:r>
                              <w:rPr>
                                <w:b/>
                                <w:smallCaps w:val="0"/>
                                <w:color w:val="FFFFFF"/>
                                <w:sz w:val="18"/>
                              </w:rPr>
                              <w:t>κοκυρ</w:t>
                            </w:r>
                            <w:r>
                              <w:rPr>
                                <w:b/>
                                <w:smallCaps/>
                                <w:color w:val="FFFFFF"/>
                                <w:sz w:val="18"/>
                              </w:rPr>
                              <w:t>ι</w:t>
                            </w:r>
                            <w:r>
                              <w:rPr>
                                <w:b/>
                                <w:smallCaps w:val="0"/>
                                <w:color w:val="FFFFFF"/>
                                <w:sz w:val="18"/>
                              </w:rPr>
                              <w:t>ά από τα εγχώρ</w:t>
                            </w:r>
                            <w:r>
                              <w:rPr>
                                <w:b/>
                                <w:smallCaps/>
                                <w:color w:val="FFFFFF"/>
                                <w:sz w:val="18"/>
                              </w:rPr>
                              <w:t>ι</w:t>
                            </w:r>
                            <w:r>
                              <w:rPr>
                                <w:b/>
                                <w:smallCaps w:val="0"/>
                                <w:color w:val="FFFFFF"/>
                                <w:sz w:val="18"/>
                              </w:rPr>
                              <w:t>α ΝΧΙ (2016 – Μάρτ</w:t>
                            </w:r>
                            <w:r>
                              <w:rPr>
                                <w:b/>
                                <w:smallCaps/>
                                <w:color w:val="FFFFFF"/>
                                <w:sz w:val="18"/>
                              </w:rPr>
                              <w:t>ιο</w:t>
                            </w:r>
                            <w:r>
                              <w:rPr>
                                <w:b/>
                                <w:smallCaps w:val="0"/>
                                <w:color w:val="FFFFFF"/>
                                <w:sz w:val="18"/>
                              </w:rPr>
                              <w:t>ς 2026)</w:t>
                            </w:r>
                          </w:p>
                        </w:txbxContent>
                      </wps:txbx>
                      <wps:bodyPr wrap="square" lIns="0" tIns="0" rIns="0" bIns="0" rtlCol="0">
                        <a:noAutofit/>
                      </wps:bodyPr>
                    </wps:wsp>
                  </a:graphicData>
                </a:graphic>
              </wp:anchor>
            </w:drawing>
          </mc:Choice>
          <mc:Fallback>
            <w:pict>
              <v:shape style="position:absolute;margin-left:289.850006pt;margin-top:14.503321pt;width:214.15pt;height:28.35pt;mso-position-horizontal-relative:page;mso-position-vertical-relative:paragraph;z-index:15733248" type="#_x0000_t202" id="docshape25" filled="true" fillcolor="#1f487c" stroked="false">
                <v:textbox inset="0,0,0,0">
                  <w:txbxContent>
                    <w:p>
                      <w:pPr>
                        <w:spacing w:before="76"/>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ΙΙ.1</w:t>
                      </w:r>
                      <w:r>
                        <w:rPr>
                          <w:b/>
                          <w:smallCaps w:val="0"/>
                          <w:color w:val="FFFFFF"/>
                          <w:spacing w:val="-7"/>
                          <w:sz w:val="18"/>
                        </w:rPr>
                        <w:t> </w:t>
                      </w:r>
                      <w:r>
                        <w:rPr>
                          <w:b/>
                          <w:smallCaps w:val="0"/>
                          <w:color w:val="FFFFFF"/>
                          <w:sz w:val="18"/>
                        </w:rPr>
                        <w:t>Χρηματοδότηση</w:t>
                      </w:r>
                      <w:r>
                        <w:rPr>
                          <w:b/>
                          <w:smallCaps w:val="0"/>
                          <w:color w:val="FFFFFF"/>
                          <w:spacing w:val="-5"/>
                          <w:sz w:val="18"/>
                        </w:rPr>
                        <w:t> </w:t>
                      </w:r>
                      <w:r>
                        <w:rPr>
                          <w:b/>
                          <w:smallCaps w:val="0"/>
                          <w:color w:val="FFFFFF"/>
                          <w:sz w:val="18"/>
                        </w:rPr>
                        <w:t>προς</w:t>
                      </w:r>
                      <w:r>
                        <w:rPr>
                          <w:b/>
                          <w:smallCaps w:val="0"/>
                          <w:color w:val="FFFFFF"/>
                          <w:spacing w:val="-8"/>
                          <w:sz w:val="18"/>
                        </w:rPr>
                        <w:t> </w:t>
                      </w:r>
                      <w:r>
                        <w:rPr>
                          <w:b/>
                          <w:smallCaps w:val="0"/>
                          <w:color w:val="FFFFFF"/>
                          <w:sz w:val="18"/>
                        </w:rPr>
                        <w:t>τα</w:t>
                      </w:r>
                      <w:r>
                        <w:rPr>
                          <w:b/>
                          <w:smallCaps w:val="0"/>
                          <w:color w:val="FFFFFF"/>
                          <w:spacing w:val="-8"/>
                          <w:sz w:val="18"/>
                        </w:rPr>
                        <w:t> </w:t>
                      </w:r>
                      <w:r>
                        <w:rPr>
                          <w:b/>
                          <w:smallCaps w:val="0"/>
                          <w:color w:val="FFFFFF"/>
                          <w:sz w:val="18"/>
                        </w:rPr>
                        <w:t>νο</w:t>
                      </w:r>
                      <w:r>
                        <w:rPr>
                          <w:b/>
                          <w:smallCaps/>
                          <w:color w:val="FFFFFF"/>
                          <w:sz w:val="18"/>
                        </w:rPr>
                        <w:t>ι</w:t>
                      </w:r>
                      <w:r>
                        <w:rPr>
                          <w:b/>
                          <w:smallCaps w:val="0"/>
                          <w:color w:val="FFFFFF"/>
                          <w:sz w:val="18"/>
                        </w:rPr>
                        <w:t>κοκυρ</w:t>
                      </w:r>
                      <w:r>
                        <w:rPr>
                          <w:b/>
                          <w:smallCaps/>
                          <w:color w:val="FFFFFF"/>
                          <w:sz w:val="18"/>
                        </w:rPr>
                        <w:t>ι</w:t>
                      </w:r>
                      <w:r>
                        <w:rPr>
                          <w:b/>
                          <w:smallCaps w:val="0"/>
                          <w:color w:val="FFFFFF"/>
                          <w:sz w:val="18"/>
                        </w:rPr>
                        <w:t>ά από τα εγχώρ</w:t>
                      </w:r>
                      <w:r>
                        <w:rPr>
                          <w:b/>
                          <w:smallCaps/>
                          <w:color w:val="FFFFFF"/>
                          <w:sz w:val="18"/>
                        </w:rPr>
                        <w:t>ι</w:t>
                      </w:r>
                      <w:r>
                        <w:rPr>
                          <w:b/>
                          <w:smallCaps w:val="0"/>
                          <w:color w:val="FFFFFF"/>
                          <w:sz w:val="18"/>
                        </w:rPr>
                        <w:t>α ΝΧΙ (2016 – Μάρτ</w:t>
                      </w:r>
                      <w:r>
                        <w:rPr>
                          <w:b/>
                          <w:smallCaps/>
                          <w:color w:val="FFFFFF"/>
                          <w:sz w:val="18"/>
                        </w:rPr>
                        <w:t>ιο</w:t>
                      </w:r>
                      <w:r>
                        <w:rPr>
                          <w:b/>
                          <w:smallCaps w:val="0"/>
                          <w:color w:val="FFFFFF"/>
                          <w:sz w:val="18"/>
                        </w:rPr>
                        <w:t>ς 2026)</w:t>
                      </w:r>
                    </w:p>
                  </w:txbxContent>
                </v:textbox>
                <v:fill type="solid"/>
                <w10:wrap type="none"/>
              </v:shape>
            </w:pict>
          </mc:Fallback>
        </mc:AlternateContent>
      </w:r>
      <w:r>
        <w:rPr/>
        <w:t>Ο</w:t>
      </w:r>
      <w:r>
        <w:rPr>
          <w:spacing w:val="-5"/>
        </w:rPr>
        <w:t> </w:t>
      </w:r>
      <w:r>
        <w:rPr/>
        <w:t>ετήσιος</w:t>
      </w:r>
      <w:r>
        <w:rPr>
          <w:spacing w:val="-6"/>
        </w:rPr>
        <w:t> </w:t>
      </w:r>
      <w:r>
        <w:rPr/>
        <w:t>ρυθμός</w:t>
      </w:r>
      <w:r>
        <w:rPr>
          <w:spacing w:val="-5"/>
        </w:rPr>
        <w:t> </w:t>
      </w:r>
      <w:r>
        <w:rPr/>
        <w:t>μεταβολής</w:t>
      </w:r>
      <w:r>
        <w:rPr>
          <w:spacing w:val="-5"/>
        </w:rPr>
        <w:t> </w:t>
      </w:r>
      <w:r>
        <w:rPr/>
        <w:t>της</w:t>
      </w:r>
      <w:r>
        <w:rPr>
          <w:spacing w:val="-5"/>
        </w:rPr>
        <w:t> </w:t>
      </w:r>
      <w:r>
        <w:rPr/>
        <w:t>χρηματοδό-τησης των νοικοκυριών</w:t>
      </w:r>
      <w:hyperlink w:history="true" w:anchor="_bookmark11">
        <w:r>
          <w:rPr>
            <w:position w:val="6"/>
            <w:sz w:val="10"/>
          </w:rPr>
          <w:t>6</w:t>
        </w:r>
      </w:hyperlink>
      <w:r>
        <w:rPr>
          <w:spacing w:val="37"/>
          <w:position w:val="6"/>
          <w:sz w:val="10"/>
        </w:rPr>
        <w:t> </w:t>
      </w:r>
      <w:r>
        <w:rPr/>
        <w:t>από τα εγχώρια Νο-μισματικά</w:t>
      </w:r>
      <w:r>
        <w:rPr>
          <w:spacing w:val="36"/>
        </w:rPr>
        <w:t> </w:t>
      </w:r>
      <w:r>
        <w:rPr/>
        <w:t>και</w:t>
      </w:r>
      <w:r>
        <w:rPr>
          <w:spacing w:val="38"/>
        </w:rPr>
        <w:t> </w:t>
      </w:r>
      <w:r>
        <w:rPr/>
        <w:t>Χρηματοπιστωτικά</w:t>
      </w:r>
      <w:r>
        <w:rPr>
          <w:spacing w:val="37"/>
        </w:rPr>
        <w:t> </w:t>
      </w:r>
      <w:r>
        <w:rPr>
          <w:spacing w:val="-2"/>
        </w:rPr>
        <w:t>Ιδρύματα</w:t>
      </w:r>
    </w:p>
    <w:p>
      <w:pPr>
        <w:pStyle w:val="BodyText"/>
        <w:spacing w:after="0" w:line="300" w:lineRule="atLeast"/>
        <w:jc w:val="both"/>
        <w:sectPr>
          <w:pgSz w:w="11910" w:h="16850"/>
          <w:pgMar w:header="0" w:footer="1180" w:top="1800" w:bottom="1360" w:left="1417" w:right="850"/>
        </w:sectPr>
      </w:pPr>
    </w:p>
    <w:p>
      <w:pPr>
        <w:pStyle w:val="BodyText"/>
        <w:spacing w:line="285" w:lineRule="auto" w:before="64"/>
        <w:ind w:left="172"/>
        <w:jc w:val="both"/>
      </w:pPr>
      <w:r>
        <w:rPr/>
        <w:t>(ΝΧΙ) διαμορφώθηκε σε 2,3% (βλ. Διά-γραμμα ΙΙ.1). Η αύξηση αυτή οφείλεται στη στεγαστική και καταναλωτική πίστη (Μάρ-τιος</w:t>
      </w:r>
      <w:r>
        <w:rPr>
          <w:spacing w:val="-6"/>
        </w:rPr>
        <w:t> </w:t>
      </w:r>
      <w:r>
        <w:rPr/>
        <w:t>2026:</w:t>
      </w:r>
      <w:r>
        <w:rPr>
          <w:spacing w:val="-5"/>
        </w:rPr>
        <w:t> </w:t>
      </w:r>
      <w:r>
        <w:rPr/>
        <w:t>1,1%</w:t>
      </w:r>
      <w:r>
        <w:rPr>
          <w:spacing w:val="-5"/>
        </w:rPr>
        <w:t> </w:t>
      </w:r>
      <w:r>
        <w:rPr/>
        <w:t>και</w:t>
      </w:r>
      <w:r>
        <w:rPr>
          <w:spacing w:val="-5"/>
        </w:rPr>
        <w:t> </w:t>
      </w:r>
      <w:r>
        <w:rPr/>
        <w:t>7,7%</w:t>
      </w:r>
      <w:r>
        <w:rPr>
          <w:spacing w:val="-5"/>
        </w:rPr>
        <w:t> </w:t>
      </w:r>
      <w:r>
        <w:rPr/>
        <w:t>αντίστοιχα),</w:t>
      </w:r>
      <w:r>
        <w:rPr>
          <w:spacing w:val="-5"/>
        </w:rPr>
        <w:t> </w:t>
      </w:r>
      <w:r>
        <w:rPr/>
        <w:t>καθώς ο ετήσιος ρυθμός μεταβολής των δανείων προς ελεύθερους επαγγελματίες, αγρότες και ατομικές</w:t>
      </w:r>
      <w:r>
        <w:rPr>
          <w:spacing w:val="-9"/>
        </w:rPr>
        <w:t> </w:t>
      </w:r>
      <w:r>
        <w:rPr/>
        <w:t>επιχειρήσεις</w:t>
      </w:r>
      <w:r>
        <w:rPr>
          <w:spacing w:val="-9"/>
        </w:rPr>
        <w:t> </w:t>
      </w:r>
      <w:r>
        <w:rPr/>
        <w:t>παρέμεινε</w:t>
      </w:r>
      <w:r>
        <w:rPr>
          <w:spacing w:val="-9"/>
        </w:rPr>
        <w:t> </w:t>
      </w:r>
      <w:r>
        <w:rPr/>
        <w:t>αρνητικός</w:t>
      </w:r>
      <w:r>
        <w:rPr>
          <w:spacing w:val="-10"/>
        </w:rPr>
        <w:t> </w:t>
      </w:r>
      <w:r>
        <w:rPr/>
        <w:t>(-1,5%). Αποτελεί θετική εξέλιξη η ανάσχεση της απομόχλευσης στα στεγαστικά δάνεια, καθώς οι εκταμιεύσεις στεγαστικών δανείων το</w:t>
      </w:r>
      <w:r>
        <w:rPr>
          <w:spacing w:val="-5"/>
        </w:rPr>
        <w:t> </w:t>
      </w:r>
      <w:r>
        <w:rPr/>
        <w:t>2025</w:t>
      </w:r>
      <w:r>
        <w:rPr>
          <w:spacing w:val="-5"/>
        </w:rPr>
        <w:t> </w:t>
      </w:r>
      <w:r>
        <w:rPr/>
        <w:t>ανήλθαν</w:t>
      </w:r>
      <w:r>
        <w:rPr>
          <w:spacing w:val="-7"/>
        </w:rPr>
        <w:t> </w:t>
      </w:r>
      <w:r>
        <w:rPr/>
        <w:t>σε</w:t>
      </w:r>
      <w:r>
        <w:rPr>
          <w:spacing w:val="-7"/>
        </w:rPr>
        <w:t> </w:t>
      </w:r>
      <w:r>
        <w:rPr/>
        <w:t>2</w:t>
      </w:r>
      <w:r>
        <w:rPr>
          <w:spacing w:val="-7"/>
        </w:rPr>
        <w:t> </w:t>
      </w:r>
      <w:r>
        <w:rPr/>
        <w:t>δισεκ.</w:t>
      </w:r>
      <w:r>
        <w:rPr>
          <w:spacing w:val="-5"/>
        </w:rPr>
        <w:t> </w:t>
      </w:r>
      <w:r>
        <w:rPr/>
        <w:t>ευρώ,</w:t>
      </w:r>
      <w:r>
        <w:rPr>
          <w:spacing w:val="-7"/>
        </w:rPr>
        <w:t> </w:t>
      </w:r>
      <w:r>
        <w:rPr/>
        <w:t>έναντι</w:t>
      </w:r>
      <w:r>
        <w:rPr>
          <w:spacing w:val="-7"/>
        </w:rPr>
        <w:t> </w:t>
      </w:r>
      <w:r>
        <w:rPr/>
        <w:t>1,3 δισεκ. το 2024.</w:t>
      </w:r>
      <w:hyperlink w:history="true" w:anchor="_bookmark12">
        <w:r>
          <w:rPr>
            <w:position w:val="6"/>
            <w:sz w:val="10"/>
          </w:rPr>
          <w:t>7</w:t>
        </w:r>
      </w:hyperlink>
      <w:r>
        <w:rPr>
          <w:spacing w:val="40"/>
          <w:position w:val="6"/>
          <w:sz w:val="10"/>
        </w:rPr>
        <w:t> </w:t>
      </w:r>
      <w:r>
        <w:rPr/>
        <w:t>Ως προς τις προοπτικές των δανείων</w:t>
      </w:r>
      <w:r>
        <w:rPr>
          <w:spacing w:val="-12"/>
        </w:rPr>
        <w:t> </w:t>
      </w:r>
      <w:r>
        <w:rPr/>
        <w:t>προς</w:t>
      </w:r>
      <w:r>
        <w:rPr>
          <w:spacing w:val="-13"/>
        </w:rPr>
        <w:t> </w:t>
      </w:r>
      <w:r>
        <w:rPr/>
        <w:t>τα</w:t>
      </w:r>
      <w:r>
        <w:rPr>
          <w:spacing w:val="-13"/>
        </w:rPr>
        <w:t> </w:t>
      </w:r>
      <w:r>
        <w:rPr/>
        <w:t>νοικοκυριά,</w:t>
      </w:r>
      <w:r>
        <w:rPr>
          <w:spacing w:val="-13"/>
        </w:rPr>
        <w:t> </w:t>
      </w:r>
      <w:r>
        <w:rPr/>
        <w:t>η</w:t>
      </w:r>
      <w:r>
        <w:rPr>
          <w:spacing w:val="-13"/>
        </w:rPr>
        <w:t> </w:t>
      </w:r>
      <w:r>
        <w:rPr/>
        <w:t>δυναμική</w:t>
      </w:r>
      <w:r>
        <w:rPr>
          <w:spacing w:val="-13"/>
        </w:rPr>
        <w:t> </w:t>
      </w:r>
      <w:r>
        <w:rPr/>
        <w:t>ανα-μένεται</w:t>
      </w:r>
      <w:r>
        <w:rPr>
          <w:spacing w:val="-14"/>
        </w:rPr>
        <w:t> </w:t>
      </w:r>
      <w:r>
        <w:rPr/>
        <w:t>να</w:t>
      </w:r>
      <w:r>
        <w:rPr>
          <w:spacing w:val="-14"/>
        </w:rPr>
        <w:t> </w:t>
      </w:r>
      <w:r>
        <w:rPr/>
        <w:t>συνεχιστεί</w:t>
      </w:r>
      <w:r>
        <w:rPr>
          <w:spacing w:val="-14"/>
        </w:rPr>
        <w:t> </w:t>
      </w:r>
      <w:r>
        <w:rPr/>
        <w:t>το</w:t>
      </w:r>
      <w:r>
        <w:rPr>
          <w:spacing w:val="-13"/>
        </w:rPr>
        <w:t> </w:t>
      </w:r>
      <w:r>
        <w:rPr/>
        <w:t>2026,</w:t>
      </w:r>
      <w:r>
        <w:rPr>
          <w:spacing w:val="-14"/>
        </w:rPr>
        <w:t> </w:t>
      </w:r>
      <w:r>
        <w:rPr/>
        <w:t>με</w:t>
      </w:r>
      <w:r>
        <w:rPr>
          <w:spacing w:val="-14"/>
        </w:rPr>
        <w:t> </w:t>
      </w:r>
      <w:r>
        <w:rPr/>
        <w:t>ήπιους</w:t>
      </w:r>
      <w:r>
        <w:rPr>
          <w:spacing w:val="-14"/>
        </w:rPr>
        <w:t> </w:t>
      </w:r>
      <w:r>
        <w:rPr/>
        <w:t>ρυθ-μούς ανόδου. Ειδικότερα για τα στεγαστικά δάνεια,</w:t>
      </w:r>
      <w:r>
        <w:rPr>
          <w:spacing w:val="-14"/>
        </w:rPr>
        <w:t> </w:t>
      </w:r>
      <w:r>
        <w:rPr/>
        <w:t>η</w:t>
      </w:r>
      <w:r>
        <w:rPr>
          <w:spacing w:val="-14"/>
        </w:rPr>
        <w:t> </w:t>
      </w:r>
      <w:r>
        <w:rPr/>
        <w:t>εκταμίευση</w:t>
      </w:r>
      <w:r>
        <w:rPr>
          <w:spacing w:val="-12"/>
        </w:rPr>
        <w:t> </w:t>
      </w:r>
      <w:r>
        <w:rPr/>
        <w:t>των</w:t>
      </w:r>
      <w:r>
        <w:rPr>
          <w:spacing w:val="-14"/>
        </w:rPr>
        <w:t> </w:t>
      </w:r>
      <w:r>
        <w:rPr/>
        <w:t>εναπομενόντων</w:t>
      </w:r>
      <w:r>
        <w:rPr>
          <w:spacing w:val="-11"/>
        </w:rPr>
        <w:t> </w:t>
      </w:r>
      <w:r>
        <w:rPr/>
        <w:t>πό-ρων</w:t>
      </w:r>
      <w:r>
        <w:rPr>
          <w:spacing w:val="-13"/>
        </w:rPr>
        <w:t> </w:t>
      </w:r>
      <w:r>
        <w:rPr/>
        <w:t>του</w:t>
      </w:r>
      <w:r>
        <w:rPr>
          <w:spacing w:val="-11"/>
        </w:rPr>
        <w:t> </w:t>
      </w:r>
      <w:r>
        <w:rPr/>
        <w:t>προγράμματος</w:t>
      </w:r>
      <w:r>
        <w:rPr>
          <w:spacing w:val="-12"/>
        </w:rPr>
        <w:t> </w:t>
      </w:r>
      <w:r>
        <w:rPr/>
        <w:t>“Σπίτι</w:t>
      </w:r>
      <w:r>
        <w:rPr>
          <w:spacing w:val="-10"/>
        </w:rPr>
        <w:t> </w:t>
      </w:r>
      <w:r>
        <w:rPr/>
        <w:t>μου</w:t>
      </w:r>
      <w:r>
        <w:rPr>
          <w:spacing w:val="-13"/>
        </w:rPr>
        <w:t> </w:t>
      </w:r>
      <w:r>
        <w:rPr/>
        <w:t>ΙΙ”</w:t>
      </w:r>
      <w:hyperlink w:history="true" w:anchor="_bookmark13">
        <w:r>
          <w:rPr>
            <w:position w:val="6"/>
            <w:sz w:val="10"/>
          </w:rPr>
          <w:t>8</w:t>
        </w:r>
      </w:hyperlink>
      <w:r>
        <w:rPr>
          <w:spacing w:val="20"/>
          <w:position w:val="6"/>
          <w:sz w:val="10"/>
        </w:rPr>
        <w:t> </w:t>
      </w:r>
      <w:r>
        <w:rPr>
          <w:spacing w:val="-2"/>
        </w:rPr>
        <w:t>αναμέ-</w:t>
      </w:r>
    </w:p>
    <w:p>
      <w:pPr>
        <w:spacing w:line="154" w:lineRule="exact" w:before="0"/>
        <w:ind w:left="172" w:right="0" w:firstLine="0"/>
        <w:jc w:val="left"/>
        <w:rPr>
          <w:sz w:val="14"/>
        </w:rPr>
      </w:pPr>
      <w:r>
        <w:rPr/>
        <w:br w:type="column"/>
      </w:r>
      <w:r>
        <w:rPr>
          <w:color w:val="1F487C"/>
          <w:sz w:val="14"/>
        </w:rPr>
        <w:t>(δωδεκάμηνος</w:t>
      </w:r>
      <w:r>
        <w:rPr>
          <w:color w:val="1F487C"/>
          <w:spacing w:val="-8"/>
          <w:sz w:val="14"/>
        </w:rPr>
        <w:t> </w:t>
      </w:r>
      <w:r>
        <w:rPr>
          <w:color w:val="1F487C"/>
          <w:sz w:val="14"/>
        </w:rPr>
        <w:t>ρυθμός</w:t>
      </w:r>
      <w:r>
        <w:rPr>
          <w:color w:val="1F487C"/>
          <w:spacing w:val="-7"/>
          <w:sz w:val="14"/>
        </w:rPr>
        <w:t> </w:t>
      </w:r>
      <w:r>
        <w:rPr>
          <w:color w:val="1F487C"/>
          <w:spacing w:val="-2"/>
          <w:sz w:val="14"/>
        </w:rPr>
        <w:t>μεταβολής)</w:t>
      </w:r>
    </w:p>
    <w:p>
      <w:pPr>
        <w:pStyle w:val="BodyText"/>
        <w:spacing w:before="5"/>
        <w:rPr>
          <w:sz w:val="5"/>
        </w:rPr>
      </w:pPr>
    </w:p>
    <w:p>
      <w:pPr>
        <w:spacing w:line="240" w:lineRule="auto"/>
        <w:ind w:left="114" w:right="0" w:firstLine="0"/>
        <w:rPr>
          <w:sz w:val="20"/>
        </w:rPr>
      </w:pPr>
      <w:r>
        <w:rPr>
          <w:sz w:val="20"/>
        </w:rPr>
        <mc:AlternateContent>
          <mc:Choice Requires="wps">
            <w:drawing>
              <wp:inline distT="0" distB="0" distL="0" distR="0">
                <wp:extent cx="2719705" cy="3018155"/>
                <wp:effectExtent l="0" t="0" r="0" b="1269"/>
                <wp:docPr id="26" name="Group 26"/>
                <wp:cNvGraphicFramePr>
                  <a:graphicFrameLocks/>
                </wp:cNvGraphicFramePr>
                <a:graphic>
                  <a:graphicData uri="http://schemas.microsoft.com/office/word/2010/wordprocessingGroup">
                    <wpg:wgp>
                      <wpg:cNvPr id="26" name="Group 26"/>
                      <wpg:cNvGrpSpPr/>
                      <wpg:grpSpPr>
                        <a:xfrm>
                          <a:off x="0" y="0"/>
                          <a:ext cx="2719705" cy="3018155"/>
                          <a:chExt cx="2719705" cy="3018155"/>
                        </a:xfrm>
                      </wpg:grpSpPr>
                      <wps:wsp>
                        <wps:cNvPr id="27" name="Graphic 27"/>
                        <wps:cNvSpPr/>
                        <wps:spPr>
                          <a:xfrm>
                            <a:off x="0" y="380"/>
                            <a:ext cx="2719705" cy="3018155"/>
                          </a:xfrm>
                          <a:custGeom>
                            <a:avLst/>
                            <a:gdLst/>
                            <a:ahLst/>
                            <a:cxnLst/>
                            <a:rect l="l" t="t" r="r" b="b"/>
                            <a:pathLst>
                              <a:path w="2719705" h="3018155">
                                <a:moveTo>
                                  <a:pt x="2719451" y="0"/>
                                </a:moveTo>
                                <a:lnTo>
                                  <a:pt x="0" y="0"/>
                                </a:lnTo>
                                <a:lnTo>
                                  <a:pt x="0" y="2418842"/>
                                </a:lnTo>
                                <a:lnTo>
                                  <a:pt x="0" y="3017774"/>
                                </a:lnTo>
                                <a:lnTo>
                                  <a:pt x="2719451" y="3017774"/>
                                </a:lnTo>
                                <a:lnTo>
                                  <a:pt x="2719451" y="2418842"/>
                                </a:lnTo>
                                <a:lnTo>
                                  <a:pt x="2719451" y="0"/>
                                </a:lnTo>
                                <a:close/>
                              </a:path>
                            </a:pathLst>
                          </a:custGeom>
                          <a:solidFill>
                            <a:srgbClr val="D9D9D9"/>
                          </a:solidFill>
                        </wps:spPr>
                        <wps:bodyPr wrap="square" lIns="0" tIns="0" rIns="0" bIns="0" rtlCol="0">
                          <a:prstTxWarp prst="textNoShape">
                            <a:avLst/>
                          </a:prstTxWarp>
                          <a:noAutofit/>
                        </wps:bodyPr>
                      </wps:wsp>
                      <pic:pic>
                        <pic:nvPicPr>
                          <pic:cNvPr id="28" name="Image 28"/>
                          <pic:cNvPicPr/>
                        </pic:nvPicPr>
                        <pic:blipFill>
                          <a:blip r:embed="rId14" cstate="print"/>
                          <a:stretch>
                            <a:fillRect/>
                          </a:stretch>
                        </pic:blipFill>
                        <pic:spPr>
                          <a:xfrm>
                            <a:off x="50165" y="0"/>
                            <a:ext cx="2652394" cy="2415794"/>
                          </a:xfrm>
                          <a:prstGeom prst="rect">
                            <a:avLst/>
                          </a:prstGeom>
                        </pic:spPr>
                      </pic:pic>
                      <wps:wsp>
                        <wps:cNvPr id="29" name="Textbox 29"/>
                        <wps:cNvSpPr txBox="1"/>
                        <wps:spPr>
                          <a:xfrm>
                            <a:off x="0" y="380"/>
                            <a:ext cx="2719705" cy="301815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64"/>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p>
                              <w:pPr>
                                <w:spacing w:before="120"/>
                                <w:ind w:left="112" w:right="0" w:firstLine="0"/>
                                <w:jc w:val="left"/>
                                <w:rPr>
                                  <w:sz w:val="14"/>
                                </w:rPr>
                              </w:pPr>
                              <w:r>
                                <w:rPr>
                                  <w:sz w:val="14"/>
                                </w:rPr>
                                <w:t>Σημείωση: Οι ρυθμοί προκύπτουν από τις μεταβολές των υπολοίπων</w:t>
                              </w:r>
                              <w:r>
                                <w:rPr>
                                  <w:spacing w:val="40"/>
                                  <w:sz w:val="14"/>
                                </w:rPr>
                                <w:t> </w:t>
                              </w:r>
                              <w:r>
                                <w:rPr>
                                  <w:sz w:val="14"/>
                                </w:rPr>
                                <w:t>διορθωμένες</w:t>
                              </w:r>
                              <w:r>
                                <w:rPr>
                                  <w:spacing w:val="-7"/>
                                  <w:sz w:val="14"/>
                                </w:rPr>
                                <w:t> </w:t>
                              </w:r>
                              <w:r>
                                <w:rPr>
                                  <w:sz w:val="14"/>
                                </w:rPr>
                                <w:t>για</w:t>
                              </w:r>
                              <w:r>
                                <w:rPr>
                                  <w:spacing w:val="-8"/>
                                  <w:sz w:val="14"/>
                                </w:rPr>
                                <w:t> </w:t>
                              </w:r>
                              <w:r>
                                <w:rPr>
                                  <w:sz w:val="14"/>
                                </w:rPr>
                                <w:t>τις</w:t>
                              </w:r>
                              <w:r>
                                <w:rPr>
                                  <w:spacing w:val="-7"/>
                                  <w:sz w:val="14"/>
                                </w:rPr>
                                <w:t> </w:t>
                              </w:r>
                              <w:r>
                                <w:rPr>
                                  <w:sz w:val="14"/>
                                </w:rPr>
                                <w:t>διαγραφές</w:t>
                              </w:r>
                              <w:r>
                                <w:rPr>
                                  <w:spacing w:val="-7"/>
                                  <w:sz w:val="14"/>
                                </w:rPr>
                                <w:t> </w:t>
                              </w:r>
                              <w:r>
                                <w:rPr>
                                  <w:sz w:val="14"/>
                                </w:rPr>
                                <w:t>δανείων,</w:t>
                              </w:r>
                              <w:r>
                                <w:rPr>
                                  <w:spacing w:val="-5"/>
                                  <w:sz w:val="14"/>
                                </w:rPr>
                                <w:t> </w:t>
                              </w:r>
                              <w:r>
                                <w:rPr>
                                  <w:sz w:val="14"/>
                                </w:rPr>
                                <w:t>απομειώσεις</w:t>
                              </w:r>
                              <w:r>
                                <w:rPr>
                                  <w:spacing w:val="-7"/>
                                  <w:sz w:val="14"/>
                                </w:rPr>
                                <w:t> </w:t>
                              </w:r>
                              <w:r>
                                <w:rPr>
                                  <w:sz w:val="14"/>
                                </w:rPr>
                                <w:t>αξίας</w:t>
                              </w:r>
                              <w:r>
                                <w:rPr>
                                  <w:spacing w:val="-7"/>
                                  <w:sz w:val="14"/>
                                </w:rPr>
                                <w:t> </w:t>
                              </w:r>
                              <w:r>
                                <w:rPr>
                                  <w:sz w:val="14"/>
                                </w:rPr>
                                <w:t>χρεογράφων,</w:t>
                              </w:r>
                              <w:r>
                                <w:rPr>
                                  <w:spacing w:val="40"/>
                                  <w:sz w:val="14"/>
                                </w:rPr>
                                <w:t> </w:t>
                              </w:r>
                              <w:r>
                                <w:rPr>
                                  <w:sz w:val="14"/>
                                </w:rPr>
                                <w:t>συναλλαγματικές διαφορές και αναταξινομήσεις.</w:t>
                              </w:r>
                            </w:p>
                          </w:txbxContent>
                        </wps:txbx>
                        <wps:bodyPr wrap="square" lIns="0" tIns="0" rIns="0" bIns="0" rtlCol="0">
                          <a:noAutofit/>
                        </wps:bodyPr>
                      </wps:wsp>
                    </wpg:wgp>
                  </a:graphicData>
                </a:graphic>
              </wp:inline>
            </w:drawing>
          </mc:Choice>
          <mc:Fallback>
            <w:pict>
              <v:group style="width:214.15pt;height:237.65pt;mso-position-horizontal-relative:char;mso-position-vertical-relative:line" id="docshapegroup26" coordorigin="0,0" coordsize="4283,4753">
                <v:shape style="position:absolute;left:0;top:0;width:4283;height:4753" id="docshape27" coordorigin="0,1" coordsize="4283,4753" path="m4283,1l0,1,0,3810,0,4753,4283,4753,4283,3810,4283,1xe" filled="true" fillcolor="#d9d9d9" stroked="false">
                  <v:path arrowok="t"/>
                  <v:fill type="solid"/>
                </v:shape>
                <v:shape style="position:absolute;left:79;top:0;width:4177;height:3805" type="#_x0000_t75" id="docshape28" stroked="false">
                  <v:imagedata r:id="rId14" o:title=""/>
                </v:shape>
                <v:shape style="position:absolute;left:0;top:0;width:4283;height:4753" type="#_x0000_t202" id="docshape29"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64"/>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p>
                        <w:pPr>
                          <w:spacing w:before="120"/>
                          <w:ind w:left="112" w:right="0" w:firstLine="0"/>
                          <w:jc w:val="left"/>
                          <w:rPr>
                            <w:sz w:val="14"/>
                          </w:rPr>
                        </w:pPr>
                        <w:r>
                          <w:rPr>
                            <w:sz w:val="14"/>
                          </w:rPr>
                          <w:t>Σημείωση: Οι ρυθμοί προκύπτουν από τις μεταβολές των υπολοίπων</w:t>
                        </w:r>
                        <w:r>
                          <w:rPr>
                            <w:spacing w:val="40"/>
                            <w:sz w:val="14"/>
                          </w:rPr>
                          <w:t> </w:t>
                        </w:r>
                        <w:r>
                          <w:rPr>
                            <w:sz w:val="14"/>
                          </w:rPr>
                          <w:t>διορθωμένες</w:t>
                        </w:r>
                        <w:r>
                          <w:rPr>
                            <w:spacing w:val="-7"/>
                            <w:sz w:val="14"/>
                          </w:rPr>
                          <w:t> </w:t>
                        </w:r>
                        <w:r>
                          <w:rPr>
                            <w:sz w:val="14"/>
                          </w:rPr>
                          <w:t>για</w:t>
                        </w:r>
                        <w:r>
                          <w:rPr>
                            <w:spacing w:val="-8"/>
                            <w:sz w:val="14"/>
                          </w:rPr>
                          <w:t> </w:t>
                        </w:r>
                        <w:r>
                          <w:rPr>
                            <w:sz w:val="14"/>
                          </w:rPr>
                          <w:t>τις</w:t>
                        </w:r>
                        <w:r>
                          <w:rPr>
                            <w:spacing w:val="-7"/>
                            <w:sz w:val="14"/>
                          </w:rPr>
                          <w:t> </w:t>
                        </w:r>
                        <w:r>
                          <w:rPr>
                            <w:sz w:val="14"/>
                          </w:rPr>
                          <w:t>διαγραφές</w:t>
                        </w:r>
                        <w:r>
                          <w:rPr>
                            <w:spacing w:val="-7"/>
                            <w:sz w:val="14"/>
                          </w:rPr>
                          <w:t> </w:t>
                        </w:r>
                        <w:r>
                          <w:rPr>
                            <w:sz w:val="14"/>
                          </w:rPr>
                          <w:t>δανείων,</w:t>
                        </w:r>
                        <w:r>
                          <w:rPr>
                            <w:spacing w:val="-5"/>
                            <w:sz w:val="14"/>
                          </w:rPr>
                          <w:t> </w:t>
                        </w:r>
                        <w:r>
                          <w:rPr>
                            <w:sz w:val="14"/>
                          </w:rPr>
                          <w:t>απομειώσεις</w:t>
                        </w:r>
                        <w:r>
                          <w:rPr>
                            <w:spacing w:val="-7"/>
                            <w:sz w:val="14"/>
                          </w:rPr>
                          <w:t> </w:t>
                        </w:r>
                        <w:r>
                          <w:rPr>
                            <w:sz w:val="14"/>
                          </w:rPr>
                          <w:t>αξίας</w:t>
                        </w:r>
                        <w:r>
                          <w:rPr>
                            <w:spacing w:val="-7"/>
                            <w:sz w:val="14"/>
                          </w:rPr>
                          <w:t> </w:t>
                        </w:r>
                        <w:r>
                          <w:rPr>
                            <w:sz w:val="14"/>
                          </w:rPr>
                          <w:t>χρεογράφων,</w:t>
                        </w:r>
                        <w:r>
                          <w:rPr>
                            <w:spacing w:val="40"/>
                            <w:sz w:val="14"/>
                          </w:rPr>
                          <w:t> </w:t>
                        </w:r>
                        <w:r>
                          <w:rPr>
                            <w:sz w:val="14"/>
                          </w:rPr>
                          <w:t>συναλλαγματικές διαφορές και αναταξινομήσεις.</w:t>
                        </w:r>
                      </w:p>
                    </w:txbxContent>
                  </v:textbox>
                  <w10:wrap type="none"/>
                </v:shape>
              </v:group>
            </w:pict>
          </mc:Fallback>
        </mc:AlternateContent>
      </w:r>
      <w:r>
        <w:rPr>
          <w:sz w:val="20"/>
        </w:rPr>
      </w:r>
    </w:p>
    <w:p>
      <w:pPr>
        <w:spacing w:after="0" w:line="240" w:lineRule="auto"/>
        <w:rPr>
          <w:sz w:val="20"/>
        </w:rPr>
        <w:sectPr>
          <w:type w:val="continuous"/>
          <w:pgSz w:w="11910" w:h="16850"/>
          <w:pgMar w:header="0" w:footer="1180" w:top="1320" w:bottom="280" w:left="1417" w:right="850"/>
          <w:cols w:num="2" w:equalWidth="0">
            <w:col w:w="4204" w:space="61"/>
            <w:col w:w="5378"/>
          </w:cols>
        </w:sectPr>
      </w:pPr>
    </w:p>
    <w:p>
      <w:pPr>
        <w:pStyle w:val="BodyText"/>
        <w:spacing w:line="244" w:lineRule="exact"/>
        <w:ind w:left="172"/>
        <w:jc w:val="both"/>
      </w:pPr>
      <w:r>
        <w:rPr/>
        <w:t>νεται</w:t>
      </w:r>
      <w:r>
        <w:rPr>
          <w:spacing w:val="-5"/>
        </w:rPr>
        <w:t> </w:t>
      </w:r>
      <w:r>
        <w:rPr/>
        <w:t>να</w:t>
      </w:r>
      <w:r>
        <w:rPr>
          <w:spacing w:val="-6"/>
        </w:rPr>
        <w:t> </w:t>
      </w:r>
      <w:r>
        <w:rPr/>
        <w:t>συνεχίσει</w:t>
      </w:r>
      <w:r>
        <w:rPr>
          <w:spacing w:val="-4"/>
        </w:rPr>
        <w:t> </w:t>
      </w:r>
      <w:r>
        <w:rPr/>
        <w:t>να</w:t>
      </w:r>
      <w:r>
        <w:rPr>
          <w:spacing w:val="-7"/>
        </w:rPr>
        <w:t> </w:t>
      </w:r>
      <w:r>
        <w:rPr/>
        <w:t>ενισχύει</w:t>
      </w:r>
      <w:r>
        <w:rPr>
          <w:spacing w:val="-6"/>
        </w:rPr>
        <w:t> </w:t>
      </w:r>
      <w:r>
        <w:rPr/>
        <w:t>τις</w:t>
      </w:r>
      <w:r>
        <w:rPr>
          <w:spacing w:val="-4"/>
        </w:rPr>
        <w:t> </w:t>
      </w:r>
      <w:r>
        <w:rPr/>
        <w:t>καθαρές</w:t>
      </w:r>
      <w:r>
        <w:rPr>
          <w:spacing w:val="-4"/>
        </w:rPr>
        <w:t> </w:t>
      </w:r>
      <w:r>
        <w:rPr/>
        <w:t>ροές</w:t>
      </w:r>
      <w:r>
        <w:rPr>
          <w:spacing w:val="-5"/>
        </w:rPr>
        <w:t> </w:t>
      </w:r>
      <w:r>
        <w:rPr/>
        <w:t>των</w:t>
      </w:r>
      <w:r>
        <w:rPr>
          <w:spacing w:val="-3"/>
        </w:rPr>
        <w:t> </w:t>
      </w:r>
      <w:r>
        <w:rPr/>
        <w:t>τραπεζικών</w:t>
      </w:r>
      <w:r>
        <w:rPr>
          <w:spacing w:val="-4"/>
        </w:rPr>
        <w:t> </w:t>
      </w:r>
      <w:r>
        <w:rPr/>
        <w:t>στεγαστικών</w:t>
      </w:r>
      <w:r>
        <w:rPr>
          <w:spacing w:val="-5"/>
        </w:rPr>
        <w:t> </w:t>
      </w:r>
      <w:r>
        <w:rPr>
          <w:spacing w:val="-2"/>
        </w:rPr>
        <w:t>δανείων.</w:t>
      </w:r>
    </w:p>
    <w:p>
      <w:pPr>
        <w:pStyle w:val="BodyText"/>
        <w:spacing w:line="285" w:lineRule="auto" w:before="107"/>
        <w:ind w:left="172" w:right="954"/>
        <w:jc w:val="both"/>
      </w:pPr>
      <w:r>
        <w:rPr/>
        <w:t>Σύμφωνα με τα αποτελέσματα της Έρευνας Τραπεζικών Χορηγήσεων</w:t>
      </w:r>
      <w:hyperlink w:history="true" w:anchor="_bookmark14">
        <w:r>
          <w:rPr/>
          <w:t>,</w:t>
        </w:r>
        <w:r>
          <w:rPr>
            <w:position w:val="6"/>
            <w:sz w:val="10"/>
          </w:rPr>
          <w:t>9</w:t>
        </w:r>
      </w:hyperlink>
      <w:r>
        <w:rPr>
          <w:spacing w:val="35"/>
          <w:position w:val="6"/>
          <w:sz w:val="10"/>
        </w:rPr>
        <w:t> </w:t>
      </w:r>
      <w:r>
        <w:rPr/>
        <w:t>το α΄ τρίμηνο του 2026 και</w:t>
      </w:r>
      <w:r>
        <w:rPr>
          <w:spacing w:val="-5"/>
        </w:rPr>
        <w:t> </w:t>
      </w:r>
      <w:r>
        <w:rPr/>
        <w:t>το</w:t>
      </w:r>
      <w:r>
        <w:rPr>
          <w:spacing w:val="-5"/>
        </w:rPr>
        <w:t> </w:t>
      </w:r>
      <w:r>
        <w:rPr/>
        <w:t>δ΄</w:t>
      </w:r>
      <w:r>
        <w:rPr>
          <w:spacing w:val="-4"/>
        </w:rPr>
        <w:t> </w:t>
      </w:r>
      <w:r>
        <w:rPr/>
        <w:t>τρίμηνο</w:t>
      </w:r>
      <w:r>
        <w:rPr>
          <w:spacing w:val="-6"/>
        </w:rPr>
        <w:t> </w:t>
      </w:r>
      <w:r>
        <w:rPr/>
        <w:t>του</w:t>
      </w:r>
      <w:r>
        <w:rPr>
          <w:spacing w:val="-6"/>
        </w:rPr>
        <w:t> </w:t>
      </w:r>
      <w:r>
        <w:rPr/>
        <w:t>2025</w:t>
      </w:r>
      <w:r>
        <w:rPr>
          <w:spacing w:val="-6"/>
        </w:rPr>
        <w:t> </w:t>
      </w:r>
      <w:r>
        <w:rPr/>
        <w:t>η</w:t>
      </w:r>
      <w:r>
        <w:rPr>
          <w:spacing w:val="-5"/>
        </w:rPr>
        <w:t> </w:t>
      </w:r>
      <w:r>
        <w:rPr/>
        <w:t>ζήτηση</w:t>
      </w:r>
      <w:r>
        <w:rPr>
          <w:spacing w:val="-7"/>
        </w:rPr>
        <w:t> </w:t>
      </w:r>
      <w:r>
        <w:rPr/>
        <w:t>στεγαστικών</w:t>
      </w:r>
      <w:r>
        <w:rPr>
          <w:spacing w:val="-4"/>
        </w:rPr>
        <w:t> </w:t>
      </w:r>
      <w:r>
        <w:rPr/>
        <w:t>δανείων</w:t>
      </w:r>
      <w:r>
        <w:rPr>
          <w:spacing w:val="-3"/>
        </w:rPr>
        <w:t> </w:t>
      </w:r>
      <w:r>
        <w:rPr/>
        <w:t>παρέμεινε</w:t>
      </w:r>
      <w:r>
        <w:rPr>
          <w:spacing w:val="-4"/>
        </w:rPr>
        <w:t> </w:t>
      </w:r>
      <w:r>
        <w:rPr/>
        <w:t>αμετάβλητη</w:t>
      </w:r>
      <w:r>
        <w:rPr>
          <w:spacing w:val="-5"/>
        </w:rPr>
        <w:t> </w:t>
      </w:r>
      <w:r>
        <w:rPr/>
        <w:t>έπειτα</w:t>
      </w:r>
      <w:r>
        <w:rPr>
          <w:spacing w:val="-4"/>
        </w:rPr>
        <w:t> </w:t>
      </w:r>
      <w:r>
        <w:rPr/>
        <w:t>από</w:t>
      </w:r>
      <w:r>
        <w:rPr>
          <w:spacing w:val="-5"/>
        </w:rPr>
        <w:t> </w:t>
      </w:r>
      <w:r>
        <w:rPr/>
        <w:t>τη μείωση</w:t>
      </w:r>
      <w:r>
        <w:rPr>
          <w:spacing w:val="-12"/>
        </w:rPr>
        <w:t> </w:t>
      </w:r>
      <w:r>
        <w:rPr/>
        <w:t>που</w:t>
      </w:r>
      <w:r>
        <w:rPr>
          <w:spacing w:val="-11"/>
        </w:rPr>
        <w:t> </w:t>
      </w:r>
      <w:r>
        <w:rPr/>
        <w:t>καταγράφηκε</w:t>
      </w:r>
      <w:r>
        <w:rPr>
          <w:spacing w:val="-11"/>
        </w:rPr>
        <w:t> </w:t>
      </w:r>
      <w:r>
        <w:rPr/>
        <w:t>το</w:t>
      </w:r>
      <w:r>
        <w:rPr>
          <w:spacing w:val="-12"/>
        </w:rPr>
        <w:t> </w:t>
      </w:r>
      <w:r>
        <w:rPr/>
        <w:t>γ΄</w:t>
      </w:r>
      <w:r>
        <w:rPr>
          <w:spacing w:val="-11"/>
        </w:rPr>
        <w:t> </w:t>
      </w:r>
      <w:r>
        <w:rPr/>
        <w:t>τρίμηνο</w:t>
      </w:r>
      <w:r>
        <w:rPr>
          <w:spacing w:val="-12"/>
        </w:rPr>
        <w:t> </w:t>
      </w:r>
      <w:r>
        <w:rPr/>
        <w:t>του</w:t>
      </w:r>
      <w:r>
        <w:rPr>
          <w:spacing w:val="-11"/>
        </w:rPr>
        <w:t> </w:t>
      </w:r>
      <w:r>
        <w:rPr/>
        <w:t>2025.</w:t>
      </w:r>
      <w:hyperlink w:history="true" w:anchor="_bookmark15">
        <w:r>
          <w:rPr>
            <w:position w:val="6"/>
            <w:sz w:val="10"/>
          </w:rPr>
          <w:t>10</w:t>
        </w:r>
      </w:hyperlink>
      <w:r>
        <w:rPr>
          <w:spacing w:val="18"/>
          <w:position w:val="6"/>
          <w:sz w:val="10"/>
        </w:rPr>
        <w:t> </w:t>
      </w:r>
      <w:r>
        <w:rPr/>
        <w:t>Η</w:t>
      </w:r>
      <w:r>
        <w:rPr>
          <w:spacing w:val="-13"/>
        </w:rPr>
        <w:t> </w:t>
      </w:r>
      <w:r>
        <w:rPr/>
        <w:t>ζήτηση</w:t>
      </w:r>
      <w:r>
        <w:rPr>
          <w:spacing w:val="-12"/>
        </w:rPr>
        <w:t> </w:t>
      </w:r>
      <w:r>
        <w:rPr/>
        <w:t>καταναλωτικών</w:t>
      </w:r>
      <w:r>
        <w:rPr>
          <w:spacing w:val="-11"/>
        </w:rPr>
        <w:t> </w:t>
      </w:r>
      <w:r>
        <w:rPr/>
        <w:t>δανείων</w:t>
      </w:r>
      <w:r>
        <w:rPr>
          <w:spacing w:val="-11"/>
        </w:rPr>
        <w:t> </w:t>
      </w:r>
      <w:r>
        <w:rPr/>
        <w:t>παρέμεινε επίσης αμετάβλητη έπειτα από την αύξηση που καταγράφηκε το γ΄ τρίμηνο του 2025. Κατά το επόμενο</w:t>
      </w:r>
      <w:r>
        <w:rPr>
          <w:spacing w:val="-3"/>
        </w:rPr>
        <w:t> </w:t>
      </w:r>
      <w:r>
        <w:rPr/>
        <w:t>τρίμηνο</w:t>
      </w:r>
      <w:r>
        <w:rPr>
          <w:spacing w:val="-3"/>
        </w:rPr>
        <w:t> </w:t>
      </w:r>
      <w:r>
        <w:rPr/>
        <w:t>δεν</w:t>
      </w:r>
      <w:r>
        <w:rPr>
          <w:spacing w:val="-2"/>
        </w:rPr>
        <w:t> </w:t>
      </w:r>
      <w:r>
        <w:rPr/>
        <w:t>αναμένεται</w:t>
      </w:r>
      <w:r>
        <w:rPr>
          <w:spacing w:val="-3"/>
        </w:rPr>
        <w:t> </w:t>
      </w:r>
      <w:r>
        <w:rPr/>
        <w:t>αξιόλογη</w:t>
      </w:r>
      <w:r>
        <w:rPr>
          <w:spacing w:val="-3"/>
        </w:rPr>
        <w:t> </w:t>
      </w:r>
      <w:r>
        <w:rPr/>
        <w:t>μεταβολή</w:t>
      </w:r>
      <w:r>
        <w:rPr>
          <w:spacing w:val="-3"/>
        </w:rPr>
        <w:t> </w:t>
      </w:r>
      <w:r>
        <w:rPr/>
        <w:t>της</w:t>
      </w:r>
      <w:r>
        <w:rPr>
          <w:spacing w:val="-4"/>
        </w:rPr>
        <w:t> </w:t>
      </w:r>
      <w:r>
        <w:rPr/>
        <w:t>ζήτησης</w:t>
      </w:r>
      <w:r>
        <w:rPr>
          <w:spacing w:val="-4"/>
        </w:rPr>
        <w:t> </w:t>
      </w:r>
      <w:r>
        <w:rPr/>
        <w:t>στεγαστικών</w:t>
      </w:r>
      <w:r>
        <w:rPr>
          <w:spacing w:val="-2"/>
        </w:rPr>
        <w:t> </w:t>
      </w:r>
      <w:r>
        <w:rPr/>
        <w:t>και</w:t>
      </w:r>
      <w:r>
        <w:rPr>
          <w:spacing w:val="-3"/>
        </w:rPr>
        <w:t> </w:t>
      </w:r>
      <w:r>
        <w:rPr/>
        <w:t>καταναλωτι-κών δανείων. Από την πλευρά της προσφοράς, το α΄ τρίμηνο του 2026 και το δεύτερο εξάμηνο του 2025 τα κριτήρια χορήγησης δανείων προς τα νοικοκυριά παρέμειναν αμετάβλητα όσον α-φορά τα στεγαστικά και τα καταναλωτικά δάνεια. Οι συνολικοί όροι χορήγησης στεγαστικών δανείων</w:t>
      </w:r>
      <w:r>
        <w:rPr>
          <w:spacing w:val="-11"/>
        </w:rPr>
        <w:t> </w:t>
      </w:r>
      <w:r>
        <w:rPr/>
        <w:t>έγιναν</w:t>
      </w:r>
      <w:r>
        <w:rPr>
          <w:spacing w:val="-9"/>
        </w:rPr>
        <w:t> </w:t>
      </w:r>
      <w:r>
        <w:rPr/>
        <w:t>πιο</w:t>
      </w:r>
      <w:r>
        <w:rPr>
          <w:spacing w:val="-9"/>
        </w:rPr>
        <w:t> </w:t>
      </w:r>
      <w:r>
        <w:rPr/>
        <w:t>αυστηροί</w:t>
      </w:r>
      <w:r>
        <w:rPr>
          <w:spacing w:val="-9"/>
        </w:rPr>
        <w:t> </w:t>
      </w:r>
      <w:r>
        <w:rPr/>
        <w:t>ως</w:t>
      </w:r>
      <w:r>
        <w:rPr>
          <w:spacing w:val="-13"/>
        </w:rPr>
        <w:t> </w:t>
      </w:r>
      <w:r>
        <w:rPr/>
        <w:t>έναν</w:t>
      </w:r>
      <w:r>
        <w:rPr>
          <w:spacing w:val="-9"/>
        </w:rPr>
        <w:t> </w:t>
      </w:r>
      <w:r>
        <w:rPr/>
        <w:t>βαθμό,</w:t>
      </w:r>
      <w:r>
        <w:rPr>
          <w:spacing w:val="-12"/>
        </w:rPr>
        <w:t> </w:t>
      </w:r>
      <w:r>
        <w:rPr/>
        <w:t>λόγω</w:t>
      </w:r>
      <w:r>
        <w:rPr>
          <w:spacing w:val="-11"/>
        </w:rPr>
        <w:t> </w:t>
      </w:r>
      <w:r>
        <w:rPr/>
        <w:t>των</w:t>
      </w:r>
      <w:r>
        <w:rPr>
          <w:spacing w:val="-11"/>
        </w:rPr>
        <w:t> </w:t>
      </w:r>
      <w:r>
        <w:rPr/>
        <w:t>αυξήσεων</w:t>
      </w:r>
      <w:r>
        <w:rPr>
          <w:spacing w:val="-11"/>
        </w:rPr>
        <w:t> </w:t>
      </w:r>
      <w:r>
        <w:rPr/>
        <w:t>στις</w:t>
      </w:r>
      <w:r>
        <w:rPr>
          <w:spacing w:val="-12"/>
        </w:rPr>
        <w:t> </w:t>
      </w:r>
      <w:r>
        <w:rPr/>
        <w:t>επιβαρύνσεις</w:t>
      </w:r>
      <w:r>
        <w:rPr>
          <w:spacing w:val="-10"/>
        </w:rPr>
        <w:t> </w:t>
      </w:r>
      <w:r>
        <w:rPr/>
        <w:t>των</w:t>
      </w:r>
      <w:r>
        <w:rPr>
          <w:spacing w:val="-9"/>
        </w:rPr>
        <w:t> </w:t>
      </w:r>
      <w:r>
        <w:rPr/>
        <w:t>δανείων εκτός τόκων, κατά την διάρκεια του α΄ τριμήνου του 2026, ενώ οι συνολικοί όροι χορήγησης καταναλωτικών</w:t>
      </w:r>
      <w:r>
        <w:rPr>
          <w:spacing w:val="-5"/>
        </w:rPr>
        <w:t> </w:t>
      </w:r>
      <w:r>
        <w:rPr/>
        <w:t>και</w:t>
      </w:r>
      <w:r>
        <w:rPr>
          <w:spacing w:val="-7"/>
        </w:rPr>
        <w:t> </w:t>
      </w:r>
      <w:r>
        <w:rPr/>
        <w:t>λοιπών</w:t>
      </w:r>
      <w:r>
        <w:rPr>
          <w:spacing w:val="-6"/>
        </w:rPr>
        <w:t> </w:t>
      </w:r>
      <w:r>
        <w:rPr/>
        <w:t>δανείων</w:t>
      </w:r>
      <w:r>
        <w:rPr>
          <w:spacing w:val="-5"/>
        </w:rPr>
        <w:t> </w:t>
      </w:r>
      <w:r>
        <w:rPr/>
        <w:t>παρέμειναν</w:t>
      </w:r>
      <w:r>
        <w:rPr>
          <w:spacing w:val="-5"/>
        </w:rPr>
        <w:t> </w:t>
      </w:r>
      <w:r>
        <w:rPr/>
        <w:t>αμετάβλητοι.</w:t>
      </w:r>
      <w:r>
        <w:rPr>
          <w:spacing w:val="-5"/>
        </w:rPr>
        <w:t> </w:t>
      </w:r>
      <w:r>
        <w:rPr/>
        <w:t>Στο</w:t>
      </w:r>
      <w:r>
        <w:rPr>
          <w:spacing w:val="-6"/>
        </w:rPr>
        <w:t> </w:t>
      </w:r>
      <w:r>
        <w:rPr/>
        <w:t>ίδιο</w:t>
      </w:r>
      <w:r>
        <w:rPr>
          <w:spacing w:val="-7"/>
        </w:rPr>
        <w:t> </w:t>
      </w:r>
      <w:r>
        <w:rPr/>
        <w:t>χρονικό</w:t>
      </w:r>
      <w:r>
        <w:rPr>
          <w:spacing w:val="-6"/>
        </w:rPr>
        <w:t> </w:t>
      </w:r>
      <w:r>
        <w:rPr/>
        <w:t>διάστημα</w:t>
      </w:r>
      <w:r>
        <w:rPr>
          <w:spacing w:val="-2"/>
        </w:rPr>
        <w:t> </w:t>
      </w:r>
      <w:r>
        <w:rPr/>
        <w:t>η</w:t>
      </w:r>
      <w:r>
        <w:rPr>
          <w:spacing w:val="-6"/>
        </w:rPr>
        <w:t> </w:t>
      </w:r>
      <w:r>
        <w:rPr/>
        <w:t>ανα-λογία αιτήσεων δανείων που απορρίφθηκαν παρέμεινε σχεδόν αμετάβλητη.</w:t>
      </w:r>
    </w:p>
    <w:p>
      <w:pPr>
        <w:pStyle w:val="BodyText"/>
        <w:rPr>
          <w:sz w:val="20"/>
        </w:rPr>
      </w:pPr>
    </w:p>
    <w:p>
      <w:pPr>
        <w:pStyle w:val="BodyText"/>
        <w:rPr>
          <w:sz w:val="20"/>
        </w:rPr>
      </w:pPr>
    </w:p>
    <w:p>
      <w:pPr>
        <w:pStyle w:val="BodyText"/>
        <w:spacing w:before="5"/>
        <w:rPr>
          <w:sz w:val="20"/>
        </w:rPr>
      </w:pPr>
      <w:r>
        <w:rPr>
          <w:sz w:val="20"/>
        </w:rPr>
        <mc:AlternateContent>
          <mc:Choice Requires="wps">
            <w:drawing>
              <wp:anchor distT="0" distB="0" distL="0" distR="0" allowOverlap="1" layoutInCell="1" locked="0" behindDoc="1" simplePos="0" relativeHeight="487591936">
                <wp:simplePos x="0" y="0"/>
                <wp:positionH relativeFrom="page">
                  <wp:posOffset>1009192</wp:posOffset>
                </wp:positionH>
                <wp:positionV relativeFrom="paragraph">
                  <wp:posOffset>164540</wp:posOffset>
                </wp:positionV>
                <wp:extent cx="1829435" cy="762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2.955914pt;width:144.020pt;height:.599980pt;mso-position-horizontal-relative:page;mso-position-vertical-relative:paragraph;z-index:-15724544;mso-wrap-distance-left:0;mso-wrap-distance-right:0" id="docshape30" filled="true" fillcolor="#000000" stroked="false">
                <v:fill type="solid"/>
                <w10:wrap type="topAndBottom"/>
              </v:rect>
            </w:pict>
          </mc:Fallback>
        </mc:AlternateContent>
      </w:r>
    </w:p>
    <w:p>
      <w:pPr>
        <w:spacing w:before="165"/>
        <w:ind w:left="172" w:right="957" w:firstLine="0"/>
        <w:jc w:val="both"/>
        <w:rPr>
          <w:sz w:val="16"/>
        </w:rPr>
      </w:pPr>
      <w:bookmarkStart w:name="_bookmark11" w:id="12"/>
      <w:bookmarkEnd w:id="12"/>
      <w:r>
        <w:rPr/>
      </w:r>
      <w:r>
        <w:rPr>
          <w:position w:val="5"/>
          <w:sz w:val="9"/>
        </w:rPr>
        <w:t>6</w:t>
      </w:r>
      <w:r>
        <w:rPr>
          <w:spacing w:val="15"/>
          <w:position w:val="5"/>
          <w:sz w:val="9"/>
        </w:rPr>
        <w:t> </w:t>
      </w:r>
      <w:r>
        <w:rPr>
          <w:sz w:val="16"/>
        </w:rPr>
        <w:t>Περιλαμβάνεται</w:t>
      </w:r>
      <w:r>
        <w:rPr>
          <w:spacing w:val="-2"/>
          <w:sz w:val="16"/>
        </w:rPr>
        <w:t> </w:t>
      </w:r>
      <w:r>
        <w:rPr>
          <w:sz w:val="16"/>
        </w:rPr>
        <w:t>η</w:t>
      </w:r>
      <w:r>
        <w:rPr>
          <w:spacing w:val="-4"/>
          <w:sz w:val="16"/>
        </w:rPr>
        <w:t> </w:t>
      </w:r>
      <w:r>
        <w:rPr>
          <w:sz w:val="16"/>
        </w:rPr>
        <w:t>χρηματοδότηση</w:t>
      </w:r>
      <w:r>
        <w:rPr>
          <w:spacing w:val="-5"/>
          <w:sz w:val="16"/>
        </w:rPr>
        <w:t> </w:t>
      </w:r>
      <w:r>
        <w:rPr>
          <w:sz w:val="16"/>
        </w:rPr>
        <w:t>προς</w:t>
      </w:r>
      <w:r>
        <w:rPr>
          <w:spacing w:val="-2"/>
          <w:sz w:val="16"/>
        </w:rPr>
        <w:t> </w:t>
      </w:r>
      <w:r>
        <w:rPr>
          <w:sz w:val="16"/>
        </w:rPr>
        <w:t>ιδιώτες,</w:t>
      </w:r>
      <w:r>
        <w:rPr>
          <w:spacing w:val="-1"/>
          <w:sz w:val="16"/>
        </w:rPr>
        <w:t> </w:t>
      </w:r>
      <w:r>
        <w:rPr>
          <w:sz w:val="16"/>
        </w:rPr>
        <w:t>ιδιωτικά</w:t>
      </w:r>
      <w:r>
        <w:rPr>
          <w:spacing w:val="-4"/>
          <w:sz w:val="16"/>
        </w:rPr>
        <w:t> </w:t>
      </w:r>
      <w:r>
        <w:rPr>
          <w:sz w:val="16"/>
        </w:rPr>
        <w:t>μη</w:t>
      </w:r>
      <w:r>
        <w:rPr>
          <w:spacing w:val="-4"/>
          <w:sz w:val="16"/>
        </w:rPr>
        <w:t> </w:t>
      </w:r>
      <w:r>
        <w:rPr>
          <w:sz w:val="16"/>
        </w:rPr>
        <w:t>κερδοσκοπικά</w:t>
      </w:r>
      <w:r>
        <w:rPr>
          <w:spacing w:val="-2"/>
          <w:sz w:val="16"/>
        </w:rPr>
        <w:t> </w:t>
      </w:r>
      <w:r>
        <w:rPr>
          <w:sz w:val="16"/>
        </w:rPr>
        <w:t>ιδρύματα,</w:t>
      </w:r>
      <w:r>
        <w:rPr>
          <w:spacing w:val="-4"/>
          <w:sz w:val="16"/>
        </w:rPr>
        <w:t> </w:t>
      </w:r>
      <w:r>
        <w:rPr>
          <w:sz w:val="16"/>
        </w:rPr>
        <w:t>καθώς</w:t>
      </w:r>
      <w:r>
        <w:rPr>
          <w:spacing w:val="-3"/>
          <w:sz w:val="16"/>
        </w:rPr>
        <w:t> </w:t>
      </w:r>
      <w:r>
        <w:rPr>
          <w:sz w:val="16"/>
        </w:rPr>
        <w:t>και</w:t>
      </w:r>
      <w:r>
        <w:rPr>
          <w:spacing w:val="-5"/>
          <w:sz w:val="16"/>
        </w:rPr>
        <w:t> </w:t>
      </w:r>
      <w:r>
        <w:rPr>
          <w:sz w:val="16"/>
        </w:rPr>
        <w:t>ελεύθερους</w:t>
      </w:r>
      <w:r>
        <w:rPr>
          <w:spacing w:val="-3"/>
          <w:sz w:val="16"/>
        </w:rPr>
        <w:t> </w:t>
      </w:r>
      <w:r>
        <w:rPr>
          <w:sz w:val="16"/>
        </w:rPr>
        <w:t>επαγγελματίες,</w:t>
      </w:r>
      <w:r>
        <w:rPr>
          <w:spacing w:val="-4"/>
          <w:sz w:val="16"/>
        </w:rPr>
        <w:t> </w:t>
      </w:r>
      <w:r>
        <w:rPr>
          <w:sz w:val="16"/>
        </w:rPr>
        <w:t>αγρό-τες και ατομικές επιχειρήσεις από τα εγχώρια ΝΧΙ.</w:t>
      </w:r>
    </w:p>
    <w:p>
      <w:pPr>
        <w:spacing w:before="21"/>
        <w:ind w:left="172" w:right="0" w:firstLine="0"/>
        <w:jc w:val="both"/>
        <w:rPr>
          <w:sz w:val="16"/>
        </w:rPr>
      </w:pPr>
      <w:bookmarkStart w:name="_bookmark12" w:id="13"/>
      <w:bookmarkEnd w:id="13"/>
      <w:r>
        <w:rPr/>
      </w:r>
      <w:r>
        <w:rPr>
          <w:sz w:val="16"/>
          <w:vertAlign w:val="superscript"/>
        </w:rPr>
        <w:t>7</w:t>
      </w:r>
      <w:r>
        <w:rPr>
          <w:spacing w:val="-3"/>
          <w:sz w:val="16"/>
          <w:vertAlign w:val="baseline"/>
        </w:rPr>
        <w:t> </w:t>
      </w:r>
      <w:r>
        <w:rPr>
          <w:sz w:val="16"/>
          <w:vertAlign w:val="baseline"/>
        </w:rPr>
        <w:t>Στοιχεία</w:t>
      </w:r>
      <w:r>
        <w:rPr>
          <w:spacing w:val="-6"/>
          <w:sz w:val="16"/>
          <w:vertAlign w:val="baseline"/>
        </w:rPr>
        <w:t> </w:t>
      </w:r>
      <w:r>
        <w:rPr>
          <w:sz w:val="16"/>
          <w:vertAlign w:val="baseline"/>
        </w:rPr>
        <w:t>όπως</w:t>
      </w:r>
      <w:r>
        <w:rPr>
          <w:spacing w:val="-3"/>
          <w:sz w:val="16"/>
          <w:vertAlign w:val="baseline"/>
        </w:rPr>
        <w:t> </w:t>
      </w:r>
      <w:r>
        <w:rPr>
          <w:sz w:val="16"/>
          <w:vertAlign w:val="baseline"/>
        </w:rPr>
        <w:t>προβλέπονται</w:t>
      </w:r>
      <w:r>
        <w:rPr>
          <w:spacing w:val="-3"/>
          <w:sz w:val="16"/>
          <w:vertAlign w:val="baseline"/>
        </w:rPr>
        <w:t> </w:t>
      </w:r>
      <w:r>
        <w:rPr>
          <w:sz w:val="16"/>
          <w:vertAlign w:val="baseline"/>
        </w:rPr>
        <w:t>από</w:t>
      </w:r>
      <w:r>
        <w:rPr>
          <w:spacing w:val="-4"/>
          <w:sz w:val="16"/>
          <w:vertAlign w:val="baseline"/>
        </w:rPr>
        <w:t> </w:t>
      </w:r>
      <w:r>
        <w:rPr>
          <w:sz w:val="16"/>
          <w:vertAlign w:val="baseline"/>
        </w:rPr>
        <w:t>την</w:t>
      </w:r>
      <w:r>
        <w:rPr>
          <w:spacing w:val="-3"/>
          <w:sz w:val="16"/>
          <w:vertAlign w:val="baseline"/>
        </w:rPr>
        <w:t> </w:t>
      </w:r>
      <w:r>
        <w:rPr>
          <w:sz w:val="16"/>
          <w:vertAlign w:val="baseline"/>
        </w:rPr>
        <w:t>ΠΕΕ</w:t>
      </w:r>
      <w:r>
        <w:rPr>
          <w:spacing w:val="-5"/>
          <w:sz w:val="16"/>
          <w:vertAlign w:val="baseline"/>
        </w:rPr>
        <w:t> </w:t>
      </w:r>
      <w:r>
        <w:rPr>
          <w:spacing w:val="-2"/>
          <w:sz w:val="16"/>
          <w:vertAlign w:val="baseline"/>
        </w:rPr>
        <w:t>231/3/15.07.2024.</w:t>
      </w:r>
    </w:p>
    <w:p>
      <w:pPr>
        <w:spacing w:before="20"/>
        <w:ind w:left="172" w:right="957" w:firstLine="0"/>
        <w:jc w:val="both"/>
        <w:rPr>
          <w:sz w:val="16"/>
        </w:rPr>
      </w:pPr>
      <w:bookmarkStart w:name="_bookmark13" w:id="14"/>
      <w:bookmarkEnd w:id="14"/>
      <w:r>
        <w:rPr/>
      </w:r>
      <w:r>
        <w:rPr>
          <w:sz w:val="16"/>
          <w:vertAlign w:val="superscript"/>
        </w:rPr>
        <w:t>8</w:t>
      </w:r>
      <w:r>
        <w:rPr>
          <w:spacing w:val="-6"/>
          <w:sz w:val="16"/>
          <w:vertAlign w:val="baseline"/>
        </w:rPr>
        <w:t> </w:t>
      </w:r>
      <w:r>
        <w:rPr>
          <w:sz w:val="16"/>
          <w:vertAlign w:val="baseline"/>
        </w:rPr>
        <w:t>Επισημαίνεται</w:t>
      </w:r>
      <w:r>
        <w:rPr>
          <w:spacing w:val="-6"/>
          <w:sz w:val="16"/>
          <w:vertAlign w:val="baseline"/>
        </w:rPr>
        <w:t> </w:t>
      </w:r>
      <w:r>
        <w:rPr>
          <w:sz w:val="16"/>
          <w:vertAlign w:val="baseline"/>
        </w:rPr>
        <w:t>ότι</w:t>
      </w:r>
      <w:r>
        <w:rPr>
          <w:spacing w:val="-6"/>
          <w:sz w:val="16"/>
          <w:vertAlign w:val="baseline"/>
        </w:rPr>
        <w:t> </w:t>
      </w:r>
      <w:r>
        <w:rPr>
          <w:sz w:val="16"/>
          <w:vertAlign w:val="baseline"/>
        </w:rPr>
        <w:t>συνήθως</w:t>
      </w:r>
      <w:r>
        <w:rPr>
          <w:spacing w:val="-8"/>
          <w:sz w:val="16"/>
          <w:vertAlign w:val="baseline"/>
        </w:rPr>
        <w:t> </w:t>
      </w:r>
      <w:r>
        <w:rPr>
          <w:sz w:val="16"/>
          <w:vertAlign w:val="baseline"/>
        </w:rPr>
        <w:t>μεσολαβεί</w:t>
      </w:r>
      <w:r>
        <w:rPr>
          <w:spacing w:val="-7"/>
          <w:sz w:val="16"/>
          <w:vertAlign w:val="baseline"/>
        </w:rPr>
        <w:t> </w:t>
      </w:r>
      <w:r>
        <w:rPr>
          <w:sz w:val="16"/>
          <w:vertAlign w:val="baseline"/>
        </w:rPr>
        <w:t>εύλογο</w:t>
      </w:r>
      <w:r>
        <w:rPr>
          <w:spacing w:val="-6"/>
          <w:sz w:val="16"/>
          <w:vertAlign w:val="baseline"/>
        </w:rPr>
        <w:t> </w:t>
      </w:r>
      <w:r>
        <w:rPr>
          <w:sz w:val="16"/>
          <w:vertAlign w:val="baseline"/>
        </w:rPr>
        <w:t>χρονικό</w:t>
      </w:r>
      <w:r>
        <w:rPr>
          <w:spacing w:val="-6"/>
          <w:sz w:val="16"/>
          <w:vertAlign w:val="baseline"/>
        </w:rPr>
        <w:t> </w:t>
      </w:r>
      <w:r>
        <w:rPr>
          <w:sz w:val="16"/>
          <w:vertAlign w:val="baseline"/>
        </w:rPr>
        <w:t>διάστημα</w:t>
      </w:r>
      <w:r>
        <w:rPr>
          <w:spacing w:val="-6"/>
          <w:sz w:val="16"/>
          <w:vertAlign w:val="baseline"/>
        </w:rPr>
        <w:t> </w:t>
      </w:r>
      <w:r>
        <w:rPr>
          <w:sz w:val="16"/>
          <w:vertAlign w:val="baseline"/>
        </w:rPr>
        <w:t>από</w:t>
      </w:r>
      <w:r>
        <w:rPr>
          <w:spacing w:val="-7"/>
          <w:sz w:val="16"/>
          <w:vertAlign w:val="baseline"/>
        </w:rPr>
        <w:t> </w:t>
      </w:r>
      <w:r>
        <w:rPr>
          <w:sz w:val="16"/>
          <w:vertAlign w:val="baseline"/>
        </w:rPr>
        <w:t>την</w:t>
      </w:r>
      <w:r>
        <w:rPr>
          <w:spacing w:val="-5"/>
          <w:sz w:val="16"/>
          <w:vertAlign w:val="baseline"/>
        </w:rPr>
        <w:t> </w:t>
      </w:r>
      <w:r>
        <w:rPr>
          <w:sz w:val="16"/>
          <w:vertAlign w:val="baseline"/>
        </w:rPr>
        <w:t>υποβολή</w:t>
      </w:r>
      <w:r>
        <w:rPr>
          <w:spacing w:val="-6"/>
          <w:sz w:val="16"/>
          <w:vertAlign w:val="baseline"/>
        </w:rPr>
        <w:t> </w:t>
      </w:r>
      <w:r>
        <w:rPr>
          <w:sz w:val="16"/>
          <w:vertAlign w:val="baseline"/>
        </w:rPr>
        <w:t>αίτησης</w:t>
      </w:r>
      <w:r>
        <w:rPr>
          <w:spacing w:val="-5"/>
          <w:sz w:val="16"/>
          <w:vertAlign w:val="baseline"/>
        </w:rPr>
        <w:t> </w:t>
      </w:r>
      <w:r>
        <w:rPr>
          <w:sz w:val="16"/>
          <w:vertAlign w:val="baseline"/>
        </w:rPr>
        <w:t>στο</w:t>
      </w:r>
      <w:r>
        <w:rPr>
          <w:spacing w:val="-6"/>
          <w:sz w:val="16"/>
          <w:vertAlign w:val="baseline"/>
        </w:rPr>
        <w:t> </w:t>
      </w:r>
      <w:r>
        <w:rPr>
          <w:sz w:val="16"/>
          <w:vertAlign w:val="baseline"/>
        </w:rPr>
        <w:t>πρόγραμμα</w:t>
      </w:r>
      <w:r>
        <w:rPr>
          <w:spacing w:val="-6"/>
          <w:sz w:val="16"/>
          <w:vertAlign w:val="baseline"/>
        </w:rPr>
        <w:t> </w:t>
      </w:r>
      <w:r>
        <w:rPr>
          <w:sz w:val="16"/>
          <w:vertAlign w:val="baseline"/>
        </w:rPr>
        <w:t>“Σπίτι</w:t>
      </w:r>
      <w:r>
        <w:rPr>
          <w:spacing w:val="-6"/>
          <w:sz w:val="16"/>
          <w:vertAlign w:val="baseline"/>
        </w:rPr>
        <w:t> </w:t>
      </w:r>
      <w:r>
        <w:rPr>
          <w:sz w:val="16"/>
          <w:vertAlign w:val="baseline"/>
        </w:rPr>
        <w:t>μου</w:t>
      </w:r>
      <w:r>
        <w:rPr>
          <w:spacing w:val="-7"/>
          <w:sz w:val="16"/>
          <w:vertAlign w:val="baseline"/>
        </w:rPr>
        <w:t> </w:t>
      </w:r>
      <w:r>
        <w:rPr>
          <w:sz w:val="16"/>
          <w:vertAlign w:val="baseline"/>
        </w:rPr>
        <w:t>ΙΙ”</w:t>
      </w:r>
      <w:r>
        <w:rPr>
          <w:spacing w:val="-6"/>
          <w:sz w:val="16"/>
          <w:vertAlign w:val="baseline"/>
        </w:rPr>
        <w:t> </w:t>
      </w:r>
      <w:r>
        <w:rPr>
          <w:sz w:val="16"/>
          <w:vertAlign w:val="baseline"/>
        </w:rPr>
        <w:t>μέχρι</w:t>
      </w:r>
      <w:r>
        <w:rPr>
          <w:spacing w:val="-6"/>
          <w:sz w:val="16"/>
          <w:vertAlign w:val="baseline"/>
        </w:rPr>
        <w:t> </w:t>
      </w:r>
      <w:r>
        <w:rPr>
          <w:sz w:val="16"/>
          <w:vertAlign w:val="baseline"/>
        </w:rPr>
        <w:t>την</w:t>
      </w:r>
      <w:r>
        <w:rPr>
          <w:spacing w:val="40"/>
          <w:sz w:val="16"/>
          <w:vertAlign w:val="baseline"/>
        </w:rPr>
        <w:t> </w:t>
      </w:r>
      <w:r>
        <w:rPr>
          <w:sz w:val="16"/>
          <w:vertAlign w:val="baseline"/>
        </w:rPr>
        <w:t>εκταμίευση του δανείου. Τα πιστωτικά ιδρύματα που συμμετέχουν στο Πρόγραμμα “Σπίτι μου ΙΙ” είχαν εκταμιεύσει δάνεια ύψους</w:t>
      </w:r>
      <w:r>
        <w:rPr>
          <w:spacing w:val="40"/>
          <w:sz w:val="16"/>
          <w:vertAlign w:val="baseline"/>
        </w:rPr>
        <w:t> </w:t>
      </w:r>
      <w:r>
        <w:rPr>
          <w:sz w:val="16"/>
          <w:vertAlign w:val="baseline"/>
        </w:rPr>
        <w:t>408 εκατ. ευρώ το 2025 από το συνολικό προϋπολογισμό των 1.000 εκατ. ευρώ του Προγράμματος.</w:t>
      </w:r>
    </w:p>
    <w:p>
      <w:pPr>
        <w:spacing w:before="21"/>
        <w:ind w:left="172" w:right="0" w:firstLine="0"/>
        <w:jc w:val="both"/>
        <w:rPr>
          <w:sz w:val="16"/>
        </w:rPr>
      </w:pPr>
      <w:bookmarkStart w:name="_bookmark14" w:id="15"/>
      <w:bookmarkEnd w:id="15"/>
      <w:r>
        <w:rPr/>
      </w:r>
      <w:hyperlink r:id="rId15">
        <w:r>
          <w:rPr>
            <w:sz w:val="16"/>
            <w:vertAlign w:val="superscript"/>
          </w:rPr>
          <w:t>9</w:t>
        </w:r>
      </w:hyperlink>
      <w:r>
        <w:rPr>
          <w:spacing w:val="9"/>
          <w:sz w:val="16"/>
          <w:vertAlign w:val="baseline"/>
        </w:rPr>
        <w:t> </w:t>
      </w:r>
      <w:hyperlink r:id="rId15">
        <w:r>
          <w:rPr>
            <w:color w:val="0000FF"/>
            <w:sz w:val="16"/>
            <w:u w:val="single" w:color="0000FF"/>
            <w:vertAlign w:val="baseline"/>
          </w:rPr>
          <w:t>Βλ.</w:t>
        </w:r>
        <w:r>
          <w:rPr>
            <w:color w:val="0000FF"/>
            <w:spacing w:val="-3"/>
            <w:sz w:val="16"/>
            <w:u w:val="single" w:color="0000FF"/>
            <w:vertAlign w:val="baseline"/>
          </w:rPr>
          <w:t> </w:t>
        </w:r>
        <w:r>
          <w:rPr>
            <w:color w:val="0000FF"/>
            <w:sz w:val="16"/>
            <w:u w:val="single" w:color="0000FF"/>
            <w:vertAlign w:val="baseline"/>
          </w:rPr>
          <w:t>Δελτίο</w:t>
        </w:r>
        <w:r>
          <w:rPr>
            <w:color w:val="0000FF"/>
            <w:spacing w:val="-3"/>
            <w:sz w:val="16"/>
            <w:u w:val="single" w:color="0000FF"/>
            <w:vertAlign w:val="baseline"/>
          </w:rPr>
          <w:t> </w:t>
        </w:r>
        <w:r>
          <w:rPr>
            <w:color w:val="0000FF"/>
            <w:sz w:val="16"/>
            <w:u w:val="single" w:color="0000FF"/>
            <w:vertAlign w:val="baseline"/>
          </w:rPr>
          <w:t>Τύπου</w:t>
        </w:r>
        <w:r>
          <w:rPr>
            <w:color w:val="0000FF"/>
            <w:spacing w:val="-7"/>
            <w:sz w:val="16"/>
            <w:u w:val="single" w:color="0000FF"/>
            <w:vertAlign w:val="baseline"/>
          </w:rPr>
          <w:t> </w:t>
        </w:r>
        <w:r>
          <w:rPr>
            <w:color w:val="0000FF"/>
            <w:sz w:val="16"/>
            <w:u w:val="single" w:color="0000FF"/>
            <w:vertAlign w:val="baseline"/>
          </w:rPr>
          <w:t>Τράπεζας</w:t>
        </w:r>
        <w:r>
          <w:rPr>
            <w:color w:val="0000FF"/>
            <w:spacing w:val="-4"/>
            <w:sz w:val="16"/>
            <w:u w:val="single" w:color="0000FF"/>
            <w:vertAlign w:val="baseline"/>
          </w:rPr>
          <w:t> </w:t>
        </w:r>
        <w:r>
          <w:rPr>
            <w:color w:val="0000FF"/>
            <w:sz w:val="16"/>
            <w:u w:val="single" w:color="0000FF"/>
            <w:vertAlign w:val="baseline"/>
          </w:rPr>
          <w:t>της</w:t>
        </w:r>
        <w:r>
          <w:rPr>
            <w:color w:val="0000FF"/>
            <w:spacing w:val="-5"/>
            <w:sz w:val="16"/>
            <w:u w:val="single" w:color="0000FF"/>
            <w:vertAlign w:val="baseline"/>
          </w:rPr>
          <w:t> </w:t>
        </w:r>
        <w:r>
          <w:rPr>
            <w:color w:val="0000FF"/>
            <w:sz w:val="16"/>
            <w:u w:val="single" w:color="0000FF"/>
            <w:vertAlign w:val="baseline"/>
          </w:rPr>
          <w:t>Ελλάδος,</w:t>
        </w:r>
        <w:r>
          <w:rPr>
            <w:color w:val="0000FF"/>
            <w:spacing w:val="-5"/>
            <w:sz w:val="16"/>
            <w:u w:val="single" w:color="0000FF"/>
            <w:vertAlign w:val="baseline"/>
          </w:rPr>
          <w:t> </w:t>
        </w:r>
        <w:r>
          <w:rPr>
            <w:color w:val="0000FF"/>
            <w:sz w:val="16"/>
            <w:u w:val="single" w:color="0000FF"/>
            <w:vertAlign w:val="baseline"/>
          </w:rPr>
          <w:t>“Έρευνα</w:t>
        </w:r>
        <w:r>
          <w:rPr>
            <w:color w:val="0000FF"/>
            <w:spacing w:val="-4"/>
            <w:sz w:val="16"/>
            <w:u w:val="single" w:color="0000FF"/>
            <w:vertAlign w:val="baseline"/>
          </w:rPr>
          <w:t> </w:t>
        </w:r>
        <w:r>
          <w:rPr>
            <w:color w:val="0000FF"/>
            <w:sz w:val="16"/>
            <w:u w:val="single" w:color="0000FF"/>
            <w:vertAlign w:val="baseline"/>
          </w:rPr>
          <w:t>Τραπεζικών</w:t>
        </w:r>
        <w:r>
          <w:rPr>
            <w:color w:val="0000FF"/>
            <w:spacing w:val="-5"/>
            <w:sz w:val="16"/>
            <w:u w:val="single" w:color="0000FF"/>
            <w:vertAlign w:val="baseline"/>
          </w:rPr>
          <w:t> </w:t>
        </w:r>
        <w:r>
          <w:rPr>
            <w:color w:val="0000FF"/>
            <w:sz w:val="16"/>
            <w:u w:val="single" w:color="0000FF"/>
            <w:vertAlign w:val="baseline"/>
          </w:rPr>
          <w:t>Χορηγήσεων:</w:t>
        </w:r>
        <w:r>
          <w:rPr>
            <w:color w:val="0000FF"/>
            <w:spacing w:val="-3"/>
            <w:sz w:val="16"/>
            <w:u w:val="single" w:color="0000FF"/>
            <w:vertAlign w:val="baseline"/>
          </w:rPr>
          <w:t> </w:t>
        </w:r>
        <w:r>
          <w:rPr>
            <w:color w:val="0000FF"/>
            <w:sz w:val="16"/>
            <w:u w:val="single" w:color="0000FF"/>
            <w:vertAlign w:val="baseline"/>
          </w:rPr>
          <w:t>δ΄</w:t>
        </w:r>
        <w:r>
          <w:rPr>
            <w:color w:val="0000FF"/>
            <w:spacing w:val="-6"/>
            <w:sz w:val="16"/>
            <w:u w:val="single" w:color="0000FF"/>
            <w:vertAlign w:val="baseline"/>
          </w:rPr>
          <w:t> </w:t>
        </w:r>
        <w:r>
          <w:rPr>
            <w:color w:val="0000FF"/>
            <w:sz w:val="16"/>
            <w:u w:val="single" w:color="0000FF"/>
            <w:vertAlign w:val="baseline"/>
          </w:rPr>
          <w:t>τρίμηνο</w:t>
        </w:r>
        <w:r>
          <w:rPr>
            <w:color w:val="0000FF"/>
            <w:spacing w:val="-5"/>
            <w:sz w:val="16"/>
            <w:u w:val="single" w:color="0000FF"/>
            <w:vertAlign w:val="baseline"/>
          </w:rPr>
          <w:t> </w:t>
        </w:r>
        <w:r>
          <w:rPr>
            <w:color w:val="0000FF"/>
            <w:sz w:val="16"/>
            <w:u w:val="single" w:color="0000FF"/>
            <w:vertAlign w:val="baseline"/>
          </w:rPr>
          <w:t>2025”,</w:t>
        </w:r>
        <w:r>
          <w:rPr>
            <w:color w:val="0000FF"/>
            <w:spacing w:val="-6"/>
            <w:sz w:val="16"/>
            <w:u w:val="single" w:color="0000FF"/>
            <w:vertAlign w:val="baseline"/>
          </w:rPr>
          <w:t> </w:t>
        </w:r>
        <w:r>
          <w:rPr>
            <w:color w:val="0000FF"/>
            <w:spacing w:val="-2"/>
            <w:sz w:val="16"/>
            <w:u w:val="single" w:color="0000FF"/>
            <w:vertAlign w:val="baseline"/>
          </w:rPr>
          <w:t>03.02.2026</w:t>
        </w:r>
        <w:r>
          <w:rPr>
            <w:spacing w:val="-2"/>
            <w:sz w:val="16"/>
            <w:vertAlign w:val="baseline"/>
          </w:rPr>
          <w:t>.</w:t>
        </w:r>
      </w:hyperlink>
    </w:p>
    <w:p>
      <w:pPr>
        <w:spacing w:before="20"/>
        <w:ind w:left="172" w:right="0" w:firstLine="0"/>
        <w:jc w:val="both"/>
        <w:rPr>
          <w:sz w:val="16"/>
        </w:rPr>
      </w:pPr>
      <w:bookmarkStart w:name="_bookmark15" w:id="16"/>
      <w:bookmarkEnd w:id="16"/>
      <w:r>
        <w:rPr/>
      </w:r>
      <w:r>
        <w:rPr>
          <w:sz w:val="16"/>
          <w:vertAlign w:val="superscript"/>
        </w:rPr>
        <w:t>10</w:t>
      </w:r>
      <w:r>
        <w:rPr>
          <w:spacing w:val="-7"/>
          <w:sz w:val="16"/>
          <w:vertAlign w:val="baseline"/>
        </w:rPr>
        <w:t> </w:t>
      </w:r>
      <w:hyperlink r:id="rId16">
        <w:r>
          <w:rPr>
            <w:color w:val="0000FF"/>
            <w:sz w:val="16"/>
            <w:u w:val="single" w:color="0000FF"/>
            <w:vertAlign w:val="baseline"/>
          </w:rPr>
          <w:t>Βλ.</w:t>
        </w:r>
        <w:r>
          <w:rPr>
            <w:color w:val="0000FF"/>
            <w:spacing w:val="-3"/>
            <w:sz w:val="16"/>
            <w:u w:val="single" w:color="0000FF"/>
            <w:vertAlign w:val="baseline"/>
          </w:rPr>
          <w:t> </w:t>
        </w:r>
        <w:r>
          <w:rPr>
            <w:color w:val="0000FF"/>
            <w:sz w:val="16"/>
            <w:u w:val="single" w:color="0000FF"/>
            <w:vertAlign w:val="baseline"/>
          </w:rPr>
          <w:t>Δελτίο</w:t>
        </w:r>
        <w:r>
          <w:rPr>
            <w:color w:val="0000FF"/>
            <w:spacing w:val="-6"/>
            <w:sz w:val="16"/>
            <w:u w:val="single" w:color="0000FF"/>
            <w:vertAlign w:val="baseline"/>
          </w:rPr>
          <w:t> </w:t>
        </w:r>
        <w:r>
          <w:rPr>
            <w:color w:val="0000FF"/>
            <w:sz w:val="16"/>
            <w:u w:val="single" w:color="0000FF"/>
            <w:vertAlign w:val="baseline"/>
          </w:rPr>
          <w:t>Τύπου</w:t>
        </w:r>
        <w:r>
          <w:rPr>
            <w:color w:val="0000FF"/>
            <w:spacing w:val="-4"/>
            <w:sz w:val="16"/>
            <w:u w:val="single" w:color="0000FF"/>
            <w:vertAlign w:val="baseline"/>
          </w:rPr>
          <w:t> </w:t>
        </w:r>
        <w:r>
          <w:rPr>
            <w:color w:val="0000FF"/>
            <w:sz w:val="16"/>
            <w:u w:val="single" w:color="0000FF"/>
            <w:vertAlign w:val="baseline"/>
          </w:rPr>
          <w:t>Τράπεζας</w:t>
        </w:r>
        <w:r>
          <w:rPr>
            <w:color w:val="0000FF"/>
            <w:spacing w:val="-5"/>
            <w:sz w:val="16"/>
            <w:u w:val="single" w:color="0000FF"/>
            <w:vertAlign w:val="baseline"/>
          </w:rPr>
          <w:t> </w:t>
        </w:r>
        <w:r>
          <w:rPr>
            <w:color w:val="0000FF"/>
            <w:sz w:val="16"/>
            <w:u w:val="single" w:color="0000FF"/>
            <w:vertAlign w:val="baseline"/>
          </w:rPr>
          <w:t>της</w:t>
        </w:r>
        <w:r>
          <w:rPr>
            <w:color w:val="0000FF"/>
            <w:spacing w:val="-4"/>
            <w:sz w:val="16"/>
            <w:u w:val="single" w:color="0000FF"/>
            <w:vertAlign w:val="baseline"/>
          </w:rPr>
          <w:t> </w:t>
        </w:r>
        <w:r>
          <w:rPr>
            <w:color w:val="0000FF"/>
            <w:sz w:val="16"/>
            <w:u w:val="single" w:color="0000FF"/>
            <w:vertAlign w:val="baseline"/>
          </w:rPr>
          <w:t>Ελλάδος,</w:t>
        </w:r>
        <w:r>
          <w:rPr>
            <w:color w:val="0000FF"/>
            <w:spacing w:val="-5"/>
            <w:sz w:val="16"/>
            <w:u w:val="single" w:color="0000FF"/>
            <w:vertAlign w:val="baseline"/>
          </w:rPr>
          <w:t> </w:t>
        </w:r>
        <w:r>
          <w:rPr>
            <w:color w:val="0000FF"/>
            <w:sz w:val="16"/>
            <w:u w:val="single" w:color="0000FF"/>
            <w:vertAlign w:val="baseline"/>
          </w:rPr>
          <w:t>“Έρευνα</w:t>
        </w:r>
        <w:r>
          <w:rPr>
            <w:color w:val="0000FF"/>
            <w:spacing w:val="-4"/>
            <w:sz w:val="16"/>
            <w:u w:val="single" w:color="0000FF"/>
            <w:vertAlign w:val="baseline"/>
          </w:rPr>
          <w:t> </w:t>
        </w:r>
        <w:r>
          <w:rPr>
            <w:color w:val="0000FF"/>
            <w:sz w:val="16"/>
            <w:u w:val="single" w:color="0000FF"/>
            <w:vertAlign w:val="baseline"/>
          </w:rPr>
          <w:t>Τραπεζικών</w:t>
        </w:r>
        <w:r>
          <w:rPr>
            <w:color w:val="0000FF"/>
            <w:spacing w:val="-6"/>
            <w:sz w:val="16"/>
            <w:u w:val="single" w:color="0000FF"/>
            <w:vertAlign w:val="baseline"/>
          </w:rPr>
          <w:t> </w:t>
        </w:r>
        <w:r>
          <w:rPr>
            <w:color w:val="0000FF"/>
            <w:sz w:val="16"/>
            <w:u w:val="single" w:color="0000FF"/>
            <w:vertAlign w:val="baseline"/>
          </w:rPr>
          <w:t>Χορηγήσεων:</w:t>
        </w:r>
        <w:r>
          <w:rPr>
            <w:color w:val="0000FF"/>
            <w:spacing w:val="-3"/>
            <w:sz w:val="16"/>
            <w:u w:val="single" w:color="0000FF"/>
            <w:vertAlign w:val="baseline"/>
          </w:rPr>
          <w:t> </w:t>
        </w:r>
        <w:r>
          <w:rPr>
            <w:color w:val="0000FF"/>
            <w:sz w:val="16"/>
            <w:u w:val="single" w:color="0000FF"/>
            <w:vertAlign w:val="baseline"/>
          </w:rPr>
          <w:t>γ΄</w:t>
        </w:r>
        <w:r>
          <w:rPr>
            <w:color w:val="0000FF"/>
            <w:spacing w:val="-7"/>
            <w:sz w:val="16"/>
            <w:u w:val="single" w:color="0000FF"/>
            <w:vertAlign w:val="baseline"/>
          </w:rPr>
          <w:t> </w:t>
        </w:r>
        <w:r>
          <w:rPr>
            <w:color w:val="0000FF"/>
            <w:sz w:val="16"/>
            <w:u w:val="single" w:color="0000FF"/>
            <w:vertAlign w:val="baseline"/>
          </w:rPr>
          <w:t>τρίμηνο</w:t>
        </w:r>
        <w:r>
          <w:rPr>
            <w:color w:val="0000FF"/>
            <w:spacing w:val="-5"/>
            <w:sz w:val="16"/>
            <w:u w:val="single" w:color="0000FF"/>
            <w:vertAlign w:val="baseline"/>
          </w:rPr>
          <w:t> </w:t>
        </w:r>
        <w:r>
          <w:rPr>
            <w:color w:val="0000FF"/>
            <w:sz w:val="16"/>
            <w:u w:val="single" w:color="0000FF"/>
            <w:vertAlign w:val="baseline"/>
          </w:rPr>
          <w:t>2025”,</w:t>
        </w:r>
        <w:r>
          <w:rPr>
            <w:color w:val="0000FF"/>
            <w:spacing w:val="-6"/>
            <w:sz w:val="16"/>
            <w:u w:val="single" w:color="0000FF"/>
            <w:vertAlign w:val="baseline"/>
          </w:rPr>
          <w:t> </w:t>
        </w:r>
        <w:r>
          <w:rPr>
            <w:color w:val="0000FF"/>
            <w:spacing w:val="-2"/>
            <w:sz w:val="16"/>
            <w:u w:val="single" w:color="0000FF"/>
            <w:vertAlign w:val="baseline"/>
          </w:rPr>
          <w:t>29.10.2026</w:t>
        </w:r>
        <w:r>
          <w:rPr>
            <w:color w:val="0000FF"/>
            <w:spacing w:val="-2"/>
            <w:sz w:val="16"/>
            <w:vertAlign w:val="baseline"/>
          </w:rPr>
          <w:t>.</w:t>
        </w:r>
      </w:hyperlink>
    </w:p>
    <w:p>
      <w:pPr>
        <w:spacing w:after="0"/>
        <w:jc w:val="both"/>
        <w:rPr>
          <w:sz w:val="16"/>
        </w:rPr>
        <w:sectPr>
          <w:type w:val="continuous"/>
          <w:pgSz w:w="11910" w:h="16850"/>
          <w:pgMar w:header="0" w:footer="1180" w:top="1320" w:bottom="280" w:left="1417" w:right="850"/>
        </w:sectPr>
      </w:pPr>
    </w:p>
    <w:p>
      <w:pPr>
        <w:pStyle w:val="Heading3"/>
        <w:numPr>
          <w:ilvl w:val="2"/>
          <w:numId w:val="2"/>
        </w:numPr>
        <w:tabs>
          <w:tab w:pos="738" w:val="left" w:leader="none"/>
        </w:tabs>
        <w:spacing w:line="240" w:lineRule="auto" w:before="72" w:after="0"/>
        <w:ind w:left="738" w:right="0" w:hanging="566"/>
        <w:jc w:val="left"/>
        <w:rPr>
          <w:color w:val="1F487C"/>
        </w:rPr>
      </w:pPr>
      <w:bookmarkStart w:name="_bookmark16" w:id="17"/>
      <w:bookmarkEnd w:id="17"/>
      <w:r>
        <w:rPr>
          <w:b w:val="0"/>
        </w:rPr>
      </w:r>
      <w:r>
        <w:rPr>
          <w:color w:val="1F487C"/>
        </w:rPr>
        <w:t>ΚΙΝΔΥΝΟΣ</w:t>
      </w:r>
      <w:r>
        <w:rPr>
          <w:color w:val="1F487C"/>
          <w:spacing w:val="-5"/>
        </w:rPr>
        <w:t> </w:t>
      </w:r>
      <w:r>
        <w:rPr>
          <w:color w:val="1F487C"/>
        </w:rPr>
        <w:t>ΕΠΙΤΟΚΙΟΥ</w:t>
      </w:r>
      <w:r>
        <w:rPr>
          <w:color w:val="1F487C"/>
          <w:spacing w:val="-5"/>
        </w:rPr>
        <w:t> </w:t>
      </w:r>
      <w:r>
        <w:rPr>
          <w:color w:val="1F487C"/>
        </w:rPr>
        <w:t>ΓΙΑ</w:t>
      </w:r>
      <w:r>
        <w:rPr>
          <w:color w:val="1F487C"/>
          <w:spacing w:val="-5"/>
        </w:rPr>
        <w:t> </w:t>
      </w:r>
      <w:r>
        <w:rPr>
          <w:color w:val="1F487C"/>
        </w:rPr>
        <w:t>ΤΑ</w:t>
      </w:r>
      <w:r>
        <w:rPr>
          <w:color w:val="1F487C"/>
          <w:spacing w:val="-5"/>
        </w:rPr>
        <w:t> </w:t>
      </w:r>
      <w:r>
        <w:rPr>
          <w:color w:val="1F487C"/>
          <w:spacing w:val="-2"/>
        </w:rPr>
        <w:t>ΝΟΙΚΟΚΥΡΙΑ</w:t>
      </w:r>
    </w:p>
    <w:p>
      <w:pPr>
        <w:pStyle w:val="BodyText"/>
        <w:spacing w:line="285" w:lineRule="auto" w:before="153"/>
        <w:ind w:left="172" w:right="956"/>
        <w:jc w:val="both"/>
      </w:pPr>
      <w:r>
        <w:rPr/>
        <mc:AlternateContent>
          <mc:Choice Requires="wps">
            <w:drawing>
              <wp:anchor distT="0" distB="0" distL="0" distR="0" allowOverlap="1" layoutInCell="1" locked="0" behindDoc="0" simplePos="0" relativeHeight="15734272">
                <wp:simplePos x="0" y="0"/>
                <wp:positionH relativeFrom="page">
                  <wp:posOffset>3665854</wp:posOffset>
                </wp:positionH>
                <wp:positionV relativeFrom="paragraph">
                  <wp:posOffset>1477404</wp:posOffset>
                </wp:positionV>
                <wp:extent cx="2734945" cy="47117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734945" cy="471170"/>
                        </a:xfrm>
                        <a:prstGeom prst="rect">
                          <a:avLst/>
                        </a:prstGeom>
                        <a:solidFill>
                          <a:srgbClr val="1F487C"/>
                        </a:solidFill>
                      </wps:spPr>
                      <wps:txbx>
                        <w:txbxContent>
                          <w:p>
                            <w:pPr>
                              <w:spacing w:before="60"/>
                              <w:ind w:left="112" w:right="224" w:firstLine="0"/>
                              <w:jc w:val="both"/>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ΙΙ.2</w:t>
                            </w:r>
                            <w:r>
                              <w:rPr>
                                <w:b/>
                                <w:smallCaps w:val="0"/>
                                <w:color w:val="FFFFFF"/>
                                <w:spacing w:val="-6"/>
                                <w:sz w:val="18"/>
                              </w:rPr>
                              <w:t> </w:t>
                            </w:r>
                            <w:r>
                              <w:rPr>
                                <w:b/>
                                <w:smallCaps w:val="0"/>
                                <w:color w:val="FFFFFF"/>
                                <w:sz w:val="18"/>
                              </w:rPr>
                              <w:t>Χρέος</w:t>
                            </w:r>
                            <w:r>
                              <w:rPr>
                                <w:b/>
                                <w:smallCaps w:val="0"/>
                                <w:color w:val="FFFFFF"/>
                                <w:spacing w:val="-7"/>
                                <w:sz w:val="18"/>
                              </w:rPr>
                              <w:t> </w:t>
                            </w:r>
                            <w:r>
                              <w:rPr>
                                <w:b/>
                                <w:smallCaps w:val="0"/>
                                <w:color w:val="FFFFFF"/>
                                <w:sz w:val="18"/>
                              </w:rPr>
                              <w:t>νο</w:t>
                            </w:r>
                            <w:r>
                              <w:rPr>
                                <w:b/>
                                <w:smallCaps/>
                                <w:color w:val="FFFFFF"/>
                                <w:sz w:val="18"/>
                              </w:rPr>
                              <w:t>ι</w:t>
                            </w:r>
                            <w:r>
                              <w:rPr>
                                <w:b/>
                                <w:smallCaps w:val="0"/>
                                <w:color w:val="FFFFFF"/>
                                <w:sz w:val="18"/>
                              </w:rPr>
                              <w:t>κοκυρ</w:t>
                            </w:r>
                            <w:r>
                              <w:rPr>
                                <w:b/>
                                <w:smallCaps/>
                                <w:color w:val="FFFFFF"/>
                                <w:sz w:val="18"/>
                              </w:rPr>
                              <w:t>ι</w:t>
                            </w:r>
                            <w:r>
                              <w:rPr>
                                <w:b/>
                                <w:smallCaps w:val="0"/>
                                <w:color w:val="FFFFFF"/>
                                <w:sz w:val="18"/>
                              </w:rPr>
                              <w:t>ών</w:t>
                            </w:r>
                            <w:r>
                              <w:rPr>
                                <w:b/>
                                <w:smallCaps w:val="0"/>
                                <w:color w:val="FFFFFF"/>
                                <w:spacing w:val="-4"/>
                                <w:sz w:val="18"/>
                              </w:rPr>
                              <w:t> </w:t>
                            </w:r>
                            <w:r>
                              <w:rPr>
                                <w:b/>
                                <w:smallCaps w:val="0"/>
                                <w:color w:val="FFFFFF"/>
                                <w:sz w:val="18"/>
                              </w:rPr>
                              <w:t>κα</w:t>
                            </w:r>
                            <w:r>
                              <w:rPr>
                                <w:b/>
                                <w:smallCaps/>
                                <w:color w:val="FFFFFF"/>
                                <w:sz w:val="18"/>
                              </w:rPr>
                              <w:t>ι</w:t>
                            </w:r>
                            <w:r>
                              <w:rPr>
                                <w:b/>
                                <w:smallCaps w:val="0"/>
                                <w:color w:val="FFFFFF"/>
                                <w:spacing w:val="-5"/>
                                <w:sz w:val="18"/>
                              </w:rPr>
                              <w:t> </w:t>
                            </w:r>
                            <w:r>
                              <w:rPr>
                                <w:b/>
                                <w:smallCaps w:val="0"/>
                                <w:color w:val="FFFFFF"/>
                                <w:sz w:val="18"/>
                              </w:rPr>
                              <w:t>δαπάνες</w:t>
                            </w:r>
                            <w:r>
                              <w:rPr>
                                <w:b/>
                                <w:smallCaps w:val="0"/>
                                <w:color w:val="FFFFFF"/>
                                <w:spacing w:val="-5"/>
                                <w:sz w:val="18"/>
                              </w:rPr>
                              <w:t> </w:t>
                            </w:r>
                            <w:r>
                              <w:rPr>
                                <w:b/>
                                <w:smallCaps w:val="0"/>
                                <w:color w:val="FFFFFF"/>
                                <w:sz w:val="18"/>
                              </w:rPr>
                              <w:t>γ</w:t>
                            </w:r>
                            <w:r>
                              <w:rPr>
                                <w:b/>
                                <w:smallCaps/>
                                <w:color w:val="FFFFFF"/>
                                <w:sz w:val="18"/>
                              </w:rPr>
                              <w:t>ι</w:t>
                            </w:r>
                            <w:r>
                              <w:rPr>
                                <w:b/>
                                <w:smallCaps w:val="0"/>
                                <w:color w:val="FFFFFF"/>
                                <w:sz w:val="18"/>
                              </w:rPr>
                              <w:t>α τόκους</w:t>
                            </w:r>
                            <w:r>
                              <w:rPr>
                                <w:b/>
                                <w:smallCaps w:val="0"/>
                                <w:color w:val="FFFFFF"/>
                                <w:spacing w:val="-3"/>
                                <w:sz w:val="18"/>
                              </w:rPr>
                              <w:t> </w:t>
                            </w:r>
                            <w:r>
                              <w:rPr>
                                <w:b/>
                                <w:smallCaps w:val="0"/>
                                <w:color w:val="FFFFFF"/>
                                <w:sz w:val="18"/>
                              </w:rPr>
                              <w:t>ως</w:t>
                            </w:r>
                            <w:r>
                              <w:rPr>
                                <w:b/>
                                <w:smallCaps w:val="0"/>
                                <w:color w:val="FFFFFF"/>
                                <w:spacing w:val="-1"/>
                                <w:sz w:val="18"/>
                              </w:rPr>
                              <w:t> </w:t>
                            </w:r>
                            <w:r>
                              <w:rPr>
                                <w:b/>
                                <w:smallCaps w:val="0"/>
                                <w:color w:val="FFFFFF"/>
                                <w:sz w:val="18"/>
                              </w:rPr>
                              <w:t>προς</w:t>
                            </w:r>
                            <w:r>
                              <w:rPr>
                                <w:b/>
                                <w:smallCaps w:val="0"/>
                                <w:color w:val="FFFFFF"/>
                                <w:spacing w:val="-4"/>
                                <w:sz w:val="18"/>
                              </w:rPr>
                              <w:t> </w:t>
                            </w:r>
                            <w:r>
                              <w:rPr>
                                <w:b/>
                                <w:smallCaps w:val="0"/>
                                <w:color w:val="FFFFFF"/>
                                <w:sz w:val="18"/>
                              </w:rPr>
                              <w:t>το</w:t>
                            </w:r>
                            <w:r>
                              <w:rPr>
                                <w:b/>
                                <w:smallCaps w:val="0"/>
                                <w:color w:val="FFFFFF"/>
                                <w:spacing w:val="-1"/>
                                <w:sz w:val="18"/>
                              </w:rPr>
                              <w:t> </w:t>
                            </w:r>
                            <w:r>
                              <w:rPr>
                                <w:b/>
                                <w:smallCaps w:val="0"/>
                                <w:color w:val="FFFFFF"/>
                                <w:sz w:val="18"/>
                              </w:rPr>
                              <w:t>ακαθάρ</w:t>
                            </w:r>
                            <w:r>
                              <w:rPr>
                                <w:b/>
                                <w:smallCaps/>
                                <w:color w:val="FFFFFF"/>
                                <w:sz w:val="18"/>
                              </w:rPr>
                              <w:t>ι</w:t>
                            </w:r>
                            <w:r>
                              <w:rPr>
                                <w:b/>
                                <w:smallCaps w:val="0"/>
                                <w:color w:val="FFFFFF"/>
                                <w:sz w:val="18"/>
                              </w:rPr>
                              <w:t>στο</w:t>
                            </w:r>
                            <w:r>
                              <w:rPr>
                                <w:b/>
                                <w:smallCaps w:val="0"/>
                                <w:color w:val="FFFFFF"/>
                                <w:spacing w:val="-3"/>
                                <w:sz w:val="18"/>
                              </w:rPr>
                              <w:t> </w:t>
                            </w:r>
                            <w:r>
                              <w:rPr>
                                <w:b/>
                                <w:smallCaps w:val="0"/>
                                <w:color w:val="FFFFFF"/>
                                <w:sz w:val="18"/>
                              </w:rPr>
                              <w:t>δ</w:t>
                            </w:r>
                            <w:r>
                              <w:rPr>
                                <w:b/>
                                <w:smallCaps/>
                                <w:color w:val="FFFFFF"/>
                                <w:sz w:val="18"/>
                              </w:rPr>
                              <w:t>ι</w:t>
                            </w:r>
                            <w:r>
                              <w:rPr>
                                <w:b/>
                                <w:smallCaps w:val="0"/>
                                <w:color w:val="FFFFFF"/>
                                <w:sz w:val="18"/>
                              </w:rPr>
                              <w:t>αθέσ</w:t>
                            </w:r>
                            <w:r>
                              <w:rPr>
                                <w:b/>
                                <w:smallCaps/>
                                <w:color w:val="FFFFFF"/>
                                <w:sz w:val="18"/>
                              </w:rPr>
                              <w:t>ι</w:t>
                            </w:r>
                            <w:r>
                              <w:rPr>
                                <w:b/>
                                <w:smallCaps w:val="0"/>
                                <w:color w:val="FFFFFF"/>
                                <w:sz w:val="18"/>
                              </w:rPr>
                              <w:t>μο</w:t>
                            </w:r>
                            <w:r>
                              <w:rPr>
                                <w:b/>
                                <w:smallCaps w:val="0"/>
                                <w:color w:val="FFFFFF"/>
                                <w:spacing w:val="-1"/>
                                <w:sz w:val="18"/>
                              </w:rPr>
                              <w:t> </w:t>
                            </w:r>
                            <w:r>
                              <w:rPr>
                                <w:b/>
                                <w:smallCaps w:val="0"/>
                                <w:color w:val="FFFFFF"/>
                                <w:sz w:val="18"/>
                              </w:rPr>
                              <w:t>ε</w:t>
                            </w:r>
                            <w:r>
                              <w:rPr>
                                <w:b/>
                                <w:smallCaps/>
                                <w:color w:val="FFFFFF"/>
                                <w:sz w:val="18"/>
                              </w:rPr>
                              <w:t>ι</w:t>
                            </w:r>
                            <w:r>
                              <w:rPr>
                                <w:b/>
                                <w:smallCaps w:val="0"/>
                                <w:color w:val="FFFFFF"/>
                                <w:sz w:val="18"/>
                              </w:rPr>
                              <w:t>σόδημα (2011 – 2025)</w:t>
                            </w:r>
                          </w:p>
                        </w:txbxContent>
                      </wps:txbx>
                      <wps:bodyPr wrap="square" lIns="0" tIns="0" rIns="0" bIns="0" rtlCol="0">
                        <a:noAutofit/>
                      </wps:bodyPr>
                    </wps:wsp>
                  </a:graphicData>
                </a:graphic>
              </wp:anchor>
            </w:drawing>
          </mc:Choice>
          <mc:Fallback>
            <w:pict>
              <v:shape style="position:absolute;margin-left:288.649994pt;margin-top:116.331078pt;width:215.35pt;height:37.1pt;mso-position-horizontal-relative:page;mso-position-vertical-relative:paragraph;z-index:15734272" type="#_x0000_t202" id="docshape31" filled="true" fillcolor="#1f487c" stroked="false">
                <v:textbox inset="0,0,0,0">
                  <w:txbxContent>
                    <w:p>
                      <w:pPr>
                        <w:spacing w:before="60"/>
                        <w:ind w:left="112" w:right="224" w:firstLine="0"/>
                        <w:jc w:val="both"/>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ΙΙ.2</w:t>
                      </w:r>
                      <w:r>
                        <w:rPr>
                          <w:b/>
                          <w:smallCaps w:val="0"/>
                          <w:color w:val="FFFFFF"/>
                          <w:spacing w:val="-6"/>
                          <w:sz w:val="18"/>
                        </w:rPr>
                        <w:t> </w:t>
                      </w:r>
                      <w:r>
                        <w:rPr>
                          <w:b/>
                          <w:smallCaps w:val="0"/>
                          <w:color w:val="FFFFFF"/>
                          <w:sz w:val="18"/>
                        </w:rPr>
                        <w:t>Χρέος</w:t>
                      </w:r>
                      <w:r>
                        <w:rPr>
                          <w:b/>
                          <w:smallCaps w:val="0"/>
                          <w:color w:val="FFFFFF"/>
                          <w:spacing w:val="-7"/>
                          <w:sz w:val="18"/>
                        </w:rPr>
                        <w:t> </w:t>
                      </w:r>
                      <w:r>
                        <w:rPr>
                          <w:b/>
                          <w:smallCaps w:val="0"/>
                          <w:color w:val="FFFFFF"/>
                          <w:sz w:val="18"/>
                        </w:rPr>
                        <w:t>νο</w:t>
                      </w:r>
                      <w:r>
                        <w:rPr>
                          <w:b/>
                          <w:smallCaps/>
                          <w:color w:val="FFFFFF"/>
                          <w:sz w:val="18"/>
                        </w:rPr>
                        <w:t>ι</w:t>
                      </w:r>
                      <w:r>
                        <w:rPr>
                          <w:b/>
                          <w:smallCaps w:val="0"/>
                          <w:color w:val="FFFFFF"/>
                          <w:sz w:val="18"/>
                        </w:rPr>
                        <w:t>κοκυρ</w:t>
                      </w:r>
                      <w:r>
                        <w:rPr>
                          <w:b/>
                          <w:smallCaps/>
                          <w:color w:val="FFFFFF"/>
                          <w:sz w:val="18"/>
                        </w:rPr>
                        <w:t>ι</w:t>
                      </w:r>
                      <w:r>
                        <w:rPr>
                          <w:b/>
                          <w:smallCaps w:val="0"/>
                          <w:color w:val="FFFFFF"/>
                          <w:sz w:val="18"/>
                        </w:rPr>
                        <w:t>ών</w:t>
                      </w:r>
                      <w:r>
                        <w:rPr>
                          <w:b/>
                          <w:smallCaps w:val="0"/>
                          <w:color w:val="FFFFFF"/>
                          <w:spacing w:val="-4"/>
                          <w:sz w:val="18"/>
                        </w:rPr>
                        <w:t> </w:t>
                      </w:r>
                      <w:r>
                        <w:rPr>
                          <w:b/>
                          <w:smallCaps w:val="0"/>
                          <w:color w:val="FFFFFF"/>
                          <w:sz w:val="18"/>
                        </w:rPr>
                        <w:t>κα</w:t>
                      </w:r>
                      <w:r>
                        <w:rPr>
                          <w:b/>
                          <w:smallCaps/>
                          <w:color w:val="FFFFFF"/>
                          <w:sz w:val="18"/>
                        </w:rPr>
                        <w:t>ι</w:t>
                      </w:r>
                      <w:r>
                        <w:rPr>
                          <w:b/>
                          <w:smallCaps w:val="0"/>
                          <w:color w:val="FFFFFF"/>
                          <w:spacing w:val="-5"/>
                          <w:sz w:val="18"/>
                        </w:rPr>
                        <w:t> </w:t>
                      </w:r>
                      <w:r>
                        <w:rPr>
                          <w:b/>
                          <w:smallCaps w:val="0"/>
                          <w:color w:val="FFFFFF"/>
                          <w:sz w:val="18"/>
                        </w:rPr>
                        <w:t>δαπάνες</w:t>
                      </w:r>
                      <w:r>
                        <w:rPr>
                          <w:b/>
                          <w:smallCaps w:val="0"/>
                          <w:color w:val="FFFFFF"/>
                          <w:spacing w:val="-5"/>
                          <w:sz w:val="18"/>
                        </w:rPr>
                        <w:t> </w:t>
                      </w:r>
                      <w:r>
                        <w:rPr>
                          <w:b/>
                          <w:smallCaps w:val="0"/>
                          <w:color w:val="FFFFFF"/>
                          <w:sz w:val="18"/>
                        </w:rPr>
                        <w:t>γ</w:t>
                      </w:r>
                      <w:r>
                        <w:rPr>
                          <w:b/>
                          <w:smallCaps/>
                          <w:color w:val="FFFFFF"/>
                          <w:sz w:val="18"/>
                        </w:rPr>
                        <w:t>ι</w:t>
                      </w:r>
                      <w:r>
                        <w:rPr>
                          <w:b/>
                          <w:smallCaps w:val="0"/>
                          <w:color w:val="FFFFFF"/>
                          <w:sz w:val="18"/>
                        </w:rPr>
                        <w:t>α τόκους</w:t>
                      </w:r>
                      <w:r>
                        <w:rPr>
                          <w:b/>
                          <w:smallCaps w:val="0"/>
                          <w:color w:val="FFFFFF"/>
                          <w:spacing w:val="-3"/>
                          <w:sz w:val="18"/>
                        </w:rPr>
                        <w:t> </w:t>
                      </w:r>
                      <w:r>
                        <w:rPr>
                          <w:b/>
                          <w:smallCaps w:val="0"/>
                          <w:color w:val="FFFFFF"/>
                          <w:sz w:val="18"/>
                        </w:rPr>
                        <w:t>ως</w:t>
                      </w:r>
                      <w:r>
                        <w:rPr>
                          <w:b/>
                          <w:smallCaps w:val="0"/>
                          <w:color w:val="FFFFFF"/>
                          <w:spacing w:val="-1"/>
                          <w:sz w:val="18"/>
                        </w:rPr>
                        <w:t> </w:t>
                      </w:r>
                      <w:r>
                        <w:rPr>
                          <w:b/>
                          <w:smallCaps w:val="0"/>
                          <w:color w:val="FFFFFF"/>
                          <w:sz w:val="18"/>
                        </w:rPr>
                        <w:t>προς</w:t>
                      </w:r>
                      <w:r>
                        <w:rPr>
                          <w:b/>
                          <w:smallCaps w:val="0"/>
                          <w:color w:val="FFFFFF"/>
                          <w:spacing w:val="-4"/>
                          <w:sz w:val="18"/>
                        </w:rPr>
                        <w:t> </w:t>
                      </w:r>
                      <w:r>
                        <w:rPr>
                          <w:b/>
                          <w:smallCaps w:val="0"/>
                          <w:color w:val="FFFFFF"/>
                          <w:sz w:val="18"/>
                        </w:rPr>
                        <w:t>το</w:t>
                      </w:r>
                      <w:r>
                        <w:rPr>
                          <w:b/>
                          <w:smallCaps w:val="0"/>
                          <w:color w:val="FFFFFF"/>
                          <w:spacing w:val="-1"/>
                          <w:sz w:val="18"/>
                        </w:rPr>
                        <w:t> </w:t>
                      </w:r>
                      <w:r>
                        <w:rPr>
                          <w:b/>
                          <w:smallCaps w:val="0"/>
                          <w:color w:val="FFFFFF"/>
                          <w:sz w:val="18"/>
                        </w:rPr>
                        <w:t>ακαθάρ</w:t>
                      </w:r>
                      <w:r>
                        <w:rPr>
                          <w:b/>
                          <w:smallCaps/>
                          <w:color w:val="FFFFFF"/>
                          <w:sz w:val="18"/>
                        </w:rPr>
                        <w:t>ι</w:t>
                      </w:r>
                      <w:r>
                        <w:rPr>
                          <w:b/>
                          <w:smallCaps w:val="0"/>
                          <w:color w:val="FFFFFF"/>
                          <w:sz w:val="18"/>
                        </w:rPr>
                        <w:t>στο</w:t>
                      </w:r>
                      <w:r>
                        <w:rPr>
                          <w:b/>
                          <w:smallCaps w:val="0"/>
                          <w:color w:val="FFFFFF"/>
                          <w:spacing w:val="-3"/>
                          <w:sz w:val="18"/>
                        </w:rPr>
                        <w:t> </w:t>
                      </w:r>
                      <w:r>
                        <w:rPr>
                          <w:b/>
                          <w:smallCaps w:val="0"/>
                          <w:color w:val="FFFFFF"/>
                          <w:sz w:val="18"/>
                        </w:rPr>
                        <w:t>δ</w:t>
                      </w:r>
                      <w:r>
                        <w:rPr>
                          <w:b/>
                          <w:smallCaps/>
                          <w:color w:val="FFFFFF"/>
                          <w:sz w:val="18"/>
                        </w:rPr>
                        <w:t>ι</w:t>
                      </w:r>
                      <w:r>
                        <w:rPr>
                          <w:b/>
                          <w:smallCaps w:val="0"/>
                          <w:color w:val="FFFFFF"/>
                          <w:sz w:val="18"/>
                        </w:rPr>
                        <w:t>αθέσ</w:t>
                      </w:r>
                      <w:r>
                        <w:rPr>
                          <w:b/>
                          <w:smallCaps/>
                          <w:color w:val="FFFFFF"/>
                          <w:sz w:val="18"/>
                        </w:rPr>
                        <w:t>ι</w:t>
                      </w:r>
                      <w:r>
                        <w:rPr>
                          <w:b/>
                          <w:smallCaps w:val="0"/>
                          <w:color w:val="FFFFFF"/>
                          <w:sz w:val="18"/>
                        </w:rPr>
                        <w:t>μο</w:t>
                      </w:r>
                      <w:r>
                        <w:rPr>
                          <w:b/>
                          <w:smallCaps w:val="0"/>
                          <w:color w:val="FFFFFF"/>
                          <w:spacing w:val="-1"/>
                          <w:sz w:val="18"/>
                        </w:rPr>
                        <w:t> </w:t>
                      </w:r>
                      <w:r>
                        <w:rPr>
                          <w:b/>
                          <w:smallCaps w:val="0"/>
                          <w:color w:val="FFFFFF"/>
                          <w:sz w:val="18"/>
                        </w:rPr>
                        <w:t>ε</w:t>
                      </w:r>
                      <w:r>
                        <w:rPr>
                          <w:b/>
                          <w:smallCaps/>
                          <w:color w:val="FFFFFF"/>
                          <w:sz w:val="18"/>
                        </w:rPr>
                        <w:t>ι</w:t>
                      </w:r>
                      <w:r>
                        <w:rPr>
                          <w:b/>
                          <w:smallCaps w:val="0"/>
                          <w:color w:val="FFFFFF"/>
                          <w:sz w:val="18"/>
                        </w:rPr>
                        <w:t>σόδημα (2011 – 2025)</w:t>
                      </w:r>
                    </w:p>
                  </w:txbxContent>
                </v:textbox>
                <v:fill type="solid"/>
                <w10:wrap type="none"/>
              </v:shape>
            </w:pict>
          </mc:Fallback>
        </mc:AlternateContent>
      </w:r>
      <w:r>
        <w:rPr/>
        <w:t>Η σταδιακή μείωση του επιτοκίου διευκόλυνσης αποδοχής καταθέσεων της ΕΚΤ (σωρευτικά κατά 200 μονάδες βάσης από τον Ιούνιο του 2024 έως τον Ιούνιο του 2025) αντανακλάται εν μέρει</w:t>
      </w:r>
      <w:r>
        <w:rPr>
          <w:spacing w:val="-8"/>
        </w:rPr>
        <w:t> </w:t>
      </w:r>
      <w:r>
        <w:rPr/>
        <w:t>στα</w:t>
      </w:r>
      <w:r>
        <w:rPr>
          <w:spacing w:val="-7"/>
        </w:rPr>
        <w:t> </w:t>
      </w:r>
      <w:r>
        <w:rPr/>
        <w:t>επιτόκια</w:t>
      </w:r>
      <w:r>
        <w:rPr>
          <w:spacing w:val="-6"/>
        </w:rPr>
        <w:t> </w:t>
      </w:r>
      <w:r>
        <w:rPr/>
        <w:t>των</w:t>
      </w:r>
      <w:r>
        <w:rPr>
          <w:spacing w:val="-5"/>
        </w:rPr>
        <w:t> </w:t>
      </w:r>
      <w:r>
        <w:rPr/>
        <w:t>δανείων.</w:t>
      </w:r>
      <w:r>
        <w:rPr>
          <w:spacing w:val="-6"/>
        </w:rPr>
        <w:t> </w:t>
      </w:r>
      <w:r>
        <w:rPr/>
        <w:t>Συγκεκριμένα,</w:t>
      </w:r>
      <w:r>
        <w:rPr>
          <w:spacing w:val="-7"/>
        </w:rPr>
        <w:t> </w:t>
      </w:r>
      <w:r>
        <w:rPr/>
        <w:t>το</w:t>
      </w:r>
      <w:r>
        <w:rPr>
          <w:spacing w:val="-6"/>
        </w:rPr>
        <w:t> </w:t>
      </w:r>
      <w:r>
        <w:rPr/>
        <w:t>μέσο</w:t>
      </w:r>
      <w:r>
        <w:rPr>
          <w:spacing w:val="-4"/>
        </w:rPr>
        <w:t> </w:t>
      </w:r>
      <w:r>
        <w:rPr/>
        <w:t>επιτόκιο</w:t>
      </w:r>
      <w:r>
        <w:rPr>
          <w:spacing w:val="-5"/>
        </w:rPr>
        <w:t> </w:t>
      </w:r>
      <w:r>
        <w:rPr/>
        <w:t>στα</w:t>
      </w:r>
      <w:r>
        <w:rPr>
          <w:spacing w:val="-7"/>
        </w:rPr>
        <w:t> </w:t>
      </w:r>
      <w:r>
        <w:rPr/>
        <w:t>υφιστάμενα</w:t>
      </w:r>
      <w:r>
        <w:rPr>
          <w:spacing w:val="-9"/>
        </w:rPr>
        <w:t> </w:t>
      </w:r>
      <w:r>
        <w:rPr/>
        <w:t>υπόλοιπα</w:t>
      </w:r>
      <w:r>
        <w:rPr>
          <w:spacing w:val="-5"/>
        </w:rPr>
        <w:t> </w:t>
      </w:r>
      <w:r>
        <w:rPr/>
        <w:t>στε-γαστικών δανείων με διάρκεια άνω των πέντε ετών μειώθηκε κατά 74 μονάδες βάσης (μ.β.) το χρονικό διάστημα Ιουνίου 2024-Φεβρουαρίου 2026 (Φεβρουάριος 2026: 3,6%, Ιούνιος 2024: 4,3%), ενώ στα στεγαστικά δάνεια με διάρκεια από ένα έως πέντε έτη παρέμεινε αμετάβλητο (Φεβρουάριος</w:t>
      </w:r>
      <w:r>
        <w:rPr>
          <w:spacing w:val="-13"/>
        </w:rPr>
        <w:t> </w:t>
      </w:r>
      <w:r>
        <w:rPr/>
        <w:t>2026:</w:t>
      </w:r>
      <w:r>
        <w:rPr>
          <w:spacing w:val="-11"/>
        </w:rPr>
        <w:t> </w:t>
      </w:r>
      <w:r>
        <w:rPr/>
        <w:t>5,5%,</w:t>
      </w:r>
      <w:r>
        <w:rPr>
          <w:spacing w:val="-14"/>
        </w:rPr>
        <w:t> </w:t>
      </w:r>
      <w:r>
        <w:rPr/>
        <w:t>Ιούνιος</w:t>
      </w:r>
      <w:r>
        <w:rPr>
          <w:spacing w:val="-11"/>
        </w:rPr>
        <w:t> </w:t>
      </w:r>
      <w:r>
        <w:rPr/>
        <w:t>2024:</w:t>
      </w:r>
      <w:r>
        <w:rPr>
          <w:spacing w:val="-11"/>
        </w:rPr>
        <w:t> </w:t>
      </w:r>
      <w:r>
        <w:rPr/>
        <w:t>5,5%).</w:t>
      </w:r>
      <w:r>
        <w:rPr>
          <w:spacing w:val="-11"/>
        </w:rPr>
        <w:t> </w:t>
      </w:r>
      <w:r>
        <w:rPr/>
        <w:t>Το</w:t>
      </w:r>
      <w:r>
        <w:rPr>
          <w:spacing w:val="-12"/>
        </w:rPr>
        <w:t> </w:t>
      </w:r>
      <w:r>
        <w:rPr/>
        <w:t>μέσο</w:t>
      </w:r>
      <w:r>
        <w:rPr>
          <w:spacing w:val="-12"/>
        </w:rPr>
        <w:t> </w:t>
      </w:r>
      <w:r>
        <w:rPr/>
        <w:t>επιτόκιο</w:t>
      </w:r>
      <w:r>
        <w:rPr>
          <w:spacing w:val="-11"/>
        </w:rPr>
        <w:t> </w:t>
      </w:r>
      <w:r>
        <w:rPr/>
        <w:t>στα</w:t>
      </w:r>
      <w:r>
        <w:rPr>
          <w:spacing w:val="-14"/>
        </w:rPr>
        <w:t> </w:t>
      </w:r>
      <w:r>
        <w:rPr/>
        <w:t>υφιστάμενα</w:t>
      </w:r>
      <w:r>
        <w:rPr>
          <w:spacing w:val="-11"/>
        </w:rPr>
        <w:t> </w:t>
      </w:r>
      <w:r>
        <w:rPr/>
        <w:t>υπόλοιπα</w:t>
      </w:r>
      <w:r>
        <w:rPr>
          <w:spacing w:val="-13"/>
        </w:rPr>
        <w:t> </w:t>
      </w:r>
      <w:r>
        <w:rPr/>
        <w:t>των καταναλωτικών και λοιπών δανείων προς τα</w:t>
      </w:r>
    </w:p>
    <w:p>
      <w:pPr>
        <w:pStyle w:val="BodyText"/>
        <w:spacing w:line="285" w:lineRule="auto"/>
        <w:ind w:left="172" w:right="5459"/>
        <w:jc w:val="both"/>
      </w:pPr>
      <w:r>
        <w:rPr/>
        <w:t>νοικοκυριά μειώθηκε κατά 25 μ.β. την περί-οδο</w:t>
      </w:r>
      <w:r>
        <w:rPr>
          <w:spacing w:val="-3"/>
        </w:rPr>
        <w:t> </w:t>
      </w:r>
      <w:r>
        <w:rPr/>
        <w:t>Ιουνίου 2024-Φεβρουαρίου</w:t>
      </w:r>
      <w:r>
        <w:rPr>
          <w:spacing w:val="-1"/>
        </w:rPr>
        <w:t> </w:t>
      </w:r>
      <w:r>
        <w:rPr/>
        <w:t>2026</w:t>
      </w:r>
      <w:r>
        <w:rPr>
          <w:spacing w:val="-2"/>
        </w:rPr>
        <w:t> </w:t>
      </w:r>
      <w:r>
        <w:rPr/>
        <w:t>για </w:t>
      </w:r>
      <w:r>
        <w:rPr>
          <w:spacing w:val="-5"/>
        </w:rPr>
        <w:t>δά-</w:t>
      </w:r>
    </w:p>
    <w:p>
      <w:pPr>
        <w:pStyle w:val="BodyText"/>
        <w:spacing w:after="0" w:line="285" w:lineRule="auto"/>
        <w:jc w:val="both"/>
        <w:sectPr>
          <w:pgSz w:w="11910" w:h="16850"/>
          <w:pgMar w:header="0" w:footer="1180" w:top="1800" w:bottom="1360" w:left="1417" w:right="850"/>
        </w:sectPr>
      </w:pPr>
    </w:p>
    <w:p>
      <w:pPr>
        <w:pStyle w:val="BodyText"/>
        <w:spacing w:line="285" w:lineRule="auto"/>
        <w:ind w:left="172"/>
        <w:jc w:val="both"/>
      </w:pPr>
      <w:r>
        <w:rPr/>
        <w:t>νεια με διάρκεια έως ένα έτος (Φεβρουάριος 2026:</w:t>
      </w:r>
      <w:r>
        <w:rPr>
          <w:spacing w:val="2"/>
        </w:rPr>
        <w:t> </w:t>
      </w:r>
      <w:r>
        <w:rPr/>
        <w:t>14,7%,</w:t>
      </w:r>
      <w:r>
        <w:rPr>
          <w:spacing w:val="6"/>
        </w:rPr>
        <w:t> </w:t>
      </w:r>
      <w:r>
        <w:rPr/>
        <w:t>Ιούνιος</w:t>
      </w:r>
      <w:r>
        <w:rPr>
          <w:spacing w:val="5"/>
        </w:rPr>
        <w:t> </w:t>
      </w:r>
      <w:r>
        <w:rPr/>
        <w:t>2024:</w:t>
      </w:r>
      <w:r>
        <w:rPr>
          <w:spacing w:val="6"/>
        </w:rPr>
        <w:t> </w:t>
      </w:r>
      <w:r>
        <w:rPr/>
        <w:t>14,9%),</w:t>
      </w:r>
      <w:r>
        <w:rPr>
          <w:spacing w:val="6"/>
        </w:rPr>
        <w:t> </w:t>
      </w:r>
      <w:r>
        <w:rPr/>
        <w:t>κατά</w:t>
      </w:r>
      <w:r>
        <w:rPr>
          <w:spacing w:val="6"/>
        </w:rPr>
        <w:t> </w:t>
      </w:r>
      <w:r>
        <w:rPr>
          <w:spacing w:val="-5"/>
        </w:rPr>
        <w:t>54</w:t>
      </w:r>
    </w:p>
    <w:p>
      <w:pPr>
        <w:pStyle w:val="BodyText"/>
        <w:spacing w:line="285" w:lineRule="auto"/>
        <w:ind w:left="172"/>
        <w:jc w:val="both"/>
      </w:pPr>
      <w:r>
        <w:rPr/>
        <w:t>μ.β. για δάνεια με διάρκεια άνω του ενός έ-τους και έως πέντε έτη (Φεβρουάριος 2026: 10,5%, Ιούνιος 2024: 11,1%) και κατά 7 μ.β. για δάνεια με διάρκεια άνω των πέντε ετών (Φεβρουάριος 2026: 8,29%, Ιούνιος 2024: 8,36%).</w:t>
      </w:r>
      <w:r>
        <w:rPr>
          <w:spacing w:val="-5"/>
        </w:rPr>
        <w:t> </w:t>
      </w:r>
      <w:r>
        <w:rPr/>
        <w:t>Πιο</w:t>
      </w:r>
      <w:r>
        <w:rPr>
          <w:spacing w:val="-5"/>
        </w:rPr>
        <w:t> </w:t>
      </w:r>
      <w:r>
        <w:rPr/>
        <w:t>αξιόλογη</w:t>
      </w:r>
      <w:r>
        <w:rPr>
          <w:spacing w:val="-5"/>
        </w:rPr>
        <w:t> </w:t>
      </w:r>
      <w:r>
        <w:rPr/>
        <w:t>είναι</w:t>
      </w:r>
      <w:r>
        <w:rPr>
          <w:spacing w:val="-8"/>
        </w:rPr>
        <w:t> </w:t>
      </w:r>
      <w:r>
        <w:rPr/>
        <w:t>η</w:t>
      </w:r>
      <w:r>
        <w:rPr>
          <w:spacing w:val="-5"/>
        </w:rPr>
        <w:t> </w:t>
      </w:r>
      <w:r>
        <w:rPr/>
        <w:t>μείωση</w:t>
      </w:r>
      <w:r>
        <w:rPr>
          <w:spacing w:val="-4"/>
        </w:rPr>
        <w:t> </w:t>
      </w:r>
      <w:r>
        <w:rPr/>
        <w:t>του</w:t>
      </w:r>
      <w:r>
        <w:rPr>
          <w:spacing w:val="-4"/>
        </w:rPr>
        <w:t> </w:t>
      </w:r>
      <w:r>
        <w:rPr/>
        <w:t>μέ-σου</w:t>
      </w:r>
      <w:r>
        <w:rPr>
          <w:spacing w:val="-5"/>
        </w:rPr>
        <w:t> </w:t>
      </w:r>
      <w:r>
        <w:rPr/>
        <w:t>επιτοκίου</w:t>
      </w:r>
      <w:r>
        <w:rPr>
          <w:spacing w:val="-5"/>
        </w:rPr>
        <w:t> </w:t>
      </w:r>
      <w:r>
        <w:rPr/>
        <w:t>στα</w:t>
      </w:r>
      <w:r>
        <w:rPr>
          <w:spacing w:val="-6"/>
        </w:rPr>
        <w:t> </w:t>
      </w:r>
      <w:r>
        <w:rPr/>
        <w:t>υφιστάμενα</w:t>
      </w:r>
      <w:r>
        <w:rPr>
          <w:spacing w:val="-6"/>
        </w:rPr>
        <w:t> </w:t>
      </w:r>
      <w:r>
        <w:rPr/>
        <w:t>υπόλοιπα</w:t>
      </w:r>
      <w:r>
        <w:rPr>
          <w:spacing w:val="-5"/>
        </w:rPr>
        <w:t> </w:t>
      </w:r>
      <w:r>
        <w:rPr/>
        <w:t>των δανείων των ελεύθερων επαγγελματιών, α-γροτών</w:t>
      </w:r>
      <w:r>
        <w:rPr>
          <w:spacing w:val="-7"/>
        </w:rPr>
        <w:t> </w:t>
      </w:r>
      <w:r>
        <w:rPr/>
        <w:t>και</w:t>
      </w:r>
      <w:r>
        <w:rPr>
          <w:spacing w:val="-8"/>
        </w:rPr>
        <w:t> </w:t>
      </w:r>
      <w:r>
        <w:rPr/>
        <w:t>ατομικών</w:t>
      </w:r>
      <w:r>
        <w:rPr>
          <w:spacing w:val="-7"/>
        </w:rPr>
        <w:t> </w:t>
      </w:r>
      <w:r>
        <w:rPr/>
        <w:t>επιχειρήσεων,</w:t>
      </w:r>
      <w:r>
        <w:rPr>
          <w:spacing w:val="-8"/>
        </w:rPr>
        <w:t> </w:t>
      </w:r>
      <w:r>
        <w:rPr/>
        <w:t>το</w:t>
      </w:r>
      <w:r>
        <w:rPr>
          <w:spacing w:val="-8"/>
        </w:rPr>
        <w:t> </w:t>
      </w:r>
      <w:r>
        <w:rPr/>
        <w:t>οποίο μειώθηκε κατά 73 μ.β. την περίοδο Ιουνίου 2024-Φεβρουαρίου 2026 για δάνεια με διάρ-κεια</w:t>
      </w:r>
      <w:r>
        <w:rPr>
          <w:spacing w:val="-3"/>
        </w:rPr>
        <w:t> </w:t>
      </w:r>
      <w:r>
        <w:rPr/>
        <w:t>έως</w:t>
      </w:r>
      <w:r>
        <w:rPr>
          <w:spacing w:val="-4"/>
        </w:rPr>
        <w:t> </w:t>
      </w:r>
      <w:r>
        <w:rPr/>
        <w:t>ένα</w:t>
      </w:r>
      <w:r>
        <w:rPr>
          <w:spacing w:val="-4"/>
        </w:rPr>
        <w:t> </w:t>
      </w:r>
      <w:r>
        <w:rPr/>
        <w:t>έτος</w:t>
      </w:r>
      <w:r>
        <w:rPr>
          <w:spacing w:val="-2"/>
        </w:rPr>
        <w:t> </w:t>
      </w:r>
      <w:r>
        <w:rPr/>
        <w:t>(Φεβρουάριος</w:t>
      </w:r>
      <w:r>
        <w:rPr>
          <w:spacing w:val="-1"/>
        </w:rPr>
        <w:t> </w:t>
      </w:r>
      <w:r>
        <w:rPr/>
        <w:t>2026:</w:t>
      </w:r>
      <w:r>
        <w:rPr>
          <w:spacing w:val="-2"/>
        </w:rPr>
        <w:t> </w:t>
      </w:r>
      <w:r>
        <w:rPr/>
        <w:t>6,8%, Ιούνιος</w:t>
      </w:r>
      <w:r>
        <w:rPr>
          <w:spacing w:val="-14"/>
        </w:rPr>
        <w:t> </w:t>
      </w:r>
      <w:r>
        <w:rPr/>
        <w:t>2024:</w:t>
      </w:r>
      <w:r>
        <w:rPr>
          <w:spacing w:val="-14"/>
        </w:rPr>
        <w:t> </w:t>
      </w:r>
      <w:r>
        <w:rPr/>
        <w:t>7,5%),</w:t>
      </w:r>
      <w:r>
        <w:rPr>
          <w:spacing w:val="-14"/>
        </w:rPr>
        <w:t> </w:t>
      </w:r>
      <w:r>
        <w:rPr/>
        <w:t>κατά</w:t>
      </w:r>
      <w:r>
        <w:rPr>
          <w:spacing w:val="-13"/>
        </w:rPr>
        <w:t> </w:t>
      </w:r>
      <w:r>
        <w:rPr/>
        <w:t>180</w:t>
      </w:r>
      <w:r>
        <w:rPr>
          <w:spacing w:val="-14"/>
        </w:rPr>
        <w:t> </w:t>
      </w:r>
      <w:r>
        <w:rPr/>
        <w:t>μ.β.</w:t>
      </w:r>
      <w:r>
        <w:rPr>
          <w:spacing w:val="-14"/>
        </w:rPr>
        <w:t> </w:t>
      </w:r>
      <w:r>
        <w:rPr/>
        <w:t>για</w:t>
      </w:r>
      <w:r>
        <w:rPr>
          <w:spacing w:val="-14"/>
        </w:rPr>
        <w:t> </w:t>
      </w:r>
      <w:r>
        <w:rPr/>
        <w:t>δάνεια με</w:t>
      </w:r>
      <w:r>
        <w:rPr>
          <w:spacing w:val="-10"/>
        </w:rPr>
        <w:t> </w:t>
      </w:r>
      <w:r>
        <w:rPr/>
        <w:t>διάρκεια</w:t>
      </w:r>
      <w:r>
        <w:rPr>
          <w:spacing w:val="-11"/>
        </w:rPr>
        <w:t> </w:t>
      </w:r>
      <w:r>
        <w:rPr/>
        <w:t>άνω</w:t>
      </w:r>
      <w:r>
        <w:rPr>
          <w:spacing w:val="-10"/>
        </w:rPr>
        <w:t> </w:t>
      </w:r>
      <w:r>
        <w:rPr/>
        <w:t>του</w:t>
      </w:r>
      <w:r>
        <w:rPr>
          <w:spacing w:val="-10"/>
        </w:rPr>
        <w:t> </w:t>
      </w:r>
      <w:r>
        <w:rPr/>
        <w:t>ενός</w:t>
      </w:r>
      <w:r>
        <w:rPr>
          <w:spacing w:val="-12"/>
        </w:rPr>
        <w:t> </w:t>
      </w:r>
      <w:r>
        <w:rPr/>
        <w:t>έτους</w:t>
      </w:r>
      <w:r>
        <w:rPr>
          <w:spacing w:val="-12"/>
        </w:rPr>
        <w:t> </w:t>
      </w:r>
      <w:r>
        <w:rPr/>
        <w:t>και</w:t>
      </w:r>
      <w:r>
        <w:rPr>
          <w:spacing w:val="-10"/>
        </w:rPr>
        <w:t> </w:t>
      </w:r>
      <w:r>
        <w:rPr/>
        <w:t>έως</w:t>
      </w:r>
      <w:r>
        <w:rPr>
          <w:spacing w:val="-12"/>
        </w:rPr>
        <w:t> </w:t>
      </w:r>
      <w:r>
        <w:rPr/>
        <w:t>πέντε έτη</w:t>
      </w:r>
      <w:r>
        <w:rPr>
          <w:spacing w:val="-4"/>
        </w:rPr>
        <w:t> </w:t>
      </w:r>
      <w:r>
        <w:rPr/>
        <w:t>(Φεβρουάριος</w:t>
      </w:r>
      <w:r>
        <w:rPr>
          <w:spacing w:val="-3"/>
        </w:rPr>
        <w:t> </w:t>
      </w:r>
      <w:r>
        <w:rPr/>
        <w:t>2026:</w:t>
      </w:r>
      <w:r>
        <w:rPr>
          <w:spacing w:val="-3"/>
        </w:rPr>
        <w:t> </w:t>
      </w:r>
      <w:r>
        <w:rPr/>
        <w:t>5,4%,</w:t>
      </w:r>
      <w:r>
        <w:rPr>
          <w:spacing w:val="-3"/>
        </w:rPr>
        <w:t> </w:t>
      </w:r>
      <w:r>
        <w:rPr/>
        <w:t>Ιούνιος</w:t>
      </w:r>
      <w:r>
        <w:rPr>
          <w:spacing w:val="-3"/>
        </w:rPr>
        <w:t> </w:t>
      </w:r>
      <w:r>
        <w:rPr/>
        <w:t>2024: 7,2%) και κατά 149 μ.β. για δάνεια με διάρ-κεια</w:t>
      </w:r>
      <w:r>
        <w:rPr>
          <w:spacing w:val="-14"/>
        </w:rPr>
        <w:t> </w:t>
      </w:r>
      <w:r>
        <w:rPr/>
        <w:t>άνω</w:t>
      </w:r>
      <w:r>
        <w:rPr>
          <w:spacing w:val="-14"/>
        </w:rPr>
        <w:t> </w:t>
      </w:r>
      <w:r>
        <w:rPr/>
        <w:t>των</w:t>
      </w:r>
      <w:r>
        <w:rPr>
          <w:spacing w:val="-14"/>
        </w:rPr>
        <w:t> </w:t>
      </w:r>
      <w:r>
        <w:rPr/>
        <w:t>πέντε</w:t>
      </w:r>
      <w:r>
        <w:rPr>
          <w:spacing w:val="-13"/>
        </w:rPr>
        <w:t> </w:t>
      </w:r>
      <w:r>
        <w:rPr/>
        <w:t>ετών</w:t>
      </w:r>
      <w:r>
        <w:rPr>
          <w:spacing w:val="-14"/>
        </w:rPr>
        <w:t> </w:t>
      </w:r>
      <w:r>
        <w:rPr/>
        <w:t>(Φεβρουάριος</w:t>
      </w:r>
      <w:r>
        <w:rPr>
          <w:spacing w:val="-14"/>
        </w:rPr>
        <w:t> </w:t>
      </w:r>
      <w:r>
        <w:rPr/>
        <w:t>2026: 5,3%, Ιούνιος 2024: 6,8%).</w:t>
      </w:r>
    </w:p>
    <w:p>
      <w:pPr>
        <w:pStyle w:val="BodyText"/>
        <w:spacing w:line="285" w:lineRule="auto" w:before="30"/>
        <w:ind w:left="172" w:right="1"/>
        <w:jc w:val="both"/>
      </w:pPr>
      <w:r>
        <w:rPr/>
        <w:t>Οι</w:t>
      </w:r>
      <w:r>
        <w:rPr>
          <w:spacing w:val="-14"/>
        </w:rPr>
        <w:t> </w:t>
      </w:r>
      <w:r>
        <w:rPr/>
        <w:t>συνολικές</w:t>
      </w:r>
      <w:r>
        <w:rPr>
          <w:spacing w:val="-14"/>
        </w:rPr>
        <w:t> </w:t>
      </w:r>
      <w:r>
        <w:rPr/>
        <w:t>δαπάνες</w:t>
      </w:r>
      <w:r>
        <w:rPr>
          <w:spacing w:val="-14"/>
        </w:rPr>
        <w:t> </w:t>
      </w:r>
      <w:r>
        <w:rPr/>
        <w:t>για</w:t>
      </w:r>
      <w:r>
        <w:rPr>
          <w:spacing w:val="-13"/>
        </w:rPr>
        <w:t> </w:t>
      </w:r>
      <w:r>
        <w:rPr/>
        <w:t>τόκους</w:t>
      </w:r>
      <w:r>
        <w:rPr>
          <w:spacing w:val="-14"/>
        </w:rPr>
        <w:t> </w:t>
      </w:r>
      <w:r>
        <w:rPr/>
        <w:t>ως</w:t>
      </w:r>
      <w:r>
        <w:rPr>
          <w:spacing w:val="-14"/>
        </w:rPr>
        <w:t> </w:t>
      </w:r>
      <w:r>
        <w:rPr/>
        <w:t>ποσοστό του ακαθάριστου διαθέσιμου εισοδήματος των νοικοκυριών παρουσίασαν μείωση το 2025,</w:t>
      </w:r>
      <w:r>
        <w:rPr>
          <w:spacing w:val="-8"/>
        </w:rPr>
        <w:t> </w:t>
      </w:r>
      <w:r>
        <w:rPr/>
        <w:t>ως</w:t>
      </w:r>
      <w:r>
        <w:rPr>
          <w:spacing w:val="-9"/>
        </w:rPr>
        <w:t> </w:t>
      </w:r>
      <w:r>
        <w:rPr/>
        <w:t>αποτέλεσμα</w:t>
      </w:r>
      <w:r>
        <w:rPr>
          <w:spacing w:val="-11"/>
        </w:rPr>
        <w:t> </w:t>
      </w:r>
      <w:r>
        <w:rPr/>
        <w:t>της</w:t>
      </w:r>
      <w:r>
        <w:rPr>
          <w:spacing w:val="-9"/>
        </w:rPr>
        <w:t> </w:t>
      </w:r>
      <w:r>
        <w:rPr/>
        <w:t>μείωσης</w:t>
      </w:r>
      <w:r>
        <w:rPr>
          <w:spacing w:val="-9"/>
        </w:rPr>
        <w:t> </w:t>
      </w:r>
      <w:r>
        <w:rPr/>
        <w:t>των</w:t>
      </w:r>
      <w:r>
        <w:rPr>
          <w:spacing w:val="-9"/>
        </w:rPr>
        <w:t> </w:t>
      </w:r>
      <w:r>
        <w:rPr/>
        <w:t>επιτο-κίων των υφιστάμενων δανείων (βλ. Διά-</w:t>
      </w:r>
      <w:r>
        <w:rPr>
          <w:spacing w:val="-2"/>
        </w:rPr>
        <w:t>γραμμα</w:t>
      </w:r>
      <w:r>
        <w:rPr>
          <w:spacing w:val="-7"/>
        </w:rPr>
        <w:t> </w:t>
      </w:r>
      <w:r>
        <w:rPr>
          <w:spacing w:val="-2"/>
        </w:rPr>
        <w:t>ΙΙ.2).</w:t>
      </w:r>
      <w:r>
        <w:rPr>
          <w:spacing w:val="-6"/>
        </w:rPr>
        <w:t> </w:t>
      </w:r>
      <w:r>
        <w:rPr>
          <w:spacing w:val="-2"/>
        </w:rPr>
        <w:t>Τέλος,</w:t>
      </w:r>
      <w:r>
        <w:rPr>
          <w:spacing w:val="-5"/>
        </w:rPr>
        <w:t> </w:t>
      </w:r>
      <w:r>
        <w:rPr>
          <w:spacing w:val="-2"/>
        </w:rPr>
        <w:t>το</w:t>
      </w:r>
      <w:r>
        <w:rPr>
          <w:spacing w:val="-6"/>
        </w:rPr>
        <w:t> </w:t>
      </w:r>
      <w:r>
        <w:rPr>
          <w:spacing w:val="-2"/>
        </w:rPr>
        <w:t>μέσο</w:t>
      </w:r>
      <w:r>
        <w:rPr>
          <w:spacing w:val="-6"/>
        </w:rPr>
        <w:t> </w:t>
      </w:r>
      <w:r>
        <w:rPr>
          <w:spacing w:val="-2"/>
        </w:rPr>
        <w:t>ετήσιο</w:t>
      </w:r>
      <w:r>
        <w:rPr>
          <w:spacing w:val="-7"/>
        </w:rPr>
        <w:t> </w:t>
      </w:r>
      <w:r>
        <w:rPr>
          <w:spacing w:val="-2"/>
        </w:rPr>
        <w:t>υπόλοιπο</w:t>
      </w:r>
    </w:p>
    <w:p>
      <w:pPr>
        <w:spacing w:before="24"/>
        <w:ind w:left="172" w:right="0" w:firstLine="0"/>
        <w:jc w:val="left"/>
        <w:rPr>
          <w:sz w:val="14"/>
        </w:rPr>
      </w:pPr>
      <w:r>
        <w:rPr/>
        <w:br w:type="column"/>
      </w:r>
      <w:r>
        <w:rPr>
          <w:color w:val="1F487C"/>
          <w:sz w:val="14"/>
        </w:rPr>
        <w:t>(%</w:t>
      </w:r>
      <w:r>
        <w:rPr>
          <w:color w:val="1F487C"/>
          <w:spacing w:val="-7"/>
          <w:sz w:val="14"/>
        </w:rPr>
        <w:t> </w:t>
      </w:r>
      <w:r>
        <w:rPr>
          <w:color w:val="1F487C"/>
          <w:sz w:val="14"/>
        </w:rPr>
        <w:t>ακαθάριστου</w:t>
      </w:r>
      <w:r>
        <w:rPr>
          <w:color w:val="1F487C"/>
          <w:spacing w:val="-7"/>
          <w:sz w:val="14"/>
        </w:rPr>
        <w:t> </w:t>
      </w:r>
      <w:r>
        <w:rPr>
          <w:color w:val="1F487C"/>
          <w:sz w:val="14"/>
        </w:rPr>
        <w:t>διαθέσιμου</w:t>
      </w:r>
      <w:r>
        <w:rPr>
          <w:color w:val="1F487C"/>
          <w:spacing w:val="-6"/>
          <w:sz w:val="14"/>
        </w:rPr>
        <w:t> </w:t>
      </w:r>
      <w:r>
        <w:rPr>
          <w:color w:val="1F487C"/>
          <w:spacing w:val="-2"/>
          <w:sz w:val="14"/>
        </w:rPr>
        <w:t>εισοδήματος)</w:t>
      </w:r>
    </w:p>
    <w:p>
      <w:pPr>
        <w:pStyle w:val="BodyText"/>
        <w:spacing w:before="3"/>
        <w:rPr>
          <w:sz w:val="5"/>
        </w:rPr>
      </w:pPr>
    </w:p>
    <w:p>
      <w:pPr>
        <w:spacing w:line="240" w:lineRule="auto"/>
        <w:ind w:left="114" w:right="0" w:firstLine="0"/>
        <w:rPr>
          <w:sz w:val="20"/>
        </w:rPr>
      </w:pPr>
      <w:r>
        <w:rPr>
          <w:sz w:val="20"/>
        </w:rPr>
        <mc:AlternateContent>
          <mc:Choice Requires="wps">
            <w:drawing>
              <wp:inline distT="0" distB="0" distL="0" distR="0">
                <wp:extent cx="2734945" cy="4695190"/>
                <wp:effectExtent l="0" t="0" r="0" b="635"/>
                <wp:docPr id="32" name="Group 32"/>
                <wp:cNvGraphicFramePr>
                  <a:graphicFrameLocks/>
                </wp:cNvGraphicFramePr>
                <a:graphic>
                  <a:graphicData uri="http://schemas.microsoft.com/office/word/2010/wordprocessingGroup">
                    <wpg:wgp>
                      <wpg:cNvPr id="32" name="Group 32"/>
                      <wpg:cNvGrpSpPr/>
                      <wpg:grpSpPr>
                        <a:xfrm>
                          <a:off x="0" y="0"/>
                          <a:ext cx="2734945" cy="4695190"/>
                          <a:chExt cx="2734945" cy="4695190"/>
                        </a:xfrm>
                      </wpg:grpSpPr>
                      <wps:wsp>
                        <wps:cNvPr id="33" name="Graphic 33"/>
                        <wps:cNvSpPr/>
                        <wps:spPr>
                          <a:xfrm>
                            <a:off x="0" y="253"/>
                            <a:ext cx="2734945" cy="4694555"/>
                          </a:xfrm>
                          <a:custGeom>
                            <a:avLst/>
                            <a:gdLst/>
                            <a:ahLst/>
                            <a:cxnLst/>
                            <a:rect l="l" t="t" r="r" b="b"/>
                            <a:pathLst>
                              <a:path w="2734945" h="4694555">
                                <a:moveTo>
                                  <a:pt x="2734691" y="2534793"/>
                                </a:moveTo>
                                <a:lnTo>
                                  <a:pt x="0" y="2534793"/>
                                </a:lnTo>
                                <a:lnTo>
                                  <a:pt x="0" y="4694555"/>
                                </a:lnTo>
                                <a:lnTo>
                                  <a:pt x="2734691" y="4694555"/>
                                </a:lnTo>
                                <a:lnTo>
                                  <a:pt x="2734691" y="2534793"/>
                                </a:lnTo>
                                <a:close/>
                              </a:path>
                              <a:path w="2734945" h="4694555">
                                <a:moveTo>
                                  <a:pt x="2734691" y="0"/>
                                </a:moveTo>
                                <a:lnTo>
                                  <a:pt x="0" y="0"/>
                                </a:lnTo>
                                <a:lnTo>
                                  <a:pt x="0" y="2534666"/>
                                </a:lnTo>
                                <a:lnTo>
                                  <a:pt x="2734691" y="2534666"/>
                                </a:lnTo>
                                <a:lnTo>
                                  <a:pt x="2734691" y="0"/>
                                </a:lnTo>
                                <a:close/>
                              </a:path>
                            </a:pathLst>
                          </a:custGeom>
                          <a:solidFill>
                            <a:srgbClr val="D9D9D9"/>
                          </a:solidFill>
                        </wps:spPr>
                        <wps:bodyPr wrap="square" lIns="0" tIns="0" rIns="0" bIns="0" rtlCol="0">
                          <a:prstTxWarp prst="textNoShape">
                            <a:avLst/>
                          </a:prstTxWarp>
                          <a:noAutofit/>
                        </wps:bodyPr>
                      </wps:wsp>
                      <pic:pic>
                        <pic:nvPicPr>
                          <pic:cNvPr id="34" name="Image 34"/>
                          <pic:cNvPicPr/>
                        </pic:nvPicPr>
                        <pic:blipFill>
                          <a:blip r:embed="rId17" cstate="print"/>
                          <a:stretch>
                            <a:fillRect/>
                          </a:stretch>
                        </pic:blipFill>
                        <pic:spPr>
                          <a:xfrm>
                            <a:off x="36194" y="0"/>
                            <a:ext cx="2663825" cy="2530982"/>
                          </a:xfrm>
                          <a:prstGeom prst="rect">
                            <a:avLst/>
                          </a:prstGeom>
                        </pic:spPr>
                      </pic:pic>
                      <wps:wsp>
                        <wps:cNvPr id="35" name="Textbox 35"/>
                        <wps:cNvSpPr txBox="1"/>
                        <wps:spPr>
                          <a:xfrm>
                            <a:off x="0" y="253"/>
                            <a:ext cx="2734945" cy="469455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85"/>
                                <w:rPr>
                                  <w:sz w:val="14"/>
                                </w:rPr>
                              </w:pPr>
                            </w:p>
                            <w:p>
                              <w:pPr>
                                <w:spacing w:before="1"/>
                                <w:ind w:left="112" w:right="0" w:firstLine="0"/>
                                <w:jc w:val="left"/>
                                <w:rPr>
                                  <w:sz w:val="14"/>
                                </w:rPr>
                              </w:pPr>
                              <w:r>
                                <w:rPr>
                                  <w:sz w:val="14"/>
                                </w:rPr>
                                <w:t>Πηγές:</w:t>
                              </w:r>
                              <w:r>
                                <w:rPr>
                                  <w:spacing w:val="-6"/>
                                  <w:sz w:val="14"/>
                                </w:rPr>
                                <w:t> </w:t>
                              </w:r>
                              <w:r>
                                <w:rPr>
                                  <w:sz w:val="14"/>
                                </w:rPr>
                                <w:t>Εκτιμήσεις</w:t>
                              </w:r>
                              <w:r>
                                <w:rPr>
                                  <w:spacing w:val="-6"/>
                                  <w:sz w:val="14"/>
                                </w:rPr>
                                <w:t> </w:t>
                              </w:r>
                              <w:r>
                                <w:rPr>
                                  <w:sz w:val="14"/>
                                </w:rPr>
                                <w:t>της</w:t>
                              </w:r>
                              <w:r>
                                <w:rPr>
                                  <w:spacing w:val="-6"/>
                                  <w:sz w:val="14"/>
                                </w:rPr>
                                <w:t> </w:t>
                              </w:r>
                              <w:r>
                                <w:rPr>
                                  <w:sz w:val="14"/>
                                </w:rPr>
                                <w:t>Τράπεζας</w:t>
                              </w:r>
                              <w:r>
                                <w:rPr>
                                  <w:spacing w:val="-6"/>
                                  <w:sz w:val="14"/>
                                </w:rPr>
                                <w:t> </w:t>
                              </w:r>
                              <w:r>
                                <w:rPr>
                                  <w:sz w:val="14"/>
                                </w:rPr>
                                <w:t>της</w:t>
                              </w:r>
                              <w:r>
                                <w:rPr>
                                  <w:spacing w:val="-4"/>
                                  <w:sz w:val="14"/>
                                </w:rPr>
                                <w:t> </w:t>
                              </w:r>
                              <w:r>
                                <w:rPr>
                                  <w:sz w:val="14"/>
                                </w:rPr>
                                <w:t>Ελλάδος</w:t>
                              </w:r>
                              <w:r>
                                <w:rPr>
                                  <w:spacing w:val="-6"/>
                                  <w:sz w:val="14"/>
                                </w:rPr>
                                <w:t> </w:t>
                              </w:r>
                              <w:r>
                                <w:rPr>
                                  <w:sz w:val="14"/>
                                </w:rPr>
                                <w:t>και</w:t>
                              </w:r>
                              <w:r>
                                <w:rPr>
                                  <w:spacing w:val="-5"/>
                                  <w:sz w:val="14"/>
                                </w:rPr>
                                <w:t> </w:t>
                              </w:r>
                              <w:r>
                                <w:rPr>
                                  <w:sz w:val="14"/>
                                </w:rPr>
                                <w:t>Ελληνική</w:t>
                              </w:r>
                              <w:r>
                                <w:rPr>
                                  <w:spacing w:val="-6"/>
                                  <w:sz w:val="14"/>
                                </w:rPr>
                                <w:t> </w:t>
                              </w:r>
                              <w:r>
                                <w:rPr>
                                  <w:sz w:val="14"/>
                                </w:rPr>
                                <w:t>Στατιστική</w:t>
                              </w:r>
                              <w:r>
                                <w:rPr>
                                  <w:spacing w:val="40"/>
                                  <w:sz w:val="14"/>
                                </w:rPr>
                                <w:t> </w:t>
                              </w:r>
                              <w:r>
                                <w:rPr>
                                  <w:spacing w:val="-2"/>
                                  <w:sz w:val="14"/>
                                </w:rPr>
                                <w:t>Αρχή.</w:t>
                              </w:r>
                            </w:p>
                            <w:p>
                              <w:pPr>
                                <w:spacing w:before="59"/>
                                <w:ind w:left="112" w:right="0" w:firstLine="0"/>
                                <w:jc w:val="left"/>
                                <w:rPr>
                                  <w:sz w:val="14"/>
                                </w:rPr>
                              </w:pPr>
                              <w:r>
                                <w:rPr>
                                  <w:spacing w:val="-2"/>
                                  <w:sz w:val="14"/>
                                </w:rPr>
                                <w:t>Σημειώσεις:</w:t>
                              </w:r>
                            </w:p>
                            <w:p>
                              <w:pPr>
                                <w:numPr>
                                  <w:ilvl w:val="0"/>
                                  <w:numId w:val="3"/>
                                </w:numPr>
                                <w:tabs>
                                  <w:tab w:pos="253" w:val="left" w:leader="none"/>
                                </w:tabs>
                                <w:spacing w:before="60"/>
                                <w:ind w:left="112" w:right="42" w:firstLine="0"/>
                                <w:jc w:val="left"/>
                                <w:rPr>
                                  <w:sz w:val="14"/>
                                </w:rPr>
                              </w:pPr>
                              <w:r>
                                <w:rPr>
                                  <w:sz w:val="14"/>
                                </w:rPr>
                                <w:t>Οι δαπάνες για τόκους προσεγγίζονται με το γινόμενο του</w:t>
                              </w:r>
                              <w:r>
                                <w:rPr>
                                  <w:spacing w:val="40"/>
                                  <w:sz w:val="14"/>
                                </w:rPr>
                                <w:t> </w:t>
                              </w:r>
                              <w:r>
                                <w:rPr>
                                  <w:sz w:val="14"/>
                                </w:rPr>
                                <w:t>σταθμισμένου</w:t>
                              </w:r>
                              <w:r>
                                <w:rPr>
                                  <w:spacing w:val="-6"/>
                                  <w:sz w:val="14"/>
                                </w:rPr>
                                <w:t> </w:t>
                              </w:r>
                              <w:r>
                                <w:rPr>
                                  <w:sz w:val="14"/>
                                </w:rPr>
                                <w:t>επιτοκίου</w:t>
                              </w:r>
                              <w:r>
                                <w:rPr>
                                  <w:spacing w:val="-6"/>
                                  <w:sz w:val="14"/>
                                </w:rPr>
                                <w:t> </w:t>
                              </w:r>
                              <w:r>
                                <w:rPr>
                                  <w:sz w:val="14"/>
                                </w:rPr>
                                <w:t>κατά</w:t>
                              </w:r>
                              <w:r>
                                <w:rPr>
                                  <w:spacing w:val="-7"/>
                                  <w:sz w:val="14"/>
                                </w:rPr>
                                <w:t> </w:t>
                              </w:r>
                              <w:r>
                                <w:rPr>
                                  <w:sz w:val="14"/>
                                </w:rPr>
                                <w:t>κατηγορία</w:t>
                              </w:r>
                              <w:r>
                                <w:rPr>
                                  <w:spacing w:val="-7"/>
                                  <w:sz w:val="14"/>
                                </w:rPr>
                                <w:t> </w:t>
                              </w:r>
                              <w:r>
                                <w:rPr>
                                  <w:sz w:val="14"/>
                                </w:rPr>
                                <w:t>στα</w:t>
                              </w:r>
                              <w:r>
                                <w:rPr>
                                  <w:spacing w:val="-7"/>
                                  <w:sz w:val="14"/>
                                </w:rPr>
                                <w:t> </w:t>
                              </w:r>
                              <w:r>
                                <w:rPr>
                                  <w:sz w:val="14"/>
                                </w:rPr>
                                <w:t>υφιστάμενα</w:t>
                              </w:r>
                              <w:r>
                                <w:rPr>
                                  <w:spacing w:val="-7"/>
                                  <w:sz w:val="14"/>
                                </w:rPr>
                                <w:t> </w:t>
                              </w:r>
                              <w:r>
                                <w:rPr>
                                  <w:sz w:val="14"/>
                                </w:rPr>
                                <w:t>ενήμερα</w:t>
                              </w:r>
                              <w:r>
                                <w:rPr>
                                  <w:spacing w:val="-5"/>
                                  <w:sz w:val="14"/>
                                </w:rPr>
                                <w:t> </w:t>
                              </w:r>
                              <w:r>
                                <w:rPr>
                                  <w:sz w:val="14"/>
                                </w:rPr>
                                <w:t>δάνεια</w:t>
                              </w:r>
                              <w:r>
                                <w:rPr>
                                  <w:spacing w:val="40"/>
                                  <w:sz w:val="14"/>
                                </w:rPr>
                                <w:t> </w:t>
                              </w:r>
                              <w:r>
                                <w:rPr>
                                  <w:sz w:val="14"/>
                                </w:rPr>
                                <w:t>επί το μέσο ετήσιο υπόλοιπο της συνολικής χρηματοδότησης προς τα</w:t>
                              </w:r>
                              <w:r>
                                <w:rPr>
                                  <w:spacing w:val="40"/>
                                  <w:sz w:val="14"/>
                                </w:rPr>
                                <w:t> </w:t>
                              </w:r>
                              <w:r>
                                <w:rPr>
                                  <w:sz w:val="14"/>
                                </w:rPr>
                                <w:t>νοικοκυριά κατά κατηγορία χρηματοδότησης.</w:t>
                              </w:r>
                            </w:p>
                            <w:p>
                              <w:pPr>
                                <w:numPr>
                                  <w:ilvl w:val="0"/>
                                  <w:numId w:val="3"/>
                                </w:numPr>
                                <w:tabs>
                                  <w:tab w:pos="253" w:val="left" w:leader="none"/>
                                </w:tabs>
                                <w:spacing w:line="240" w:lineRule="auto" w:before="0"/>
                                <w:ind w:left="112" w:right="42" w:firstLine="0"/>
                                <w:jc w:val="left"/>
                                <w:rPr>
                                  <w:sz w:val="14"/>
                                </w:rPr>
                              </w:pPr>
                              <w:r>
                                <w:rPr>
                                  <w:sz w:val="14"/>
                                </w:rPr>
                                <w:t>Η χρηματοδότηση προς τα νοικοκυριά περιλαμβάνει δάνεια προς</w:t>
                              </w:r>
                              <w:r>
                                <w:rPr>
                                  <w:spacing w:val="40"/>
                                  <w:sz w:val="14"/>
                                </w:rPr>
                                <w:t> </w:t>
                              </w:r>
                              <w:r>
                                <w:rPr>
                                  <w:sz w:val="14"/>
                                </w:rPr>
                                <w:t>ελεύθερους</w:t>
                              </w:r>
                              <w:r>
                                <w:rPr>
                                  <w:spacing w:val="-4"/>
                                  <w:sz w:val="14"/>
                                </w:rPr>
                                <w:t> </w:t>
                              </w:r>
                              <w:r>
                                <w:rPr>
                                  <w:sz w:val="14"/>
                                </w:rPr>
                                <w:t>επαγγελματίες,</w:t>
                              </w:r>
                              <w:r>
                                <w:rPr>
                                  <w:spacing w:val="-2"/>
                                  <w:sz w:val="14"/>
                                </w:rPr>
                                <w:t> </w:t>
                              </w:r>
                              <w:r>
                                <w:rPr>
                                  <w:sz w:val="14"/>
                                </w:rPr>
                                <w:t>αγρότες</w:t>
                              </w:r>
                              <w:r>
                                <w:rPr>
                                  <w:spacing w:val="-4"/>
                                  <w:sz w:val="14"/>
                                </w:rPr>
                                <w:t> </w:t>
                              </w:r>
                              <w:r>
                                <w:rPr>
                                  <w:sz w:val="14"/>
                                </w:rPr>
                                <w:t>και</w:t>
                              </w:r>
                              <w:r>
                                <w:rPr>
                                  <w:spacing w:val="-3"/>
                                  <w:sz w:val="14"/>
                                </w:rPr>
                                <w:t> </w:t>
                              </w:r>
                              <w:r>
                                <w:rPr>
                                  <w:sz w:val="14"/>
                                </w:rPr>
                                <w:t>ατομικές</w:t>
                              </w:r>
                              <w:r>
                                <w:rPr>
                                  <w:spacing w:val="-4"/>
                                  <w:sz w:val="14"/>
                                </w:rPr>
                                <w:t> </w:t>
                              </w:r>
                              <w:r>
                                <w:rPr>
                                  <w:sz w:val="14"/>
                                </w:rPr>
                                <w:t>επιχειρήσεις,</w:t>
                              </w:r>
                              <w:r>
                                <w:rPr>
                                  <w:spacing w:val="-2"/>
                                  <w:sz w:val="14"/>
                                </w:rPr>
                                <w:t> </w:t>
                              </w:r>
                              <w:r>
                                <w:rPr>
                                  <w:sz w:val="14"/>
                                </w:rPr>
                                <w:t>καθώς</w:t>
                              </w:r>
                              <w:r>
                                <w:rPr>
                                  <w:spacing w:val="-4"/>
                                  <w:sz w:val="14"/>
                                </w:rPr>
                                <w:t> </w:t>
                              </w:r>
                              <w:r>
                                <w:rPr>
                                  <w:sz w:val="14"/>
                                </w:rPr>
                                <w:t>και</w:t>
                              </w:r>
                              <w:r>
                                <w:rPr>
                                  <w:spacing w:val="40"/>
                                  <w:sz w:val="14"/>
                                </w:rPr>
                                <w:t> </w:t>
                              </w:r>
                              <w:r>
                                <w:rPr>
                                  <w:sz w:val="14"/>
                                </w:rPr>
                                <w:t>στεγαστικά, καταναλωτικά</w:t>
                              </w:r>
                              <w:r>
                                <w:rPr>
                                  <w:spacing w:val="-3"/>
                                  <w:sz w:val="14"/>
                                </w:rPr>
                                <w:t> </w:t>
                              </w:r>
                              <w:r>
                                <w:rPr>
                                  <w:sz w:val="14"/>
                                </w:rPr>
                                <w:t>και</w:t>
                              </w:r>
                              <w:r>
                                <w:rPr>
                                  <w:spacing w:val="-1"/>
                                  <w:sz w:val="14"/>
                                </w:rPr>
                                <w:t> </w:t>
                              </w:r>
                              <w:r>
                                <w:rPr>
                                  <w:sz w:val="14"/>
                                </w:rPr>
                                <w:t>λοιπά</w:t>
                              </w:r>
                              <w:r>
                                <w:rPr>
                                  <w:spacing w:val="-3"/>
                                  <w:sz w:val="14"/>
                                </w:rPr>
                                <w:t> </w:t>
                              </w:r>
                              <w:r>
                                <w:rPr>
                                  <w:sz w:val="14"/>
                                </w:rPr>
                                <w:t>δάνεια των</w:t>
                              </w:r>
                              <w:r>
                                <w:rPr>
                                  <w:spacing w:val="-3"/>
                                  <w:sz w:val="14"/>
                                </w:rPr>
                                <w:t> </w:t>
                              </w:r>
                              <w:r>
                                <w:rPr>
                                  <w:sz w:val="14"/>
                                </w:rPr>
                                <w:t>εγχώριων</w:t>
                              </w:r>
                              <w:r>
                                <w:rPr>
                                  <w:spacing w:val="-3"/>
                                  <w:sz w:val="14"/>
                                </w:rPr>
                                <w:t> </w:t>
                              </w:r>
                              <w:r>
                                <w:rPr>
                                  <w:sz w:val="14"/>
                                </w:rPr>
                                <w:t>πιστωτικών</w:t>
                              </w:r>
                              <w:r>
                                <w:rPr>
                                  <w:spacing w:val="-3"/>
                                  <w:sz w:val="14"/>
                                </w:rPr>
                                <w:t> </w:t>
                              </w:r>
                              <w:r>
                                <w:rPr>
                                  <w:sz w:val="14"/>
                                </w:rPr>
                                <w:t>ι-δρυμάτων.</w:t>
                              </w:r>
                              <w:r>
                                <w:rPr>
                                  <w:spacing w:val="-5"/>
                                  <w:sz w:val="14"/>
                                </w:rPr>
                                <w:t> </w:t>
                              </w:r>
                              <w:r>
                                <w:rPr>
                                  <w:sz w:val="14"/>
                                </w:rPr>
                                <w:t>Στη</w:t>
                              </w:r>
                              <w:r>
                                <w:rPr>
                                  <w:spacing w:val="-7"/>
                                  <w:sz w:val="14"/>
                                </w:rPr>
                                <w:t> </w:t>
                              </w:r>
                              <w:r>
                                <w:rPr>
                                  <w:sz w:val="14"/>
                                </w:rPr>
                                <w:t>χρηματοδότηση</w:t>
                              </w:r>
                              <w:r>
                                <w:rPr>
                                  <w:spacing w:val="-7"/>
                                  <w:sz w:val="14"/>
                                </w:rPr>
                                <w:t> </w:t>
                              </w:r>
                              <w:r>
                                <w:rPr>
                                  <w:sz w:val="14"/>
                                </w:rPr>
                                <w:t>προς</w:t>
                              </w:r>
                              <w:r>
                                <w:rPr>
                                  <w:spacing w:val="-6"/>
                                  <w:sz w:val="14"/>
                                </w:rPr>
                                <w:t> </w:t>
                              </w:r>
                              <w:r>
                                <w:rPr>
                                  <w:sz w:val="14"/>
                                </w:rPr>
                                <w:t>τα</w:t>
                              </w:r>
                              <w:r>
                                <w:rPr>
                                  <w:spacing w:val="-7"/>
                                  <w:sz w:val="14"/>
                                </w:rPr>
                                <w:t> </w:t>
                              </w:r>
                              <w:r>
                                <w:rPr>
                                  <w:sz w:val="14"/>
                                </w:rPr>
                                <w:t>νοικοκυριά</w:t>
                              </w:r>
                              <w:r>
                                <w:rPr>
                                  <w:spacing w:val="-7"/>
                                  <w:sz w:val="14"/>
                                </w:rPr>
                                <w:t> </w:t>
                              </w:r>
                              <w:r>
                                <w:rPr>
                                  <w:sz w:val="14"/>
                                </w:rPr>
                                <w:t>περιλαμβάνονται</w:t>
                              </w:r>
                              <w:r>
                                <w:rPr>
                                  <w:spacing w:val="-6"/>
                                  <w:sz w:val="14"/>
                                </w:rPr>
                                <w:t> </w:t>
                              </w:r>
                              <w:r>
                                <w:rPr>
                                  <w:sz w:val="14"/>
                                </w:rPr>
                                <w:t>επί-σης δάνεια των παραπάνω κατηγοριών που διαχειρίζονται οι εταιρίες</w:t>
                              </w:r>
                              <w:r>
                                <w:rPr>
                                  <w:spacing w:val="40"/>
                                  <w:sz w:val="14"/>
                                </w:rPr>
                                <w:t> </w:t>
                              </w:r>
                              <w:r>
                                <w:rPr>
                                  <w:sz w:val="14"/>
                                </w:rPr>
                                <w:t>διαχείρισης απαιτήσεων από δάνεια και πιστώσεις (ΕΔΑΔΠ) οι οποίες</w:t>
                              </w:r>
                              <w:r>
                                <w:rPr>
                                  <w:spacing w:val="40"/>
                                  <w:sz w:val="14"/>
                                </w:rPr>
                                <w:t> </w:t>
                              </w:r>
                              <w:r>
                                <w:rPr>
                                  <w:sz w:val="14"/>
                                </w:rPr>
                                <w:t>λειτουργούν στην Ελλάδα.</w:t>
                              </w:r>
                            </w:p>
                            <w:p>
                              <w:pPr>
                                <w:numPr>
                                  <w:ilvl w:val="0"/>
                                  <w:numId w:val="3"/>
                                </w:numPr>
                                <w:tabs>
                                  <w:tab w:pos="253" w:val="left" w:leader="none"/>
                                </w:tabs>
                                <w:spacing w:before="0"/>
                                <w:ind w:left="112" w:right="1" w:firstLine="0"/>
                                <w:jc w:val="left"/>
                                <w:rPr>
                                  <w:sz w:val="14"/>
                                </w:rPr>
                              </w:pPr>
                              <w:r>
                                <w:rPr>
                                  <w:sz w:val="14"/>
                                </w:rPr>
                                <w:t>Το</w:t>
                              </w:r>
                              <w:r>
                                <w:rPr>
                                  <w:spacing w:val="-3"/>
                                  <w:sz w:val="14"/>
                                </w:rPr>
                                <w:t> </w:t>
                              </w:r>
                              <w:r>
                                <w:rPr>
                                  <w:sz w:val="14"/>
                                </w:rPr>
                                <w:t>ακαθάριστο</w:t>
                              </w:r>
                              <w:r>
                                <w:rPr>
                                  <w:spacing w:val="-3"/>
                                  <w:sz w:val="14"/>
                                </w:rPr>
                                <w:t> </w:t>
                              </w:r>
                              <w:r>
                                <w:rPr>
                                  <w:sz w:val="14"/>
                                </w:rPr>
                                <w:t>διαθέσιμο</w:t>
                              </w:r>
                              <w:r>
                                <w:rPr>
                                  <w:spacing w:val="-3"/>
                                  <w:sz w:val="14"/>
                                </w:rPr>
                                <w:t> </w:t>
                              </w:r>
                              <w:r>
                                <w:rPr>
                                  <w:sz w:val="14"/>
                                </w:rPr>
                                <w:t>εισόδημα</w:t>
                              </w:r>
                              <w:r>
                                <w:rPr>
                                  <w:spacing w:val="-4"/>
                                  <w:sz w:val="14"/>
                                </w:rPr>
                                <w:t> </w:t>
                              </w:r>
                              <w:r>
                                <w:rPr>
                                  <w:sz w:val="14"/>
                                </w:rPr>
                                <w:t>σε</w:t>
                              </w:r>
                              <w:r>
                                <w:rPr>
                                  <w:spacing w:val="-3"/>
                                  <w:sz w:val="14"/>
                                </w:rPr>
                                <w:t> </w:t>
                              </w:r>
                              <w:r>
                                <w:rPr>
                                  <w:sz w:val="14"/>
                                </w:rPr>
                                <w:t>ετήσια</w:t>
                              </w:r>
                              <w:r>
                                <w:rPr>
                                  <w:spacing w:val="-4"/>
                                  <w:sz w:val="14"/>
                                </w:rPr>
                                <w:t> </w:t>
                              </w:r>
                              <w:r>
                                <w:rPr>
                                  <w:sz w:val="14"/>
                                </w:rPr>
                                <w:t>βάση</w:t>
                              </w:r>
                              <w:r>
                                <w:rPr>
                                  <w:spacing w:val="-3"/>
                                  <w:sz w:val="14"/>
                                </w:rPr>
                                <w:t> </w:t>
                              </w:r>
                              <w:r>
                                <w:rPr>
                                  <w:sz w:val="14"/>
                                </w:rPr>
                                <w:t>προκύπτει</w:t>
                              </w:r>
                              <w:r>
                                <w:rPr>
                                  <w:spacing w:val="-2"/>
                                  <w:sz w:val="14"/>
                                </w:rPr>
                                <w:t> </w:t>
                              </w:r>
                              <w:r>
                                <w:rPr>
                                  <w:sz w:val="14"/>
                                </w:rPr>
                                <w:t>ως</w:t>
                              </w:r>
                              <w:r>
                                <w:rPr>
                                  <w:spacing w:val="-3"/>
                                  <w:sz w:val="14"/>
                                </w:rPr>
                                <w:t> </w:t>
                              </w:r>
                              <w:r>
                                <w:rPr>
                                  <w:sz w:val="14"/>
                                </w:rPr>
                                <w:t>το ά-θροισμα</w:t>
                              </w:r>
                              <w:r>
                                <w:rPr>
                                  <w:spacing w:val="-4"/>
                                  <w:sz w:val="14"/>
                                </w:rPr>
                                <w:t> </w:t>
                              </w:r>
                              <w:r>
                                <w:rPr>
                                  <w:sz w:val="14"/>
                                </w:rPr>
                                <w:t>τεσσάρων</w:t>
                              </w:r>
                              <w:r>
                                <w:rPr>
                                  <w:spacing w:val="-4"/>
                                  <w:sz w:val="14"/>
                                </w:rPr>
                                <w:t> </w:t>
                              </w:r>
                              <w:r>
                                <w:rPr>
                                  <w:sz w:val="14"/>
                                </w:rPr>
                                <w:t>τριμηνιαίων</w:t>
                              </w:r>
                              <w:r>
                                <w:rPr>
                                  <w:spacing w:val="-3"/>
                                  <w:sz w:val="14"/>
                                </w:rPr>
                                <w:t> </w:t>
                              </w:r>
                              <w:r>
                                <w:rPr>
                                  <w:sz w:val="14"/>
                                </w:rPr>
                                <w:t>παρατηρήσεων</w:t>
                              </w:r>
                              <w:r>
                                <w:rPr>
                                  <w:spacing w:val="-4"/>
                                  <w:sz w:val="14"/>
                                </w:rPr>
                                <w:t> </w:t>
                              </w:r>
                              <w:r>
                                <w:rPr>
                                  <w:sz w:val="14"/>
                                </w:rPr>
                                <w:t>εισοδήματος.</w:t>
                              </w:r>
                              <w:r>
                                <w:rPr>
                                  <w:spacing w:val="-2"/>
                                  <w:sz w:val="14"/>
                                </w:rPr>
                                <w:t> </w:t>
                              </w:r>
                              <w:r>
                                <w:rPr>
                                  <w:sz w:val="14"/>
                                </w:rPr>
                                <w:t>Η</w:t>
                              </w:r>
                              <w:r>
                                <w:rPr>
                                  <w:spacing w:val="-2"/>
                                  <w:sz w:val="14"/>
                                </w:rPr>
                                <w:t> </w:t>
                              </w:r>
                              <w:r>
                                <w:rPr>
                                  <w:sz w:val="14"/>
                                </w:rPr>
                                <w:t>τελευταία</w:t>
                              </w:r>
                              <w:r>
                                <w:rPr>
                                  <w:spacing w:val="40"/>
                                  <w:sz w:val="14"/>
                                </w:rPr>
                                <w:t> </w:t>
                              </w:r>
                              <w:r>
                                <w:rPr>
                                  <w:sz w:val="14"/>
                                </w:rPr>
                                <w:t>παρατήρηση</w:t>
                              </w:r>
                              <w:r>
                                <w:rPr>
                                  <w:spacing w:val="-4"/>
                                  <w:sz w:val="14"/>
                                </w:rPr>
                                <w:t> </w:t>
                              </w:r>
                              <w:r>
                                <w:rPr>
                                  <w:sz w:val="14"/>
                                </w:rPr>
                                <w:t>για</w:t>
                              </w:r>
                              <w:r>
                                <w:rPr>
                                  <w:spacing w:val="-5"/>
                                  <w:sz w:val="14"/>
                                </w:rPr>
                                <w:t> </w:t>
                              </w:r>
                              <w:r>
                                <w:rPr>
                                  <w:sz w:val="14"/>
                                </w:rPr>
                                <w:t>το</w:t>
                              </w:r>
                              <w:r>
                                <w:rPr>
                                  <w:spacing w:val="-4"/>
                                  <w:sz w:val="14"/>
                                </w:rPr>
                                <w:t> </w:t>
                              </w:r>
                              <w:r>
                                <w:rPr>
                                  <w:sz w:val="14"/>
                                </w:rPr>
                                <w:t>2025</w:t>
                              </w:r>
                              <w:r>
                                <w:rPr>
                                  <w:spacing w:val="-4"/>
                                  <w:sz w:val="14"/>
                                </w:rPr>
                                <w:t> </w:t>
                              </w:r>
                              <w:r>
                                <w:rPr>
                                  <w:sz w:val="14"/>
                                </w:rPr>
                                <w:t>λαμβάνει</w:t>
                              </w:r>
                              <w:r>
                                <w:rPr>
                                  <w:spacing w:val="-3"/>
                                  <w:sz w:val="14"/>
                                </w:rPr>
                                <w:t> </w:t>
                              </w:r>
                              <w:r>
                                <w:rPr>
                                  <w:sz w:val="14"/>
                                </w:rPr>
                                <w:t>υπόψη</w:t>
                              </w:r>
                              <w:r>
                                <w:rPr>
                                  <w:spacing w:val="-4"/>
                                  <w:sz w:val="14"/>
                                </w:rPr>
                                <w:t> </w:t>
                              </w:r>
                              <w:r>
                                <w:rPr>
                                  <w:sz w:val="14"/>
                                </w:rPr>
                                <w:t>τα</w:t>
                              </w:r>
                              <w:r>
                                <w:rPr>
                                  <w:spacing w:val="-5"/>
                                  <w:sz w:val="14"/>
                                </w:rPr>
                                <w:t> </w:t>
                              </w:r>
                              <w:r>
                                <w:rPr>
                                  <w:sz w:val="14"/>
                                </w:rPr>
                                <w:t>στοιχεία</w:t>
                              </w:r>
                              <w:r>
                                <w:rPr>
                                  <w:spacing w:val="-5"/>
                                  <w:sz w:val="14"/>
                                </w:rPr>
                                <w:t> </w:t>
                              </w:r>
                              <w:r>
                                <w:rPr>
                                  <w:sz w:val="14"/>
                                </w:rPr>
                                <w:t>της</w:t>
                              </w:r>
                              <w:r>
                                <w:rPr>
                                  <w:spacing w:val="-4"/>
                                  <w:sz w:val="14"/>
                                </w:rPr>
                                <w:t> </w:t>
                              </w:r>
                              <w:r>
                                <w:rPr>
                                  <w:sz w:val="14"/>
                                </w:rPr>
                                <w:t>περιόδου α΄</w:t>
                              </w:r>
                              <w:r>
                                <w:rPr>
                                  <w:spacing w:val="-4"/>
                                  <w:sz w:val="14"/>
                                </w:rPr>
                                <w:t> </w:t>
                              </w:r>
                              <w:r>
                                <w:rPr>
                                  <w:sz w:val="14"/>
                                </w:rPr>
                                <w:t>τρί-μηνο 2025-δ΄ τρίμηνο 2025. Διευκρινίζεται ότι περιλαμβάνεται το εισό-δημα όλων των νοικοκυριών, ανεξάρτητα από το αν έχουν χρέος.</w:t>
                              </w:r>
                            </w:p>
                          </w:txbxContent>
                        </wps:txbx>
                        <wps:bodyPr wrap="square" lIns="0" tIns="0" rIns="0" bIns="0" rtlCol="0">
                          <a:noAutofit/>
                        </wps:bodyPr>
                      </wps:wsp>
                    </wpg:wgp>
                  </a:graphicData>
                </a:graphic>
              </wp:inline>
            </w:drawing>
          </mc:Choice>
          <mc:Fallback>
            <w:pict>
              <v:group style="width:215.35pt;height:369.7pt;mso-position-horizontal-relative:char;mso-position-vertical-relative:line" id="docshapegroup32" coordorigin="0,0" coordsize="4307,7394">
                <v:shape style="position:absolute;left:0;top:0;width:4307;height:7393" id="docshape33" coordorigin="0,0" coordsize="4307,7393" path="m4307,3992l0,3992,0,7393,4307,7393,4307,3992xm4307,0l0,0,0,3992,4307,3992,4307,0xe" filled="true" fillcolor="#d9d9d9" stroked="false">
                  <v:path arrowok="t"/>
                  <v:fill type="solid"/>
                </v:shape>
                <v:shape style="position:absolute;left:57;top:0;width:4195;height:3986" type="#_x0000_t75" id="docshape34" stroked="false">
                  <v:imagedata r:id="rId17" o:title=""/>
                </v:shape>
                <v:shape style="position:absolute;left:0;top:0;width:4307;height:7393" type="#_x0000_t202" id="docshape35"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85"/>
                          <w:rPr>
                            <w:sz w:val="14"/>
                          </w:rPr>
                        </w:pPr>
                      </w:p>
                      <w:p>
                        <w:pPr>
                          <w:spacing w:before="1"/>
                          <w:ind w:left="112" w:right="0" w:firstLine="0"/>
                          <w:jc w:val="left"/>
                          <w:rPr>
                            <w:sz w:val="14"/>
                          </w:rPr>
                        </w:pPr>
                        <w:r>
                          <w:rPr>
                            <w:sz w:val="14"/>
                          </w:rPr>
                          <w:t>Πηγές:</w:t>
                        </w:r>
                        <w:r>
                          <w:rPr>
                            <w:spacing w:val="-6"/>
                            <w:sz w:val="14"/>
                          </w:rPr>
                          <w:t> </w:t>
                        </w:r>
                        <w:r>
                          <w:rPr>
                            <w:sz w:val="14"/>
                          </w:rPr>
                          <w:t>Εκτιμήσεις</w:t>
                        </w:r>
                        <w:r>
                          <w:rPr>
                            <w:spacing w:val="-6"/>
                            <w:sz w:val="14"/>
                          </w:rPr>
                          <w:t> </w:t>
                        </w:r>
                        <w:r>
                          <w:rPr>
                            <w:sz w:val="14"/>
                          </w:rPr>
                          <w:t>της</w:t>
                        </w:r>
                        <w:r>
                          <w:rPr>
                            <w:spacing w:val="-6"/>
                            <w:sz w:val="14"/>
                          </w:rPr>
                          <w:t> </w:t>
                        </w:r>
                        <w:r>
                          <w:rPr>
                            <w:sz w:val="14"/>
                          </w:rPr>
                          <w:t>Τράπεζας</w:t>
                        </w:r>
                        <w:r>
                          <w:rPr>
                            <w:spacing w:val="-6"/>
                            <w:sz w:val="14"/>
                          </w:rPr>
                          <w:t> </w:t>
                        </w:r>
                        <w:r>
                          <w:rPr>
                            <w:sz w:val="14"/>
                          </w:rPr>
                          <w:t>της</w:t>
                        </w:r>
                        <w:r>
                          <w:rPr>
                            <w:spacing w:val="-4"/>
                            <w:sz w:val="14"/>
                          </w:rPr>
                          <w:t> </w:t>
                        </w:r>
                        <w:r>
                          <w:rPr>
                            <w:sz w:val="14"/>
                          </w:rPr>
                          <w:t>Ελλάδος</w:t>
                        </w:r>
                        <w:r>
                          <w:rPr>
                            <w:spacing w:val="-6"/>
                            <w:sz w:val="14"/>
                          </w:rPr>
                          <w:t> </w:t>
                        </w:r>
                        <w:r>
                          <w:rPr>
                            <w:sz w:val="14"/>
                          </w:rPr>
                          <w:t>και</w:t>
                        </w:r>
                        <w:r>
                          <w:rPr>
                            <w:spacing w:val="-5"/>
                            <w:sz w:val="14"/>
                          </w:rPr>
                          <w:t> </w:t>
                        </w:r>
                        <w:r>
                          <w:rPr>
                            <w:sz w:val="14"/>
                          </w:rPr>
                          <w:t>Ελληνική</w:t>
                        </w:r>
                        <w:r>
                          <w:rPr>
                            <w:spacing w:val="-6"/>
                            <w:sz w:val="14"/>
                          </w:rPr>
                          <w:t> </w:t>
                        </w:r>
                        <w:r>
                          <w:rPr>
                            <w:sz w:val="14"/>
                          </w:rPr>
                          <w:t>Στατιστική</w:t>
                        </w:r>
                        <w:r>
                          <w:rPr>
                            <w:spacing w:val="40"/>
                            <w:sz w:val="14"/>
                          </w:rPr>
                          <w:t> </w:t>
                        </w:r>
                        <w:r>
                          <w:rPr>
                            <w:spacing w:val="-2"/>
                            <w:sz w:val="14"/>
                          </w:rPr>
                          <w:t>Αρχή.</w:t>
                        </w:r>
                      </w:p>
                      <w:p>
                        <w:pPr>
                          <w:spacing w:before="59"/>
                          <w:ind w:left="112" w:right="0" w:firstLine="0"/>
                          <w:jc w:val="left"/>
                          <w:rPr>
                            <w:sz w:val="14"/>
                          </w:rPr>
                        </w:pPr>
                        <w:r>
                          <w:rPr>
                            <w:spacing w:val="-2"/>
                            <w:sz w:val="14"/>
                          </w:rPr>
                          <w:t>Σημειώσεις:</w:t>
                        </w:r>
                      </w:p>
                      <w:p>
                        <w:pPr>
                          <w:numPr>
                            <w:ilvl w:val="0"/>
                            <w:numId w:val="3"/>
                          </w:numPr>
                          <w:tabs>
                            <w:tab w:pos="253" w:val="left" w:leader="none"/>
                          </w:tabs>
                          <w:spacing w:before="60"/>
                          <w:ind w:left="112" w:right="42" w:firstLine="0"/>
                          <w:jc w:val="left"/>
                          <w:rPr>
                            <w:sz w:val="14"/>
                          </w:rPr>
                        </w:pPr>
                        <w:r>
                          <w:rPr>
                            <w:sz w:val="14"/>
                          </w:rPr>
                          <w:t>Οι δαπάνες για τόκους προσεγγίζονται με το γινόμενο του</w:t>
                        </w:r>
                        <w:r>
                          <w:rPr>
                            <w:spacing w:val="40"/>
                            <w:sz w:val="14"/>
                          </w:rPr>
                          <w:t> </w:t>
                        </w:r>
                        <w:r>
                          <w:rPr>
                            <w:sz w:val="14"/>
                          </w:rPr>
                          <w:t>σταθμισμένου</w:t>
                        </w:r>
                        <w:r>
                          <w:rPr>
                            <w:spacing w:val="-6"/>
                            <w:sz w:val="14"/>
                          </w:rPr>
                          <w:t> </w:t>
                        </w:r>
                        <w:r>
                          <w:rPr>
                            <w:sz w:val="14"/>
                          </w:rPr>
                          <w:t>επιτοκίου</w:t>
                        </w:r>
                        <w:r>
                          <w:rPr>
                            <w:spacing w:val="-6"/>
                            <w:sz w:val="14"/>
                          </w:rPr>
                          <w:t> </w:t>
                        </w:r>
                        <w:r>
                          <w:rPr>
                            <w:sz w:val="14"/>
                          </w:rPr>
                          <w:t>κατά</w:t>
                        </w:r>
                        <w:r>
                          <w:rPr>
                            <w:spacing w:val="-7"/>
                            <w:sz w:val="14"/>
                          </w:rPr>
                          <w:t> </w:t>
                        </w:r>
                        <w:r>
                          <w:rPr>
                            <w:sz w:val="14"/>
                          </w:rPr>
                          <w:t>κατηγορία</w:t>
                        </w:r>
                        <w:r>
                          <w:rPr>
                            <w:spacing w:val="-7"/>
                            <w:sz w:val="14"/>
                          </w:rPr>
                          <w:t> </w:t>
                        </w:r>
                        <w:r>
                          <w:rPr>
                            <w:sz w:val="14"/>
                          </w:rPr>
                          <w:t>στα</w:t>
                        </w:r>
                        <w:r>
                          <w:rPr>
                            <w:spacing w:val="-7"/>
                            <w:sz w:val="14"/>
                          </w:rPr>
                          <w:t> </w:t>
                        </w:r>
                        <w:r>
                          <w:rPr>
                            <w:sz w:val="14"/>
                          </w:rPr>
                          <w:t>υφιστάμενα</w:t>
                        </w:r>
                        <w:r>
                          <w:rPr>
                            <w:spacing w:val="-7"/>
                            <w:sz w:val="14"/>
                          </w:rPr>
                          <w:t> </w:t>
                        </w:r>
                        <w:r>
                          <w:rPr>
                            <w:sz w:val="14"/>
                          </w:rPr>
                          <w:t>ενήμερα</w:t>
                        </w:r>
                        <w:r>
                          <w:rPr>
                            <w:spacing w:val="-5"/>
                            <w:sz w:val="14"/>
                          </w:rPr>
                          <w:t> </w:t>
                        </w:r>
                        <w:r>
                          <w:rPr>
                            <w:sz w:val="14"/>
                          </w:rPr>
                          <w:t>δάνεια</w:t>
                        </w:r>
                        <w:r>
                          <w:rPr>
                            <w:spacing w:val="40"/>
                            <w:sz w:val="14"/>
                          </w:rPr>
                          <w:t> </w:t>
                        </w:r>
                        <w:r>
                          <w:rPr>
                            <w:sz w:val="14"/>
                          </w:rPr>
                          <w:t>επί το μέσο ετήσιο υπόλοιπο της συνολικής χρηματοδότησης προς τα</w:t>
                        </w:r>
                        <w:r>
                          <w:rPr>
                            <w:spacing w:val="40"/>
                            <w:sz w:val="14"/>
                          </w:rPr>
                          <w:t> </w:t>
                        </w:r>
                        <w:r>
                          <w:rPr>
                            <w:sz w:val="14"/>
                          </w:rPr>
                          <w:t>νοικοκυριά κατά κατηγορία χρηματοδότησης.</w:t>
                        </w:r>
                      </w:p>
                      <w:p>
                        <w:pPr>
                          <w:numPr>
                            <w:ilvl w:val="0"/>
                            <w:numId w:val="3"/>
                          </w:numPr>
                          <w:tabs>
                            <w:tab w:pos="253" w:val="left" w:leader="none"/>
                          </w:tabs>
                          <w:spacing w:line="240" w:lineRule="auto" w:before="0"/>
                          <w:ind w:left="112" w:right="42" w:firstLine="0"/>
                          <w:jc w:val="left"/>
                          <w:rPr>
                            <w:sz w:val="14"/>
                          </w:rPr>
                        </w:pPr>
                        <w:r>
                          <w:rPr>
                            <w:sz w:val="14"/>
                          </w:rPr>
                          <w:t>Η χρηματοδότηση προς τα νοικοκυριά περιλαμβάνει δάνεια προς</w:t>
                        </w:r>
                        <w:r>
                          <w:rPr>
                            <w:spacing w:val="40"/>
                            <w:sz w:val="14"/>
                          </w:rPr>
                          <w:t> </w:t>
                        </w:r>
                        <w:r>
                          <w:rPr>
                            <w:sz w:val="14"/>
                          </w:rPr>
                          <w:t>ελεύθερους</w:t>
                        </w:r>
                        <w:r>
                          <w:rPr>
                            <w:spacing w:val="-4"/>
                            <w:sz w:val="14"/>
                          </w:rPr>
                          <w:t> </w:t>
                        </w:r>
                        <w:r>
                          <w:rPr>
                            <w:sz w:val="14"/>
                          </w:rPr>
                          <w:t>επαγγελματίες,</w:t>
                        </w:r>
                        <w:r>
                          <w:rPr>
                            <w:spacing w:val="-2"/>
                            <w:sz w:val="14"/>
                          </w:rPr>
                          <w:t> </w:t>
                        </w:r>
                        <w:r>
                          <w:rPr>
                            <w:sz w:val="14"/>
                          </w:rPr>
                          <w:t>αγρότες</w:t>
                        </w:r>
                        <w:r>
                          <w:rPr>
                            <w:spacing w:val="-4"/>
                            <w:sz w:val="14"/>
                          </w:rPr>
                          <w:t> </w:t>
                        </w:r>
                        <w:r>
                          <w:rPr>
                            <w:sz w:val="14"/>
                          </w:rPr>
                          <w:t>και</w:t>
                        </w:r>
                        <w:r>
                          <w:rPr>
                            <w:spacing w:val="-3"/>
                            <w:sz w:val="14"/>
                          </w:rPr>
                          <w:t> </w:t>
                        </w:r>
                        <w:r>
                          <w:rPr>
                            <w:sz w:val="14"/>
                          </w:rPr>
                          <w:t>ατομικές</w:t>
                        </w:r>
                        <w:r>
                          <w:rPr>
                            <w:spacing w:val="-4"/>
                            <w:sz w:val="14"/>
                          </w:rPr>
                          <w:t> </w:t>
                        </w:r>
                        <w:r>
                          <w:rPr>
                            <w:sz w:val="14"/>
                          </w:rPr>
                          <w:t>επιχειρήσεις,</w:t>
                        </w:r>
                        <w:r>
                          <w:rPr>
                            <w:spacing w:val="-2"/>
                            <w:sz w:val="14"/>
                          </w:rPr>
                          <w:t> </w:t>
                        </w:r>
                        <w:r>
                          <w:rPr>
                            <w:sz w:val="14"/>
                          </w:rPr>
                          <w:t>καθώς</w:t>
                        </w:r>
                        <w:r>
                          <w:rPr>
                            <w:spacing w:val="-4"/>
                            <w:sz w:val="14"/>
                          </w:rPr>
                          <w:t> </w:t>
                        </w:r>
                        <w:r>
                          <w:rPr>
                            <w:sz w:val="14"/>
                          </w:rPr>
                          <w:t>και</w:t>
                        </w:r>
                        <w:r>
                          <w:rPr>
                            <w:spacing w:val="40"/>
                            <w:sz w:val="14"/>
                          </w:rPr>
                          <w:t> </w:t>
                        </w:r>
                        <w:r>
                          <w:rPr>
                            <w:sz w:val="14"/>
                          </w:rPr>
                          <w:t>στεγαστικά, καταναλωτικά</w:t>
                        </w:r>
                        <w:r>
                          <w:rPr>
                            <w:spacing w:val="-3"/>
                            <w:sz w:val="14"/>
                          </w:rPr>
                          <w:t> </w:t>
                        </w:r>
                        <w:r>
                          <w:rPr>
                            <w:sz w:val="14"/>
                          </w:rPr>
                          <w:t>και</w:t>
                        </w:r>
                        <w:r>
                          <w:rPr>
                            <w:spacing w:val="-1"/>
                            <w:sz w:val="14"/>
                          </w:rPr>
                          <w:t> </w:t>
                        </w:r>
                        <w:r>
                          <w:rPr>
                            <w:sz w:val="14"/>
                          </w:rPr>
                          <w:t>λοιπά</w:t>
                        </w:r>
                        <w:r>
                          <w:rPr>
                            <w:spacing w:val="-3"/>
                            <w:sz w:val="14"/>
                          </w:rPr>
                          <w:t> </w:t>
                        </w:r>
                        <w:r>
                          <w:rPr>
                            <w:sz w:val="14"/>
                          </w:rPr>
                          <w:t>δάνεια των</w:t>
                        </w:r>
                        <w:r>
                          <w:rPr>
                            <w:spacing w:val="-3"/>
                            <w:sz w:val="14"/>
                          </w:rPr>
                          <w:t> </w:t>
                        </w:r>
                        <w:r>
                          <w:rPr>
                            <w:sz w:val="14"/>
                          </w:rPr>
                          <w:t>εγχώριων</w:t>
                        </w:r>
                        <w:r>
                          <w:rPr>
                            <w:spacing w:val="-3"/>
                            <w:sz w:val="14"/>
                          </w:rPr>
                          <w:t> </w:t>
                        </w:r>
                        <w:r>
                          <w:rPr>
                            <w:sz w:val="14"/>
                          </w:rPr>
                          <w:t>πιστωτικών</w:t>
                        </w:r>
                        <w:r>
                          <w:rPr>
                            <w:spacing w:val="-3"/>
                            <w:sz w:val="14"/>
                          </w:rPr>
                          <w:t> </w:t>
                        </w:r>
                        <w:r>
                          <w:rPr>
                            <w:sz w:val="14"/>
                          </w:rPr>
                          <w:t>ι-δρυμάτων.</w:t>
                        </w:r>
                        <w:r>
                          <w:rPr>
                            <w:spacing w:val="-5"/>
                            <w:sz w:val="14"/>
                          </w:rPr>
                          <w:t> </w:t>
                        </w:r>
                        <w:r>
                          <w:rPr>
                            <w:sz w:val="14"/>
                          </w:rPr>
                          <w:t>Στη</w:t>
                        </w:r>
                        <w:r>
                          <w:rPr>
                            <w:spacing w:val="-7"/>
                            <w:sz w:val="14"/>
                          </w:rPr>
                          <w:t> </w:t>
                        </w:r>
                        <w:r>
                          <w:rPr>
                            <w:sz w:val="14"/>
                          </w:rPr>
                          <w:t>χρηματοδότηση</w:t>
                        </w:r>
                        <w:r>
                          <w:rPr>
                            <w:spacing w:val="-7"/>
                            <w:sz w:val="14"/>
                          </w:rPr>
                          <w:t> </w:t>
                        </w:r>
                        <w:r>
                          <w:rPr>
                            <w:sz w:val="14"/>
                          </w:rPr>
                          <w:t>προς</w:t>
                        </w:r>
                        <w:r>
                          <w:rPr>
                            <w:spacing w:val="-6"/>
                            <w:sz w:val="14"/>
                          </w:rPr>
                          <w:t> </w:t>
                        </w:r>
                        <w:r>
                          <w:rPr>
                            <w:sz w:val="14"/>
                          </w:rPr>
                          <w:t>τα</w:t>
                        </w:r>
                        <w:r>
                          <w:rPr>
                            <w:spacing w:val="-7"/>
                            <w:sz w:val="14"/>
                          </w:rPr>
                          <w:t> </w:t>
                        </w:r>
                        <w:r>
                          <w:rPr>
                            <w:sz w:val="14"/>
                          </w:rPr>
                          <w:t>νοικοκυριά</w:t>
                        </w:r>
                        <w:r>
                          <w:rPr>
                            <w:spacing w:val="-7"/>
                            <w:sz w:val="14"/>
                          </w:rPr>
                          <w:t> </w:t>
                        </w:r>
                        <w:r>
                          <w:rPr>
                            <w:sz w:val="14"/>
                          </w:rPr>
                          <w:t>περιλαμβάνονται</w:t>
                        </w:r>
                        <w:r>
                          <w:rPr>
                            <w:spacing w:val="-6"/>
                            <w:sz w:val="14"/>
                          </w:rPr>
                          <w:t> </w:t>
                        </w:r>
                        <w:r>
                          <w:rPr>
                            <w:sz w:val="14"/>
                          </w:rPr>
                          <w:t>επί-σης δάνεια των παραπάνω κατηγοριών που διαχειρίζονται οι εταιρίες</w:t>
                        </w:r>
                        <w:r>
                          <w:rPr>
                            <w:spacing w:val="40"/>
                            <w:sz w:val="14"/>
                          </w:rPr>
                          <w:t> </w:t>
                        </w:r>
                        <w:r>
                          <w:rPr>
                            <w:sz w:val="14"/>
                          </w:rPr>
                          <w:t>διαχείρισης απαιτήσεων από δάνεια και πιστώσεις (ΕΔΑΔΠ) οι οποίες</w:t>
                        </w:r>
                        <w:r>
                          <w:rPr>
                            <w:spacing w:val="40"/>
                            <w:sz w:val="14"/>
                          </w:rPr>
                          <w:t> </w:t>
                        </w:r>
                        <w:r>
                          <w:rPr>
                            <w:sz w:val="14"/>
                          </w:rPr>
                          <w:t>λειτουργούν στην Ελλάδα.</w:t>
                        </w:r>
                      </w:p>
                      <w:p>
                        <w:pPr>
                          <w:numPr>
                            <w:ilvl w:val="0"/>
                            <w:numId w:val="3"/>
                          </w:numPr>
                          <w:tabs>
                            <w:tab w:pos="253" w:val="left" w:leader="none"/>
                          </w:tabs>
                          <w:spacing w:before="0"/>
                          <w:ind w:left="112" w:right="1" w:firstLine="0"/>
                          <w:jc w:val="left"/>
                          <w:rPr>
                            <w:sz w:val="14"/>
                          </w:rPr>
                        </w:pPr>
                        <w:r>
                          <w:rPr>
                            <w:sz w:val="14"/>
                          </w:rPr>
                          <w:t>Το</w:t>
                        </w:r>
                        <w:r>
                          <w:rPr>
                            <w:spacing w:val="-3"/>
                            <w:sz w:val="14"/>
                          </w:rPr>
                          <w:t> </w:t>
                        </w:r>
                        <w:r>
                          <w:rPr>
                            <w:sz w:val="14"/>
                          </w:rPr>
                          <w:t>ακαθάριστο</w:t>
                        </w:r>
                        <w:r>
                          <w:rPr>
                            <w:spacing w:val="-3"/>
                            <w:sz w:val="14"/>
                          </w:rPr>
                          <w:t> </w:t>
                        </w:r>
                        <w:r>
                          <w:rPr>
                            <w:sz w:val="14"/>
                          </w:rPr>
                          <w:t>διαθέσιμο</w:t>
                        </w:r>
                        <w:r>
                          <w:rPr>
                            <w:spacing w:val="-3"/>
                            <w:sz w:val="14"/>
                          </w:rPr>
                          <w:t> </w:t>
                        </w:r>
                        <w:r>
                          <w:rPr>
                            <w:sz w:val="14"/>
                          </w:rPr>
                          <w:t>εισόδημα</w:t>
                        </w:r>
                        <w:r>
                          <w:rPr>
                            <w:spacing w:val="-4"/>
                            <w:sz w:val="14"/>
                          </w:rPr>
                          <w:t> </w:t>
                        </w:r>
                        <w:r>
                          <w:rPr>
                            <w:sz w:val="14"/>
                          </w:rPr>
                          <w:t>σε</w:t>
                        </w:r>
                        <w:r>
                          <w:rPr>
                            <w:spacing w:val="-3"/>
                            <w:sz w:val="14"/>
                          </w:rPr>
                          <w:t> </w:t>
                        </w:r>
                        <w:r>
                          <w:rPr>
                            <w:sz w:val="14"/>
                          </w:rPr>
                          <w:t>ετήσια</w:t>
                        </w:r>
                        <w:r>
                          <w:rPr>
                            <w:spacing w:val="-4"/>
                            <w:sz w:val="14"/>
                          </w:rPr>
                          <w:t> </w:t>
                        </w:r>
                        <w:r>
                          <w:rPr>
                            <w:sz w:val="14"/>
                          </w:rPr>
                          <w:t>βάση</w:t>
                        </w:r>
                        <w:r>
                          <w:rPr>
                            <w:spacing w:val="-3"/>
                            <w:sz w:val="14"/>
                          </w:rPr>
                          <w:t> </w:t>
                        </w:r>
                        <w:r>
                          <w:rPr>
                            <w:sz w:val="14"/>
                          </w:rPr>
                          <w:t>προκύπτει</w:t>
                        </w:r>
                        <w:r>
                          <w:rPr>
                            <w:spacing w:val="-2"/>
                            <w:sz w:val="14"/>
                          </w:rPr>
                          <w:t> </w:t>
                        </w:r>
                        <w:r>
                          <w:rPr>
                            <w:sz w:val="14"/>
                          </w:rPr>
                          <w:t>ως</w:t>
                        </w:r>
                        <w:r>
                          <w:rPr>
                            <w:spacing w:val="-3"/>
                            <w:sz w:val="14"/>
                          </w:rPr>
                          <w:t> </w:t>
                        </w:r>
                        <w:r>
                          <w:rPr>
                            <w:sz w:val="14"/>
                          </w:rPr>
                          <w:t>το ά-θροισμα</w:t>
                        </w:r>
                        <w:r>
                          <w:rPr>
                            <w:spacing w:val="-4"/>
                            <w:sz w:val="14"/>
                          </w:rPr>
                          <w:t> </w:t>
                        </w:r>
                        <w:r>
                          <w:rPr>
                            <w:sz w:val="14"/>
                          </w:rPr>
                          <w:t>τεσσάρων</w:t>
                        </w:r>
                        <w:r>
                          <w:rPr>
                            <w:spacing w:val="-4"/>
                            <w:sz w:val="14"/>
                          </w:rPr>
                          <w:t> </w:t>
                        </w:r>
                        <w:r>
                          <w:rPr>
                            <w:sz w:val="14"/>
                          </w:rPr>
                          <w:t>τριμηνιαίων</w:t>
                        </w:r>
                        <w:r>
                          <w:rPr>
                            <w:spacing w:val="-3"/>
                            <w:sz w:val="14"/>
                          </w:rPr>
                          <w:t> </w:t>
                        </w:r>
                        <w:r>
                          <w:rPr>
                            <w:sz w:val="14"/>
                          </w:rPr>
                          <w:t>παρατηρήσεων</w:t>
                        </w:r>
                        <w:r>
                          <w:rPr>
                            <w:spacing w:val="-4"/>
                            <w:sz w:val="14"/>
                          </w:rPr>
                          <w:t> </w:t>
                        </w:r>
                        <w:r>
                          <w:rPr>
                            <w:sz w:val="14"/>
                          </w:rPr>
                          <w:t>εισοδήματος.</w:t>
                        </w:r>
                        <w:r>
                          <w:rPr>
                            <w:spacing w:val="-2"/>
                            <w:sz w:val="14"/>
                          </w:rPr>
                          <w:t> </w:t>
                        </w:r>
                        <w:r>
                          <w:rPr>
                            <w:sz w:val="14"/>
                          </w:rPr>
                          <w:t>Η</w:t>
                        </w:r>
                        <w:r>
                          <w:rPr>
                            <w:spacing w:val="-2"/>
                            <w:sz w:val="14"/>
                          </w:rPr>
                          <w:t> </w:t>
                        </w:r>
                        <w:r>
                          <w:rPr>
                            <w:sz w:val="14"/>
                          </w:rPr>
                          <w:t>τελευταία</w:t>
                        </w:r>
                        <w:r>
                          <w:rPr>
                            <w:spacing w:val="40"/>
                            <w:sz w:val="14"/>
                          </w:rPr>
                          <w:t> </w:t>
                        </w:r>
                        <w:r>
                          <w:rPr>
                            <w:sz w:val="14"/>
                          </w:rPr>
                          <w:t>παρατήρηση</w:t>
                        </w:r>
                        <w:r>
                          <w:rPr>
                            <w:spacing w:val="-4"/>
                            <w:sz w:val="14"/>
                          </w:rPr>
                          <w:t> </w:t>
                        </w:r>
                        <w:r>
                          <w:rPr>
                            <w:sz w:val="14"/>
                          </w:rPr>
                          <w:t>για</w:t>
                        </w:r>
                        <w:r>
                          <w:rPr>
                            <w:spacing w:val="-5"/>
                            <w:sz w:val="14"/>
                          </w:rPr>
                          <w:t> </w:t>
                        </w:r>
                        <w:r>
                          <w:rPr>
                            <w:sz w:val="14"/>
                          </w:rPr>
                          <w:t>το</w:t>
                        </w:r>
                        <w:r>
                          <w:rPr>
                            <w:spacing w:val="-4"/>
                            <w:sz w:val="14"/>
                          </w:rPr>
                          <w:t> </w:t>
                        </w:r>
                        <w:r>
                          <w:rPr>
                            <w:sz w:val="14"/>
                          </w:rPr>
                          <w:t>2025</w:t>
                        </w:r>
                        <w:r>
                          <w:rPr>
                            <w:spacing w:val="-4"/>
                            <w:sz w:val="14"/>
                          </w:rPr>
                          <w:t> </w:t>
                        </w:r>
                        <w:r>
                          <w:rPr>
                            <w:sz w:val="14"/>
                          </w:rPr>
                          <w:t>λαμβάνει</w:t>
                        </w:r>
                        <w:r>
                          <w:rPr>
                            <w:spacing w:val="-3"/>
                            <w:sz w:val="14"/>
                          </w:rPr>
                          <w:t> </w:t>
                        </w:r>
                        <w:r>
                          <w:rPr>
                            <w:sz w:val="14"/>
                          </w:rPr>
                          <w:t>υπόψη</w:t>
                        </w:r>
                        <w:r>
                          <w:rPr>
                            <w:spacing w:val="-4"/>
                            <w:sz w:val="14"/>
                          </w:rPr>
                          <w:t> </w:t>
                        </w:r>
                        <w:r>
                          <w:rPr>
                            <w:sz w:val="14"/>
                          </w:rPr>
                          <w:t>τα</w:t>
                        </w:r>
                        <w:r>
                          <w:rPr>
                            <w:spacing w:val="-5"/>
                            <w:sz w:val="14"/>
                          </w:rPr>
                          <w:t> </w:t>
                        </w:r>
                        <w:r>
                          <w:rPr>
                            <w:sz w:val="14"/>
                          </w:rPr>
                          <w:t>στοιχεία</w:t>
                        </w:r>
                        <w:r>
                          <w:rPr>
                            <w:spacing w:val="-5"/>
                            <w:sz w:val="14"/>
                          </w:rPr>
                          <w:t> </w:t>
                        </w:r>
                        <w:r>
                          <w:rPr>
                            <w:sz w:val="14"/>
                          </w:rPr>
                          <w:t>της</w:t>
                        </w:r>
                        <w:r>
                          <w:rPr>
                            <w:spacing w:val="-4"/>
                            <w:sz w:val="14"/>
                          </w:rPr>
                          <w:t> </w:t>
                        </w:r>
                        <w:r>
                          <w:rPr>
                            <w:sz w:val="14"/>
                          </w:rPr>
                          <w:t>περιόδου α΄</w:t>
                        </w:r>
                        <w:r>
                          <w:rPr>
                            <w:spacing w:val="-4"/>
                            <w:sz w:val="14"/>
                          </w:rPr>
                          <w:t> </w:t>
                        </w:r>
                        <w:r>
                          <w:rPr>
                            <w:sz w:val="14"/>
                          </w:rPr>
                          <w:t>τρί-μηνο 2025-δ΄ τρίμηνο 2025. Διευκρινίζεται ότι περιλαμβάνεται το εισό-δημα όλων των νοικοκυριών, ανεξάρτητα από το αν έχουν χρέος.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80" w:top="1320" w:bottom="280" w:left="1417" w:right="850"/>
          <w:cols w:num="2" w:equalWidth="0">
            <w:col w:w="4180" w:space="61"/>
            <w:col w:w="5402"/>
          </w:cols>
        </w:sectPr>
      </w:pPr>
    </w:p>
    <w:p>
      <w:pPr>
        <w:pStyle w:val="BodyText"/>
        <w:spacing w:line="285" w:lineRule="auto"/>
        <w:ind w:left="172" w:right="956"/>
        <w:jc w:val="both"/>
      </w:pPr>
      <w:r>
        <w:rPr/>
        <w:t>των δανείων προς τα νοικοκυριά ως ποσοστό του ακαθάριστου διαθέσιμου εισοδήματός τους διαμορφώθηκε σε 45,6%, παρουσιάζοντας βελτίωση έναντι του 2024 (47,0%), ως αποτέλεσμα της</w:t>
      </w:r>
      <w:r>
        <w:rPr>
          <w:spacing w:val="-13"/>
        </w:rPr>
        <w:t> </w:t>
      </w:r>
      <w:r>
        <w:rPr/>
        <w:t>αύξησης</w:t>
      </w:r>
      <w:r>
        <w:rPr>
          <w:spacing w:val="-13"/>
        </w:rPr>
        <w:t> </w:t>
      </w:r>
      <w:r>
        <w:rPr/>
        <w:t>του</w:t>
      </w:r>
      <w:r>
        <w:rPr>
          <w:spacing w:val="-11"/>
        </w:rPr>
        <w:t> </w:t>
      </w:r>
      <w:r>
        <w:rPr/>
        <w:t>διαθέσιμου</w:t>
      </w:r>
      <w:r>
        <w:rPr>
          <w:spacing w:val="-11"/>
        </w:rPr>
        <w:t> </w:t>
      </w:r>
      <w:r>
        <w:rPr/>
        <w:t>εισοδήματος</w:t>
      </w:r>
      <w:r>
        <w:rPr>
          <w:spacing w:val="-13"/>
        </w:rPr>
        <w:t> </w:t>
      </w:r>
      <w:r>
        <w:rPr/>
        <w:t>που</w:t>
      </w:r>
      <w:r>
        <w:rPr>
          <w:spacing w:val="-11"/>
        </w:rPr>
        <w:t> </w:t>
      </w:r>
      <w:r>
        <w:rPr/>
        <w:t>υπερκέρασε</w:t>
      </w:r>
      <w:r>
        <w:rPr>
          <w:spacing w:val="-11"/>
        </w:rPr>
        <w:t> </w:t>
      </w:r>
      <w:r>
        <w:rPr/>
        <w:t>την</w:t>
      </w:r>
      <w:r>
        <w:rPr>
          <w:spacing w:val="-11"/>
        </w:rPr>
        <w:t> </w:t>
      </w:r>
      <w:r>
        <w:rPr/>
        <w:t>αύξηση</w:t>
      </w:r>
      <w:r>
        <w:rPr>
          <w:spacing w:val="-12"/>
        </w:rPr>
        <w:t> </w:t>
      </w:r>
      <w:r>
        <w:rPr/>
        <w:t>του</w:t>
      </w:r>
      <w:r>
        <w:rPr>
          <w:spacing w:val="-11"/>
        </w:rPr>
        <w:t> </w:t>
      </w:r>
      <w:r>
        <w:rPr/>
        <w:t>συνολικού</w:t>
      </w:r>
      <w:r>
        <w:rPr>
          <w:spacing w:val="-11"/>
        </w:rPr>
        <w:t> </w:t>
      </w:r>
      <w:r>
        <w:rPr/>
        <w:t>δανεισμού των</w:t>
      </w:r>
      <w:r>
        <w:rPr>
          <w:spacing w:val="-4"/>
        </w:rPr>
        <w:t> </w:t>
      </w:r>
      <w:r>
        <w:rPr/>
        <w:t>νοικοκυριών.</w:t>
      </w:r>
      <w:r>
        <w:rPr>
          <w:spacing w:val="-5"/>
        </w:rPr>
        <w:t> </w:t>
      </w:r>
      <w:r>
        <w:rPr/>
        <w:t>Συμπερασματικά,</w:t>
      </w:r>
      <w:r>
        <w:rPr>
          <w:spacing w:val="-3"/>
        </w:rPr>
        <w:t> </w:t>
      </w:r>
      <w:r>
        <w:rPr/>
        <w:t>ο</w:t>
      </w:r>
      <w:r>
        <w:rPr>
          <w:spacing w:val="-5"/>
        </w:rPr>
        <w:t> </w:t>
      </w:r>
      <w:r>
        <w:rPr/>
        <w:t>κίνδυνος</w:t>
      </w:r>
      <w:r>
        <w:rPr>
          <w:spacing w:val="-6"/>
        </w:rPr>
        <w:t> </w:t>
      </w:r>
      <w:r>
        <w:rPr/>
        <w:t>επιτοκίου</w:t>
      </w:r>
      <w:r>
        <w:rPr>
          <w:spacing w:val="-4"/>
        </w:rPr>
        <w:t> </w:t>
      </w:r>
      <w:r>
        <w:rPr/>
        <w:t>για</w:t>
      </w:r>
      <w:r>
        <w:rPr>
          <w:spacing w:val="-4"/>
        </w:rPr>
        <w:t> </w:t>
      </w:r>
      <w:r>
        <w:rPr/>
        <w:t>τα</w:t>
      </w:r>
      <w:r>
        <w:rPr>
          <w:spacing w:val="-5"/>
        </w:rPr>
        <w:t> </w:t>
      </w:r>
      <w:r>
        <w:rPr/>
        <w:t>νοικοκυριά</w:t>
      </w:r>
      <w:r>
        <w:rPr>
          <w:spacing w:val="-1"/>
        </w:rPr>
        <w:t> </w:t>
      </w:r>
      <w:r>
        <w:rPr/>
        <w:t>παρουσίασε</w:t>
      </w:r>
      <w:r>
        <w:rPr>
          <w:spacing w:val="-3"/>
        </w:rPr>
        <w:t> </w:t>
      </w:r>
      <w:r>
        <w:rPr/>
        <w:t>οριακή </w:t>
      </w:r>
      <w:r>
        <w:rPr>
          <w:spacing w:val="-2"/>
        </w:rPr>
        <w:t>μείωση.</w:t>
      </w:r>
    </w:p>
    <w:p>
      <w:pPr>
        <w:pStyle w:val="BodyText"/>
        <w:spacing w:after="0" w:line="285" w:lineRule="auto"/>
        <w:jc w:val="both"/>
        <w:sectPr>
          <w:type w:val="continuous"/>
          <w:pgSz w:w="11910" w:h="16850"/>
          <w:pgMar w:header="0" w:footer="1180" w:top="1320" w:bottom="280" w:left="1417" w:right="850"/>
        </w:sectPr>
      </w:pPr>
    </w:p>
    <w:p>
      <w:pPr>
        <w:pStyle w:val="Heading3"/>
        <w:numPr>
          <w:ilvl w:val="2"/>
          <w:numId w:val="2"/>
        </w:numPr>
        <w:tabs>
          <w:tab w:pos="738" w:val="left" w:leader="none"/>
        </w:tabs>
        <w:spacing w:line="240" w:lineRule="auto" w:before="72" w:after="0"/>
        <w:ind w:left="738" w:right="0" w:hanging="566"/>
        <w:jc w:val="left"/>
        <w:rPr>
          <w:color w:val="1F487C"/>
        </w:rPr>
      </w:pPr>
      <w:bookmarkStart w:name="_bookmark17" w:id="18"/>
      <w:bookmarkEnd w:id="18"/>
      <w:r>
        <w:rPr>
          <w:b w:val="0"/>
        </w:rPr>
      </w:r>
      <w:r>
        <w:rPr>
          <w:color w:val="1F487C"/>
        </w:rPr>
        <w:t>ΚΙΝΔΥΝΟΣ</w:t>
      </w:r>
      <w:r>
        <w:rPr>
          <w:color w:val="1F487C"/>
          <w:spacing w:val="-8"/>
        </w:rPr>
        <w:t> </w:t>
      </w:r>
      <w:r>
        <w:rPr>
          <w:color w:val="1F487C"/>
        </w:rPr>
        <w:t>ΕΙΣΟΔΗΜΑΤΟΣ</w:t>
      </w:r>
      <w:r>
        <w:rPr>
          <w:color w:val="1F487C"/>
          <w:spacing w:val="-5"/>
        </w:rPr>
        <w:t> </w:t>
      </w:r>
      <w:r>
        <w:rPr>
          <w:color w:val="1F487C"/>
        </w:rPr>
        <w:t>ΓΙΑ</w:t>
      </w:r>
      <w:r>
        <w:rPr>
          <w:color w:val="1F487C"/>
          <w:spacing w:val="-5"/>
        </w:rPr>
        <w:t> </w:t>
      </w:r>
      <w:r>
        <w:rPr>
          <w:color w:val="1F487C"/>
        </w:rPr>
        <w:t>ΤΑ</w:t>
      </w:r>
      <w:r>
        <w:rPr>
          <w:color w:val="1F487C"/>
          <w:spacing w:val="-5"/>
        </w:rPr>
        <w:t> </w:t>
      </w:r>
      <w:r>
        <w:rPr>
          <w:color w:val="1F487C"/>
          <w:spacing w:val="-2"/>
        </w:rPr>
        <w:t>ΝΟΙΚΟΚΥΡΙΑ</w:t>
      </w:r>
    </w:p>
    <w:p>
      <w:pPr>
        <w:pStyle w:val="BodyText"/>
        <w:spacing w:line="285" w:lineRule="auto" w:before="93"/>
        <w:ind w:left="172" w:right="955"/>
        <w:jc w:val="both"/>
      </w:pPr>
      <w:r>
        <w:rPr/>
        <w:t>Η</w:t>
      </w:r>
      <w:r>
        <w:rPr>
          <w:spacing w:val="-14"/>
        </w:rPr>
        <w:t> </w:t>
      </w:r>
      <w:r>
        <w:rPr/>
        <w:t>εξέλιξη</w:t>
      </w:r>
      <w:r>
        <w:rPr>
          <w:spacing w:val="-14"/>
        </w:rPr>
        <w:t> </w:t>
      </w:r>
      <w:r>
        <w:rPr/>
        <w:t>του</w:t>
      </w:r>
      <w:r>
        <w:rPr>
          <w:spacing w:val="-14"/>
        </w:rPr>
        <w:t> </w:t>
      </w:r>
      <w:r>
        <w:rPr/>
        <w:t>διαθέσιμου</w:t>
      </w:r>
      <w:r>
        <w:rPr>
          <w:spacing w:val="-13"/>
        </w:rPr>
        <w:t> </w:t>
      </w:r>
      <w:r>
        <w:rPr/>
        <w:t>εισοδήματος</w:t>
      </w:r>
      <w:r>
        <w:rPr>
          <w:spacing w:val="-14"/>
        </w:rPr>
        <w:t> </w:t>
      </w:r>
      <w:r>
        <w:rPr/>
        <w:t>των</w:t>
      </w:r>
      <w:r>
        <w:rPr>
          <w:spacing w:val="-14"/>
        </w:rPr>
        <w:t> </w:t>
      </w:r>
      <w:r>
        <w:rPr/>
        <w:t>νοικοκυριών</w:t>
      </w:r>
      <w:r>
        <w:rPr>
          <w:spacing w:val="-12"/>
        </w:rPr>
        <w:t> </w:t>
      </w:r>
      <w:r>
        <w:rPr/>
        <w:t>αποτελεί</w:t>
      </w:r>
      <w:r>
        <w:rPr>
          <w:spacing w:val="-12"/>
        </w:rPr>
        <w:t> </w:t>
      </w:r>
      <w:r>
        <w:rPr/>
        <w:t>καταλυτικό</w:t>
      </w:r>
      <w:r>
        <w:rPr>
          <w:spacing w:val="-14"/>
        </w:rPr>
        <w:t> </w:t>
      </w:r>
      <w:r>
        <w:rPr/>
        <w:t>παράγοντα</w:t>
      </w:r>
      <w:r>
        <w:rPr>
          <w:spacing w:val="-14"/>
        </w:rPr>
        <w:t> </w:t>
      </w:r>
      <w:r>
        <w:rPr/>
        <w:t>για</w:t>
      </w:r>
      <w:r>
        <w:rPr>
          <w:spacing w:val="-13"/>
        </w:rPr>
        <w:t> </w:t>
      </w:r>
      <w:r>
        <w:rPr/>
        <w:t>την ευχέρεια εξυπηρέτησης</w:t>
      </w:r>
      <w:r>
        <w:rPr>
          <w:spacing w:val="-1"/>
        </w:rPr>
        <w:t> </w:t>
      </w:r>
      <w:r>
        <w:rPr/>
        <w:t>των δανειακών τους</w:t>
      </w:r>
      <w:r>
        <w:rPr>
          <w:spacing w:val="-1"/>
        </w:rPr>
        <w:t> </w:t>
      </w:r>
      <w:r>
        <w:rPr/>
        <w:t>υποχρεώσεων.</w:t>
      </w:r>
      <w:r>
        <w:rPr>
          <w:spacing w:val="-2"/>
        </w:rPr>
        <w:t> </w:t>
      </w:r>
      <w:r>
        <w:rPr/>
        <w:t>Σύμφωνα</w:t>
      </w:r>
      <w:r>
        <w:rPr>
          <w:spacing w:val="-1"/>
        </w:rPr>
        <w:t> </w:t>
      </w:r>
      <w:r>
        <w:rPr/>
        <w:t>με τα</w:t>
      </w:r>
      <w:r>
        <w:rPr>
          <w:spacing w:val="-1"/>
        </w:rPr>
        <w:t> </w:t>
      </w:r>
      <w:r>
        <w:rPr/>
        <w:t>στοιχεία των τριμη-νιαίων</w:t>
      </w:r>
      <w:r>
        <w:rPr>
          <w:spacing w:val="-10"/>
        </w:rPr>
        <w:t> </w:t>
      </w:r>
      <w:r>
        <w:rPr/>
        <w:t>μη</w:t>
      </w:r>
      <w:r>
        <w:rPr>
          <w:spacing w:val="-9"/>
        </w:rPr>
        <w:t> </w:t>
      </w:r>
      <w:r>
        <w:rPr/>
        <w:t>χρηματοοικονομικών</w:t>
      </w:r>
      <w:r>
        <w:rPr>
          <w:spacing w:val="-10"/>
        </w:rPr>
        <w:t> </w:t>
      </w:r>
      <w:r>
        <w:rPr/>
        <w:t>λογαριασμών</w:t>
      </w:r>
      <w:r>
        <w:rPr>
          <w:spacing w:val="-8"/>
        </w:rPr>
        <w:t> </w:t>
      </w:r>
      <w:r>
        <w:rPr/>
        <w:t>των</w:t>
      </w:r>
      <w:r>
        <w:rPr>
          <w:spacing w:val="-8"/>
        </w:rPr>
        <w:t> </w:t>
      </w:r>
      <w:r>
        <w:rPr/>
        <w:t>θεσμικών</w:t>
      </w:r>
      <w:r>
        <w:rPr>
          <w:spacing w:val="-8"/>
        </w:rPr>
        <w:t> </w:t>
      </w:r>
      <w:r>
        <w:rPr/>
        <w:t>τομέων</w:t>
      </w:r>
      <w:r>
        <w:rPr>
          <w:spacing w:val="-8"/>
        </w:rPr>
        <w:t> </w:t>
      </w:r>
      <w:r>
        <w:rPr/>
        <w:t>που</w:t>
      </w:r>
      <w:r>
        <w:rPr>
          <w:spacing w:val="-8"/>
        </w:rPr>
        <w:t> </w:t>
      </w:r>
      <w:r>
        <w:rPr/>
        <w:t>καταρτίζει</w:t>
      </w:r>
      <w:r>
        <w:rPr>
          <w:spacing w:val="-8"/>
        </w:rPr>
        <w:t> </w:t>
      </w:r>
      <w:r>
        <w:rPr/>
        <w:t>η</w:t>
      </w:r>
      <w:r>
        <w:rPr>
          <w:spacing w:val="-9"/>
        </w:rPr>
        <w:t> </w:t>
      </w:r>
      <w:r>
        <w:rPr/>
        <w:t>ΕΛΣΤΑΤ, το ονομαστικό διαθέσιμο εισόδημα των νοικοκυριών αυξήθηκε κατά 9,8% το δ΄ τρίμηνο του 2025 σε ετήσια βάση και το πραγματικό διαθέσιμο εισόδημα κατά 6,8%. Συνολικά για το 2025, το</w:t>
      </w:r>
      <w:r>
        <w:rPr>
          <w:spacing w:val="-1"/>
        </w:rPr>
        <w:t> </w:t>
      </w:r>
      <w:r>
        <w:rPr/>
        <w:t>ονομαστικό</w:t>
      </w:r>
      <w:r>
        <w:rPr>
          <w:spacing w:val="-1"/>
        </w:rPr>
        <w:t> </w:t>
      </w:r>
      <w:r>
        <w:rPr/>
        <w:t>διαθέσιμο</w:t>
      </w:r>
      <w:r>
        <w:rPr>
          <w:spacing w:val="-1"/>
        </w:rPr>
        <w:t> </w:t>
      </w:r>
      <w:r>
        <w:rPr/>
        <w:t>εισόδημα</w:t>
      </w:r>
      <w:r>
        <w:rPr>
          <w:spacing w:val="-2"/>
        </w:rPr>
        <w:t> </w:t>
      </w:r>
      <w:r>
        <w:rPr/>
        <w:t>αυξήθηκε</w:t>
      </w:r>
      <w:r>
        <w:rPr>
          <w:spacing w:val="-3"/>
        </w:rPr>
        <w:t> </w:t>
      </w:r>
      <w:r>
        <w:rPr/>
        <w:t>κατά</w:t>
      </w:r>
      <w:r>
        <w:rPr>
          <w:spacing w:val="-2"/>
        </w:rPr>
        <w:t> </w:t>
      </w:r>
      <w:r>
        <w:rPr/>
        <w:t>5,3% κατά</w:t>
      </w:r>
      <w:r>
        <w:rPr>
          <w:spacing w:val="-2"/>
        </w:rPr>
        <w:t> </w:t>
      </w:r>
      <w:r>
        <w:rPr/>
        <w:t>μέσο</w:t>
      </w:r>
      <w:r>
        <w:rPr>
          <w:spacing w:val="-4"/>
        </w:rPr>
        <w:t> </w:t>
      </w:r>
      <w:r>
        <w:rPr/>
        <w:t>όρο</w:t>
      </w:r>
      <w:r>
        <w:rPr>
          <w:spacing w:val="-3"/>
        </w:rPr>
        <w:t> </w:t>
      </w:r>
      <w:r>
        <w:rPr/>
        <w:t>και</w:t>
      </w:r>
      <w:r>
        <w:rPr>
          <w:spacing w:val="-3"/>
        </w:rPr>
        <w:t> </w:t>
      </w:r>
      <w:r>
        <w:rPr/>
        <w:t>το πραγματικό</w:t>
      </w:r>
      <w:r>
        <w:rPr>
          <w:spacing w:val="-1"/>
        </w:rPr>
        <w:t> </w:t>
      </w:r>
      <w:r>
        <w:rPr/>
        <w:t>δια-θέσιμο</w:t>
      </w:r>
      <w:r>
        <w:rPr>
          <w:spacing w:val="-1"/>
        </w:rPr>
        <w:t> </w:t>
      </w:r>
      <w:r>
        <w:rPr/>
        <w:t>εισόδημα</w:t>
      </w:r>
      <w:r>
        <w:rPr>
          <w:spacing w:val="-2"/>
        </w:rPr>
        <w:t> </w:t>
      </w:r>
      <w:r>
        <w:rPr/>
        <w:t>κατέγραψε αύξηση</w:t>
      </w:r>
      <w:r>
        <w:rPr>
          <w:spacing w:val="-3"/>
        </w:rPr>
        <w:t> </w:t>
      </w:r>
      <w:r>
        <w:rPr/>
        <w:t>κατά</w:t>
      </w:r>
      <w:r>
        <w:rPr>
          <w:spacing w:val="-2"/>
        </w:rPr>
        <w:t> </w:t>
      </w:r>
      <w:r>
        <w:rPr/>
        <w:t>1,8%,</w:t>
      </w:r>
      <w:r>
        <w:rPr>
          <w:spacing w:val="-3"/>
        </w:rPr>
        <w:t> </w:t>
      </w:r>
      <w:r>
        <w:rPr/>
        <w:t>εξαιτίας</w:t>
      </w:r>
      <w:r>
        <w:rPr>
          <w:spacing w:val="-3"/>
        </w:rPr>
        <w:t> </w:t>
      </w:r>
      <w:r>
        <w:rPr/>
        <w:t>του πληθωρισμού. Η</w:t>
      </w:r>
      <w:r>
        <w:rPr>
          <w:spacing w:val="-2"/>
        </w:rPr>
        <w:t> </w:t>
      </w:r>
      <w:r>
        <w:rPr/>
        <w:t>αύξηση</w:t>
      </w:r>
      <w:r>
        <w:rPr>
          <w:spacing w:val="-1"/>
        </w:rPr>
        <w:t> </w:t>
      </w:r>
      <w:r>
        <w:rPr/>
        <w:t>του</w:t>
      </w:r>
      <w:r>
        <w:rPr>
          <w:spacing w:val="-2"/>
        </w:rPr>
        <w:t> </w:t>
      </w:r>
      <w:r>
        <w:rPr/>
        <w:t>ονο-μαστικού</w:t>
      </w:r>
      <w:r>
        <w:rPr>
          <w:spacing w:val="-2"/>
        </w:rPr>
        <w:t> </w:t>
      </w:r>
      <w:r>
        <w:rPr/>
        <w:t>διαθέσιμου</w:t>
      </w:r>
      <w:r>
        <w:rPr>
          <w:spacing w:val="-2"/>
        </w:rPr>
        <w:t> </w:t>
      </w:r>
      <w:r>
        <w:rPr/>
        <w:t>εισοδήματος</w:t>
      </w:r>
      <w:r>
        <w:rPr>
          <w:spacing w:val="-5"/>
        </w:rPr>
        <w:t> </w:t>
      </w:r>
      <w:r>
        <w:rPr/>
        <w:t>των</w:t>
      </w:r>
      <w:r>
        <w:rPr>
          <w:spacing w:val="-2"/>
        </w:rPr>
        <w:t> </w:t>
      </w:r>
      <w:r>
        <w:rPr/>
        <w:t>νοικοκυριών</w:t>
      </w:r>
      <w:r>
        <w:rPr>
          <w:spacing w:val="-2"/>
        </w:rPr>
        <w:t> </w:t>
      </w:r>
      <w:r>
        <w:rPr/>
        <w:t>την</w:t>
      </w:r>
      <w:r>
        <w:rPr>
          <w:spacing w:val="-3"/>
        </w:rPr>
        <w:t> </w:t>
      </w:r>
      <w:r>
        <w:rPr/>
        <w:t>εν</w:t>
      </w:r>
      <w:r>
        <w:rPr>
          <w:spacing w:val="-2"/>
        </w:rPr>
        <w:t> </w:t>
      </w:r>
      <w:r>
        <w:rPr/>
        <w:t>λόγω</w:t>
      </w:r>
      <w:r>
        <w:rPr>
          <w:spacing w:val="-2"/>
        </w:rPr>
        <w:t> </w:t>
      </w:r>
      <w:r>
        <w:rPr/>
        <w:t>περίοδο</w:t>
      </w:r>
      <w:r>
        <w:rPr>
          <w:spacing w:val="-3"/>
        </w:rPr>
        <w:t> </w:t>
      </w:r>
      <w:r>
        <w:rPr/>
        <w:t>αποδίδεται</w:t>
      </w:r>
      <w:r>
        <w:rPr>
          <w:spacing w:val="-3"/>
        </w:rPr>
        <w:t> </w:t>
      </w:r>
      <w:r>
        <w:rPr/>
        <w:t>στη</w:t>
      </w:r>
      <w:r>
        <w:rPr>
          <w:spacing w:val="-3"/>
        </w:rPr>
        <w:t> </w:t>
      </w:r>
      <w:r>
        <w:rPr/>
        <w:t>θετική συμβολή τόσο του εισοδήματος των αυτοαπασχολουμένων όσο και του εισοδήματος εξαρτημέ-νης εργασίας.</w:t>
      </w:r>
    </w:p>
    <w:p>
      <w:pPr>
        <w:pStyle w:val="BodyText"/>
        <w:spacing w:line="285" w:lineRule="auto" w:before="50"/>
        <w:ind w:left="172" w:right="955"/>
        <w:jc w:val="both"/>
        <w:rPr>
          <w:position w:val="6"/>
          <w:sz w:val="10"/>
        </w:rPr>
      </w:pPr>
      <w:r>
        <w:rPr/>
        <w:t>Επιπρόσθετα, στις αρχές του 2026 η αγορά εργασίας εξακολούθησε να παρουσιάζει βελτίωση, όπως</w:t>
      </w:r>
      <w:r>
        <w:rPr>
          <w:spacing w:val="-14"/>
        </w:rPr>
        <w:t> </w:t>
      </w:r>
      <w:r>
        <w:rPr/>
        <w:t>προκύπτει</w:t>
      </w:r>
      <w:r>
        <w:rPr>
          <w:spacing w:val="-12"/>
        </w:rPr>
        <w:t> </w:t>
      </w:r>
      <w:r>
        <w:rPr/>
        <w:t>από</w:t>
      </w:r>
      <w:r>
        <w:rPr>
          <w:spacing w:val="-13"/>
        </w:rPr>
        <w:t> </w:t>
      </w:r>
      <w:r>
        <w:rPr/>
        <w:t>την</w:t>
      </w:r>
      <w:r>
        <w:rPr>
          <w:spacing w:val="-12"/>
        </w:rPr>
        <w:t> </w:t>
      </w:r>
      <w:r>
        <w:rPr/>
        <w:t>εξέλιξη</w:t>
      </w:r>
      <w:r>
        <w:rPr>
          <w:spacing w:val="-13"/>
        </w:rPr>
        <w:t> </w:t>
      </w:r>
      <w:r>
        <w:rPr/>
        <w:t>του</w:t>
      </w:r>
      <w:r>
        <w:rPr>
          <w:spacing w:val="-12"/>
        </w:rPr>
        <w:t> </w:t>
      </w:r>
      <w:r>
        <w:rPr/>
        <w:t>ποσοστού</w:t>
      </w:r>
      <w:r>
        <w:rPr>
          <w:spacing w:val="-12"/>
        </w:rPr>
        <w:t> </w:t>
      </w:r>
      <w:r>
        <w:rPr/>
        <w:t>ανεργίας</w:t>
      </w:r>
      <w:r>
        <w:rPr>
          <w:spacing w:val="-12"/>
        </w:rPr>
        <w:t> </w:t>
      </w:r>
      <w:r>
        <w:rPr/>
        <w:t>και</w:t>
      </w:r>
      <w:r>
        <w:rPr>
          <w:spacing w:val="-12"/>
        </w:rPr>
        <w:t> </w:t>
      </w:r>
      <w:r>
        <w:rPr/>
        <w:t>από</w:t>
      </w:r>
      <w:r>
        <w:rPr>
          <w:spacing w:val="-13"/>
        </w:rPr>
        <w:t> </w:t>
      </w:r>
      <w:r>
        <w:rPr/>
        <w:t>την</w:t>
      </w:r>
      <w:r>
        <w:rPr>
          <w:spacing w:val="-12"/>
        </w:rPr>
        <w:t> </w:t>
      </w:r>
      <w:r>
        <w:rPr/>
        <w:t>τιμή</w:t>
      </w:r>
      <w:r>
        <w:rPr>
          <w:spacing w:val="-13"/>
        </w:rPr>
        <w:t> </w:t>
      </w:r>
      <w:r>
        <w:rPr/>
        <w:t>του</w:t>
      </w:r>
      <w:r>
        <w:rPr>
          <w:spacing w:val="-12"/>
        </w:rPr>
        <w:t> </w:t>
      </w:r>
      <w:r>
        <w:rPr/>
        <w:t>δείκτη</w:t>
      </w:r>
      <w:r>
        <w:rPr>
          <w:spacing w:val="-13"/>
        </w:rPr>
        <w:t> </w:t>
      </w:r>
      <w:r>
        <w:rPr/>
        <w:t>προσδοκιών απασχόλησης</w:t>
      </w:r>
      <w:hyperlink w:history="true" w:anchor="_bookmark19">
        <w:r>
          <w:rPr/>
          <w:t>.</w:t>
        </w:r>
        <w:r>
          <w:rPr>
            <w:position w:val="6"/>
            <w:sz w:val="10"/>
          </w:rPr>
          <w:t>11</w:t>
        </w:r>
      </w:hyperlink>
      <w:r>
        <w:rPr>
          <w:spacing w:val="5"/>
          <w:position w:val="6"/>
          <w:sz w:val="10"/>
        </w:rPr>
        <w:t> </w:t>
      </w:r>
      <w:r>
        <w:rPr/>
        <w:t>Ειδικότερα,</w:t>
      </w:r>
      <w:r>
        <w:rPr>
          <w:spacing w:val="-14"/>
        </w:rPr>
        <w:t> </w:t>
      </w:r>
      <w:r>
        <w:rPr/>
        <w:t>σύμφωνα</w:t>
      </w:r>
      <w:r>
        <w:rPr>
          <w:spacing w:val="-14"/>
        </w:rPr>
        <w:t> </w:t>
      </w:r>
      <w:r>
        <w:rPr/>
        <w:t>με</w:t>
      </w:r>
      <w:r>
        <w:rPr>
          <w:spacing w:val="-14"/>
        </w:rPr>
        <w:t> </w:t>
      </w:r>
      <w:r>
        <w:rPr/>
        <w:t>τα</w:t>
      </w:r>
      <w:r>
        <w:rPr>
          <w:spacing w:val="-13"/>
        </w:rPr>
        <w:t> </w:t>
      </w:r>
      <w:r>
        <w:rPr/>
        <w:t>αποτελέσματα</w:t>
      </w:r>
      <w:r>
        <w:rPr>
          <w:spacing w:val="-14"/>
        </w:rPr>
        <w:t> </w:t>
      </w:r>
      <w:r>
        <w:rPr/>
        <w:t>της</w:t>
      </w:r>
      <w:r>
        <w:rPr>
          <w:spacing w:val="-14"/>
        </w:rPr>
        <w:t> </w:t>
      </w:r>
      <w:r>
        <w:rPr/>
        <w:t>έρευνας</w:t>
      </w:r>
      <w:r>
        <w:rPr>
          <w:spacing w:val="-14"/>
        </w:rPr>
        <w:t> </w:t>
      </w:r>
      <w:r>
        <w:rPr/>
        <w:t>εργατικού</w:t>
      </w:r>
      <w:r>
        <w:rPr>
          <w:spacing w:val="-13"/>
        </w:rPr>
        <w:t> </w:t>
      </w:r>
      <w:r>
        <w:rPr/>
        <w:t>δυναμικού</w:t>
      </w:r>
      <w:r>
        <w:rPr>
          <w:spacing w:val="-13"/>
        </w:rPr>
        <w:t> </w:t>
      </w:r>
      <w:r>
        <w:rPr/>
        <w:t>που διεξάγεται από την ΕΛΣΤΑΤ, το ποσοστό ανεργίας με εποχική προσαρμογή διαμορφώθηκε σε 9,0% για τον Μάρτιο του 2026 (Μάρτιος 2025: 9,4%). Ο δείκτης προσδοκιών για την απασχό-ληση στην Ελλάδα διαμορφώθηκε σε 111,2 τον Απρίλιο του 2026 (115,1 τον Δεκέμβριο του 2025), έναντι μέσου όρου 93,2 στην Ευρωπαϊκή Ένωση.</w:t>
      </w:r>
      <w:hyperlink w:history="true" w:anchor="_bookmark20">
        <w:r>
          <w:rPr>
            <w:position w:val="6"/>
            <w:sz w:val="10"/>
          </w:rPr>
          <w:t>12</w:t>
        </w:r>
      </w:hyperlink>
    </w:p>
    <w:p>
      <w:pPr>
        <w:pStyle w:val="BodyText"/>
        <w:spacing w:line="285" w:lineRule="auto" w:before="53"/>
        <w:ind w:left="172" w:right="956"/>
        <w:jc w:val="both"/>
      </w:pPr>
      <w:r>
        <w:rPr/>
        <w:t>Συμπερασματικά, ο κίνδυνος εισοδήματος για τα νοικοκυριά παραμένει περιορισμένος, ενώ οι προοπτικές για την εξέλιξή του συνδέονται με την ένταση και τη διάρκεια των γεωπολιτικών εξελίξεων και τις επιπτώσεις τους στα μακροοικονομικά μεγέθη.</w:t>
      </w:r>
    </w:p>
    <w:p>
      <w:pPr>
        <w:pStyle w:val="BodyText"/>
        <w:spacing w:before="190"/>
      </w:pPr>
    </w:p>
    <w:p>
      <w:pPr>
        <w:pStyle w:val="Heading3"/>
        <w:numPr>
          <w:ilvl w:val="2"/>
          <w:numId w:val="2"/>
        </w:numPr>
        <w:tabs>
          <w:tab w:pos="738" w:val="left" w:leader="none"/>
        </w:tabs>
        <w:spacing w:line="240" w:lineRule="auto" w:before="0" w:after="0"/>
        <w:ind w:left="738" w:right="0" w:hanging="566"/>
        <w:jc w:val="left"/>
        <w:rPr>
          <w:color w:val="1F487C"/>
        </w:rPr>
      </w:pPr>
      <w:bookmarkStart w:name="_bookmark18" w:id="19"/>
      <w:bookmarkEnd w:id="19"/>
      <w:r>
        <w:rPr>
          <w:b w:val="0"/>
        </w:rPr>
      </w:r>
      <w:r>
        <w:rPr>
          <w:color w:val="1F487C"/>
        </w:rPr>
        <w:t>ΚΙΝΔΥΝΟΣ</w:t>
      </w:r>
      <w:r>
        <w:rPr>
          <w:color w:val="1F487C"/>
          <w:spacing w:val="-5"/>
        </w:rPr>
        <w:t> </w:t>
      </w:r>
      <w:r>
        <w:rPr>
          <w:color w:val="1F487C"/>
        </w:rPr>
        <w:t>ΤΙΜΩΝ</w:t>
      </w:r>
      <w:r>
        <w:rPr>
          <w:color w:val="1F487C"/>
          <w:spacing w:val="-7"/>
        </w:rPr>
        <w:t> </w:t>
      </w:r>
      <w:r>
        <w:rPr>
          <w:color w:val="1F487C"/>
        </w:rPr>
        <w:t>ΚΑΤΟΙΚΙΩΝ</w:t>
      </w:r>
      <w:r>
        <w:rPr>
          <w:color w:val="1F487C"/>
          <w:spacing w:val="-8"/>
        </w:rPr>
        <w:t> </w:t>
      </w:r>
      <w:r>
        <w:rPr>
          <w:color w:val="1F487C"/>
        </w:rPr>
        <w:t>ΓΙΑ</w:t>
      </w:r>
      <w:r>
        <w:rPr>
          <w:color w:val="1F487C"/>
          <w:spacing w:val="-4"/>
        </w:rPr>
        <w:t> </w:t>
      </w:r>
      <w:r>
        <w:rPr>
          <w:color w:val="1F487C"/>
        </w:rPr>
        <w:t>ΤΑ</w:t>
      </w:r>
      <w:r>
        <w:rPr>
          <w:color w:val="1F487C"/>
          <w:spacing w:val="-5"/>
        </w:rPr>
        <w:t> </w:t>
      </w:r>
      <w:r>
        <w:rPr>
          <w:color w:val="1F487C"/>
          <w:spacing w:val="-2"/>
        </w:rPr>
        <w:t>ΝΟΙΚΟΚΥΡΙΑ</w:t>
      </w:r>
    </w:p>
    <w:p>
      <w:pPr>
        <w:pStyle w:val="BodyText"/>
        <w:spacing w:line="285" w:lineRule="auto" w:before="117"/>
        <w:ind w:left="172" w:right="5458"/>
      </w:pPr>
      <w:r>
        <w:rPr/>
        <mc:AlternateContent>
          <mc:Choice Requires="wps">
            <w:drawing>
              <wp:anchor distT="0" distB="0" distL="0" distR="0" allowOverlap="1" layoutInCell="1" locked="0" behindDoc="0" simplePos="0" relativeHeight="15735808">
                <wp:simplePos x="0" y="0"/>
                <wp:positionH relativeFrom="page">
                  <wp:posOffset>3665854</wp:posOffset>
                </wp:positionH>
                <wp:positionV relativeFrom="paragraph">
                  <wp:posOffset>38846</wp:posOffset>
                </wp:positionV>
                <wp:extent cx="2734945" cy="33845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734945" cy="338455"/>
                        </a:xfrm>
                        <a:prstGeom prst="rect">
                          <a:avLst/>
                        </a:prstGeom>
                        <a:solidFill>
                          <a:srgbClr val="1F487C"/>
                        </a:solidFill>
                      </wps:spPr>
                      <wps:txbx>
                        <w:txbxContent>
                          <w:p>
                            <w:pPr>
                              <w:spacing w:before="60"/>
                              <w:ind w:left="112" w:right="163"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ΙΙ.3</w:t>
                            </w:r>
                            <w:r>
                              <w:rPr>
                                <w:b/>
                                <w:smallCaps w:val="0"/>
                                <w:color w:val="FFFFFF"/>
                                <w:spacing w:val="-6"/>
                                <w:sz w:val="18"/>
                              </w:rPr>
                              <w:t> </w:t>
                            </w:r>
                            <w:r>
                              <w:rPr>
                                <w:b/>
                                <w:smallCaps w:val="0"/>
                                <w:color w:val="FFFFFF"/>
                                <w:sz w:val="18"/>
                              </w:rPr>
                              <w:t>Δείκτης</w:t>
                            </w:r>
                            <w:r>
                              <w:rPr>
                                <w:b/>
                                <w:smallCaps w:val="0"/>
                                <w:color w:val="FFFFFF"/>
                                <w:spacing w:val="-7"/>
                                <w:sz w:val="18"/>
                              </w:rPr>
                              <w:t> </w:t>
                            </w:r>
                            <w:r>
                              <w:rPr>
                                <w:b/>
                                <w:smallCaps w:val="0"/>
                                <w:color w:val="FFFFFF"/>
                                <w:sz w:val="18"/>
                              </w:rPr>
                              <w:t>τ</w:t>
                            </w:r>
                            <w:r>
                              <w:rPr>
                                <w:b/>
                                <w:smallCaps/>
                                <w:color w:val="FFFFFF"/>
                                <w:sz w:val="18"/>
                              </w:rPr>
                              <w:t>ι</w:t>
                            </w:r>
                            <w:r>
                              <w:rPr>
                                <w:b/>
                                <w:smallCaps w:val="0"/>
                                <w:color w:val="FFFFFF"/>
                                <w:sz w:val="18"/>
                              </w:rPr>
                              <w:t>μών</w:t>
                            </w:r>
                            <w:r>
                              <w:rPr>
                                <w:b/>
                                <w:smallCaps w:val="0"/>
                                <w:color w:val="FFFFFF"/>
                                <w:spacing w:val="-6"/>
                                <w:sz w:val="18"/>
                              </w:rPr>
                              <w:t> </w:t>
                            </w:r>
                            <w:r>
                              <w:rPr>
                                <w:b/>
                                <w:smallCaps w:val="0"/>
                                <w:color w:val="FFFFFF"/>
                                <w:sz w:val="18"/>
                              </w:rPr>
                              <w:t>δ</w:t>
                            </w:r>
                            <w:r>
                              <w:rPr>
                                <w:b/>
                                <w:smallCaps/>
                                <w:color w:val="FFFFFF"/>
                                <w:sz w:val="18"/>
                              </w:rPr>
                              <w:t>ι</w:t>
                            </w:r>
                            <w:r>
                              <w:rPr>
                                <w:b/>
                                <w:smallCaps w:val="0"/>
                                <w:color w:val="FFFFFF"/>
                                <w:sz w:val="18"/>
                              </w:rPr>
                              <w:t>αμερ</w:t>
                            </w:r>
                            <w:r>
                              <w:rPr>
                                <w:b/>
                                <w:smallCaps/>
                                <w:color w:val="FFFFFF"/>
                                <w:sz w:val="18"/>
                              </w:rPr>
                              <w:t>ι</w:t>
                            </w:r>
                            <w:r>
                              <w:rPr>
                                <w:b/>
                                <w:smallCaps w:val="0"/>
                                <w:color w:val="FFFFFF"/>
                                <w:sz w:val="18"/>
                              </w:rPr>
                              <w:t>σμάτων</w:t>
                            </w:r>
                            <w:r>
                              <w:rPr>
                                <w:b/>
                                <w:smallCaps w:val="0"/>
                                <w:color w:val="FFFFFF"/>
                                <w:spacing w:val="-6"/>
                                <w:sz w:val="18"/>
                              </w:rPr>
                              <w:t> </w:t>
                            </w:r>
                            <w:r>
                              <w:rPr>
                                <w:b/>
                                <w:smallCaps w:val="0"/>
                                <w:color w:val="FFFFFF"/>
                                <w:sz w:val="18"/>
                              </w:rPr>
                              <w:t>κα</w:t>
                            </w:r>
                            <w:r>
                              <w:rPr>
                                <w:b/>
                                <w:smallCaps/>
                                <w:color w:val="FFFFFF"/>
                                <w:sz w:val="18"/>
                              </w:rPr>
                              <w:t>ι</w:t>
                            </w:r>
                            <w:r>
                              <w:rPr>
                                <w:b/>
                                <w:smallCaps w:val="0"/>
                                <w:color w:val="FFFFFF"/>
                                <w:spacing w:val="-5"/>
                                <w:sz w:val="18"/>
                              </w:rPr>
                              <w:t> </w:t>
                            </w:r>
                            <w:r>
                              <w:rPr>
                                <w:b/>
                                <w:smallCaps w:val="0"/>
                                <w:color w:val="FFFFFF"/>
                                <w:sz w:val="18"/>
                              </w:rPr>
                              <w:t>ε-τήσ</w:t>
                            </w:r>
                            <w:r>
                              <w:rPr>
                                <w:b/>
                                <w:smallCaps/>
                                <w:color w:val="FFFFFF"/>
                                <w:sz w:val="18"/>
                              </w:rPr>
                              <w:t>ιο</w:t>
                            </w:r>
                            <w:r>
                              <w:rPr>
                                <w:b/>
                                <w:smallCaps w:val="0"/>
                                <w:color w:val="FFFFFF"/>
                                <w:sz w:val="18"/>
                              </w:rPr>
                              <w:t>ς ρυθμός μεταβολής 2007 – 2025</w:t>
                            </w:r>
                          </w:p>
                        </w:txbxContent>
                      </wps:txbx>
                      <wps:bodyPr wrap="square" lIns="0" tIns="0" rIns="0" bIns="0" rtlCol="0">
                        <a:noAutofit/>
                      </wps:bodyPr>
                    </wps:wsp>
                  </a:graphicData>
                </a:graphic>
              </wp:anchor>
            </w:drawing>
          </mc:Choice>
          <mc:Fallback>
            <w:pict>
              <v:shape style="position:absolute;margin-left:288.649994pt;margin-top:3.058789pt;width:215.35pt;height:26.65pt;mso-position-horizontal-relative:page;mso-position-vertical-relative:paragraph;z-index:15735808" type="#_x0000_t202" id="docshape36" filled="true" fillcolor="#1f487c" stroked="false">
                <v:textbox inset="0,0,0,0">
                  <w:txbxContent>
                    <w:p>
                      <w:pPr>
                        <w:spacing w:before="60"/>
                        <w:ind w:left="112" w:right="163"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ΙΙ.3</w:t>
                      </w:r>
                      <w:r>
                        <w:rPr>
                          <w:b/>
                          <w:smallCaps w:val="0"/>
                          <w:color w:val="FFFFFF"/>
                          <w:spacing w:val="-6"/>
                          <w:sz w:val="18"/>
                        </w:rPr>
                        <w:t> </w:t>
                      </w:r>
                      <w:r>
                        <w:rPr>
                          <w:b/>
                          <w:smallCaps w:val="0"/>
                          <w:color w:val="FFFFFF"/>
                          <w:sz w:val="18"/>
                        </w:rPr>
                        <w:t>Δείκτης</w:t>
                      </w:r>
                      <w:r>
                        <w:rPr>
                          <w:b/>
                          <w:smallCaps w:val="0"/>
                          <w:color w:val="FFFFFF"/>
                          <w:spacing w:val="-7"/>
                          <w:sz w:val="18"/>
                        </w:rPr>
                        <w:t> </w:t>
                      </w:r>
                      <w:r>
                        <w:rPr>
                          <w:b/>
                          <w:smallCaps w:val="0"/>
                          <w:color w:val="FFFFFF"/>
                          <w:sz w:val="18"/>
                        </w:rPr>
                        <w:t>τ</w:t>
                      </w:r>
                      <w:r>
                        <w:rPr>
                          <w:b/>
                          <w:smallCaps/>
                          <w:color w:val="FFFFFF"/>
                          <w:sz w:val="18"/>
                        </w:rPr>
                        <w:t>ι</w:t>
                      </w:r>
                      <w:r>
                        <w:rPr>
                          <w:b/>
                          <w:smallCaps w:val="0"/>
                          <w:color w:val="FFFFFF"/>
                          <w:sz w:val="18"/>
                        </w:rPr>
                        <w:t>μών</w:t>
                      </w:r>
                      <w:r>
                        <w:rPr>
                          <w:b/>
                          <w:smallCaps w:val="0"/>
                          <w:color w:val="FFFFFF"/>
                          <w:spacing w:val="-6"/>
                          <w:sz w:val="18"/>
                        </w:rPr>
                        <w:t> </w:t>
                      </w:r>
                      <w:r>
                        <w:rPr>
                          <w:b/>
                          <w:smallCaps w:val="0"/>
                          <w:color w:val="FFFFFF"/>
                          <w:sz w:val="18"/>
                        </w:rPr>
                        <w:t>δ</w:t>
                      </w:r>
                      <w:r>
                        <w:rPr>
                          <w:b/>
                          <w:smallCaps/>
                          <w:color w:val="FFFFFF"/>
                          <w:sz w:val="18"/>
                        </w:rPr>
                        <w:t>ι</w:t>
                      </w:r>
                      <w:r>
                        <w:rPr>
                          <w:b/>
                          <w:smallCaps w:val="0"/>
                          <w:color w:val="FFFFFF"/>
                          <w:sz w:val="18"/>
                        </w:rPr>
                        <w:t>αμερ</w:t>
                      </w:r>
                      <w:r>
                        <w:rPr>
                          <w:b/>
                          <w:smallCaps/>
                          <w:color w:val="FFFFFF"/>
                          <w:sz w:val="18"/>
                        </w:rPr>
                        <w:t>ι</w:t>
                      </w:r>
                      <w:r>
                        <w:rPr>
                          <w:b/>
                          <w:smallCaps w:val="0"/>
                          <w:color w:val="FFFFFF"/>
                          <w:sz w:val="18"/>
                        </w:rPr>
                        <w:t>σμάτων</w:t>
                      </w:r>
                      <w:r>
                        <w:rPr>
                          <w:b/>
                          <w:smallCaps w:val="0"/>
                          <w:color w:val="FFFFFF"/>
                          <w:spacing w:val="-6"/>
                          <w:sz w:val="18"/>
                        </w:rPr>
                        <w:t> </w:t>
                      </w:r>
                      <w:r>
                        <w:rPr>
                          <w:b/>
                          <w:smallCaps w:val="0"/>
                          <w:color w:val="FFFFFF"/>
                          <w:sz w:val="18"/>
                        </w:rPr>
                        <w:t>κα</w:t>
                      </w:r>
                      <w:r>
                        <w:rPr>
                          <w:b/>
                          <w:smallCaps/>
                          <w:color w:val="FFFFFF"/>
                          <w:sz w:val="18"/>
                        </w:rPr>
                        <w:t>ι</w:t>
                      </w:r>
                      <w:r>
                        <w:rPr>
                          <w:b/>
                          <w:smallCaps w:val="0"/>
                          <w:color w:val="FFFFFF"/>
                          <w:spacing w:val="-5"/>
                          <w:sz w:val="18"/>
                        </w:rPr>
                        <w:t> </w:t>
                      </w:r>
                      <w:r>
                        <w:rPr>
                          <w:b/>
                          <w:smallCaps w:val="0"/>
                          <w:color w:val="FFFFFF"/>
                          <w:sz w:val="18"/>
                        </w:rPr>
                        <w:t>ε-τήσ</w:t>
                      </w:r>
                      <w:r>
                        <w:rPr>
                          <w:b/>
                          <w:smallCaps/>
                          <w:color w:val="FFFFFF"/>
                          <w:sz w:val="18"/>
                        </w:rPr>
                        <w:t>ιο</w:t>
                      </w:r>
                      <w:r>
                        <w:rPr>
                          <w:b/>
                          <w:smallCaps w:val="0"/>
                          <w:color w:val="FFFFFF"/>
                          <w:sz w:val="18"/>
                        </w:rPr>
                        <w:t>ς ρυθμός μεταβολής 2007 – 2025</w:t>
                      </w:r>
                    </w:p>
                  </w:txbxContent>
                </v:textbox>
                <v:fill type="solid"/>
                <w10:wrap type="none"/>
              </v:shape>
            </w:pict>
          </mc:Fallback>
        </mc:AlternateContent>
      </w:r>
      <w:r>
        <w:rPr/>
        <w:t>Η αύξηση των τιμών των οικιστικών ακινή-των</w:t>
      </w:r>
      <w:r>
        <w:rPr>
          <w:spacing w:val="12"/>
        </w:rPr>
        <w:t> </w:t>
      </w:r>
      <w:r>
        <w:rPr/>
        <w:t>συνεχίστηκε</w:t>
      </w:r>
      <w:r>
        <w:rPr>
          <w:spacing w:val="13"/>
        </w:rPr>
        <w:t> </w:t>
      </w:r>
      <w:r>
        <w:rPr/>
        <w:t>το</w:t>
      </w:r>
      <w:r>
        <w:rPr>
          <w:spacing w:val="15"/>
        </w:rPr>
        <w:t> </w:t>
      </w:r>
      <w:r>
        <w:rPr/>
        <w:t>2025,</w:t>
      </w:r>
      <w:r>
        <w:rPr>
          <w:spacing w:val="12"/>
        </w:rPr>
        <w:t> </w:t>
      </w:r>
      <w:r>
        <w:rPr/>
        <w:t>αλλά</w:t>
      </w:r>
      <w:r>
        <w:rPr>
          <w:spacing w:val="11"/>
        </w:rPr>
        <w:t> </w:t>
      </w:r>
      <w:r>
        <w:rPr/>
        <w:t>με</w:t>
      </w:r>
      <w:r>
        <w:rPr>
          <w:spacing w:val="14"/>
        </w:rPr>
        <w:t> </w:t>
      </w:r>
      <w:r>
        <w:rPr>
          <w:spacing w:val="-2"/>
        </w:rPr>
        <w:t>ηπιότερο</w:t>
      </w:r>
    </w:p>
    <w:p>
      <w:pPr>
        <w:pStyle w:val="BodyText"/>
        <w:spacing w:after="0" w:line="285" w:lineRule="auto"/>
        <w:sectPr>
          <w:pgSz w:w="11910" w:h="16850"/>
          <w:pgMar w:header="0" w:footer="1180" w:top="1800" w:bottom="1360" w:left="1417" w:right="850"/>
        </w:sectPr>
      </w:pPr>
    </w:p>
    <w:p>
      <w:pPr>
        <w:pStyle w:val="BodyText"/>
        <w:spacing w:line="285" w:lineRule="auto" w:before="34"/>
        <w:ind w:left="172" w:right="1"/>
        <w:jc w:val="both"/>
      </w:pPr>
      <w:r>
        <w:rPr/>
        <w:t>ρυθμό.</w:t>
      </w:r>
      <w:r>
        <w:rPr>
          <w:spacing w:val="-3"/>
        </w:rPr>
        <w:t> </w:t>
      </w:r>
      <w:r>
        <w:rPr/>
        <w:t>Αναλυτικότερα,</w:t>
      </w:r>
      <w:r>
        <w:rPr>
          <w:spacing w:val="-3"/>
        </w:rPr>
        <w:t> </w:t>
      </w:r>
      <w:r>
        <w:rPr/>
        <w:t>οι</w:t>
      </w:r>
      <w:r>
        <w:rPr>
          <w:spacing w:val="-3"/>
        </w:rPr>
        <w:t> </w:t>
      </w:r>
      <w:r>
        <w:rPr/>
        <w:t>τιμές</w:t>
      </w:r>
      <w:r>
        <w:rPr>
          <w:spacing w:val="-3"/>
        </w:rPr>
        <w:t> </w:t>
      </w:r>
      <w:r>
        <w:rPr/>
        <w:t>των</w:t>
      </w:r>
      <w:r>
        <w:rPr>
          <w:spacing w:val="-2"/>
        </w:rPr>
        <w:t> </w:t>
      </w:r>
      <w:r>
        <w:rPr/>
        <w:t>διαμερι-σμάτων</w:t>
      </w:r>
      <w:r>
        <w:rPr>
          <w:spacing w:val="-11"/>
        </w:rPr>
        <w:t> </w:t>
      </w:r>
      <w:r>
        <w:rPr/>
        <w:t>(σε</w:t>
      </w:r>
      <w:r>
        <w:rPr>
          <w:spacing w:val="-9"/>
        </w:rPr>
        <w:t> </w:t>
      </w:r>
      <w:r>
        <w:rPr/>
        <w:t>ονομαστικούς</w:t>
      </w:r>
      <w:r>
        <w:rPr>
          <w:spacing w:val="-12"/>
        </w:rPr>
        <w:t> </w:t>
      </w:r>
      <w:r>
        <w:rPr/>
        <w:t>όρους)</w:t>
      </w:r>
      <w:r>
        <w:rPr>
          <w:spacing w:val="-11"/>
        </w:rPr>
        <w:t> </w:t>
      </w:r>
      <w:r>
        <w:rPr/>
        <w:t>αυξήθηκαν το</w:t>
      </w:r>
      <w:r>
        <w:rPr>
          <w:spacing w:val="-9"/>
        </w:rPr>
        <w:t> </w:t>
      </w:r>
      <w:r>
        <w:rPr/>
        <w:t>2025</w:t>
      </w:r>
      <w:r>
        <w:rPr>
          <w:spacing w:val="-9"/>
        </w:rPr>
        <w:t> </w:t>
      </w:r>
      <w:r>
        <w:rPr/>
        <w:t>κατά</w:t>
      </w:r>
      <w:r>
        <w:rPr>
          <w:spacing w:val="-10"/>
        </w:rPr>
        <w:t> </w:t>
      </w:r>
      <w:r>
        <w:rPr/>
        <w:t>7,8%</w:t>
      </w:r>
      <w:r>
        <w:rPr>
          <w:spacing w:val="-8"/>
        </w:rPr>
        <w:t> </w:t>
      </w:r>
      <w:r>
        <w:rPr/>
        <w:t>σε</w:t>
      </w:r>
      <w:r>
        <w:rPr>
          <w:spacing w:val="-8"/>
        </w:rPr>
        <w:t> </w:t>
      </w:r>
      <w:r>
        <w:rPr/>
        <w:t>ετήσια</w:t>
      </w:r>
      <w:r>
        <w:rPr>
          <w:spacing w:val="-9"/>
        </w:rPr>
        <w:t> </w:t>
      </w:r>
      <w:r>
        <w:rPr/>
        <w:t>βάση</w:t>
      </w:r>
      <w:r>
        <w:rPr>
          <w:spacing w:val="-9"/>
        </w:rPr>
        <w:t> </w:t>
      </w:r>
      <w:r>
        <w:rPr/>
        <w:t>και</w:t>
      </w:r>
      <w:r>
        <w:rPr>
          <w:spacing w:val="-9"/>
        </w:rPr>
        <w:t> </w:t>
      </w:r>
      <w:r>
        <w:rPr/>
        <w:t>πλέον έχουν υπερβεί το προηγούμενο ιστορικό υ-ψηλό</w:t>
      </w:r>
      <w:r>
        <w:rPr>
          <w:spacing w:val="-12"/>
        </w:rPr>
        <w:t> </w:t>
      </w:r>
      <w:r>
        <w:rPr/>
        <w:t>του</w:t>
      </w:r>
      <w:r>
        <w:rPr>
          <w:spacing w:val="-9"/>
        </w:rPr>
        <w:t> </w:t>
      </w:r>
      <w:r>
        <w:rPr/>
        <w:t>2008</w:t>
      </w:r>
      <w:r>
        <w:rPr>
          <w:spacing w:val="-10"/>
        </w:rPr>
        <w:t> </w:t>
      </w:r>
      <w:r>
        <w:rPr/>
        <w:t>(2025:</w:t>
      </w:r>
      <w:r>
        <w:rPr>
          <w:spacing w:val="-10"/>
        </w:rPr>
        <w:t> </w:t>
      </w:r>
      <w:r>
        <w:rPr/>
        <w:t>108,6,</w:t>
      </w:r>
      <w:r>
        <w:rPr>
          <w:spacing w:val="-10"/>
        </w:rPr>
        <w:t> </w:t>
      </w:r>
      <w:r>
        <w:rPr/>
        <w:t>2008:</w:t>
      </w:r>
      <w:r>
        <w:rPr>
          <w:spacing w:val="-10"/>
        </w:rPr>
        <w:t> </w:t>
      </w:r>
      <w:r>
        <w:rPr/>
        <w:t>101,7,</w:t>
      </w:r>
      <w:r>
        <w:rPr>
          <w:spacing w:val="-9"/>
        </w:rPr>
        <w:t> </w:t>
      </w:r>
      <w:r>
        <w:rPr>
          <w:spacing w:val="-5"/>
        </w:rPr>
        <w:t>βλ.</w:t>
      </w:r>
    </w:p>
    <w:p>
      <w:pPr>
        <w:pStyle w:val="BodyText"/>
        <w:spacing w:line="285" w:lineRule="auto"/>
        <w:ind w:left="172"/>
        <w:jc w:val="both"/>
      </w:pPr>
      <w:r>
        <w:rPr/>
        <w:t>Διάγραμμα ΙΙ.3). Οι τιμές των νέων διαμερι-σμάτων (ηλικίας έως 5 ετών) το 2025 αυξή-θηκαν με μέσο ετήσιο ρυθμό 7,4% (2025: 113,8),</w:t>
      </w:r>
      <w:r>
        <w:rPr>
          <w:spacing w:val="-14"/>
        </w:rPr>
        <w:t> </w:t>
      </w:r>
      <w:r>
        <w:rPr/>
        <w:t>ενώ</w:t>
      </w:r>
      <w:r>
        <w:rPr>
          <w:spacing w:val="-14"/>
        </w:rPr>
        <w:t> </w:t>
      </w:r>
      <w:r>
        <w:rPr/>
        <w:t>οι</w:t>
      </w:r>
      <w:r>
        <w:rPr>
          <w:spacing w:val="-14"/>
        </w:rPr>
        <w:t> </w:t>
      </w:r>
      <w:r>
        <w:rPr/>
        <w:t>τιμές</w:t>
      </w:r>
      <w:r>
        <w:rPr>
          <w:spacing w:val="-13"/>
        </w:rPr>
        <w:t> </w:t>
      </w:r>
      <w:r>
        <w:rPr/>
        <w:t>των</w:t>
      </w:r>
      <w:r>
        <w:rPr>
          <w:spacing w:val="-14"/>
        </w:rPr>
        <w:t> </w:t>
      </w:r>
      <w:r>
        <w:rPr/>
        <w:t>παλαιών</w:t>
      </w:r>
      <w:r>
        <w:rPr>
          <w:spacing w:val="-14"/>
        </w:rPr>
        <w:t> </w:t>
      </w:r>
      <w:r>
        <w:rPr/>
        <w:t>διαμερισμά-των</w:t>
      </w:r>
      <w:r>
        <w:rPr>
          <w:spacing w:val="-14"/>
        </w:rPr>
        <w:t> </w:t>
      </w:r>
      <w:r>
        <w:rPr/>
        <w:t>παρουσίασαν</w:t>
      </w:r>
      <w:r>
        <w:rPr>
          <w:spacing w:val="-14"/>
        </w:rPr>
        <w:t> </w:t>
      </w:r>
      <w:r>
        <w:rPr/>
        <w:t>άνοδο</w:t>
      </w:r>
      <w:r>
        <w:rPr>
          <w:spacing w:val="-14"/>
        </w:rPr>
        <w:t> </w:t>
      </w:r>
      <w:r>
        <w:rPr/>
        <w:t>κατά</w:t>
      </w:r>
      <w:r>
        <w:rPr>
          <w:spacing w:val="-13"/>
        </w:rPr>
        <w:t> </w:t>
      </w:r>
      <w:r>
        <w:rPr/>
        <w:t>8,1%</w:t>
      </w:r>
      <w:r>
        <w:rPr>
          <w:spacing w:val="-14"/>
        </w:rPr>
        <w:t> </w:t>
      </w:r>
      <w:r>
        <w:rPr/>
        <w:t>σε</w:t>
      </w:r>
      <w:r>
        <w:rPr>
          <w:spacing w:val="-14"/>
        </w:rPr>
        <w:t> </w:t>
      </w:r>
      <w:r>
        <w:rPr/>
        <w:t>ετήσια βάση</w:t>
      </w:r>
      <w:r>
        <w:rPr>
          <w:spacing w:val="-14"/>
        </w:rPr>
        <w:t> </w:t>
      </w:r>
      <w:r>
        <w:rPr/>
        <w:t>και</w:t>
      </w:r>
      <w:r>
        <w:rPr>
          <w:spacing w:val="-14"/>
        </w:rPr>
        <w:t> </w:t>
      </w:r>
      <w:r>
        <w:rPr/>
        <w:t>ο</w:t>
      </w:r>
      <w:r>
        <w:rPr>
          <w:spacing w:val="-14"/>
        </w:rPr>
        <w:t> </w:t>
      </w:r>
      <w:r>
        <w:rPr/>
        <w:t>σχετικός</w:t>
      </w:r>
      <w:r>
        <w:rPr>
          <w:spacing w:val="-13"/>
        </w:rPr>
        <w:t> </w:t>
      </w:r>
      <w:r>
        <w:rPr/>
        <w:t>δείκτης</w:t>
      </w:r>
      <w:r>
        <w:rPr>
          <w:spacing w:val="-14"/>
        </w:rPr>
        <w:t> </w:t>
      </w:r>
      <w:r>
        <w:rPr/>
        <w:t>τιμών</w:t>
      </w:r>
      <w:r>
        <w:rPr>
          <w:spacing w:val="-14"/>
        </w:rPr>
        <w:t> </w:t>
      </w:r>
      <w:r>
        <w:rPr/>
        <w:t>διαμορφώ-θηκε</w:t>
      </w:r>
      <w:r>
        <w:rPr>
          <w:spacing w:val="-9"/>
        </w:rPr>
        <w:t> </w:t>
      </w:r>
      <w:r>
        <w:rPr/>
        <w:t>το</w:t>
      </w:r>
      <w:r>
        <w:rPr>
          <w:spacing w:val="-10"/>
        </w:rPr>
        <w:t> </w:t>
      </w:r>
      <w:r>
        <w:rPr/>
        <w:t>2025</w:t>
      </w:r>
      <w:r>
        <w:rPr>
          <w:spacing w:val="-10"/>
        </w:rPr>
        <w:t> </w:t>
      </w:r>
      <w:r>
        <w:rPr/>
        <w:t>σε</w:t>
      </w:r>
      <w:r>
        <w:rPr>
          <w:spacing w:val="-9"/>
        </w:rPr>
        <w:t> </w:t>
      </w:r>
      <w:r>
        <w:rPr/>
        <w:t>105,4.</w:t>
      </w:r>
      <w:r>
        <w:rPr>
          <w:spacing w:val="-10"/>
        </w:rPr>
        <w:t> </w:t>
      </w:r>
      <w:r>
        <w:rPr/>
        <w:t>Κατά</w:t>
      </w:r>
      <w:r>
        <w:rPr>
          <w:spacing w:val="-10"/>
        </w:rPr>
        <w:t> </w:t>
      </w:r>
      <w:r>
        <w:rPr/>
        <w:t>γεωγραφική</w:t>
      </w:r>
      <w:r>
        <w:rPr>
          <w:spacing w:val="-10"/>
        </w:rPr>
        <w:t> </w:t>
      </w:r>
      <w:r>
        <w:rPr/>
        <w:t>πε-ριοχή,</w:t>
      </w:r>
      <w:r>
        <w:rPr>
          <w:spacing w:val="29"/>
        </w:rPr>
        <w:t> </w:t>
      </w:r>
      <w:r>
        <w:rPr/>
        <w:t>ισχυροί</w:t>
      </w:r>
      <w:r>
        <w:rPr>
          <w:spacing w:val="27"/>
        </w:rPr>
        <w:t> </w:t>
      </w:r>
      <w:r>
        <w:rPr/>
        <w:t>ετήσιοι</w:t>
      </w:r>
      <w:r>
        <w:rPr>
          <w:spacing w:val="31"/>
        </w:rPr>
        <w:t> </w:t>
      </w:r>
      <w:r>
        <w:rPr/>
        <w:t>ρυθμοί</w:t>
      </w:r>
      <w:r>
        <w:rPr>
          <w:spacing w:val="30"/>
        </w:rPr>
        <w:t> </w:t>
      </w:r>
      <w:r>
        <w:rPr/>
        <w:t>αύξησης</w:t>
      </w:r>
      <w:r>
        <w:rPr>
          <w:spacing w:val="32"/>
        </w:rPr>
        <w:t> </w:t>
      </w:r>
      <w:r>
        <w:rPr>
          <w:spacing w:val="-5"/>
        </w:rPr>
        <w:t>των</w:t>
      </w:r>
    </w:p>
    <w:p>
      <w:pPr>
        <w:spacing w:line="155" w:lineRule="exact" w:before="0"/>
        <w:ind w:left="172" w:right="0" w:firstLine="0"/>
        <w:jc w:val="left"/>
        <w:rPr>
          <w:sz w:val="14"/>
        </w:rPr>
      </w:pPr>
      <w:r>
        <w:rPr/>
        <w:br w:type="column"/>
      </w:r>
      <w:r>
        <w:rPr>
          <w:color w:val="1F487C"/>
          <w:spacing w:val="-2"/>
          <w:sz w:val="14"/>
        </w:rPr>
        <w:t>(2007=100)</w:t>
      </w:r>
    </w:p>
    <w:p>
      <w:pPr>
        <w:pStyle w:val="BodyText"/>
        <w:spacing w:before="3"/>
        <w:rPr>
          <w:sz w:val="5"/>
        </w:rPr>
      </w:pPr>
    </w:p>
    <w:p>
      <w:pPr>
        <w:spacing w:line="240" w:lineRule="auto"/>
        <w:ind w:left="114" w:right="0" w:firstLine="0"/>
        <w:rPr>
          <w:sz w:val="20"/>
        </w:rPr>
      </w:pPr>
      <w:r>
        <w:rPr>
          <w:sz w:val="20"/>
        </w:rPr>
        <mc:AlternateContent>
          <mc:Choice Requires="wps">
            <w:drawing>
              <wp:inline distT="0" distB="0" distL="0" distR="0">
                <wp:extent cx="2734945" cy="2294255"/>
                <wp:effectExtent l="0" t="0" r="0" b="1269"/>
                <wp:docPr id="37" name="Group 37"/>
                <wp:cNvGraphicFramePr>
                  <a:graphicFrameLocks/>
                </wp:cNvGraphicFramePr>
                <a:graphic>
                  <a:graphicData uri="http://schemas.microsoft.com/office/word/2010/wordprocessingGroup">
                    <wpg:wgp>
                      <wpg:cNvPr id="37" name="Group 37"/>
                      <wpg:cNvGrpSpPr/>
                      <wpg:grpSpPr>
                        <a:xfrm>
                          <a:off x="0" y="0"/>
                          <a:ext cx="2734945" cy="2294255"/>
                          <a:chExt cx="2734945" cy="2294255"/>
                        </a:xfrm>
                      </wpg:grpSpPr>
                      <wps:wsp>
                        <wps:cNvPr id="38" name="Graphic 38"/>
                        <wps:cNvSpPr/>
                        <wps:spPr>
                          <a:xfrm>
                            <a:off x="0" y="380"/>
                            <a:ext cx="2734945" cy="2294255"/>
                          </a:xfrm>
                          <a:custGeom>
                            <a:avLst/>
                            <a:gdLst/>
                            <a:ahLst/>
                            <a:cxnLst/>
                            <a:rect l="l" t="t" r="r" b="b"/>
                            <a:pathLst>
                              <a:path w="2734945" h="2294255">
                                <a:moveTo>
                                  <a:pt x="2734691" y="0"/>
                                </a:moveTo>
                                <a:lnTo>
                                  <a:pt x="0" y="0"/>
                                </a:lnTo>
                                <a:lnTo>
                                  <a:pt x="0" y="2077466"/>
                                </a:lnTo>
                                <a:lnTo>
                                  <a:pt x="0" y="2293874"/>
                                </a:lnTo>
                                <a:lnTo>
                                  <a:pt x="2734691" y="2293874"/>
                                </a:lnTo>
                                <a:lnTo>
                                  <a:pt x="2734691" y="2077466"/>
                                </a:lnTo>
                                <a:lnTo>
                                  <a:pt x="2734691" y="0"/>
                                </a:lnTo>
                                <a:close/>
                              </a:path>
                            </a:pathLst>
                          </a:custGeom>
                          <a:solidFill>
                            <a:srgbClr val="D9D9D9"/>
                          </a:solidFill>
                        </wps:spPr>
                        <wps:bodyPr wrap="square" lIns="0" tIns="0" rIns="0" bIns="0" rtlCol="0">
                          <a:prstTxWarp prst="textNoShape">
                            <a:avLst/>
                          </a:prstTxWarp>
                          <a:noAutofit/>
                        </wps:bodyPr>
                      </wps:wsp>
                      <pic:pic>
                        <pic:nvPicPr>
                          <pic:cNvPr id="39" name="Image 39"/>
                          <pic:cNvPicPr/>
                        </pic:nvPicPr>
                        <pic:blipFill>
                          <a:blip r:embed="rId18" cstate="print"/>
                          <a:stretch>
                            <a:fillRect/>
                          </a:stretch>
                        </pic:blipFill>
                        <pic:spPr>
                          <a:xfrm>
                            <a:off x="14858" y="0"/>
                            <a:ext cx="2663570" cy="2071370"/>
                          </a:xfrm>
                          <a:prstGeom prst="rect">
                            <a:avLst/>
                          </a:prstGeom>
                        </pic:spPr>
                      </pic:pic>
                      <wps:wsp>
                        <wps:cNvPr id="40" name="Textbox 40"/>
                        <wps:cNvSpPr txBox="1"/>
                        <wps:spPr>
                          <a:xfrm>
                            <a:off x="0" y="380"/>
                            <a:ext cx="2734945" cy="229425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15.35pt;height:180.65pt;mso-position-horizontal-relative:char;mso-position-vertical-relative:line" id="docshapegroup37" coordorigin="0,0" coordsize="4307,3613">
                <v:shape style="position:absolute;left:0;top:0;width:4307;height:3613" id="docshape38" coordorigin="0,1" coordsize="4307,3613" path="m4307,1l0,1,0,3272,0,3613,4307,3613,4307,3272,4307,1xe" filled="true" fillcolor="#d9d9d9" stroked="false">
                  <v:path arrowok="t"/>
                  <v:fill type="solid"/>
                </v:shape>
                <v:shape style="position:absolute;left:23;top:0;width:4195;height:3262" type="#_x0000_t75" id="docshape39" stroked="false">
                  <v:imagedata r:id="rId18" o:title=""/>
                </v:shape>
                <v:shape style="position:absolute;left:0;top:0;width:4307;height:3613" type="#_x0000_t202" id="docshape40"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80" w:top="1320" w:bottom="280" w:left="1417" w:right="850"/>
          <w:cols w:num="2" w:equalWidth="0">
            <w:col w:w="4180" w:space="61"/>
            <w:col w:w="5402"/>
          </w:cols>
        </w:sectPr>
      </w:pPr>
    </w:p>
    <w:p>
      <w:pPr>
        <w:pStyle w:val="BodyText"/>
        <w:rPr>
          <w:sz w:val="20"/>
        </w:rPr>
      </w:pPr>
    </w:p>
    <w:p>
      <w:pPr>
        <w:pStyle w:val="BodyText"/>
        <w:rPr>
          <w:sz w:val="20"/>
        </w:rPr>
      </w:pPr>
    </w:p>
    <w:p>
      <w:pPr>
        <w:pStyle w:val="BodyText"/>
        <w:rPr>
          <w:sz w:val="20"/>
        </w:rPr>
      </w:pPr>
    </w:p>
    <w:p>
      <w:pPr>
        <w:pStyle w:val="BodyText"/>
        <w:spacing w:before="158"/>
        <w:rPr>
          <w:sz w:val="20"/>
        </w:rPr>
      </w:pPr>
    </w:p>
    <w:p>
      <w:pPr>
        <w:spacing w:line="20" w:lineRule="exact"/>
        <w:ind w:left="172" w:right="0" w:firstLine="0"/>
        <w:rPr>
          <w:sz w:val="2"/>
        </w:rPr>
      </w:pPr>
      <w:r>
        <w:rPr>
          <w:sz w:val="2"/>
        </w:rPr>
        <mc:AlternateContent>
          <mc:Choice Requires="wps">
            <w:drawing>
              <wp:inline distT="0" distB="0" distL="0" distR="0">
                <wp:extent cx="1829435" cy="7620"/>
                <wp:effectExtent l="0" t="0" r="0" b="0"/>
                <wp:docPr id="41" name="Group 41"/>
                <wp:cNvGraphicFramePr>
                  <a:graphicFrameLocks/>
                </wp:cNvGraphicFramePr>
                <a:graphic>
                  <a:graphicData uri="http://schemas.microsoft.com/office/word/2010/wordprocessingGroup">
                    <wpg:wgp>
                      <wpg:cNvPr id="41" name="Group 41"/>
                      <wpg:cNvGrpSpPr/>
                      <wpg:grpSpPr>
                        <a:xfrm>
                          <a:off x="0" y="0"/>
                          <a:ext cx="1829435" cy="7620"/>
                          <a:chExt cx="1829435" cy="7620"/>
                        </a:xfrm>
                      </wpg:grpSpPr>
                      <wps:wsp>
                        <wps:cNvPr id="42" name="Graphic 4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6pt;mso-position-horizontal-relative:char;mso-position-vertical-relative:line" id="docshapegroup41" coordorigin="0,0" coordsize="2881,12">
                <v:rect style="position:absolute;left:0;top:0;width:2881;height:12" id="docshape42" filled="true" fillcolor="#000000" stroked="false">
                  <v:fill type="solid"/>
                </v:rect>
              </v:group>
            </w:pict>
          </mc:Fallback>
        </mc:AlternateContent>
      </w:r>
      <w:r>
        <w:rPr>
          <w:sz w:val="2"/>
        </w:rPr>
      </w:r>
    </w:p>
    <w:p>
      <w:pPr>
        <w:spacing w:before="159"/>
        <w:ind w:left="172" w:right="0" w:firstLine="0"/>
        <w:jc w:val="left"/>
        <w:rPr>
          <w:sz w:val="16"/>
        </w:rPr>
      </w:pPr>
      <w:bookmarkStart w:name="_bookmark19" w:id="20"/>
      <w:bookmarkEnd w:id="20"/>
      <w:r>
        <w:rPr/>
      </w:r>
      <w:r>
        <w:rPr>
          <w:sz w:val="16"/>
          <w:vertAlign w:val="superscript"/>
        </w:rPr>
        <w:t>11</w:t>
      </w:r>
      <w:r>
        <w:rPr>
          <w:spacing w:val="-8"/>
          <w:sz w:val="16"/>
          <w:vertAlign w:val="baseline"/>
        </w:rPr>
        <w:t> </w:t>
      </w:r>
      <w:r>
        <w:rPr>
          <w:sz w:val="16"/>
          <w:vertAlign w:val="baseline"/>
        </w:rPr>
        <w:t>Αναλυτικότερα</w:t>
      </w:r>
      <w:r>
        <w:rPr>
          <w:spacing w:val="-8"/>
          <w:sz w:val="16"/>
          <w:vertAlign w:val="baseline"/>
        </w:rPr>
        <w:t> </w:t>
      </w:r>
      <w:r>
        <w:rPr>
          <w:sz w:val="16"/>
          <w:vertAlign w:val="baseline"/>
        </w:rPr>
        <w:t>για</w:t>
      </w:r>
      <w:r>
        <w:rPr>
          <w:spacing w:val="-6"/>
          <w:sz w:val="16"/>
          <w:vertAlign w:val="baseline"/>
        </w:rPr>
        <w:t> </w:t>
      </w:r>
      <w:r>
        <w:rPr>
          <w:sz w:val="16"/>
          <w:vertAlign w:val="baseline"/>
        </w:rPr>
        <w:t>τις</w:t>
      </w:r>
      <w:r>
        <w:rPr>
          <w:spacing w:val="-5"/>
          <w:sz w:val="16"/>
          <w:vertAlign w:val="baseline"/>
        </w:rPr>
        <w:t> </w:t>
      </w:r>
      <w:r>
        <w:rPr>
          <w:sz w:val="16"/>
          <w:vertAlign w:val="baseline"/>
        </w:rPr>
        <w:t>εξελίξεις</w:t>
      </w:r>
      <w:r>
        <w:rPr>
          <w:spacing w:val="-4"/>
          <w:sz w:val="16"/>
          <w:vertAlign w:val="baseline"/>
        </w:rPr>
        <w:t> </w:t>
      </w:r>
      <w:r>
        <w:rPr>
          <w:sz w:val="16"/>
          <w:vertAlign w:val="baseline"/>
        </w:rPr>
        <w:t>στην</w:t>
      </w:r>
      <w:r>
        <w:rPr>
          <w:spacing w:val="-8"/>
          <w:sz w:val="16"/>
          <w:vertAlign w:val="baseline"/>
        </w:rPr>
        <w:t> </w:t>
      </w:r>
      <w:r>
        <w:rPr>
          <w:sz w:val="16"/>
          <w:vertAlign w:val="baseline"/>
        </w:rPr>
        <w:t>αγορά</w:t>
      </w:r>
      <w:r>
        <w:rPr>
          <w:spacing w:val="-6"/>
          <w:sz w:val="16"/>
          <w:vertAlign w:val="baseline"/>
        </w:rPr>
        <w:t> </w:t>
      </w:r>
      <w:r>
        <w:rPr>
          <w:sz w:val="16"/>
          <w:vertAlign w:val="baseline"/>
        </w:rPr>
        <w:t>εργασίας</w:t>
      </w:r>
      <w:r>
        <w:rPr>
          <w:spacing w:val="-6"/>
          <w:sz w:val="16"/>
          <w:vertAlign w:val="baseline"/>
        </w:rPr>
        <w:t> </w:t>
      </w:r>
      <w:r>
        <w:rPr>
          <w:sz w:val="16"/>
          <w:vertAlign w:val="baseline"/>
        </w:rPr>
        <w:t>βλ.</w:t>
      </w:r>
      <w:r>
        <w:rPr>
          <w:spacing w:val="-4"/>
          <w:sz w:val="16"/>
          <w:vertAlign w:val="baseline"/>
        </w:rPr>
        <w:t> </w:t>
      </w:r>
      <w:r>
        <w:rPr>
          <w:sz w:val="16"/>
          <w:vertAlign w:val="baseline"/>
        </w:rPr>
        <w:t>Ενότητα</w:t>
      </w:r>
      <w:r>
        <w:rPr>
          <w:spacing w:val="-6"/>
          <w:sz w:val="16"/>
          <w:vertAlign w:val="baseline"/>
        </w:rPr>
        <w:t> </w:t>
      </w:r>
      <w:r>
        <w:rPr>
          <w:sz w:val="16"/>
          <w:vertAlign w:val="baseline"/>
        </w:rPr>
        <w:t>II.1</w:t>
      </w:r>
      <w:r>
        <w:rPr>
          <w:spacing w:val="-4"/>
          <w:sz w:val="16"/>
          <w:vertAlign w:val="baseline"/>
        </w:rPr>
        <w:t> </w:t>
      </w:r>
      <w:hyperlink w:history="true" w:anchor="_bookmark3">
        <w:r>
          <w:rPr>
            <w:sz w:val="16"/>
            <w:vertAlign w:val="baseline"/>
          </w:rPr>
          <w:t>Εξελίξεις</w:t>
        </w:r>
        <w:r>
          <w:rPr>
            <w:spacing w:val="-5"/>
            <w:sz w:val="16"/>
            <w:vertAlign w:val="baseline"/>
          </w:rPr>
          <w:t> </w:t>
        </w:r>
        <w:r>
          <w:rPr>
            <w:sz w:val="16"/>
            <w:vertAlign w:val="baseline"/>
          </w:rPr>
          <w:t>και</w:t>
        </w:r>
        <w:r>
          <w:rPr>
            <w:spacing w:val="-8"/>
            <w:sz w:val="16"/>
            <w:vertAlign w:val="baseline"/>
          </w:rPr>
          <w:t> </w:t>
        </w:r>
        <w:r>
          <w:rPr>
            <w:sz w:val="16"/>
            <w:vertAlign w:val="baseline"/>
          </w:rPr>
          <w:t>προοπτικές</w:t>
        </w:r>
        <w:r>
          <w:rPr>
            <w:spacing w:val="-8"/>
            <w:sz w:val="16"/>
            <w:vertAlign w:val="baseline"/>
          </w:rPr>
          <w:t> </w:t>
        </w:r>
        <w:r>
          <w:rPr>
            <w:sz w:val="16"/>
            <w:vertAlign w:val="baseline"/>
          </w:rPr>
          <w:t>της</w:t>
        </w:r>
        <w:r>
          <w:rPr>
            <w:spacing w:val="-6"/>
            <w:sz w:val="16"/>
            <w:vertAlign w:val="baseline"/>
          </w:rPr>
          <w:t> </w:t>
        </w:r>
        <w:r>
          <w:rPr>
            <w:sz w:val="16"/>
            <w:vertAlign w:val="baseline"/>
          </w:rPr>
          <w:t>οικονομικής</w:t>
        </w:r>
        <w:r>
          <w:rPr>
            <w:spacing w:val="-7"/>
            <w:sz w:val="16"/>
            <w:vertAlign w:val="baseline"/>
          </w:rPr>
          <w:t> </w:t>
        </w:r>
        <w:r>
          <w:rPr>
            <w:spacing w:val="-2"/>
            <w:sz w:val="16"/>
            <w:vertAlign w:val="baseline"/>
          </w:rPr>
          <w:t>δραστηριότητας</w:t>
        </w:r>
        <w:r>
          <w:rPr>
            <w:color w:val="1F487C"/>
            <w:spacing w:val="-2"/>
            <w:sz w:val="16"/>
            <w:vertAlign w:val="baseline"/>
          </w:rPr>
          <w:t>.</w:t>
        </w:r>
      </w:hyperlink>
    </w:p>
    <w:p>
      <w:pPr>
        <w:spacing w:before="20"/>
        <w:ind w:left="172" w:right="0" w:firstLine="0"/>
        <w:jc w:val="left"/>
        <w:rPr>
          <w:sz w:val="16"/>
        </w:rPr>
      </w:pPr>
      <w:bookmarkStart w:name="_bookmark20" w:id="21"/>
      <w:bookmarkEnd w:id="21"/>
      <w:r>
        <w:rPr/>
      </w:r>
      <w:r>
        <w:rPr>
          <w:sz w:val="16"/>
          <w:vertAlign w:val="superscript"/>
        </w:rPr>
        <w:t>12</w:t>
      </w:r>
      <w:r>
        <w:rPr>
          <w:spacing w:val="-7"/>
          <w:sz w:val="16"/>
          <w:vertAlign w:val="baseline"/>
        </w:rPr>
        <w:t> </w:t>
      </w:r>
      <w:r>
        <w:rPr>
          <w:sz w:val="16"/>
          <w:vertAlign w:val="baseline"/>
        </w:rPr>
        <w:t>Τιμές</w:t>
      </w:r>
      <w:r>
        <w:rPr>
          <w:spacing w:val="-3"/>
          <w:sz w:val="16"/>
          <w:vertAlign w:val="baseline"/>
        </w:rPr>
        <w:t> </w:t>
      </w:r>
      <w:r>
        <w:rPr>
          <w:sz w:val="16"/>
          <w:vertAlign w:val="baseline"/>
        </w:rPr>
        <w:t>του</w:t>
      </w:r>
      <w:r>
        <w:rPr>
          <w:spacing w:val="-6"/>
          <w:sz w:val="16"/>
          <w:vertAlign w:val="baseline"/>
        </w:rPr>
        <w:t> </w:t>
      </w:r>
      <w:r>
        <w:rPr>
          <w:sz w:val="16"/>
          <w:vertAlign w:val="baseline"/>
        </w:rPr>
        <w:t>δείκτη</w:t>
      </w:r>
      <w:r>
        <w:rPr>
          <w:spacing w:val="-5"/>
          <w:sz w:val="16"/>
          <w:vertAlign w:val="baseline"/>
        </w:rPr>
        <w:t> </w:t>
      </w:r>
      <w:r>
        <w:rPr>
          <w:sz w:val="16"/>
          <w:vertAlign w:val="baseline"/>
        </w:rPr>
        <w:t>υψηλότερες</w:t>
      </w:r>
      <w:r>
        <w:rPr>
          <w:spacing w:val="-4"/>
          <w:sz w:val="16"/>
          <w:vertAlign w:val="baseline"/>
        </w:rPr>
        <w:t> </w:t>
      </w:r>
      <w:r>
        <w:rPr>
          <w:sz w:val="16"/>
          <w:vertAlign w:val="baseline"/>
        </w:rPr>
        <w:t>από</w:t>
      </w:r>
      <w:r>
        <w:rPr>
          <w:spacing w:val="-4"/>
          <w:sz w:val="16"/>
          <w:vertAlign w:val="baseline"/>
        </w:rPr>
        <w:t> </w:t>
      </w:r>
      <w:r>
        <w:rPr>
          <w:sz w:val="16"/>
          <w:vertAlign w:val="baseline"/>
        </w:rPr>
        <w:t>100</w:t>
      </w:r>
      <w:r>
        <w:rPr>
          <w:spacing w:val="-3"/>
          <w:sz w:val="16"/>
          <w:vertAlign w:val="baseline"/>
        </w:rPr>
        <w:t> </w:t>
      </w:r>
      <w:r>
        <w:rPr>
          <w:sz w:val="16"/>
          <w:vertAlign w:val="baseline"/>
        </w:rPr>
        <w:t>υποδηλώνουν</w:t>
      </w:r>
      <w:r>
        <w:rPr>
          <w:spacing w:val="-4"/>
          <w:sz w:val="16"/>
          <w:vertAlign w:val="baseline"/>
        </w:rPr>
        <w:t> </w:t>
      </w:r>
      <w:r>
        <w:rPr>
          <w:sz w:val="16"/>
          <w:vertAlign w:val="baseline"/>
        </w:rPr>
        <w:t>θετικές</w:t>
      </w:r>
      <w:r>
        <w:rPr>
          <w:spacing w:val="-2"/>
          <w:sz w:val="16"/>
          <w:vertAlign w:val="baseline"/>
        </w:rPr>
        <w:t> </w:t>
      </w:r>
      <w:r>
        <w:rPr>
          <w:sz w:val="16"/>
          <w:vertAlign w:val="baseline"/>
        </w:rPr>
        <w:t>προσδοκίες</w:t>
      </w:r>
      <w:r>
        <w:rPr>
          <w:spacing w:val="-4"/>
          <w:sz w:val="16"/>
          <w:vertAlign w:val="baseline"/>
        </w:rPr>
        <w:t> </w:t>
      </w:r>
      <w:r>
        <w:rPr>
          <w:sz w:val="16"/>
          <w:vertAlign w:val="baseline"/>
        </w:rPr>
        <w:t>για</w:t>
      </w:r>
      <w:r>
        <w:rPr>
          <w:spacing w:val="-3"/>
          <w:sz w:val="16"/>
          <w:vertAlign w:val="baseline"/>
        </w:rPr>
        <w:t> </w:t>
      </w:r>
      <w:r>
        <w:rPr>
          <w:sz w:val="16"/>
          <w:vertAlign w:val="baseline"/>
        </w:rPr>
        <w:t>την</w:t>
      </w:r>
      <w:r>
        <w:rPr>
          <w:spacing w:val="-4"/>
          <w:sz w:val="16"/>
          <w:vertAlign w:val="baseline"/>
        </w:rPr>
        <w:t> </w:t>
      </w:r>
      <w:r>
        <w:rPr>
          <w:sz w:val="16"/>
          <w:vertAlign w:val="baseline"/>
        </w:rPr>
        <w:t>εξέλιξη</w:t>
      </w:r>
      <w:r>
        <w:rPr>
          <w:spacing w:val="-6"/>
          <w:sz w:val="16"/>
          <w:vertAlign w:val="baseline"/>
        </w:rPr>
        <w:t> </w:t>
      </w:r>
      <w:r>
        <w:rPr>
          <w:sz w:val="16"/>
          <w:vertAlign w:val="baseline"/>
        </w:rPr>
        <w:t>της</w:t>
      </w:r>
      <w:r>
        <w:rPr>
          <w:spacing w:val="-2"/>
          <w:sz w:val="16"/>
          <w:vertAlign w:val="baseline"/>
        </w:rPr>
        <w:t> απασχόλησης.</w:t>
      </w:r>
    </w:p>
    <w:p>
      <w:pPr>
        <w:spacing w:after="0"/>
        <w:jc w:val="left"/>
        <w:rPr>
          <w:sz w:val="16"/>
        </w:rPr>
        <w:sectPr>
          <w:type w:val="continuous"/>
          <w:pgSz w:w="11910" w:h="16850"/>
          <w:pgMar w:header="0" w:footer="1180" w:top="1320" w:bottom="280" w:left="1417" w:right="850"/>
        </w:sectPr>
      </w:pPr>
    </w:p>
    <w:p>
      <w:pPr>
        <w:pStyle w:val="BodyText"/>
        <w:spacing w:line="285" w:lineRule="auto" w:before="66"/>
        <w:ind w:left="172" w:right="955"/>
        <w:jc w:val="both"/>
      </w:pPr>
      <w:r>
        <w:rPr/>
        <w:t>τιμών των διαμερισμάτων καταγράφηκαν στη Θεσσαλονίκη (9,6%) και στις άλλες μεγάλες πό-λεις (9,8%). Στην Αθήνα ο ετήσιος ρυθμός αύξησης των τιμών των διαμερισμάτων διαμορφώ-θηκε σε 6,2%, με τον δείκτη τιμών το 2025 να διαμορφώνεται σε 113,1.</w:t>
      </w:r>
    </w:p>
    <w:p>
      <w:pPr>
        <w:pStyle w:val="BodyText"/>
        <w:spacing w:line="285" w:lineRule="auto" w:before="57"/>
        <w:ind w:left="172" w:right="956"/>
        <w:jc w:val="both"/>
      </w:pPr>
      <w:r>
        <w:rPr/>
        <w:t>Αντίστοιχη είναι και η εξέλιξη του επιπέδου των ενοικίων, με τον σχετικό δείκτη τιμών να δια-μορφώνεται</w:t>
      </w:r>
      <w:r>
        <w:rPr>
          <w:spacing w:val="-2"/>
        </w:rPr>
        <w:t> </w:t>
      </w:r>
      <w:r>
        <w:rPr/>
        <w:t>σε</w:t>
      </w:r>
      <w:r>
        <w:rPr>
          <w:spacing w:val="-2"/>
        </w:rPr>
        <w:t> </w:t>
      </w:r>
      <w:r>
        <w:rPr/>
        <w:t>116,1 με</w:t>
      </w:r>
      <w:r>
        <w:rPr>
          <w:spacing w:val="-2"/>
        </w:rPr>
        <w:t> </w:t>
      </w:r>
      <w:r>
        <w:rPr/>
        <w:t>βάση τα</w:t>
      </w:r>
      <w:r>
        <w:rPr>
          <w:spacing w:val="-3"/>
        </w:rPr>
        <w:t> </w:t>
      </w:r>
      <w:r>
        <w:rPr/>
        <w:t>στοιχεία</w:t>
      </w:r>
      <w:r>
        <w:rPr>
          <w:spacing w:val="-2"/>
        </w:rPr>
        <w:t> </w:t>
      </w:r>
      <w:r>
        <w:rPr/>
        <w:t>του δ΄ τριμήνου</w:t>
      </w:r>
      <w:r>
        <w:rPr>
          <w:spacing w:val="-1"/>
        </w:rPr>
        <w:t> </w:t>
      </w:r>
      <w:r>
        <w:rPr/>
        <w:t>του</w:t>
      </w:r>
      <w:r>
        <w:rPr>
          <w:spacing w:val="-1"/>
        </w:rPr>
        <w:t> </w:t>
      </w:r>
      <w:r>
        <w:rPr/>
        <w:t>2025,</w:t>
      </w:r>
      <w:r>
        <w:rPr>
          <w:spacing w:val="-3"/>
        </w:rPr>
        <w:t> </w:t>
      </w:r>
      <w:r>
        <w:rPr/>
        <w:t>έναντι</w:t>
      </w:r>
      <w:r>
        <w:rPr>
          <w:spacing w:val="-2"/>
        </w:rPr>
        <w:t> </w:t>
      </w:r>
      <w:r>
        <w:rPr/>
        <w:t>106,8</w:t>
      </w:r>
      <w:r>
        <w:rPr>
          <w:spacing w:val="-5"/>
        </w:rPr>
        <w:t> </w:t>
      </w:r>
      <w:r>
        <w:rPr/>
        <w:t>το δ΄</w:t>
      </w:r>
      <w:r>
        <w:rPr>
          <w:spacing w:val="-2"/>
        </w:rPr>
        <w:t> </w:t>
      </w:r>
      <w:r>
        <w:rPr/>
        <w:t>τρίμηνο του 2024.</w:t>
      </w:r>
      <w:hyperlink w:history="true" w:anchor="_bookmark21">
        <w:r>
          <w:rPr>
            <w:position w:val="7"/>
            <w:sz w:val="13"/>
          </w:rPr>
          <w:t>13</w:t>
        </w:r>
      </w:hyperlink>
      <w:r>
        <w:rPr>
          <w:spacing w:val="39"/>
          <w:position w:val="7"/>
          <w:sz w:val="13"/>
        </w:rPr>
        <w:t> </w:t>
      </w:r>
      <w:r>
        <w:rPr/>
        <w:t>Ο δείκτης τιμών ενοικίων, σε αντίθεση με τον δείκτη τιμών κατοικιών, παραμένει χαμηλότερα από το ιστορικό υψηλό του (124,3 το γ΄ τρίμηνο του 2011).</w:t>
      </w:r>
    </w:p>
    <w:p>
      <w:pPr>
        <w:pStyle w:val="BodyText"/>
        <w:spacing w:line="285" w:lineRule="auto" w:before="56"/>
        <w:ind w:left="172" w:right="954"/>
        <w:jc w:val="both"/>
        <w:rPr>
          <w:position w:val="6"/>
          <w:sz w:val="10"/>
        </w:rPr>
      </w:pPr>
      <w:r>
        <w:rPr/>
        <w:t>Η συνεχιζόμενη αύξηση των τιμών των οικιστικών ακινήτων στην Ελλάδα αποδίδεται κυρίως στη διατήρηση συνθηκών υπερβάλλουσας ζήτησης έναντι της διαθέσιμης προσφοράς. Από την πλευρά της ζήτησης, καταγράφεται ισχυρό ενδιαφέρον τόσο από το εξωτερικό όσο και από το εσωτερικό. Η ισχυρή ζήτηση από το εξωτερικό αποτυπώνεται στην εξέλιξη των ξένων άμεσων επενδύσεων σε ακίνητα, οι οποίες κατά την περίοδο ανόδου των τιμών (2018–2025) διαμορφώ-θηκαν κατά μέσο όρο σε 1,6 δισεκ. ευρώ ετησίως, έναντι περίπου 170 εκατ. ευρώ ετησίως κατά την</w:t>
      </w:r>
      <w:r>
        <w:rPr>
          <w:spacing w:val="-4"/>
        </w:rPr>
        <w:t> </w:t>
      </w:r>
      <w:r>
        <w:rPr/>
        <w:t>περίοδο</w:t>
      </w:r>
      <w:r>
        <w:rPr>
          <w:spacing w:val="-5"/>
        </w:rPr>
        <w:t> </w:t>
      </w:r>
      <w:r>
        <w:rPr/>
        <w:t>υποχώρησης</w:t>
      </w:r>
      <w:r>
        <w:rPr>
          <w:spacing w:val="-6"/>
        </w:rPr>
        <w:t> </w:t>
      </w:r>
      <w:r>
        <w:rPr/>
        <w:t>των</w:t>
      </w:r>
      <w:r>
        <w:rPr>
          <w:spacing w:val="-4"/>
        </w:rPr>
        <w:t> </w:t>
      </w:r>
      <w:r>
        <w:rPr/>
        <w:t>τιμών</w:t>
      </w:r>
      <w:r>
        <w:rPr>
          <w:spacing w:val="-4"/>
        </w:rPr>
        <w:t> </w:t>
      </w:r>
      <w:r>
        <w:rPr/>
        <w:t>(2008–2017).</w:t>
      </w:r>
      <w:r>
        <w:rPr>
          <w:spacing w:val="-5"/>
        </w:rPr>
        <w:t> </w:t>
      </w:r>
      <w:r>
        <w:rPr/>
        <w:t>Ωστόσο,</w:t>
      </w:r>
      <w:r>
        <w:rPr>
          <w:spacing w:val="-4"/>
        </w:rPr>
        <w:t> </w:t>
      </w:r>
      <w:r>
        <w:rPr/>
        <w:t>το</w:t>
      </w:r>
      <w:r>
        <w:rPr>
          <w:spacing w:val="-5"/>
        </w:rPr>
        <w:t> </w:t>
      </w:r>
      <w:r>
        <w:rPr/>
        <w:t>2025</w:t>
      </w:r>
      <w:r>
        <w:rPr>
          <w:spacing w:val="-5"/>
        </w:rPr>
        <w:t> </w:t>
      </w:r>
      <w:r>
        <w:rPr/>
        <w:t>οι</w:t>
      </w:r>
      <w:r>
        <w:rPr>
          <w:spacing w:val="-4"/>
        </w:rPr>
        <w:t> </w:t>
      </w:r>
      <w:r>
        <w:rPr/>
        <w:t>ροές</w:t>
      </w:r>
      <w:r>
        <w:rPr>
          <w:spacing w:val="-6"/>
        </w:rPr>
        <w:t> </w:t>
      </w:r>
      <w:r>
        <w:rPr/>
        <w:t>ξένων</w:t>
      </w:r>
      <w:r>
        <w:rPr>
          <w:spacing w:val="-4"/>
        </w:rPr>
        <w:t> </w:t>
      </w:r>
      <w:r>
        <w:rPr/>
        <w:t>άμεσων</w:t>
      </w:r>
      <w:r>
        <w:rPr>
          <w:spacing w:val="-5"/>
        </w:rPr>
        <w:t> </w:t>
      </w:r>
      <w:r>
        <w:rPr/>
        <w:t>επεν-δύσεων σε ακίνητα μειώθηκαν κατά 25% σε ετήσια βάση, εξέλιξη που αποδίδεται εν μέρει στις πρόσφατες τροποποιήσεις του καθεστώτος της Golden Visa,</w:t>
      </w:r>
      <w:r>
        <w:rPr>
          <w:spacing w:val="-14"/>
        </w:rPr>
        <w:t> </w:t>
      </w:r>
      <w:hyperlink w:history="true" w:anchor="_bookmark22">
        <w:r>
          <w:rPr>
            <w:position w:val="6"/>
            <w:sz w:val="10"/>
          </w:rPr>
          <w:t>14</w:t>
        </w:r>
      </w:hyperlink>
      <w:r>
        <w:rPr>
          <w:spacing w:val="40"/>
          <w:position w:val="6"/>
          <w:sz w:val="10"/>
        </w:rPr>
        <w:t> </w:t>
      </w:r>
      <w:r>
        <w:rPr/>
        <w:t>ενώ ακόμα δεν έχει αποτυπωθεί ακόμη</w:t>
      </w:r>
      <w:r>
        <w:rPr>
          <w:spacing w:val="-9"/>
        </w:rPr>
        <w:t> </w:t>
      </w:r>
      <w:r>
        <w:rPr/>
        <w:t>η</w:t>
      </w:r>
      <w:r>
        <w:rPr>
          <w:spacing w:val="-8"/>
        </w:rPr>
        <w:t> </w:t>
      </w:r>
      <w:r>
        <w:rPr/>
        <w:t>επίπτωση</w:t>
      </w:r>
      <w:r>
        <w:rPr>
          <w:spacing w:val="-8"/>
        </w:rPr>
        <w:t> </w:t>
      </w:r>
      <w:r>
        <w:rPr/>
        <w:t>των</w:t>
      </w:r>
      <w:r>
        <w:rPr>
          <w:spacing w:val="-7"/>
        </w:rPr>
        <w:t> </w:t>
      </w:r>
      <w:r>
        <w:rPr/>
        <w:t>πρόσφατων</w:t>
      </w:r>
      <w:r>
        <w:rPr>
          <w:spacing w:val="-7"/>
        </w:rPr>
        <w:t> </w:t>
      </w:r>
      <w:r>
        <w:rPr/>
        <w:t>γεωπολιτικών</w:t>
      </w:r>
      <w:r>
        <w:rPr>
          <w:spacing w:val="-7"/>
        </w:rPr>
        <w:t> </w:t>
      </w:r>
      <w:r>
        <w:rPr/>
        <w:t>εξελίξεων</w:t>
      </w:r>
      <w:r>
        <w:rPr>
          <w:spacing w:val="-5"/>
        </w:rPr>
        <w:t> </w:t>
      </w:r>
      <w:r>
        <w:rPr/>
        <w:t>στη</w:t>
      </w:r>
      <w:r>
        <w:rPr>
          <w:spacing w:val="-8"/>
        </w:rPr>
        <w:t> </w:t>
      </w:r>
      <w:r>
        <w:rPr/>
        <w:t>ζήτηση.</w:t>
      </w:r>
      <w:r>
        <w:rPr>
          <w:spacing w:val="-8"/>
        </w:rPr>
        <w:t> </w:t>
      </w:r>
      <w:r>
        <w:rPr/>
        <w:t>Παράλληλα,</w:t>
      </w:r>
      <w:r>
        <w:rPr>
          <w:spacing w:val="-8"/>
        </w:rPr>
        <w:t> </w:t>
      </w:r>
      <w:r>
        <w:rPr/>
        <w:t>η</w:t>
      </w:r>
      <w:r>
        <w:rPr>
          <w:spacing w:val="-8"/>
        </w:rPr>
        <w:t> </w:t>
      </w:r>
      <w:r>
        <w:rPr/>
        <w:t>εγχώρια ζήτηση ενισχύεται από διαρθρωτικούς παράγοντες, όπως η αύξηση του βαθμού αστικοποίησης και η άνοδος του αριθμού των νοικοκυριών, παρά τη συνολική μείωση του πληθυσμού, εξέλιξη που συνδέεται, μεταξύ άλλων, με την αύξηση των μονοπρόσωπων και μονογονεϊκών νοικοκυ-</w:t>
      </w:r>
      <w:r>
        <w:rPr>
          <w:spacing w:val="-2"/>
        </w:rPr>
        <w:t>ριών</w:t>
      </w:r>
      <w:hyperlink w:history="true" w:anchor="_bookmark23">
        <w:r>
          <w:rPr>
            <w:spacing w:val="-2"/>
          </w:rPr>
          <w:t>.</w:t>
        </w:r>
        <w:r>
          <w:rPr>
            <w:spacing w:val="-2"/>
            <w:position w:val="6"/>
            <w:sz w:val="10"/>
          </w:rPr>
          <w:t>15</w:t>
        </w:r>
      </w:hyperlink>
    </w:p>
    <w:p>
      <w:pPr>
        <w:pStyle w:val="BodyText"/>
        <w:spacing w:line="285" w:lineRule="auto" w:before="46"/>
        <w:ind w:left="172" w:right="954"/>
        <w:jc w:val="both"/>
      </w:pPr>
      <w:r>
        <w:rPr/>
        <w:t>Από την πλευρά της</w:t>
      </w:r>
      <w:r>
        <w:rPr>
          <w:spacing w:val="-1"/>
        </w:rPr>
        <w:t> </w:t>
      </w:r>
      <w:r>
        <w:rPr/>
        <w:t>προσφοράς, η περιορισμένη διαθεσιμότητα</w:t>
      </w:r>
      <w:r>
        <w:rPr>
          <w:spacing w:val="-1"/>
        </w:rPr>
        <w:t> </w:t>
      </w:r>
      <w:r>
        <w:rPr/>
        <w:t>κατοικιών αντανακλά</w:t>
      </w:r>
      <w:r>
        <w:rPr>
          <w:spacing w:val="-1"/>
        </w:rPr>
        <w:t> </w:t>
      </w:r>
      <w:r>
        <w:rPr/>
        <w:t>τόσο την απόσυρση μέρους του υφιστάμενου αποθέματος κατοικιών από την αγορά όσο και τον διαχρο-νικά</w:t>
      </w:r>
      <w:r>
        <w:rPr>
          <w:spacing w:val="-6"/>
        </w:rPr>
        <w:t> </w:t>
      </w:r>
      <w:r>
        <w:rPr/>
        <w:t>υποτονικό</w:t>
      </w:r>
      <w:r>
        <w:rPr>
          <w:spacing w:val="-5"/>
        </w:rPr>
        <w:t> </w:t>
      </w:r>
      <w:r>
        <w:rPr/>
        <w:t>ρυθμό</w:t>
      </w:r>
      <w:r>
        <w:rPr>
          <w:spacing w:val="-5"/>
        </w:rPr>
        <w:t> </w:t>
      </w:r>
      <w:r>
        <w:rPr/>
        <w:t>αναπλήρωσής</w:t>
      </w:r>
      <w:r>
        <w:rPr>
          <w:spacing w:val="-6"/>
        </w:rPr>
        <w:t> </w:t>
      </w:r>
      <w:r>
        <w:rPr/>
        <w:t>του.</w:t>
      </w:r>
      <w:r>
        <w:rPr>
          <w:spacing w:val="-5"/>
        </w:rPr>
        <w:t> </w:t>
      </w:r>
      <w:r>
        <w:rPr/>
        <w:t>Ο</w:t>
      </w:r>
      <w:r>
        <w:rPr>
          <w:spacing w:val="-6"/>
        </w:rPr>
        <w:t> </w:t>
      </w:r>
      <w:r>
        <w:rPr/>
        <w:t>αυξημένος</w:t>
      </w:r>
      <w:r>
        <w:rPr>
          <w:spacing w:val="-8"/>
        </w:rPr>
        <w:t> </w:t>
      </w:r>
      <w:r>
        <w:rPr/>
        <w:t>αριθμός</w:t>
      </w:r>
      <w:r>
        <w:rPr>
          <w:spacing w:val="-6"/>
        </w:rPr>
        <w:t> </w:t>
      </w:r>
      <w:r>
        <w:rPr/>
        <w:t>κενών</w:t>
      </w:r>
      <w:r>
        <w:rPr>
          <w:spacing w:val="-4"/>
        </w:rPr>
        <w:t> </w:t>
      </w:r>
      <w:r>
        <w:rPr/>
        <w:t>ακινήτων</w:t>
      </w:r>
      <w:r>
        <w:rPr>
          <w:spacing w:val="-4"/>
        </w:rPr>
        <w:t> </w:t>
      </w:r>
      <w:r>
        <w:rPr/>
        <w:t>αποδίδεται,</w:t>
      </w:r>
      <w:r>
        <w:rPr>
          <w:spacing w:val="-4"/>
        </w:rPr>
        <w:t> </w:t>
      </w:r>
      <w:r>
        <w:rPr/>
        <w:t>με-ταξύ</w:t>
      </w:r>
      <w:r>
        <w:rPr>
          <w:spacing w:val="-2"/>
        </w:rPr>
        <w:t> </w:t>
      </w:r>
      <w:r>
        <w:rPr/>
        <w:t>άλλων,</w:t>
      </w:r>
      <w:r>
        <w:rPr>
          <w:spacing w:val="-5"/>
        </w:rPr>
        <w:t> </w:t>
      </w:r>
      <w:r>
        <w:rPr/>
        <w:t>στην</w:t>
      </w:r>
      <w:r>
        <w:rPr>
          <w:spacing w:val="-2"/>
        </w:rPr>
        <w:t> </w:t>
      </w:r>
      <w:r>
        <w:rPr/>
        <w:t>καθυστέρηση της</w:t>
      </w:r>
      <w:r>
        <w:rPr>
          <w:spacing w:val="-4"/>
        </w:rPr>
        <w:t> </w:t>
      </w:r>
      <w:r>
        <w:rPr/>
        <w:t>διευθέτησης</w:t>
      </w:r>
      <w:r>
        <w:rPr>
          <w:spacing w:val="-4"/>
        </w:rPr>
        <w:t> </w:t>
      </w:r>
      <w:r>
        <w:rPr/>
        <w:t>του</w:t>
      </w:r>
      <w:r>
        <w:rPr>
          <w:spacing w:val="-1"/>
        </w:rPr>
        <w:t> </w:t>
      </w:r>
      <w:r>
        <w:rPr/>
        <w:t>ιδιωτικού</w:t>
      </w:r>
      <w:r>
        <w:rPr>
          <w:spacing w:val="-1"/>
        </w:rPr>
        <w:t> </w:t>
      </w:r>
      <w:r>
        <w:rPr/>
        <w:t>χρέους</w:t>
      </w:r>
      <w:r>
        <w:rPr>
          <w:spacing w:val="-3"/>
        </w:rPr>
        <w:t> </w:t>
      </w:r>
      <w:r>
        <w:rPr/>
        <w:t>και</w:t>
      </w:r>
      <w:r>
        <w:rPr>
          <w:spacing w:val="-2"/>
        </w:rPr>
        <w:t> </w:t>
      </w:r>
      <w:r>
        <w:rPr/>
        <w:t>στη</w:t>
      </w:r>
      <w:r>
        <w:rPr>
          <w:spacing w:val="-2"/>
        </w:rPr>
        <w:t> </w:t>
      </w:r>
      <w:r>
        <w:rPr/>
        <w:t>δέσμευση</w:t>
      </w:r>
      <w:r>
        <w:rPr>
          <w:spacing w:val="-2"/>
        </w:rPr>
        <w:t> </w:t>
      </w:r>
      <w:r>
        <w:rPr/>
        <w:t>ακινή-των ως εξασφαλίσεων μη εξυπηρετούμενων δανείων τα οποία τελούν υπό διαδικασίες αναγκα-στικής</w:t>
      </w:r>
      <w:r>
        <w:rPr>
          <w:spacing w:val="-14"/>
        </w:rPr>
        <w:t> </w:t>
      </w:r>
      <w:r>
        <w:rPr/>
        <w:t>εκτέλεσης.</w:t>
      </w:r>
      <w:r>
        <w:rPr>
          <w:spacing w:val="-12"/>
        </w:rPr>
        <w:t> </w:t>
      </w:r>
      <w:r>
        <w:rPr/>
        <w:t>Τα</w:t>
      </w:r>
      <w:r>
        <w:rPr>
          <w:spacing w:val="-13"/>
        </w:rPr>
        <w:t> </w:t>
      </w:r>
      <w:r>
        <w:rPr/>
        <w:t>ακίνητα</w:t>
      </w:r>
      <w:r>
        <w:rPr>
          <w:spacing w:val="-12"/>
        </w:rPr>
        <w:t> </w:t>
      </w:r>
      <w:r>
        <w:rPr/>
        <w:t>αυτά</w:t>
      </w:r>
      <w:r>
        <w:rPr>
          <w:spacing w:val="-12"/>
        </w:rPr>
        <w:t> </w:t>
      </w:r>
      <w:r>
        <w:rPr/>
        <w:t>παραμένουν</w:t>
      </w:r>
      <w:r>
        <w:rPr>
          <w:spacing w:val="-11"/>
        </w:rPr>
        <w:t> </w:t>
      </w:r>
      <w:r>
        <w:rPr/>
        <w:t>εκτός</w:t>
      </w:r>
      <w:r>
        <w:rPr>
          <w:spacing w:val="-14"/>
        </w:rPr>
        <w:t> </w:t>
      </w:r>
      <w:r>
        <w:rPr/>
        <w:t>της</w:t>
      </w:r>
      <w:r>
        <w:rPr>
          <w:spacing w:val="-13"/>
        </w:rPr>
        <w:t> </w:t>
      </w:r>
      <w:r>
        <w:rPr/>
        <w:t>αγοράς,</w:t>
      </w:r>
      <w:r>
        <w:rPr>
          <w:spacing w:val="-12"/>
        </w:rPr>
        <w:t> </w:t>
      </w:r>
      <w:r>
        <w:rPr/>
        <w:t>καθώς</w:t>
      </w:r>
      <w:r>
        <w:rPr>
          <w:spacing w:val="-13"/>
        </w:rPr>
        <w:t> </w:t>
      </w:r>
      <w:r>
        <w:rPr/>
        <w:t>η</w:t>
      </w:r>
      <w:r>
        <w:rPr>
          <w:spacing w:val="-12"/>
        </w:rPr>
        <w:t> </w:t>
      </w:r>
      <w:r>
        <w:rPr/>
        <w:t>αβεβαιότητα</w:t>
      </w:r>
      <w:r>
        <w:rPr>
          <w:spacing w:val="-12"/>
        </w:rPr>
        <w:t> </w:t>
      </w:r>
      <w:r>
        <w:rPr/>
        <w:t>ως</w:t>
      </w:r>
      <w:r>
        <w:rPr>
          <w:spacing w:val="-13"/>
        </w:rPr>
        <w:t> </w:t>
      </w:r>
      <w:r>
        <w:rPr/>
        <w:t>προς την έκβαση των σχετικών διαδικασιών περιορίζει σημαντικά τα κίνητρα των υφιστάμενων ιδιο-κτητών για επενδύσεις συντήρησης ή αναβάθμισής τους. Σημαντικός είναι και ο αριθμός των ακινήτων που διατίθενται στην αγορά βραχυχρόνιας μίσθωσης (αριθμός καταλυμάτων με ορι-στική</w:t>
      </w:r>
      <w:r>
        <w:rPr>
          <w:spacing w:val="-2"/>
        </w:rPr>
        <w:t> </w:t>
      </w:r>
      <w:r>
        <w:rPr/>
        <w:t>εγγραφή</w:t>
      </w:r>
      <w:r>
        <w:rPr>
          <w:spacing w:val="-3"/>
        </w:rPr>
        <w:t> </w:t>
      </w:r>
      <w:r>
        <w:rPr/>
        <w:t>στο</w:t>
      </w:r>
      <w:r>
        <w:rPr>
          <w:spacing w:val="-2"/>
        </w:rPr>
        <w:t> </w:t>
      </w:r>
      <w:r>
        <w:rPr/>
        <w:t>Μητρώο Ακινήτων Βραχυχρόνιας</w:t>
      </w:r>
      <w:r>
        <w:rPr>
          <w:spacing w:val="-3"/>
        </w:rPr>
        <w:t> </w:t>
      </w:r>
      <w:r>
        <w:rPr/>
        <w:t>Μίσθωσης για</w:t>
      </w:r>
      <w:r>
        <w:rPr>
          <w:spacing w:val="-2"/>
        </w:rPr>
        <w:t> </w:t>
      </w:r>
      <w:r>
        <w:rPr/>
        <w:t>το 2024:</w:t>
      </w:r>
      <w:r>
        <w:rPr>
          <w:spacing w:val="-1"/>
        </w:rPr>
        <w:t> </w:t>
      </w:r>
      <w:r>
        <w:rPr/>
        <w:t>207.572)</w:t>
      </w:r>
      <w:hyperlink w:history="true" w:anchor="_bookmark24">
        <w:r>
          <w:rPr/>
          <w:t>,</w:t>
        </w:r>
        <w:r>
          <w:rPr>
            <w:position w:val="6"/>
            <w:sz w:val="10"/>
          </w:rPr>
          <w:t>16</w:t>
        </w:r>
      </w:hyperlink>
      <w:r>
        <w:rPr>
          <w:spacing w:val="30"/>
          <w:position w:val="6"/>
          <w:sz w:val="10"/>
        </w:rPr>
        <w:t> </w:t>
      </w:r>
      <w:r>
        <w:rPr/>
        <w:t>αν και τα</w:t>
      </w:r>
      <w:r>
        <w:rPr>
          <w:spacing w:val="15"/>
        </w:rPr>
        <w:t> </w:t>
      </w:r>
      <w:r>
        <w:rPr/>
        <w:t>πρόσφατα</w:t>
      </w:r>
      <w:r>
        <w:rPr>
          <w:spacing w:val="17"/>
        </w:rPr>
        <w:t> </w:t>
      </w:r>
      <w:r>
        <w:rPr/>
        <w:t>κυβερνητικά</w:t>
      </w:r>
      <w:r>
        <w:rPr>
          <w:spacing w:val="17"/>
        </w:rPr>
        <w:t> </w:t>
      </w:r>
      <w:r>
        <w:rPr/>
        <w:t>μέτρα</w:t>
      </w:r>
      <w:r>
        <w:rPr>
          <w:spacing w:val="17"/>
        </w:rPr>
        <w:t> </w:t>
      </w:r>
      <w:r>
        <w:rPr/>
        <w:t>για</w:t>
      </w:r>
      <w:r>
        <w:rPr>
          <w:spacing w:val="16"/>
        </w:rPr>
        <w:t> </w:t>
      </w:r>
      <w:r>
        <w:rPr/>
        <w:t>την</w:t>
      </w:r>
      <w:r>
        <w:rPr>
          <w:spacing w:val="18"/>
        </w:rPr>
        <w:t> </w:t>
      </w:r>
      <w:r>
        <w:rPr/>
        <w:t>ανάσχεση</w:t>
      </w:r>
      <w:r>
        <w:rPr>
          <w:spacing w:val="18"/>
        </w:rPr>
        <w:t> </w:t>
      </w:r>
      <w:r>
        <w:rPr/>
        <w:t>της</w:t>
      </w:r>
      <w:r>
        <w:rPr>
          <w:spacing w:val="16"/>
        </w:rPr>
        <w:t> </w:t>
      </w:r>
      <w:r>
        <w:rPr/>
        <w:t>επέκτασης</w:t>
      </w:r>
      <w:r>
        <w:rPr>
          <w:spacing w:val="17"/>
        </w:rPr>
        <w:t> </w:t>
      </w:r>
      <w:r>
        <w:rPr/>
        <w:t>της</w:t>
      </w:r>
      <w:r>
        <w:rPr>
          <w:spacing w:val="16"/>
        </w:rPr>
        <w:t> </w:t>
      </w:r>
      <w:r>
        <w:rPr/>
        <w:t>συγκεκριμένης</w:t>
      </w:r>
      <w:r>
        <w:rPr>
          <w:spacing w:val="17"/>
        </w:rPr>
        <w:t> </w:t>
      </w:r>
      <w:r>
        <w:rPr>
          <w:spacing w:val="-2"/>
        </w:rPr>
        <w:t>αγοράς</w:t>
      </w:r>
    </w:p>
    <w:p>
      <w:pPr>
        <w:pStyle w:val="BodyText"/>
        <w:rPr>
          <w:sz w:val="20"/>
        </w:rPr>
      </w:pPr>
    </w:p>
    <w:p>
      <w:pPr>
        <w:pStyle w:val="BodyText"/>
        <w:rPr>
          <w:sz w:val="20"/>
        </w:rPr>
      </w:pPr>
    </w:p>
    <w:p>
      <w:pPr>
        <w:pStyle w:val="BodyText"/>
        <w:rPr>
          <w:sz w:val="20"/>
        </w:rPr>
      </w:pPr>
    </w:p>
    <w:p>
      <w:pPr>
        <w:pStyle w:val="BodyText"/>
        <w:spacing w:before="76"/>
        <w:rPr>
          <w:sz w:val="20"/>
        </w:rPr>
      </w:pPr>
      <w:r>
        <w:rPr>
          <w:sz w:val="20"/>
        </w:rPr>
        <mc:AlternateContent>
          <mc:Choice Requires="wps">
            <w:drawing>
              <wp:anchor distT="0" distB="0" distL="0" distR="0" allowOverlap="1" layoutInCell="1" locked="0" behindDoc="1" simplePos="0" relativeHeight="487595520">
                <wp:simplePos x="0" y="0"/>
                <wp:positionH relativeFrom="page">
                  <wp:posOffset>1009192</wp:posOffset>
                </wp:positionH>
                <wp:positionV relativeFrom="paragraph">
                  <wp:posOffset>209827</wp:posOffset>
                </wp:positionV>
                <wp:extent cx="1829435" cy="762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6.521856pt;width:144.020pt;height:.599980pt;mso-position-horizontal-relative:page;mso-position-vertical-relative:paragraph;z-index:-15720960;mso-wrap-distance-left:0;mso-wrap-distance-right:0" id="docshape45" filled="true" fillcolor="#000000" stroked="false">
                <v:fill type="solid"/>
                <w10:wrap type="topAndBottom"/>
              </v:rect>
            </w:pict>
          </mc:Fallback>
        </mc:AlternateContent>
      </w:r>
    </w:p>
    <w:p>
      <w:pPr>
        <w:spacing w:before="165"/>
        <w:ind w:left="172" w:right="958" w:firstLine="0"/>
        <w:jc w:val="both"/>
        <w:rPr>
          <w:sz w:val="16"/>
        </w:rPr>
      </w:pPr>
      <w:bookmarkStart w:name="_bookmark21" w:id="22"/>
      <w:bookmarkEnd w:id="22"/>
      <w:r>
        <w:rPr/>
      </w:r>
      <w:r>
        <w:rPr>
          <w:sz w:val="16"/>
          <w:vertAlign w:val="superscript"/>
        </w:rPr>
        <w:t>13</w:t>
      </w:r>
      <w:r>
        <w:rPr>
          <w:spacing w:val="-7"/>
          <w:sz w:val="16"/>
          <w:vertAlign w:val="baseline"/>
        </w:rPr>
        <w:t> </w:t>
      </w:r>
      <w:r>
        <w:rPr>
          <w:sz w:val="16"/>
          <w:vertAlign w:val="baseline"/>
        </w:rPr>
        <w:t>Στοιχεία</w:t>
      </w:r>
      <w:r>
        <w:rPr>
          <w:spacing w:val="-10"/>
          <w:sz w:val="16"/>
          <w:vertAlign w:val="baseline"/>
        </w:rPr>
        <w:t> </w:t>
      </w:r>
      <w:r>
        <w:rPr>
          <w:sz w:val="16"/>
          <w:vertAlign w:val="baseline"/>
        </w:rPr>
        <w:t>Οργανισμού</w:t>
      </w:r>
      <w:r>
        <w:rPr>
          <w:spacing w:val="-8"/>
          <w:sz w:val="16"/>
          <w:vertAlign w:val="baseline"/>
        </w:rPr>
        <w:t> </w:t>
      </w:r>
      <w:r>
        <w:rPr>
          <w:sz w:val="16"/>
          <w:vertAlign w:val="baseline"/>
        </w:rPr>
        <w:t>Οικονομικής</w:t>
      </w:r>
      <w:r>
        <w:rPr>
          <w:spacing w:val="-8"/>
          <w:sz w:val="16"/>
          <w:vertAlign w:val="baseline"/>
        </w:rPr>
        <w:t> </w:t>
      </w:r>
      <w:r>
        <w:rPr>
          <w:sz w:val="16"/>
          <w:vertAlign w:val="baseline"/>
        </w:rPr>
        <w:t>Συνεργασίας</w:t>
      </w:r>
      <w:r>
        <w:rPr>
          <w:spacing w:val="-9"/>
          <w:sz w:val="16"/>
          <w:vertAlign w:val="baseline"/>
        </w:rPr>
        <w:t> </w:t>
      </w:r>
      <w:r>
        <w:rPr>
          <w:sz w:val="16"/>
          <w:vertAlign w:val="baseline"/>
        </w:rPr>
        <w:t>και</w:t>
      </w:r>
      <w:r>
        <w:rPr>
          <w:spacing w:val="-9"/>
          <w:sz w:val="16"/>
          <w:vertAlign w:val="baseline"/>
        </w:rPr>
        <w:t> </w:t>
      </w:r>
      <w:r>
        <w:rPr>
          <w:sz w:val="16"/>
          <w:vertAlign w:val="baseline"/>
        </w:rPr>
        <w:t>Ανάπτυξης</w:t>
      </w:r>
      <w:r>
        <w:rPr>
          <w:spacing w:val="-7"/>
          <w:sz w:val="16"/>
          <w:vertAlign w:val="baseline"/>
        </w:rPr>
        <w:t> </w:t>
      </w:r>
      <w:r>
        <w:rPr>
          <w:sz w:val="16"/>
          <w:vertAlign w:val="baseline"/>
        </w:rPr>
        <w:t>(ΟΟΣΑ),</w:t>
      </w:r>
      <w:r>
        <w:rPr>
          <w:spacing w:val="-8"/>
          <w:sz w:val="16"/>
          <w:vertAlign w:val="baseline"/>
        </w:rPr>
        <w:t> </w:t>
      </w:r>
      <w:r>
        <w:rPr>
          <w:sz w:val="16"/>
          <w:vertAlign w:val="baseline"/>
        </w:rPr>
        <w:t>έτος</w:t>
      </w:r>
      <w:r>
        <w:rPr>
          <w:spacing w:val="-9"/>
          <w:sz w:val="16"/>
          <w:vertAlign w:val="baseline"/>
        </w:rPr>
        <w:t> </w:t>
      </w:r>
      <w:r>
        <w:rPr>
          <w:sz w:val="16"/>
          <w:vertAlign w:val="baseline"/>
        </w:rPr>
        <w:t>βάσης</w:t>
      </w:r>
      <w:r>
        <w:rPr>
          <w:spacing w:val="-8"/>
          <w:sz w:val="16"/>
          <w:vertAlign w:val="baseline"/>
        </w:rPr>
        <w:t> </w:t>
      </w:r>
      <w:r>
        <w:rPr>
          <w:sz w:val="16"/>
          <w:vertAlign w:val="baseline"/>
        </w:rPr>
        <w:t>2015=100,</w:t>
      </w:r>
      <w:r>
        <w:rPr>
          <w:spacing w:val="-3"/>
          <w:sz w:val="16"/>
          <w:vertAlign w:val="baseline"/>
        </w:rPr>
        <w:t> </w:t>
      </w:r>
      <w:hyperlink r:id="rId20">
        <w:r>
          <w:rPr>
            <w:color w:val="0000FF"/>
            <w:sz w:val="16"/>
            <w:u w:val="single" w:color="0000FF"/>
            <w:vertAlign w:val="baseline"/>
          </w:rPr>
          <w:t>OECD</w:t>
        </w:r>
        <w:r>
          <w:rPr>
            <w:color w:val="0000FF"/>
            <w:spacing w:val="-8"/>
            <w:sz w:val="16"/>
            <w:u w:val="single" w:color="0000FF"/>
            <w:vertAlign w:val="baseline"/>
          </w:rPr>
          <w:t> </w:t>
        </w:r>
        <w:r>
          <w:rPr>
            <w:color w:val="0000FF"/>
            <w:sz w:val="16"/>
            <w:u w:val="single" w:color="0000FF"/>
            <w:vertAlign w:val="baseline"/>
          </w:rPr>
          <w:t>Data</w:t>
        </w:r>
        <w:r>
          <w:rPr>
            <w:color w:val="0000FF"/>
            <w:spacing w:val="-7"/>
            <w:sz w:val="16"/>
            <w:u w:val="single" w:color="0000FF"/>
            <w:vertAlign w:val="baseline"/>
          </w:rPr>
          <w:t> </w:t>
        </w:r>
        <w:r>
          <w:rPr>
            <w:color w:val="0000FF"/>
            <w:sz w:val="16"/>
            <w:u w:val="single" w:color="0000FF"/>
            <w:vertAlign w:val="baseline"/>
          </w:rPr>
          <w:t>Explorer</w:t>
        </w:r>
        <w:r>
          <w:rPr>
            <w:color w:val="0000FF"/>
            <w:spacing w:val="-10"/>
            <w:sz w:val="16"/>
            <w:u w:val="single" w:color="0000FF"/>
            <w:vertAlign w:val="baseline"/>
          </w:rPr>
          <w:t> </w:t>
        </w:r>
        <w:r>
          <w:rPr>
            <w:color w:val="0000FF"/>
            <w:sz w:val="16"/>
            <w:u w:val="single" w:color="0000FF"/>
            <w:vertAlign w:val="baseline"/>
          </w:rPr>
          <w:t>•</w:t>
        </w:r>
        <w:r>
          <w:rPr>
            <w:color w:val="0000FF"/>
            <w:spacing w:val="-8"/>
            <w:sz w:val="16"/>
            <w:u w:val="single" w:color="0000FF"/>
            <w:vertAlign w:val="baseline"/>
          </w:rPr>
          <w:t> </w:t>
        </w:r>
        <w:r>
          <w:rPr>
            <w:color w:val="0000FF"/>
            <w:sz w:val="16"/>
            <w:u w:val="single" w:color="0000FF"/>
            <w:vertAlign w:val="baseline"/>
          </w:rPr>
          <w:t>Analytical</w:t>
        </w:r>
      </w:hyperlink>
      <w:r>
        <w:rPr>
          <w:color w:val="0000FF"/>
          <w:spacing w:val="40"/>
          <w:sz w:val="16"/>
          <w:vertAlign w:val="baseline"/>
        </w:rPr>
        <w:t> </w:t>
      </w:r>
      <w:hyperlink r:id="rId20">
        <w:r>
          <w:rPr>
            <w:color w:val="0000FF"/>
            <w:sz w:val="16"/>
            <w:u w:val="single" w:color="0000FF"/>
            <w:vertAlign w:val="baseline"/>
          </w:rPr>
          <w:t>house prices indicators</w:t>
        </w:r>
        <w:r>
          <w:rPr>
            <w:sz w:val="16"/>
            <w:vertAlign w:val="baseline"/>
          </w:rPr>
          <w:t>.</w:t>
        </w:r>
      </w:hyperlink>
    </w:p>
    <w:p>
      <w:pPr>
        <w:spacing w:before="21"/>
        <w:ind w:left="172" w:right="954" w:firstLine="0"/>
        <w:jc w:val="both"/>
        <w:rPr>
          <w:sz w:val="16"/>
        </w:rPr>
      </w:pPr>
      <w:bookmarkStart w:name="_bookmark22" w:id="23"/>
      <w:bookmarkEnd w:id="23"/>
      <w:r>
        <w:rPr/>
      </w:r>
      <w:r>
        <w:rPr>
          <w:sz w:val="16"/>
          <w:vertAlign w:val="superscript"/>
        </w:rPr>
        <w:t>14</w:t>
      </w:r>
      <w:r>
        <w:rPr>
          <w:spacing w:val="-4"/>
          <w:sz w:val="16"/>
          <w:vertAlign w:val="baseline"/>
        </w:rPr>
        <w:t> </w:t>
      </w:r>
      <w:r>
        <w:rPr>
          <w:sz w:val="16"/>
          <w:vertAlign w:val="baseline"/>
        </w:rPr>
        <w:t>Με</w:t>
      </w:r>
      <w:r>
        <w:rPr>
          <w:spacing w:val="-4"/>
          <w:sz w:val="16"/>
          <w:vertAlign w:val="baseline"/>
        </w:rPr>
        <w:t> </w:t>
      </w:r>
      <w:r>
        <w:rPr>
          <w:sz w:val="16"/>
          <w:vertAlign w:val="baseline"/>
        </w:rPr>
        <w:t>βάση</w:t>
      </w:r>
      <w:r>
        <w:rPr>
          <w:spacing w:val="-4"/>
          <w:sz w:val="16"/>
          <w:vertAlign w:val="baseline"/>
        </w:rPr>
        <w:t> </w:t>
      </w:r>
      <w:r>
        <w:rPr>
          <w:sz w:val="16"/>
          <w:vertAlign w:val="baseline"/>
        </w:rPr>
        <w:t>ενημερωτικό</w:t>
      </w:r>
      <w:r>
        <w:rPr>
          <w:spacing w:val="-3"/>
          <w:sz w:val="16"/>
          <w:vertAlign w:val="baseline"/>
        </w:rPr>
        <w:t> </w:t>
      </w:r>
      <w:r>
        <w:rPr>
          <w:sz w:val="16"/>
          <w:vertAlign w:val="baseline"/>
        </w:rPr>
        <w:t>σημείωμα</w:t>
      </w:r>
      <w:r>
        <w:rPr>
          <w:spacing w:val="-4"/>
          <w:sz w:val="16"/>
          <w:vertAlign w:val="baseline"/>
        </w:rPr>
        <w:t> </w:t>
      </w:r>
      <w:r>
        <w:rPr>
          <w:sz w:val="16"/>
          <w:vertAlign w:val="baseline"/>
        </w:rPr>
        <w:t>του</w:t>
      </w:r>
      <w:r>
        <w:rPr>
          <w:spacing w:val="-6"/>
          <w:sz w:val="16"/>
          <w:vertAlign w:val="baseline"/>
        </w:rPr>
        <w:t> </w:t>
      </w:r>
      <w:r>
        <w:rPr>
          <w:sz w:val="16"/>
          <w:vertAlign w:val="baseline"/>
        </w:rPr>
        <w:t>Υπουργείου</w:t>
      </w:r>
      <w:r>
        <w:rPr>
          <w:spacing w:val="-5"/>
          <w:sz w:val="16"/>
          <w:vertAlign w:val="baseline"/>
        </w:rPr>
        <w:t> </w:t>
      </w:r>
      <w:r>
        <w:rPr>
          <w:sz w:val="16"/>
          <w:vertAlign w:val="baseline"/>
        </w:rPr>
        <w:t>Μετανάστευσης</w:t>
      </w:r>
      <w:r>
        <w:rPr>
          <w:spacing w:val="-5"/>
          <w:sz w:val="16"/>
          <w:vertAlign w:val="baseline"/>
        </w:rPr>
        <w:t> </w:t>
      </w:r>
      <w:r>
        <w:rPr>
          <w:sz w:val="16"/>
          <w:vertAlign w:val="baseline"/>
        </w:rPr>
        <w:t>και</w:t>
      </w:r>
      <w:r>
        <w:rPr>
          <w:spacing w:val="-4"/>
          <w:sz w:val="16"/>
          <w:vertAlign w:val="baseline"/>
        </w:rPr>
        <w:t> </w:t>
      </w:r>
      <w:r>
        <w:rPr>
          <w:sz w:val="16"/>
          <w:vertAlign w:val="baseline"/>
        </w:rPr>
        <w:t>Ασύλου</w:t>
      </w:r>
      <w:r>
        <w:rPr>
          <w:spacing w:val="-3"/>
          <w:sz w:val="16"/>
          <w:vertAlign w:val="baseline"/>
        </w:rPr>
        <w:t> </w:t>
      </w:r>
      <w:hyperlink r:id="rId21">
        <w:r>
          <w:rPr>
            <w:sz w:val="16"/>
            <w:vertAlign w:val="baseline"/>
          </w:rPr>
          <w:t>(</w:t>
        </w:r>
        <w:r>
          <w:rPr>
            <w:color w:val="0000FF"/>
            <w:sz w:val="16"/>
            <w:u w:val="single" w:color="0000FF"/>
            <w:vertAlign w:val="baseline"/>
          </w:rPr>
          <w:t>Μάρτιος</w:t>
        </w:r>
        <w:r>
          <w:rPr>
            <w:color w:val="0000FF"/>
            <w:spacing w:val="-5"/>
            <w:sz w:val="16"/>
            <w:u w:val="single" w:color="0000FF"/>
            <w:vertAlign w:val="baseline"/>
          </w:rPr>
          <w:t> </w:t>
        </w:r>
        <w:r>
          <w:rPr>
            <w:color w:val="0000FF"/>
            <w:sz w:val="16"/>
            <w:u w:val="single" w:color="0000FF"/>
            <w:vertAlign w:val="baseline"/>
          </w:rPr>
          <w:t>2026</w:t>
        </w:r>
        <w:r>
          <w:rPr>
            <w:color w:val="0000FF"/>
            <w:spacing w:val="-4"/>
            <w:sz w:val="16"/>
            <w:u w:val="single" w:color="0000FF"/>
            <w:vertAlign w:val="baseline"/>
          </w:rPr>
          <w:t> </w:t>
        </w:r>
        <w:r>
          <w:rPr>
            <w:color w:val="0000FF"/>
            <w:sz w:val="16"/>
            <w:u w:val="single" w:color="0000FF"/>
            <w:vertAlign w:val="baseline"/>
          </w:rPr>
          <w:t>–</w:t>
        </w:r>
        <w:r>
          <w:rPr>
            <w:color w:val="0000FF"/>
            <w:spacing w:val="-3"/>
            <w:sz w:val="16"/>
            <w:u w:val="single" w:color="0000FF"/>
            <w:vertAlign w:val="baseline"/>
          </w:rPr>
          <w:t> </w:t>
        </w:r>
        <w:r>
          <w:rPr>
            <w:color w:val="0000FF"/>
            <w:sz w:val="16"/>
            <w:u w:val="single" w:color="0000FF"/>
            <w:vertAlign w:val="baseline"/>
          </w:rPr>
          <w:t>Νόμιμη</w:t>
        </w:r>
        <w:r>
          <w:rPr>
            <w:color w:val="0000FF"/>
            <w:spacing w:val="-5"/>
            <w:sz w:val="16"/>
            <w:u w:val="single" w:color="0000FF"/>
            <w:vertAlign w:val="baseline"/>
          </w:rPr>
          <w:t> </w:t>
        </w:r>
        <w:r>
          <w:rPr>
            <w:color w:val="0000FF"/>
            <w:sz w:val="16"/>
            <w:u w:val="single" w:color="0000FF"/>
            <w:vertAlign w:val="baseline"/>
          </w:rPr>
          <w:t>Μετανάστευση</w:t>
        </w:r>
        <w:r>
          <w:rPr>
            <w:color w:val="0000FF"/>
            <w:spacing w:val="-4"/>
            <w:sz w:val="16"/>
            <w:u w:val="single" w:color="0000FF"/>
            <w:vertAlign w:val="baseline"/>
          </w:rPr>
          <w:t> </w:t>
        </w:r>
        <w:r>
          <w:rPr>
            <w:color w:val="0000FF"/>
            <w:sz w:val="16"/>
            <w:u w:val="single" w:color="0000FF"/>
            <w:vertAlign w:val="baseline"/>
          </w:rPr>
          <w:t>|</w:t>
        </w:r>
        <w:r>
          <w:rPr>
            <w:color w:val="0000FF"/>
            <w:spacing w:val="-4"/>
            <w:sz w:val="16"/>
            <w:u w:val="single" w:color="0000FF"/>
            <w:vertAlign w:val="baseline"/>
          </w:rPr>
          <w:t> </w:t>
        </w:r>
        <w:r>
          <w:rPr>
            <w:color w:val="0000FF"/>
            <w:sz w:val="16"/>
            <w:u w:val="single" w:color="0000FF"/>
            <w:vertAlign w:val="baseline"/>
          </w:rPr>
          <w:t>Παράρ-</w:t>
        </w:r>
      </w:hyperlink>
      <w:hyperlink r:id="rId21">
        <w:r>
          <w:rPr>
            <w:color w:val="0000FF"/>
            <w:sz w:val="16"/>
            <w:u w:val="single" w:color="0000FF"/>
            <w:vertAlign w:val="baseline"/>
          </w:rPr>
          <w:t>τημα Β, Πίνακας 13α</w:t>
        </w:r>
        <w:r>
          <w:rPr>
            <w:sz w:val="16"/>
            <w:vertAlign w:val="baseline"/>
          </w:rPr>
          <w:t>)</w:t>
        </w:r>
      </w:hyperlink>
      <w:r>
        <w:rPr>
          <w:sz w:val="16"/>
          <w:vertAlign w:val="baseline"/>
        </w:rPr>
        <w:t>, το 2025 τα αιτήματα για αρχική χορήγηση άδειας μόνιμου επενδυτή-Golden Visa ανήλθαν σε 7.029, κατα-γράφοντας μείωση 25,1% σε σύγκριση με το 2024 (9.384). Το α΄ τρίμηνο του 2026 καταγράφεται περαιτέρω μείωση σε ποσοστό</w:t>
      </w:r>
      <w:r>
        <w:rPr>
          <w:spacing w:val="40"/>
          <w:sz w:val="16"/>
          <w:vertAlign w:val="baseline"/>
        </w:rPr>
        <w:t> </w:t>
      </w:r>
      <w:r>
        <w:rPr>
          <w:sz w:val="16"/>
          <w:vertAlign w:val="baseline"/>
        </w:rPr>
        <w:t>58% (α΄ τρίμηνο 2026: 1.236, α΄ τρίμηνο 2025: 2.913).</w:t>
      </w:r>
    </w:p>
    <w:p>
      <w:pPr>
        <w:spacing w:before="20"/>
        <w:ind w:left="172" w:right="953" w:firstLine="0"/>
        <w:jc w:val="both"/>
        <w:rPr>
          <w:sz w:val="16"/>
        </w:rPr>
      </w:pPr>
      <w:bookmarkStart w:name="_bookmark23" w:id="24"/>
      <w:bookmarkEnd w:id="24"/>
      <w:r>
        <w:rPr/>
      </w:r>
      <w:r>
        <w:rPr>
          <w:sz w:val="16"/>
          <w:vertAlign w:val="superscript"/>
        </w:rPr>
        <w:t>15</w:t>
      </w:r>
      <w:r>
        <w:rPr>
          <w:sz w:val="16"/>
          <w:vertAlign w:val="baseline"/>
        </w:rPr>
        <w:t> Σύμφωνα</w:t>
      </w:r>
      <w:r>
        <w:rPr>
          <w:spacing w:val="-2"/>
          <w:sz w:val="16"/>
          <w:vertAlign w:val="baseline"/>
        </w:rPr>
        <w:t> </w:t>
      </w:r>
      <w:r>
        <w:rPr>
          <w:sz w:val="16"/>
          <w:vertAlign w:val="baseline"/>
        </w:rPr>
        <w:t>με</w:t>
      </w:r>
      <w:r>
        <w:rPr>
          <w:spacing w:val="-2"/>
          <w:sz w:val="16"/>
          <w:vertAlign w:val="baseline"/>
        </w:rPr>
        <w:t> </w:t>
      </w:r>
      <w:r>
        <w:rPr>
          <w:sz w:val="16"/>
          <w:vertAlign w:val="baseline"/>
        </w:rPr>
        <w:t>τα στοιχεία της Απογραφής</w:t>
      </w:r>
      <w:r>
        <w:rPr>
          <w:spacing w:val="-1"/>
          <w:sz w:val="16"/>
          <w:vertAlign w:val="baseline"/>
        </w:rPr>
        <w:t> </w:t>
      </w:r>
      <w:r>
        <w:rPr>
          <w:sz w:val="16"/>
          <w:vertAlign w:val="baseline"/>
        </w:rPr>
        <w:t>Πληθυσμού</w:t>
      </w:r>
      <w:r>
        <w:rPr>
          <w:spacing w:val="-2"/>
          <w:sz w:val="16"/>
          <w:vertAlign w:val="baseline"/>
        </w:rPr>
        <w:t> </w:t>
      </w:r>
      <w:r>
        <w:rPr>
          <w:sz w:val="16"/>
          <w:vertAlign w:val="baseline"/>
        </w:rPr>
        <w:t>2021,</w:t>
      </w:r>
      <w:r>
        <w:rPr>
          <w:spacing w:val="-1"/>
          <w:sz w:val="16"/>
          <w:vertAlign w:val="baseline"/>
        </w:rPr>
        <w:t> </w:t>
      </w:r>
      <w:r>
        <w:rPr>
          <w:sz w:val="16"/>
          <w:vertAlign w:val="baseline"/>
        </w:rPr>
        <w:t>ο πληθυσμός σε αστικές</w:t>
      </w:r>
      <w:r>
        <w:rPr>
          <w:spacing w:val="-1"/>
          <w:sz w:val="16"/>
          <w:vertAlign w:val="baseline"/>
        </w:rPr>
        <w:t> </w:t>
      </w:r>
      <w:r>
        <w:rPr>
          <w:sz w:val="16"/>
          <w:vertAlign w:val="baseline"/>
        </w:rPr>
        <w:t>περιοχές (δημοτικές ενότητες/δημοτικές</w:t>
      </w:r>
      <w:r>
        <w:rPr>
          <w:spacing w:val="-1"/>
          <w:sz w:val="16"/>
          <w:vertAlign w:val="baseline"/>
        </w:rPr>
        <w:t> </w:t>
      </w:r>
      <w:r>
        <w:rPr>
          <w:sz w:val="16"/>
          <w:vertAlign w:val="baseline"/>
        </w:rPr>
        <w:t>κοι-νότητες) αντιστοιχεί στο 78,5% του συνολικού πληθυσμού και διαμένει σε έκταση που καταλαμβάνει το 13,7% της συνολικής επι-κράτειας,</w:t>
      </w:r>
      <w:r>
        <w:rPr>
          <w:spacing w:val="-8"/>
          <w:sz w:val="16"/>
          <w:vertAlign w:val="baseline"/>
        </w:rPr>
        <w:t> </w:t>
      </w:r>
      <w:r>
        <w:rPr>
          <w:sz w:val="16"/>
          <w:vertAlign w:val="baseline"/>
        </w:rPr>
        <w:t>ενώ</w:t>
      </w:r>
      <w:r>
        <w:rPr>
          <w:spacing w:val="-7"/>
          <w:sz w:val="16"/>
          <w:vertAlign w:val="baseline"/>
        </w:rPr>
        <w:t> </w:t>
      </w:r>
      <w:r>
        <w:rPr>
          <w:sz w:val="16"/>
          <w:vertAlign w:val="baseline"/>
        </w:rPr>
        <w:t>το</w:t>
      </w:r>
      <w:r>
        <w:rPr>
          <w:spacing w:val="-8"/>
          <w:sz w:val="16"/>
          <w:vertAlign w:val="baseline"/>
        </w:rPr>
        <w:t> </w:t>
      </w:r>
      <w:r>
        <w:rPr>
          <w:sz w:val="16"/>
          <w:vertAlign w:val="baseline"/>
        </w:rPr>
        <w:t>2011</w:t>
      </w:r>
      <w:r>
        <w:rPr>
          <w:spacing w:val="-8"/>
          <w:sz w:val="16"/>
          <w:vertAlign w:val="baseline"/>
        </w:rPr>
        <w:t> </w:t>
      </w:r>
      <w:r>
        <w:rPr>
          <w:sz w:val="16"/>
          <w:vertAlign w:val="baseline"/>
        </w:rPr>
        <w:t>ο</w:t>
      </w:r>
      <w:r>
        <w:rPr>
          <w:spacing w:val="-6"/>
          <w:sz w:val="16"/>
          <w:vertAlign w:val="baseline"/>
        </w:rPr>
        <w:t> </w:t>
      </w:r>
      <w:r>
        <w:rPr>
          <w:sz w:val="16"/>
          <w:vertAlign w:val="baseline"/>
        </w:rPr>
        <w:t>πληθυσμός</w:t>
      </w:r>
      <w:r>
        <w:rPr>
          <w:spacing w:val="-6"/>
          <w:sz w:val="16"/>
          <w:vertAlign w:val="baseline"/>
        </w:rPr>
        <w:t> </w:t>
      </w:r>
      <w:r>
        <w:rPr>
          <w:sz w:val="16"/>
          <w:vertAlign w:val="baseline"/>
        </w:rPr>
        <w:t>σε</w:t>
      </w:r>
      <w:r>
        <w:rPr>
          <w:spacing w:val="-7"/>
          <w:sz w:val="16"/>
          <w:vertAlign w:val="baseline"/>
        </w:rPr>
        <w:t> </w:t>
      </w:r>
      <w:r>
        <w:rPr>
          <w:sz w:val="16"/>
          <w:vertAlign w:val="baseline"/>
        </w:rPr>
        <w:t>αστικές</w:t>
      </w:r>
      <w:r>
        <w:rPr>
          <w:spacing w:val="-6"/>
          <w:sz w:val="16"/>
          <w:vertAlign w:val="baseline"/>
        </w:rPr>
        <w:t> </w:t>
      </w:r>
      <w:r>
        <w:rPr>
          <w:sz w:val="16"/>
          <w:vertAlign w:val="baseline"/>
        </w:rPr>
        <w:t>περιοχές</w:t>
      </w:r>
      <w:r>
        <w:rPr>
          <w:spacing w:val="-3"/>
          <w:sz w:val="16"/>
          <w:vertAlign w:val="baseline"/>
        </w:rPr>
        <w:t> </w:t>
      </w:r>
      <w:r>
        <w:rPr>
          <w:sz w:val="16"/>
          <w:vertAlign w:val="baseline"/>
        </w:rPr>
        <w:t>αντιστοιχούσε</w:t>
      </w:r>
      <w:r>
        <w:rPr>
          <w:spacing w:val="-9"/>
          <w:sz w:val="16"/>
          <w:vertAlign w:val="baseline"/>
        </w:rPr>
        <w:t> </w:t>
      </w:r>
      <w:r>
        <w:rPr>
          <w:sz w:val="16"/>
          <w:vertAlign w:val="baseline"/>
        </w:rPr>
        <w:t>στο</w:t>
      </w:r>
      <w:r>
        <w:rPr>
          <w:spacing w:val="-7"/>
          <w:sz w:val="16"/>
          <w:vertAlign w:val="baseline"/>
        </w:rPr>
        <w:t> </w:t>
      </w:r>
      <w:r>
        <w:rPr>
          <w:sz w:val="16"/>
          <w:vertAlign w:val="baseline"/>
        </w:rPr>
        <w:t>72,4%</w:t>
      </w:r>
      <w:r>
        <w:rPr>
          <w:spacing w:val="-6"/>
          <w:sz w:val="16"/>
          <w:vertAlign w:val="baseline"/>
        </w:rPr>
        <w:t> </w:t>
      </w:r>
      <w:r>
        <w:rPr>
          <w:sz w:val="16"/>
          <w:vertAlign w:val="baseline"/>
        </w:rPr>
        <w:t>και</w:t>
      </w:r>
      <w:r>
        <w:rPr>
          <w:spacing w:val="-7"/>
          <w:sz w:val="16"/>
          <w:vertAlign w:val="baseline"/>
        </w:rPr>
        <w:t> </w:t>
      </w:r>
      <w:r>
        <w:rPr>
          <w:sz w:val="16"/>
          <w:vertAlign w:val="baseline"/>
        </w:rPr>
        <w:t>διέμενε</w:t>
      </w:r>
      <w:r>
        <w:rPr>
          <w:spacing w:val="-7"/>
          <w:sz w:val="16"/>
          <w:vertAlign w:val="baseline"/>
        </w:rPr>
        <w:t> </w:t>
      </w:r>
      <w:r>
        <w:rPr>
          <w:sz w:val="16"/>
          <w:vertAlign w:val="baseline"/>
        </w:rPr>
        <w:t>σε</w:t>
      </w:r>
      <w:r>
        <w:rPr>
          <w:spacing w:val="-7"/>
          <w:sz w:val="16"/>
          <w:vertAlign w:val="baseline"/>
        </w:rPr>
        <w:t> </w:t>
      </w:r>
      <w:r>
        <w:rPr>
          <w:sz w:val="16"/>
          <w:vertAlign w:val="baseline"/>
        </w:rPr>
        <w:t>έκταση</w:t>
      </w:r>
      <w:r>
        <w:rPr>
          <w:spacing w:val="-9"/>
          <w:sz w:val="16"/>
          <w:vertAlign w:val="baseline"/>
        </w:rPr>
        <w:t> </w:t>
      </w:r>
      <w:r>
        <w:rPr>
          <w:sz w:val="16"/>
          <w:vertAlign w:val="baseline"/>
        </w:rPr>
        <w:t>που</w:t>
      </w:r>
      <w:r>
        <w:rPr>
          <w:spacing w:val="-6"/>
          <w:sz w:val="16"/>
          <w:vertAlign w:val="baseline"/>
        </w:rPr>
        <w:t> </w:t>
      </w:r>
      <w:r>
        <w:rPr>
          <w:sz w:val="16"/>
          <w:vertAlign w:val="baseline"/>
        </w:rPr>
        <w:t>καταλάμβανε</w:t>
      </w:r>
      <w:r>
        <w:rPr>
          <w:spacing w:val="-8"/>
          <w:sz w:val="16"/>
          <w:vertAlign w:val="baseline"/>
        </w:rPr>
        <w:t> </w:t>
      </w:r>
      <w:r>
        <w:rPr>
          <w:sz w:val="16"/>
          <w:vertAlign w:val="baseline"/>
        </w:rPr>
        <w:t>το</w:t>
      </w:r>
      <w:r>
        <w:rPr>
          <w:spacing w:val="-7"/>
          <w:sz w:val="16"/>
          <w:vertAlign w:val="baseline"/>
        </w:rPr>
        <w:t> </w:t>
      </w:r>
      <w:r>
        <w:rPr>
          <w:sz w:val="16"/>
          <w:vertAlign w:val="baseline"/>
        </w:rPr>
        <w:t>14,3%</w:t>
      </w:r>
      <w:r>
        <w:rPr>
          <w:spacing w:val="40"/>
          <w:sz w:val="16"/>
          <w:vertAlign w:val="baseline"/>
        </w:rPr>
        <w:t> </w:t>
      </w:r>
      <w:r>
        <w:rPr>
          <w:sz w:val="16"/>
          <w:vertAlign w:val="baseline"/>
        </w:rPr>
        <w:t>της επικράτειας. Επίσης, το πλήθος των νοικοκυριών χωρίς οικογενειακό πυρήνα αυξήθηκε κατά 26% (+319.770 νοικοκυριά) σε</w:t>
      </w:r>
      <w:r>
        <w:rPr>
          <w:spacing w:val="40"/>
          <w:sz w:val="16"/>
          <w:vertAlign w:val="baseline"/>
        </w:rPr>
        <w:t> </w:t>
      </w:r>
      <w:r>
        <w:rPr>
          <w:sz w:val="16"/>
          <w:vertAlign w:val="baseline"/>
        </w:rPr>
        <w:t>σύγκριση με το 2011 και το πλήθος των νοικοκυριών με έναν οικογενειακό πυρήνα (μόνος πατέρας/ μόνη μητέρα) αυξήθηκε κατά</w:t>
      </w:r>
      <w:r>
        <w:rPr>
          <w:spacing w:val="40"/>
          <w:sz w:val="16"/>
          <w:vertAlign w:val="baseline"/>
        </w:rPr>
        <w:t> </w:t>
      </w:r>
      <w:r>
        <w:rPr>
          <w:sz w:val="16"/>
          <w:vertAlign w:val="baseline"/>
        </w:rPr>
        <w:t>9% (+39.349 νοικοκυριά).</w:t>
      </w:r>
    </w:p>
    <w:p>
      <w:pPr>
        <w:spacing w:before="21"/>
        <w:ind w:left="172" w:right="0" w:firstLine="0"/>
        <w:jc w:val="both"/>
        <w:rPr>
          <w:sz w:val="16"/>
        </w:rPr>
      </w:pPr>
      <w:bookmarkStart w:name="_bookmark24" w:id="25"/>
      <w:bookmarkEnd w:id="25"/>
      <w:r>
        <w:rPr/>
      </w:r>
      <w:r>
        <w:rPr>
          <w:sz w:val="16"/>
          <w:vertAlign w:val="superscript"/>
        </w:rPr>
        <w:t>16</w:t>
      </w:r>
      <w:r>
        <w:rPr>
          <w:spacing w:val="-8"/>
          <w:sz w:val="16"/>
          <w:vertAlign w:val="baseline"/>
        </w:rPr>
        <w:t> </w:t>
      </w:r>
      <w:r>
        <w:rPr>
          <w:sz w:val="16"/>
          <w:vertAlign w:val="baseline"/>
        </w:rPr>
        <w:t>Βλ.</w:t>
      </w:r>
      <w:r>
        <w:rPr>
          <w:spacing w:val="-4"/>
          <w:sz w:val="16"/>
          <w:vertAlign w:val="baseline"/>
        </w:rPr>
        <w:t> </w:t>
      </w:r>
      <w:r>
        <w:rPr>
          <w:sz w:val="16"/>
          <w:vertAlign w:val="baseline"/>
        </w:rPr>
        <w:t>ΕΛΣΤΑΤ,</w:t>
      </w:r>
      <w:r>
        <w:rPr>
          <w:spacing w:val="-6"/>
          <w:sz w:val="16"/>
          <w:vertAlign w:val="baseline"/>
        </w:rPr>
        <w:t> </w:t>
      </w:r>
      <w:hyperlink r:id="rId22">
        <w:r>
          <w:rPr>
            <w:color w:val="0000FF"/>
            <w:sz w:val="16"/>
            <w:u w:val="single" w:color="0000FF"/>
            <w:vertAlign w:val="baseline"/>
          </w:rPr>
          <w:t>Κίνηση</w:t>
        </w:r>
        <w:r>
          <w:rPr>
            <w:color w:val="0000FF"/>
            <w:spacing w:val="-8"/>
            <w:sz w:val="16"/>
            <w:u w:val="single" w:color="0000FF"/>
            <w:vertAlign w:val="baseline"/>
          </w:rPr>
          <w:t> </w:t>
        </w:r>
        <w:r>
          <w:rPr>
            <w:color w:val="0000FF"/>
            <w:sz w:val="16"/>
            <w:u w:val="single" w:color="0000FF"/>
            <w:vertAlign w:val="baseline"/>
          </w:rPr>
          <w:t>καταλυμάτων</w:t>
        </w:r>
        <w:r>
          <w:rPr>
            <w:color w:val="0000FF"/>
            <w:spacing w:val="-8"/>
            <w:sz w:val="16"/>
            <w:u w:val="single" w:color="0000FF"/>
            <w:vertAlign w:val="baseline"/>
          </w:rPr>
          <w:t> </w:t>
        </w:r>
        <w:r>
          <w:rPr>
            <w:color w:val="0000FF"/>
            <w:sz w:val="16"/>
            <w:u w:val="single" w:color="0000FF"/>
            <w:vertAlign w:val="baseline"/>
          </w:rPr>
          <w:t>βραχυχρόνιας</w:t>
        </w:r>
        <w:r>
          <w:rPr>
            <w:color w:val="0000FF"/>
            <w:spacing w:val="-4"/>
            <w:sz w:val="16"/>
            <w:u w:val="single" w:color="0000FF"/>
            <w:vertAlign w:val="baseline"/>
          </w:rPr>
          <w:t> </w:t>
        </w:r>
        <w:r>
          <w:rPr>
            <w:color w:val="0000FF"/>
            <w:sz w:val="16"/>
            <w:u w:val="single" w:color="0000FF"/>
            <w:vertAlign w:val="baseline"/>
          </w:rPr>
          <w:t>μίσθωσης</w:t>
        </w:r>
        <w:r>
          <w:rPr>
            <w:color w:val="0000FF"/>
            <w:spacing w:val="-6"/>
            <w:sz w:val="16"/>
            <w:u w:val="single" w:color="0000FF"/>
            <w:vertAlign w:val="baseline"/>
          </w:rPr>
          <w:t> </w:t>
        </w:r>
        <w:r>
          <w:rPr>
            <w:color w:val="0000FF"/>
            <w:sz w:val="16"/>
            <w:u w:val="single" w:color="0000FF"/>
            <w:vertAlign w:val="baseline"/>
          </w:rPr>
          <w:t>που</w:t>
        </w:r>
        <w:r>
          <w:rPr>
            <w:color w:val="0000FF"/>
            <w:spacing w:val="-8"/>
            <w:sz w:val="16"/>
            <w:u w:val="single" w:color="0000FF"/>
            <w:vertAlign w:val="baseline"/>
          </w:rPr>
          <w:t> </w:t>
        </w:r>
        <w:r>
          <w:rPr>
            <w:color w:val="0000FF"/>
            <w:sz w:val="16"/>
            <w:u w:val="single" w:color="0000FF"/>
            <w:vertAlign w:val="baseline"/>
          </w:rPr>
          <w:t>δραστηριοποιούνται</w:t>
        </w:r>
        <w:r>
          <w:rPr>
            <w:color w:val="0000FF"/>
            <w:spacing w:val="-5"/>
            <w:sz w:val="16"/>
            <w:u w:val="single" w:color="0000FF"/>
            <w:vertAlign w:val="baseline"/>
          </w:rPr>
          <w:t> </w:t>
        </w:r>
        <w:r>
          <w:rPr>
            <w:color w:val="0000FF"/>
            <w:sz w:val="16"/>
            <w:u w:val="single" w:color="0000FF"/>
            <w:vertAlign w:val="baseline"/>
          </w:rPr>
          <w:t>μέσω</w:t>
        </w:r>
        <w:r>
          <w:rPr>
            <w:color w:val="0000FF"/>
            <w:spacing w:val="-7"/>
            <w:sz w:val="16"/>
            <w:u w:val="single" w:color="0000FF"/>
            <w:vertAlign w:val="baseline"/>
          </w:rPr>
          <w:t> </w:t>
        </w:r>
        <w:r>
          <w:rPr>
            <w:color w:val="0000FF"/>
            <w:sz w:val="16"/>
            <w:u w:val="single" w:color="0000FF"/>
            <w:vertAlign w:val="baseline"/>
          </w:rPr>
          <w:t>ψηφιακών</w:t>
        </w:r>
        <w:r>
          <w:rPr>
            <w:color w:val="0000FF"/>
            <w:spacing w:val="-7"/>
            <w:sz w:val="16"/>
            <w:u w:val="single" w:color="0000FF"/>
            <w:vertAlign w:val="baseline"/>
          </w:rPr>
          <w:t> </w:t>
        </w:r>
        <w:r>
          <w:rPr>
            <w:color w:val="0000FF"/>
            <w:spacing w:val="-2"/>
            <w:sz w:val="16"/>
            <w:u w:val="single" w:color="0000FF"/>
            <w:vertAlign w:val="baseline"/>
          </w:rPr>
          <w:t>πλατφορμών</w:t>
        </w:r>
        <w:r>
          <w:rPr>
            <w:spacing w:val="-2"/>
            <w:sz w:val="16"/>
            <w:vertAlign w:val="baseline"/>
          </w:rPr>
          <w:t>.</w:t>
        </w:r>
      </w:hyperlink>
    </w:p>
    <w:p>
      <w:pPr>
        <w:spacing w:after="0"/>
        <w:jc w:val="both"/>
        <w:rPr>
          <w:sz w:val="16"/>
        </w:rPr>
        <w:sectPr>
          <w:footerReference w:type="default" r:id="rId19"/>
          <w:pgSz w:w="11910" w:h="16850"/>
          <w:pgMar w:header="0" w:footer="1108" w:top="1840" w:bottom="1300" w:left="1417" w:right="850"/>
        </w:sectPr>
      </w:pPr>
    </w:p>
    <w:p>
      <w:pPr>
        <w:pStyle w:val="BodyText"/>
        <w:spacing w:line="285" w:lineRule="auto" w:before="66"/>
        <w:ind w:left="172" w:right="955"/>
        <w:jc w:val="both"/>
      </w:pPr>
      <w:r>
        <w:rPr/>
        <w:t>αναμένεται</w:t>
      </w:r>
      <w:r>
        <w:rPr>
          <w:spacing w:val="-14"/>
        </w:rPr>
        <w:t> </w:t>
      </w:r>
      <w:r>
        <w:rPr/>
        <w:t>να</w:t>
      </w:r>
      <w:r>
        <w:rPr>
          <w:spacing w:val="-12"/>
        </w:rPr>
        <w:t> </w:t>
      </w:r>
      <w:r>
        <w:rPr/>
        <w:t>συμβάλουν</w:t>
      </w:r>
      <w:r>
        <w:rPr>
          <w:spacing w:val="-11"/>
        </w:rPr>
        <w:t> </w:t>
      </w:r>
      <w:r>
        <w:rPr/>
        <w:t>θετικά</w:t>
      </w:r>
      <w:r>
        <w:rPr>
          <w:spacing w:val="-12"/>
        </w:rPr>
        <w:t> </w:t>
      </w:r>
      <w:r>
        <w:rPr/>
        <w:t>στο</w:t>
      </w:r>
      <w:r>
        <w:rPr>
          <w:spacing w:val="-14"/>
        </w:rPr>
        <w:t> </w:t>
      </w:r>
      <w:r>
        <w:rPr/>
        <w:t>στεγαστικό</w:t>
      </w:r>
      <w:r>
        <w:rPr>
          <w:spacing w:val="-12"/>
        </w:rPr>
        <w:t> </w:t>
      </w:r>
      <w:r>
        <w:rPr/>
        <w:t>ζήτημα.</w:t>
      </w:r>
      <w:r>
        <w:rPr>
          <w:spacing w:val="-12"/>
        </w:rPr>
        <w:t> </w:t>
      </w:r>
      <w:r>
        <w:rPr/>
        <w:t>Επιπλέον,</w:t>
      </w:r>
      <w:r>
        <w:rPr>
          <w:spacing w:val="-12"/>
        </w:rPr>
        <w:t> </w:t>
      </w:r>
      <w:r>
        <w:rPr/>
        <w:t>η</w:t>
      </w:r>
      <w:r>
        <w:rPr>
          <w:spacing w:val="-12"/>
        </w:rPr>
        <w:t> </w:t>
      </w:r>
      <w:r>
        <w:rPr/>
        <w:t>πολυιδιοκτησία</w:t>
      </w:r>
      <w:r>
        <w:rPr>
          <w:spacing w:val="-12"/>
        </w:rPr>
        <w:t> </w:t>
      </w:r>
      <w:r>
        <w:rPr/>
        <w:t>δυσχεραί-νει τη λήψη αποφάσεων για τη διαχείριση και αξιοποίηση των ακινήτων</w:t>
      </w:r>
      <w:hyperlink w:history="true" w:anchor="_bookmark25">
        <w:r>
          <w:rPr/>
          <w:t>,</w:t>
        </w:r>
        <w:r>
          <w:rPr>
            <w:position w:val="6"/>
            <w:sz w:val="10"/>
          </w:rPr>
          <w:t>17</w:t>
        </w:r>
      </w:hyperlink>
      <w:r>
        <w:rPr>
          <w:spacing w:val="33"/>
          <w:position w:val="6"/>
          <w:sz w:val="10"/>
        </w:rPr>
        <w:t> </w:t>
      </w:r>
      <w:r>
        <w:rPr/>
        <w:t>ενώ το αυξημένο κό-στος</w:t>
      </w:r>
      <w:r>
        <w:rPr>
          <w:spacing w:val="-1"/>
        </w:rPr>
        <w:t> </w:t>
      </w:r>
      <w:r>
        <w:rPr/>
        <w:t>ανακαίνισης</w:t>
      </w:r>
      <w:r>
        <w:rPr>
          <w:spacing w:val="-1"/>
        </w:rPr>
        <w:t> </w:t>
      </w:r>
      <w:r>
        <w:rPr/>
        <w:t>λειτουργεί αποτρεπτικά</w:t>
      </w:r>
      <w:r>
        <w:rPr>
          <w:spacing w:val="-1"/>
        </w:rPr>
        <w:t> </w:t>
      </w:r>
      <w:r>
        <w:rPr/>
        <w:t>για την πραγματοποίηση δαπανών που θα</w:t>
      </w:r>
      <w:r>
        <w:rPr>
          <w:spacing w:val="-1"/>
        </w:rPr>
        <w:t> </w:t>
      </w:r>
      <w:r>
        <w:rPr/>
        <w:t>οδηγήσουν στη διατήρηση και επανένταξη οικιστικών ακινήτων στην αγορά. Την ίδια στιγμή, ο ρυθμός α-ναπλήρωσης</w:t>
      </w:r>
      <w:r>
        <w:rPr>
          <w:spacing w:val="-5"/>
        </w:rPr>
        <w:t> </w:t>
      </w:r>
      <w:r>
        <w:rPr/>
        <w:t>του</w:t>
      </w:r>
      <w:r>
        <w:rPr>
          <w:spacing w:val="-2"/>
        </w:rPr>
        <w:t> </w:t>
      </w:r>
      <w:r>
        <w:rPr/>
        <w:t>αποθέματος</w:t>
      </w:r>
      <w:r>
        <w:rPr>
          <w:spacing w:val="-5"/>
        </w:rPr>
        <w:t> </w:t>
      </w:r>
      <w:r>
        <w:rPr/>
        <w:t>οικιστικών</w:t>
      </w:r>
      <w:r>
        <w:rPr>
          <w:spacing w:val="-2"/>
        </w:rPr>
        <w:t> </w:t>
      </w:r>
      <w:r>
        <w:rPr/>
        <w:t>ακινήτων</w:t>
      </w:r>
      <w:r>
        <w:rPr>
          <w:spacing w:val="-2"/>
        </w:rPr>
        <w:t> </w:t>
      </w:r>
      <w:r>
        <w:rPr/>
        <w:t>έχει</w:t>
      </w:r>
      <w:r>
        <w:rPr>
          <w:spacing w:val="-3"/>
        </w:rPr>
        <w:t> </w:t>
      </w:r>
      <w:r>
        <w:rPr/>
        <w:t>παραμείνει</w:t>
      </w:r>
      <w:r>
        <w:rPr>
          <w:spacing w:val="-1"/>
        </w:rPr>
        <w:t> </w:t>
      </w:r>
      <w:r>
        <w:rPr/>
        <w:t>υποτονικός,</w:t>
      </w:r>
      <w:r>
        <w:rPr>
          <w:spacing w:val="-3"/>
        </w:rPr>
        <w:t> </w:t>
      </w:r>
      <w:r>
        <w:rPr/>
        <w:t>καθώς</w:t>
      </w:r>
      <w:r>
        <w:rPr>
          <w:spacing w:val="-4"/>
        </w:rPr>
        <w:t> </w:t>
      </w:r>
      <w:r>
        <w:rPr/>
        <w:t>η</w:t>
      </w:r>
      <w:r>
        <w:rPr>
          <w:spacing w:val="-3"/>
        </w:rPr>
        <w:t> </w:t>
      </w:r>
      <w:r>
        <w:rPr/>
        <w:t>ακαθά-ριστη</w:t>
      </w:r>
      <w:r>
        <w:rPr>
          <w:spacing w:val="-7"/>
        </w:rPr>
        <w:t> </w:t>
      </w:r>
      <w:r>
        <w:rPr/>
        <w:t>προστιθέμενη</w:t>
      </w:r>
      <w:r>
        <w:rPr>
          <w:spacing w:val="-5"/>
        </w:rPr>
        <w:t> </w:t>
      </w:r>
      <w:r>
        <w:rPr/>
        <w:t>αξία</w:t>
      </w:r>
      <w:r>
        <w:rPr>
          <w:spacing w:val="-5"/>
        </w:rPr>
        <w:t> </w:t>
      </w:r>
      <w:r>
        <w:rPr/>
        <w:t>του</w:t>
      </w:r>
      <w:r>
        <w:rPr>
          <w:spacing w:val="-4"/>
        </w:rPr>
        <w:t> </w:t>
      </w:r>
      <w:r>
        <w:rPr/>
        <w:t>κατασκευαστικού</w:t>
      </w:r>
      <w:r>
        <w:rPr>
          <w:spacing w:val="-4"/>
        </w:rPr>
        <w:t> </w:t>
      </w:r>
      <w:r>
        <w:rPr/>
        <w:t>τομέα</w:t>
      </w:r>
      <w:r>
        <w:rPr>
          <w:spacing w:val="-8"/>
        </w:rPr>
        <w:t> </w:t>
      </w:r>
      <w:r>
        <w:rPr/>
        <w:t>διατηρείται</w:t>
      </w:r>
      <w:r>
        <w:rPr>
          <w:spacing w:val="-7"/>
        </w:rPr>
        <w:t> </w:t>
      </w:r>
      <w:r>
        <w:rPr/>
        <w:t>επί</w:t>
      </w:r>
      <w:r>
        <w:rPr>
          <w:spacing w:val="-4"/>
        </w:rPr>
        <w:t> </w:t>
      </w:r>
      <w:r>
        <w:rPr/>
        <w:t>σειρά</w:t>
      </w:r>
      <w:r>
        <w:rPr>
          <w:spacing w:val="-8"/>
        </w:rPr>
        <w:t> </w:t>
      </w:r>
      <w:r>
        <w:rPr/>
        <w:t>ετών</w:t>
      </w:r>
      <w:r>
        <w:rPr>
          <w:spacing w:val="-6"/>
        </w:rPr>
        <w:t> </w:t>
      </w:r>
      <w:r>
        <w:rPr/>
        <w:t>σε</w:t>
      </w:r>
      <w:r>
        <w:rPr>
          <w:spacing w:val="-6"/>
        </w:rPr>
        <w:t> </w:t>
      </w:r>
      <w:r>
        <w:rPr/>
        <w:t>επίπεδο</w:t>
      </w:r>
      <w:r>
        <w:rPr>
          <w:spacing w:val="-5"/>
        </w:rPr>
        <w:t> </w:t>
      </w:r>
      <w:r>
        <w:rPr/>
        <w:t>κο-ντά στο 2% του ΑΕΠ (δ΄ τρίμηνο του 2025: 2,2%), σημαντικά χαμηλότερα από τον ευρωπαϊκό μέσο όρο (δ΄ τρίμηνο του 2025: 5%). Η ιδιωτική οικοδομική δραστηριότητα επιβραδύνθηκε το 2025 σε σύγκριση με το 2024 (μείωση κατά 2,4% του αριθμού των οικοδομικών αδειών που εκδόθηκαν, κατά 9,4% σε όρους επιφάνειας και κατά 2,4% σε όρους όγκου). Το γεγονός αποδί-δεται εν μέρει στην αβεβαιότητα που προκάλεσε στην αγορά η προσφυγή στο Συμβούλιο της Επικρατείας</w:t>
      </w:r>
      <w:r>
        <w:rPr>
          <w:spacing w:val="-13"/>
        </w:rPr>
        <w:t> </w:t>
      </w:r>
      <w:r>
        <w:rPr/>
        <w:t>(ΣτΕ)</w:t>
      </w:r>
      <w:r>
        <w:rPr>
          <w:spacing w:val="-12"/>
        </w:rPr>
        <w:t> </w:t>
      </w:r>
      <w:r>
        <w:rPr/>
        <w:t>σχετικά</w:t>
      </w:r>
      <w:r>
        <w:rPr>
          <w:spacing w:val="-13"/>
        </w:rPr>
        <w:t> </w:t>
      </w:r>
      <w:r>
        <w:rPr/>
        <w:t>με</w:t>
      </w:r>
      <w:r>
        <w:rPr>
          <w:spacing w:val="-12"/>
        </w:rPr>
        <w:t> </w:t>
      </w:r>
      <w:r>
        <w:rPr/>
        <w:t>το</w:t>
      </w:r>
      <w:r>
        <w:rPr>
          <w:spacing w:val="-12"/>
        </w:rPr>
        <w:t> </w:t>
      </w:r>
      <w:r>
        <w:rPr/>
        <w:t>σύστημα</w:t>
      </w:r>
      <w:r>
        <w:rPr>
          <w:spacing w:val="-12"/>
        </w:rPr>
        <w:t> </w:t>
      </w:r>
      <w:r>
        <w:rPr/>
        <w:t>κινήτρων</w:t>
      </w:r>
      <w:r>
        <w:rPr>
          <w:spacing w:val="-12"/>
        </w:rPr>
        <w:t> </w:t>
      </w:r>
      <w:r>
        <w:rPr/>
        <w:t>του</w:t>
      </w:r>
      <w:r>
        <w:rPr>
          <w:spacing w:val="-12"/>
        </w:rPr>
        <w:t> </w:t>
      </w:r>
      <w:r>
        <w:rPr/>
        <w:t>Νέου</w:t>
      </w:r>
      <w:r>
        <w:rPr>
          <w:spacing w:val="-12"/>
        </w:rPr>
        <w:t> </w:t>
      </w:r>
      <w:r>
        <w:rPr/>
        <w:t>Οικοδομικού</w:t>
      </w:r>
      <w:r>
        <w:rPr>
          <w:spacing w:val="-12"/>
        </w:rPr>
        <w:t> </w:t>
      </w:r>
      <w:r>
        <w:rPr/>
        <w:t>Κανονισμού</w:t>
      </w:r>
      <w:r>
        <w:rPr>
          <w:spacing w:val="-9"/>
        </w:rPr>
        <w:t> </w:t>
      </w:r>
      <w:r>
        <w:rPr/>
        <w:t>(ΝΟΚ). Η αναμόρφωση του συστήματος κινήτρων του ΝΟΚ στην κατεύθυνση που προσδιόρισε η από-φαση του ΣτΕ</w:t>
      </w:r>
      <w:r>
        <w:rPr>
          <w:spacing w:val="-2"/>
        </w:rPr>
        <w:t> </w:t>
      </w:r>
      <w:r>
        <w:rPr/>
        <w:t>συνέβαλε στην ανάκαμψη της</w:t>
      </w:r>
      <w:r>
        <w:rPr>
          <w:spacing w:val="-1"/>
        </w:rPr>
        <w:t> </w:t>
      </w:r>
      <w:r>
        <w:rPr/>
        <w:t>ιδιωτικής</w:t>
      </w:r>
      <w:r>
        <w:rPr>
          <w:spacing w:val="-2"/>
        </w:rPr>
        <w:t> </w:t>
      </w:r>
      <w:r>
        <w:rPr/>
        <w:t>οικοδομικής</w:t>
      </w:r>
      <w:r>
        <w:rPr>
          <w:spacing w:val="-2"/>
        </w:rPr>
        <w:t> </w:t>
      </w:r>
      <w:r>
        <w:rPr/>
        <w:t>δραστηριότητας</w:t>
      </w:r>
      <w:r>
        <w:rPr>
          <w:spacing w:val="-2"/>
        </w:rPr>
        <w:t> </w:t>
      </w:r>
      <w:r>
        <w:rPr/>
        <w:t>το δεύτερο εξάμηνο του 2025.</w:t>
      </w:r>
    </w:p>
    <w:p>
      <w:pPr>
        <w:pStyle w:val="BodyText"/>
        <w:spacing w:line="285" w:lineRule="auto" w:before="45"/>
        <w:ind w:left="172" w:right="954"/>
        <w:jc w:val="both"/>
      </w:pPr>
      <w:r>
        <w:rPr/>
        <w:t>Οι παραπάνω εξελίξεις στις τιμές των οικιστικών ακινήτων υποδηλώνουν την απαρχή συσσώ-ρευσης</w:t>
      </w:r>
      <w:r>
        <w:rPr>
          <w:spacing w:val="-6"/>
        </w:rPr>
        <w:t> </w:t>
      </w:r>
      <w:r>
        <w:rPr/>
        <w:t>κυκλικών</w:t>
      </w:r>
      <w:r>
        <w:rPr>
          <w:spacing w:val="-5"/>
        </w:rPr>
        <w:t> </w:t>
      </w:r>
      <w:r>
        <w:rPr/>
        <w:t>συστημικών</w:t>
      </w:r>
      <w:r>
        <w:rPr>
          <w:spacing w:val="-5"/>
        </w:rPr>
        <w:t> </w:t>
      </w:r>
      <w:r>
        <w:rPr/>
        <w:t>κινδύνων</w:t>
      </w:r>
      <w:r>
        <w:rPr>
          <w:spacing w:val="-5"/>
        </w:rPr>
        <w:t> </w:t>
      </w:r>
      <w:r>
        <w:rPr/>
        <w:t>και,</w:t>
      </w:r>
      <w:r>
        <w:rPr>
          <w:spacing w:val="-6"/>
        </w:rPr>
        <w:t> </w:t>
      </w:r>
      <w:r>
        <w:rPr/>
        <w:t>παρότι</w:t>
      </w:r>
      <w:r>
        <w:rPr>
          <w:spacing w:val="-5"/>
        </w:rPr>
        <w:t> </w:t>
      </w:r>
      <w:r>
        <w:rPr/>
        <w:t>δεν</w:t>
      </w:r>
      <w:r>
        <w:rPr>
          <w:spacing w:val="-5"/>
        </w:rPr>
        <w:t> </w:t>
      </w:r>
      <w:r>
        <w:rPr/>
        <w:t>προκαλούν</w:t>
      </w:r>
      <w:r>
        <w:rPr>
          <w:spacing w:val="-4"/>
        </w:rPr>
        <w:t> </w:t>
      </w:r>
      <w:r>
        <w:rPr/>
        <w:t>ακόμη</w:t>
      </w:r>
      <w:r>
        <w:rPr>
          <w:spacing w:val="-6"/>
        </w:rPr>
        <w:t> </w:t>
      </w:r>
      <w:r>
        <w:rPr/>
        <w:t>ανησυχία</w:t>
      </w:r>
      <w:r>
        <w:rPr>
          <w:spacing w:val="-6"/>
        </w:rPr>
        <w:t> </w:t>
      </w:r>
      <w:r>
        <w:rPr/>
        <w:t>για</w:t>
      </w:r>
      <w:r>
        <w:rPr>
          <w:spacing w:val="-7"/>
        </w:rPr>
        <w:t> </w:t>
      </w:r>
      <w:r>
        <w:rPr/>
        <w:t>τη</w:t>
      </w:r>
      <w:r>
        <w:rPr>
          <w:spacing w:val="-5"/>
        </w:rPr>
        <w:t> </w:t>
      </w:r>
      <w:r>
        <w:rPr/>
        <w:t>χρη-ματοπιστωτική σταθερότητα, επιβάλλουν στενή παρακολούθηση των πιστοδοτικών κριτηρίων, ιδιαίτερα καθώς ανακάμπτουν οι χορηγήσεις στεγαστικών δανείων.</w:t>
      </w:r>
    </w:p>
    <w:p>
      <w:pPr>
        <w:pStyle w:val="BodyText"/>
        <w:spacing w:line="285" w:lineRule="auto" w:before="56"/>
        <w:ind w:left="172" w:right="955"/>
        <w:jc w:val="both"/>
        <w:rPr>
          <w:position w:val="6"/>
          <w:sz w:val="10"/>
        </w:rPr>
      </w:pPr>
      <w:r>
        <w:rPr/>
        <w:t>Η αύξηση των τιμών των κατοικιών και των ενοικίων τους, σε συνδυασμό με τη φορολογική επιβάρυνση των ακινήτων και το αυξημένο λειτουργικό κόστος τους, συνέβαλαν τα τελευταία έτη</w:t>
      </w:r>
      <w:r>
        <w:rPr>
          <w:spacing w:val="-7"/>
        </w:rPr>
        <w:t> </w:t>
      </w:r>
      <w:r>
        <w:rPr/>
        <w:t>στην</w:t>
      </w:r>
      <w:r>
        <w:rPr>
          <w:spacing w:val="-6"/>
        </w:rPr>
        <w:t> </w:t>
      </w:r>
      <w:r>
        <w:rPr/>
        <w:t>όξυνση</w:t>
      </w:r>
      <w:r>
        <w:rPr>
          <w:spacing w:val="-6"/>
        </w:rPr>
        <w:t> </w:t>
      </w:r>
      <w:r>
        <w:rPr/>
        <w:t>του</w:t>
      </w:r>
      <w:r>
        <w:rPr>
          <w:spacing w:val="-6"/>
        </w:rPr>
        <w:t> </w:t>
      </w:r>
      <w:r>
        <w:rPr/>
        <w:t>στεγαστικού</w:t>
      </w:r>
      <w:r>
        <w:rPr>
          <w:spacing w:val="-6"/>
        </w:rPr>
        <w:t> </w:t>
      </w:r>
      <w:r>
        <w:rPr/>
        <w:t>ζητήματος</w:t>
      </w:r>
      <w:r>
        <w:rPr>
          <w:spacing w:val="-7"/>
        </w:rPr>
        <w:t> </w:t>
      </w:r>
      <w:r>
        <w:rPr/>
        <w:t>και</w:t>
      </w:r>
      <w:r>
        <w:rPr>
          <w:spacing w:val="-7"/>
        </w:rPr>
        <w:t> </w:t>
      </w:r>
      <w:r>
        <w:rPr/>
        <w:t>στην</w:t>
      </w:r>
      <w:r>
        <w:rPr>
          <w:spacing w:val="-9"/>
        </w:rPr>
        <w:t> </w:t>
      </w:r>
      <w:r>
        <w:rPr/>
        <w:t>Ελλάδα,</w:t>
      </w:r>
      <w:r>
        <w:rPr>
          <w:spacing w:val="-7"/>
        </w:rPr>
        <w:t> </w:t>
      </w:r>
      <w:r>
        <w:rPr/>
        <w:t>όπως</w:t>
      </w:r>
      <w:r>
        <w:rPr>
          <w:spacing w:val="-11"/>
        </w:rPr>
        <w:t> </w:t>
      </w:r>
      <w:r>
        <w:rPr/>
        <w:t>συμβαίνει</w:t>
      </w:r>
      <w:r>
        <w:rPr>
          <w:spacing w:val="-9"/>
        </w:rPr>
        <w:t> </w:t>
      </w:r>
      <w:r>
        <w:rPr/>
        <w:t>σε</w:t>
      </w:r>
      <w:r>
        <w:rPr>
          <w:spacing w:val="-9"/>
        </w:rPr>
        <w:t> </w:t>
      </w:r>
      <w:r>
        <w:rPr/>
        <w:t>πολλές</w:t>
      </w:r>
      <w:r>
        <w:rPr>
          <w:spacing w:val="-8"/>
        </w:rPr>
        <w:t> </w:t>
      </w:r>
      <w:r>
        <w:rPr/>
        <w:t>χώρες της ΕΕ, και στην επιδείνωση του Δείκτη Ικανότητας Στεγαστικής Χρηματοδότησης (ΔΙΣΧ), οι τιμές</w:t>
      </w:r>
      <w:r>
        <w:rPr>
          <w:spacing w:val="-11"/>
        </w:rPr>
        <w:t> </w:t>
      </w:r>
      <w:r>
        <w:rPr/>
        <w:t>του</w:t>
      </w:r>
      <w:r>
        <w:rPr>
          <w:spacing w:val="-11"/>
        </w:rPr>
        <w:t> </w:t>
      </w:r>
      <w:r>
        <w:rPr/>
        <w:t>οποίου</w:t>
      </w:r>
      <w:r>
        <w:rPr>
          <w:spacing w:val="-8"/>
        </w:rPr>
        <w:t> </w:t>
      </w:r>
      <w:r>
        <w:rPr/>
        <w:t>καταδεικνύουν</w:t>
      </w:r>
      <w:r>
        <w:rPr>
          <w:spacing w:val="-8"/>
        </w:rPr>
        <w:t> </w:t>
      </w:r>
      <w:r>
        <w:rPr/>
        <w:t>οριακή</w:t>
      </w:r>
      <w:r>
        <w:rPr>
          <w:spacing w:val="-10"/>
        </w:rPr>
        <w:t> </w:t>
      </w:r>
      <w:r>
        <w:rPr/>
        <w:t>ή</w:t>
      </w:r>
      <w:r>
        <w:rPr>
          <w:spacing w:val="-10"/>
        </w:rPr>
        <w:t> </w:t>
      </w:r>
      <w:r>
        <w:rPr/>
        <w:t>χαμηλή</w:t>
      </w:r>
      <w:r>
        <w:rPr>
          <w:spacing w:val="-9"/>
        </w:rPr>
        <w:t> </w:t>
      </w:r>
      <w:r>
        <w:rPr/>
        <w:t>προσιτότητα</w:t>
      </w:r>
      <w:r>
        <w:rPr>
          <w:spacing w:val="-9"/>
        </w:rPr>
        <w:t> </w:t>
      </w:r>
      <w:r>
        <w:rPr/>
        <w:t>κατοικίας</w:t>
      </w:r>
      <w:r>
        <w:rPr>
          <w:spacing w:val="-10"/>
        </w:rPr>
        <w:t> </w:t>
      </w:r>
      <w:r>
        <w:rPr/>
        <w:t>για</w:t>
      </w:r>
      <w:r>
        <w:rPr>
          <w:spacing w:val="-9"/>
        </w:rPr>
        <w:t> </w:t>
      </w:r>
      <w:r>
        <w:rPr/>
        <w:t>το</w:t>
      </w:r>
      <w:r>
        <w:rPr>
          <w:spacing w:val="-9"/>
        </w:rPr>
        <w:t> </w:t>
      </w:r>
      <w:r>
        <w:rPr/>
        <w:t>έτος</w:t>
      </w:r>
      <w:r>
        <w:rPr>
          <w:spacing w:val="-11"/>
        </w:rPr>
        <w:t> </w:t>
      </w:r>
      <w:r>
        <w:rPr/>
        <w:t>2024</w:t>
      </w:r>
      <w:hyperlink w:history="true" w:anchor="_bookmark26">
        <w:r>
          <w:rPr/>
          <w:t>.</w:t>
        </w:r>
        <w:r>
          <w:rPr>
            <w:position w:val="6"/>
            <w:sz w:val="10"/>
          </w:rPr>
          <w:t>18</w:t>
        </w:r>
      </w:hyperlink>
      <w:r>
        <w:rPr>
          <w:spacing w:val="21"/>
          <w:position w:val="6"/>
          <w:sz w:val="10"/>
        </w:rPr>
        <w:t> </w:t>
      </w:r>
      <w:r>
        <w:rPr/>
        <w:t>Υπό αυτό</w:t>
      </w:r>
      <w:r>
        <w:rPr>
          <w:spacing w:val="-10"/>
        </w:rPr>
        <w:t> </w:t>
      </w:r>
      <w:r>
        <w:rPr/>
        <w:t>το</w:t>
      </w:r>
      <w:r>
        <w:rPr>
          <w:spacing w:val="-11"/>
        </w:rPr>
        <w:t> </w:t>
      </w:r>
      <w:r>
        <w:rPr/>
        <w:t>πρίσμα,</w:t>
      </w:r>
      <w:r>
        <w:rPr>
          <w:spacing w:val="-13"/>
        </w:rPr>
        <w:t> </w:t>
      </w:r>
      <w:r>
        <w:rPr/>
        <w:t>στην</w:t>
      </w:r>
      <w:r>
        <w:rPr>
          <w:spacing w:val="-10"/>
        </w:rPr>
        <w:t> </w:t>
      </w:r>
      <w:r>
        <w:rPr/>
        <w:t>τρέχουσα</w:t>
      </w:r>
      <w:r>
        <w:rPr>
          <w:spacing w:val="-11"/>
        </w:rPr>
        <w:t> </w:t>
      </w:r>
      <w:r>
        <w:rPr/>
        <w:t>συγκυρία</w:t>
      </w:r>
      <w:r>
        <w:rPr>
          <w:spacing w:val="-11"/>
        </w:rPr>
        <w:t> </w:t>
      </w:r>
      <w:r>
        <w:rPr/>
        <w:t>κρίνεται</w:t>
      </w:r>
      <w:r>
        <w:rPr>
          <w:spacing w:val="-8"/>
        </w:rPr>
        <w:t> </w:t>
      </w:r>
      <w:r>
        <w:rPr/>
        <w:t>σκόπιμη</w:t>
      </w:r>
      <w:r>
        <w:rPr>
          <w:spacing w:val="-11"/>
        </w:rPr>
        <w:t> </w:t>
      </w:r>
      <w:r>
        <w:rPr/>
        <w:t>η</w:t>
      </w:r>
      <w:r>
        <w:rPr>
          <w:spacing w:val="-11"/>
        </w:rPr>
        <w:t> </w:t>
      </w:r>
      <w:r>
        <w:rPr/>
        <w:t>ενίσχυση</w:t>
      </w:r>
      <w:r>
        <w:rPr>
          <w:spacing w:val="-11"/>
        </w:rPr>
        <w:t> </w:t>
      </w:r>
      <w:r>
        <w:rPr/>
        <w:t>και</w:t>
      </w:r>
      <w:r>
        <w:rPr>
          <w:spacing w:val="-11"/>
        </w:rPr>
        <w:t> </w:t>
      </w:r>
      <w:r>
        <w:rPr/>
        <w:t>επιτάχυνση</w:t>
      </w:r>
      <w:r>
        <w:rPr>
          <w:spacing w:val="-11"/>
        </w:rPr>
        <w:t> </w:t>
      </w:r>
      <w:r>
        <w:rPr/>
        <w:t>της</w:t>
      </w:r>
      <w:r>
        <w:rPr>
          <w:spacing w:val="-12"/>
        </w:rPr>
        <w:t> </w:t>
      </w:r>
      <w:r>
        <w:rPr/>
        <w:t>εφαρ-μογής μέτρων για τον περιορισμό τυχόν δυσμενών επιπτώσεων στη χρηματοοικονομική κατά-σταση των νοικοκυριών από το στεγαστικό ζήτημα, με έμφαση στην παροχή κινήτρων για την αύξηση</w:t>
      </w:r>
      <w:r>
        <w:rPr>
          <w:spacing w:val="-2"/>
        </w:rPr>
        <w:t> </w:t>
      </w:r>
      <w:r>
        <w:rPr/>
        <w:t>του</w:t>
      </w:r>
      <w:r>
        <w:rPr>
          <w:spacing w:val="-2"/>
        </w:rPr>
        <w:t> </w:t>
      </w:r>
      <w:r>
        <w:rPr/>
        <w:t>διαθέσιμου</w:t>
      </w:r>
      <w:r>
        <w:rPr>
          <w:spacing w:val="-2"/>
        </w:rPr>
        <w:t> </w:t>
      </w:r>
      <w:r>
        <w:rPr/>
        <w:t>κτιριακού</w:t>
      </w:r>
      <w:r>
        <w:rPr>
          <w:spacing w:val="-2"/>
        </w:rPr>
        <w:t> </w:t>
      </w:r>
      <w:r>
        <w:rPr/>
        <w:t>αποθέματος,</w:t>
      </w:r>
      <w:r>
        <w:rPr>
          <w:spacing w:val="-2"/>
        </w:rPr>
        <w:t> </w:t>
      </w:r>
      <w:r>
        <w:rPr/>
        <w:t>τόσο</w:t>
      </w:r>
      <w:r>
        <w:rPr>
          <w:spacing w:val="-2"/>
        </w:rPr>
        <w:t> </w:t>
      </w:r>
      <w:r>
        <w:rPr/>
        <w:t>με</w:t>
      </w:r>
      <w:r>
        <w:rPr>
          <w:spacing w:val="-2"/>
        </w:rPr>
        <w:t> </w:t>
      </w:r>
      <w:r>
        <w:rPr/>
        <w:t>την</w:t>
      </w:r>
      <w:r>
        <w:rPr>
          <w:spacing w:val="-2"/>
        </w:rPr>
        <w:t> </w:t>
      </w:r>
      <w:r>
        <w:rPr/>
        <w:t>ανάπτυξη</w:t>
      </w:r>
      <w:r>
        <w:rPr>
          <w:spacing w:val="-5"/>
        </w:rPr>
        <w:t> </w:t>
      </w:r>
      <w:r>
        <w:rPr/>
        <w:t>νέων</w:t>
      </w:r>
      <w:r>
        <w:rPr>
          <w:spacing w:val="-2"/>
        </w:rPr>
        <w:t> </w:t>
      </w:r>
      <w:r>
        <w:rPr/>
        <w:t>και</w:t>
      </w:r>
      <w:r>
        <w:rPr>
          <w:spacing w:val="-2"/>
        </w:rPr>
        <w:t> </w:t>
      </w:r>
      <w:r>
        <w:rPr/>
        <w:t>την</w:t>
      </w:r>
      <w:r>
        <w:rPr>
          <w:spacing w:val="-2"/>
        </w:rPr>
        <w:t> </w:t>
      </w:r>
      <w:r>
        <w:rPr/>
        <w:t>αναβάθμιση υφιστάμενων υποβαθμισμένων οικιστικών ακινήτων, όσο και με την παροχή κινήτρων για την επιστροφή στην αγορά των οικιστικών ακινήτων που έχουν αποσυρθεί</w:t>
      </w:r>
      <w:hyperlink w:history="true" w:anchor="_bookmark27">
        <w:r>
          <w:rPr/>
          <w:t>.</w:t>
        </w:r>
        <w:r>
          <w:rPr>
            <w:position w:val="6"/>
            <w:sz w:val="10"/>
          </w:rPr>
          <w:t>19</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4"/>
        <w:rPr>
          <w:sz w:val="20"/>
        </w:rPr>
      </w:pPr>
      <w:r>
        <w:rPr>
          <w:sz w:val="20"/>
        </w:rPr>
        <mc:AlternateContent>
          <mc:Choice Requires="wps">
            <w:drawing>
              <wp:anchor distT="0" distB="0" distL="0" distR="0" allowOverlap="1" layoutInCell="1" locked="0" behindDoc="1" simplePos="0" relativeHeight="487596032">
                <wp:simplePos x="0" y="0"/>
                <wp:positionH relativeFrom="page">
                  <wp:posOffset>1009192</wp:posOffset>
                </wp:positionH>
                <wp:positionV relativeFrom="paragraph">
                  <wp:posOffset>291262</wp:posOffset>
                </wp:positionV>
                <wp:extent cx="1829435" cy="762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2.934052pt;width:144.020pt;height:.60004pt;mso-position-horizontal-relative:page;mso-position-vertical-relative:paragraph;z-index:-15720448;mso-wrap-distance-left:0;mso-wrap-distance-right:0" id="docshape46" filled="true" fillcolor="#000000" stroked="false">
                <v:fill type="solid"/>
                <w10:wrap type="topAndBottom"/>
              </v:rect>
            </w:pict>
          </mc:Fallback>
        </mc:AlternateContent>
      </w:r>
    </w:p>
    <w:p>
      <w:pPr>
        <w:spacing w:before="165"/>
        <w:ind w:left="172" w:right="958" w:firstLine="0"/>
        <w:jc w:val="both"/>
        <w:rPr>
          <w:sz w:val="16"/>
        </w:rPr>
      </w:pPr>
      <w:bookmarkStart w:name="_bookmark25" w:id="26"/>
      <w:bookmarkEnd w:id="26"/>
      <w:r>
        <w:rPr/>
      </w:r>
      <w:r>
        <w:rPr>
          <w:sz w:val="16"/>
          <w:vertAlign w:val="superscript"/>
        </w:rPr>
        <w:t>17</w:t>
      </w:r>
      <w:r>
        <w:rPr>
          <w:sz w:val="16"/>
          <w:vertAlign w:val="baseline"/>
        </w:rPr>
        <w:t> Το πρόσφατο σχέδιο νόμου</w:t>
      </w:r>
      <w:r>
        <w:rPr>
          <w:spacing w:val="-1"/>
          <w:sz w:val="16"/>
          <w:vertAlign w:val="baseline"/>
        </w:rPr>
        <w:t> </w:t>
      </w:r>
      <w:r>
        <w:rPr>
          <w:sz w:val="16"/>
          <w:vertAlign w:val="baseline"/>
        </w:rPr>
        <w:t>του Υπουργείου</w:t>
      </w:r>
      <w:r>
        <w:rPr>
          <w:spacing w:val="-1"/>
          <w:sz w:val="16"/>
          <w:vertAlign w:val="baseline"/>
        </w:rPr>
        <w:t> </w:t>
      </w:r>
      <w:r>
        <w:rPr>
          <w:sz w:val="16"/>
          <w:vertAlign w:val="baseline"/>
        </w:rPr>
        <w:t>Δικαιοσύνης με</w:t>
      </w:r>
      <w:r>
        <w:rPr>
          <w:spacing w:val="-1"/>
          <w:sz w:val="16"/>
          <w:vertAlign w:val="baseline"/>
        </w:rPr>
        <w:t> </w:t>
      </w:r>
      <w:r>
        <w:rPr>
          <w:sz w:val="16"/>
          <w:vertAlign w:val="baseline"/>
        </w:rPr>
        <w:t>τίτλο “Αναμόρφωση</w:t>
      </w:r>
      <w:r>
        <w:rPr>
          <w:spacing w:val="-1"/>
          <w:sz w:val="16"/>
          <w:vertAlign w:val="baseline"/>
        </w:rPr>
        <w:t> </w:t>
      </w:r>
      <w:r>
        <w:rPr>
          <w:sz w:val="16"/>
          <w:vertAlign w:val="baseline"/>
        </w:rPr>
        <w:t>του κληρονομικού</w:t>
      </w:r>
      <w:r>
        <w:rPr>
          <w:spacing w:val="-4"/>
          <w:sz w:val="16"/>
          <w:vertAlign w:val="baseline"/>
        </w:rPr>
        <w:t> </w:t>
      </w:r>
      <w:r>
        <w:rPr>
          <w:sz w:val="16"/>
          <w:vertAlign w:val="baseline"/>
        </w:rPr>
        <w:t>δικαίου</w:t>
      </w:r>
      <w:r>
        <w:rPr>
          <w:spacing w:val="-1"/>
          <w:sz w:val="16"/>
          <w:vertAlign w:val="baseline"/>
        </w:rPr>
        <w:t> </w:t>
      </w:r>
      <w:r>
        <w:rPr>
          <w:sz w:val="16"/>
          <w:vertAlign w:val="baseline"/>
        </w:rPr>
        <w:t>και συναφείς διατά-ξεις” και ειδικότερα οι</w:t>
      </w:r>
      <w:r>
        <w:rPr>
          <w:spacing w:val="-1"/>
          <w:sz w:val="16"/>
          <w:vertAlign w:val="baseline"/>
        </w:rPr>
        <w:t> </w:t>
      </w:r>
      <w:r>
        <w:rPr>
          <w:sz w:val="16"/>
          <w:vertAlign w:val="baseline"/>
        </w:rPr>
        <w:t>διατάξεις για τη νόμιμη μοίρα εκτιμάται</w:t>
      </w:r>
      <w:r>
        <w:rPr>
          <w:spacing w:val="-1"/>
          <w:sz w:val="16"/>
          <w:vertAlign w:val="baseline"/>
        </w:rPr>
        <w:t> </w:t>
      </w:r>
      <w:r>
        <w:rPr>
          <w:sz w:val="16"/>
          <w:vertAlign w:val="baseline"/>
        </w:rPr>
        <w:t>ότι θα συμβάλουν στον περιορισμό εμφάνισης περιπτώσεων πολυι-διοκτησίας στο μέλλον.</w:t>
      </w:r>
    </w:p>
    <w:p>
      <w:pPr>
        <w:spacing w:before="21"/>
        <w:ind w:left="172" w:right="0" w:firstLine="0"/>
        <w:jc w:val="both"/>
        <w:rPr>
          <w:sz w:val="16"/>
        </w:rPr>
      </w:pPr>
      <w:bookmarkStart w:name="_bookmark26" w:id="27"/>
      <w:bookmarkEnd w:id="27"/>
      <w:r>
        <w:rPr/>
      </w:r>
      <w:r>
        <w:rPr>
          <w:sz w:val="16"/>
          <w:vertAlign w:val="superscript"/>
        </w:rPr>
        <w:t>18</w:t>
      </w:r>
      <w:r>
        <w:rPr>
          <w:spacing w:val="-4"/>
          <w:sz w:val="16"/>
          <w:vertAlign w:val="baseline"/>
        </w:rPr>
        <w:t> </w:t>
      </w:r>
      <w:r>
        <w:rPr>
          <w:sz w:val="16"/>
          <w:vertAlign w:val="baseline"/>
        </w:rPr>
        <w:t>Βλ.</w:t>
      </w:r>
      <w:r>
        <w:rPr>
          <w:spacing w:val="-2"/>
          <w:sz w:val="16"/>
          <w:vertAlign w:val="baseline"/>
        </w:rPr>
        <w:t> </w:t>
      </w:r>
      <w:r>
        <w:rPr>
          <w:sz w:val="16"/>
          <w:vertAlign w:val="baseline"/>
        </w:rPr>
        <w:t>Τράπεζα</w:t>
      </w:r>
      <w:r>
        <w:rPr>
          <w:spacing w:val="-5"/>
          <w:sz w:val="16"/>
          <w:vertAlign w:val="baseline"/>
        </w:rPr>
        <w:t> </w:t>
      </w:r>
      <w:r>
        <w:rPr>
          <w:sz w:val="16"/>
          <w:vertAlign w:val="baseline"/>
        </w:rPr>
        <w:t>της</w:t>
      </w:r>
      <w:r>
        <w:rPr>
          <w:spacing w:val="-4"/>
          <w:sz w:val="16"/>
          <w:vertAlign w:val="baseline"/>
        </w:rPr>
        <w:t> </w:t>
      </w:r>
      <w:r>
        <w:rPr>
          <w:sz w:val="16"/>
          <w:vertAlign w:val="baseline"/>
        </w:rPr>
        <w:t>Ελλάδος</w:t>
      </w:r>
      <w:r>
        <w:rPr>
          <w:spacing w:val="-4"/>
          <w:sz w:val="16"/>
          <w:vertAlign w:val="baseline"/>
        </w:rPr>
        <w:t> </w:t>
      </w:r>
      <w:r>
        <w:rPr>
          <w:sz w:val="16"/>
          <w:vertAlign w:val="baseline"/>
        </w:rPr>
        <w:t>(2026),</w:t>
      </w:r>
      <w:r>
        <w:rPr>
          <w:spacing w:val="-2"/>
          <w:sz w:val="16"/>
          <w:vertAlign w:val="baseline"/>
        </w:rPr>
        <w:t> </w:t>
      </w:r>
      <w:r>
        <w:rPr>
          <w:i/>
          <w:sz w:val="16"/>
          <w:vertAlign w:val="baseline"/>
        </w:rPr>
        <w:t>Έκθεση</w:t>
      </w:r>
      <w:r>
        <w:rPr>
          <w:i/>
          <w:spacing w:val="-3"/>
          <w:sz w:val="16"/>
          <w:vertAlign w:val="baseline"/>
        </w:rPr>
        <w:t> </w:t>
      </w:r>
      <w:r>
        <w:rPr>
          <w:i/>
          <w:sz w:val="16"/>
          <w:vertAlign w:val="baseline"/>
        </w:rPr>
        <w:t>του</w:t>
      </w:r>
      <w:r>
        <w:rPr>
          <w:i/>
          <w:spacing w:val="-2"/>
          <w:sz w:val="16"/>
          <w:vertAlign w:val="baseline"/>
        </w:rPr>
        <w:t> </w:t>
      </w:r>
      <w:r>
        <w:rPr>
          <w:i/>
          <w:sz w:val="16"/>
          <w:vertAlign w:val="baseline"/>
        </w:rPr>
        <w:t>Διοικητή</w:t>
      </w:r>
      <w:r>
        <w:rPr>
          <w:i/>
          <w:spacing w:val="-6"/>
          <w:sz w:val="16"/>
          <w:vertAlign w:val="baseline"/>
        </w:rPr>
        <w:t> </w:t>
      </w:r>
      <w:r>
        <w:rPr>
          <w:i/>
          <w:sz w:val="16"/>
          <w:vertAlign w:val="baseline"/>
        </w:rPr>
        <w:t>για</w:t>
      </w:r>
      <w:r>
        <w:rPr>
          <w:i/>
          <w:spacing w:val="-3"/>
          <w:sz w:val="16"/>
          <w:vertAlign w:val="baseline"/>
        </w:rPr>
        <w:t> </w:t>
      </w:r>
      <w:r>
        <w:rPr>
          <w:i/>
          <w:sz w:val="16"/>
          <w:vertAlign w:val="baseline"/>
        </w:rPr>
        <w:t>το</w:t>
      </w:r>
      <w:r>
        <w:rPr>
          <w:i/>
          <w:spacing w:val="-2"/>
          <w:sz w:val="16"/>
          <w:vertAlign w:val="baseline"/>
        </w:rPr>
        <w:t> </w:t>
      </w:r>
      <w:r>
        <w:rPr>
          <w:i/>
          <w:sz w:val="16"/>
          <w:vertAlign w:val="baseline"/>
        </w:rPr>
        <w:t>έτος</w:t>
      </w:r>
      <w:r>
        <w:rPr>
          <w:i/>
          <w:spacing w:val="-6"/>
          <w:sz w:val="16"/>
          <w:vertAlign w:val="baseline"/>
        </w:rPr>
        <w:t> </w:t>
      </w:r>
      <w:r>
        <w:rPr>
          <w:i/>
          <w:sz w:val="16"/>
          <w:vertAlign w:val="baseline"/>
        </w:rPr>
        <w:t>2025</w:t>
      </w:r>
      <w:r>
        <w:rPr>
          <w:sz w:val="16"/>
          <w:vertAlign w:val="baseline"/>
        </w:rPr>
        <w:t>,</w:t>
      </w:r>
      <w:r>
        <w:rPr>
          <w:spacing w:val="-4"/>
          <w:sz w:val="16"/>
          <w:vertAlign w:val="baseline"/>
        </w:rPr>
        <w:t> </w:t>
      </w:r>
      <w:r>
        <w:rPr>
          <w:sz w:val="16"/>
          <w:vertAlign w:val="baseline"/>
        </w:rPr>
        <w:t>Ειδικό</w:t>
      </w:r>
      <w:r>
        <w:rPr>
          <w:spacing w:val="-2"/>
          <w:sz w:val="16"/>
          <w:vertAlign w:val="baseline"/>
        </w:rPr>
        <w:t> </w:t>
      </w:r>
      <w:r>
        <w:rPr>
          <w:sz w:val="16"/>
          <w:vertAlign w:val="baseline"/>
        </w:rPr>
        <w:t>Θέμα</w:t>
      </w:r>
      <w:r>
        <w:rPr>
          <w:spacing w:val="-6"/>
          <w:sz w:val="16"/>
          <w:vertAlign w:val="baseline"/>
        </w:rPr>
        <w:t> </w:t>
      </w:r>
      <w:r>
        <w:rPr>
          <w:sz w:val="16"/>
          <w:vertAlign w:val="baseline"/>
        </w:rPr>
        <w:t>1</w:t>
      </w:r>
      <w:r>
        <w:rPr>
          <w:spacing w:val="-4"/>
          <w:sz w:val="16"/>
          <w:vertAlign w:val="baseline"/>
        </w:rPr>
        <w:t> </w:t>
      </w:r>
      <w:r>
        <w:rPr>
          <w:sz w:val="16"/>
          <w:vertAlign w:val="baseline"/>
        </w:rPr>
        <w:t>Κεφαλαίου</w:t>
      </w:r>
      <w:r>
        <w:rPr>
          <w:spacing w:val="-4"/>
          <w:sz w:val="16"/>
          <w:vertAlign w:val="baseline"/>
        </w:rPr>
        <w:t> </w:t>
      </w:r>
      <w:r>
        <w:rPr>
          <w:sz w:val="16"/>
          <w:vertAlign w:val="baseline"/>
        </w:rPr>
        <w:t>IV,</w:t>
      </w:r>
      <w:r>
        <w:rPr>
          <w:spacing w:val="-2"/>
          <w:sz w:val="16"/>
          <w:vertAlign w:val="baseline"/>
        </w:rPr>
        <w:t> Απρίλιος.</w:t>
      </w:r>
    </w:p>
    <w:p>
      <w:pPr>
        <w:spacing w:before="20"/>
        <w:ind w:left="172" w:right="954" w:firstLine="0"/>
        <w:jc w:val="both"/>
        <w:rPr>
          <w:sz w:val="16"/>
        </w:rPr>
      </w:pPr>
      <w:bookmarkStart w:name="_bookmark27" w:id="28"/>
      <w:bookmarkEnd w:id="28"/>
      <w:r>
        <w:rPr/>
      </w:r>
      <w:r>
        <w:rPr>
          <w:sz w:val="16"/>
          <w:vertAlign w:val="superscript"/>
        </w:rPr>
        <w:t>19</w:t>
      </w:r>
      <w:r>
        <w:rPr>
          <w:spacing w:val="-6"/>
          <w:sz w:val="16"/>
          <w:vertAlign w:val="baseline"/>
        </w:rPr>
        <w:t> </w:t>
      </w:r>
      <w:r>
        <w:rPr>
          <w:sz w:val="16"/>
          <w:vertAlign w:val="baseline"/>
        </w:rPr>
        <w:t>Bλ.</w:t>
      </w:r>
      <w:r>
        <w:rPr>
          <w:spacing w:val="-6"/>
          <w:sz w:val="16"/>
          <w:vertAlign w:val="baseline"/>
        </w:rPr>
        <w:t> </w:t>
      </w:r>
      <w:r>
        <w:rPr>
          <w:sz w:val="16"/>
          <w:vertAlign w:val="baseline"/>
        </w:rPr>
        <w:t>Υπουργείο</w:t>
      </w:r>
      <w:r>
        <w:rPr>
          <w:spacing w:val="-8"/>
          <w:sz w:val="16"/>
          <w:vertAlign w:val="baseline"/>
        </w:rPr>
        <w:t> </w:t>
      </w:r>
      <w:r>
        <w:rPr>
          <w:sz w:val="16"/>
          <w:vertAlign w:val="baseline"/>
        </w:rPr>
        <w:t>Κοινωνικής</w:t>
      </w:r>
      <w:r>
        <w:rPr>
          <w:spacing w:val="-6"/>
          <w:sz w:val="16"/>
          <w:vertAlign w:val="baseline"/>
        </w:rPr>
        <w:t> </w:t>
      </w:r>
      <w:r>
        <w:rPr>
          <w:sz w:val="16"/>
          <w:vertAlign w:val="baseline"/>
        </w:rPr>
        <w:t>Συνοχής</w:t>
      </w:r>
      <w:r>
        <w:rPr>
          <w:spacing w:val="-8"/>
          <w:sz w:val="16"/>
          <w:vertAlign w:val="baseline"/>
        </w:rPr>
        <w:t> </w:t>
      </w:r>
      <w:r>
        <w:rPr>
          <w:sz w:val="16"/>
          <w:vertAlign w:val="baseline"/>
        </w:rPr>
        <w:t>και</w:t>
      </w:r>
      <w:r>
        <w:rPr>
          <w:spacing w:val="-7"/>
          <w:sz w:val="16"/>
          <w:vertAlign w:val="baseline"/>
        </w:rPr>
        <w:t> </w:t>
      </w:r>
      <w:r>
        <w:rPr>
          <w:sz w:val="16"/>
          <w:vertAlign w:val="baseline"/>
        </w:rPr>
        <w:t>Οικογένειας,</w:t>
      </w:r>
      <w:r>
        <w:rPr>
          <w:spacing w:val="-8"/>
          <w:sz w:val="16"/>
          <w:vertAlign w:val="baseline"/>
        </w:rPr>
        <w:t> </w:t>
      </w:r>
      <w:r>
        <w:rPr>
          <w:sz w:val="16"/>
          <w:vertAlign w:val="baseline"/>
        </w:rPr>
        <w:t>παρουσίαση</w:t>
      </w:r>
      <w:r>
        <w:rPr>
          <w:spacing w:val="-7"/>
          <w:sz w:val="16"/>
          <w:vertAlign w:val="baseline"/>
        </w:rPr>
        <w:t> </w:t>
      </w:r>
      <w:r>
        <w:rPr>
          <w:sz w:val="16"/>
          <w:vertAlign w:val="baseline"/>
        </w:rPr>
        <w:t>αποτελεσμάτων</w:t>
      </w:r>
      <w:r>
        <w:rPr>
          <w:spacing w:val="-8"/>
          <w:sz w:val="16"/>
          <w:vertAlign w:val="baseline"/>
        </w:rPr>
        <w:t> </w:t>
      </w:r>
      <w:r>
        <w:rPr>
          <w:sz w:val="16"/>
          <w:vertAlign w:val="baseline"/>
        </w:rPr>
        <w:t>εφαρμογής</w:t>
      </w:r>
      <w:r>
        <w:rPr>
          <w:spacing w:val="-8"/>
          <w:sz w:val="16"/>
          <w:vertAlign w:val="baseline"/>
        </w:rPr>
        <w:t> </w:t>
      </w:r>
      <w:r>
        <w:rPr>
          <w:sz w:val="16"/>
          <w:vertAlign w:val="baseline"/>
        </w:rPr>
        <w:t>μέτρων</w:t>
      </w:r>
      <w:r>
        <w:rPr>
          <w:spacing w:val="-7"/>
          <w:sz w:val="16"/>
          <w:vertAlign w:val="baseline"/>
        </w:rPr>
        <w:t> </w:t>
      </w:r>
      <w:r>
        <w:rPr>
          <w:sz w:val="16"/>
          <w:vertAlign w:val="baseline"/>
        </w:rPr>
        <w:t>στεγαστικής</w:t>
      </w:r>
      <w:r>
        <w:rPr>
          <w:spacing w:val="-6"/>
          <w:sz w:val="16"/>
          <w:vertAlign w:val="baseline"/>
        </w:rPr>
        <w:t> </w:t>
      </w:r>
      <w:r>
        <w:rPr>
          <w:sz w:val="16"/>
          <w:vertAlign w:val="baseline"/>
        </w:rPr>
        <w:t>πολιτικής</w:t>
      </w:r>
      <w:r>
        <w:rPr>
          <w:spacing w:val="-6"/>
          <w:sz w:val="16"/>
          <w:vertAlign w:val="baseline"/>
        </w:rPr>
        <w:t> </w:t>
      </w:r>
      <w:hyperlink r:id="rId23">
        <w:r>
          <w:rPr>
            <w:sz w:val="16"/>
            <w:vertAlign w:val="baseline"/>
          </w:rPr>
          <w:t>(</w:t>
        </w:r>
        <w:r>
          <w:rPr>
            <w:color w:val="0000FF"/>
            <w:sz w:val="16"/>
            <w:u w:val="single" w:color="0000FF"/>
            <w:vertAlign w:val="baseline"/>
          </w:rPr>
          <w:t>Φε-</w:t>
        </w:r>
      </w:hyperlink>
      <w:hyperlink r:id="rId23">
        <w:r>
          <w:rPr>
            <w:color w:val="0000FF"/>
            <w:sz w:val="16"/>
            <w:u w:val="single" w:color="0000FF"/>
            <w:vertAlign w:val="baseline"/>
          </w:rPr>
          <w:t>βρουάριος</w:t>
        </w:r>
        <w:r>
          <w:rPr>
            <w:color w:val="0000FF"/>
            <w:spacing w:val="-3"/>
            <w:sz w:val="16"/>
            <w:u w:val="single" w:color="0000FF"/>
            <w:vertAlign w:val="baseline"/>
          </w:rPr>
          <w:t> </w:t>
        </w:r>
        <w:r>
          <w:rPr>
            <w:color w:val="0000FF"/>
            <w:sz w:val="16"/>
            <w:u w:val="single" w:color="0000FF"/>
            <w:vertAlign w:val="baseline"/>
          </w:rPr>
          <w:t>2026</w:t>
        </w:r>
        <w:r>
          <w:rPr>
            <w:sz w:val="16"/>
            <w:vertAlign w:val="baseline"/>
          </w:rPr>
          <w:t>)</w:t>
        </w:r>
      </w:hyperlink>
      <w:r>
        <w:rPr>
          <w:sz w:val="16"/>
          <w:vertAlign w:val="baseline"/>
        </w:rPr>
        <w:t>.</w:t>
      </w:r>
    </w:p>
    <w:p>
      <w:pPr>
        <w:spacing w:after="0"/>
        <w:jc w:val="both"/>
        <w:rPr>
          <w:sz w:val="16"/>
        </w:rPr>
        <w:sectPr>
          <w:pgSz w:w="11910" w:h="16850"/>
          <w:pgMar w:header="0" w:footer="1108" w:top="1840" w:bottom="1360" w:left="1417" w:right="850"/>
        </w:sectPr>
      </w:pPr>
    </w:p>
    <w:p>
      <w:pPr>
        <w:pStyle w:val="BodyText"/>
        <w:spacing w:before="142"/>
      </w:pPr>
      <w:r>
        <w:rPr/>
        <mc:AlternateContent>
          <mc:Choice Requires="wps">
            <w:drawing>
              <wp:anchor distT="0" distB="0" distL="0" distR="0" allowOverlap="1" layoutInCell="1" locked="0" behindDoc="1" simplePos="0" relativeHeight="482657280">
                <wp:simplePos x="0" y="0"/>
                <wp:positionH relativeFrom="page">
                  <wp:posOffset>961948</wp:posOffset>
                </wp:positionH>
                <wp:positionV relativeFrom="page">
                  <wp:posOffset>1417573</wp:posOffset>
                </wp:positionV>
                <wp:extent cx="5495290" cy="833310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5495290" cy="8333105"/>
                          <a:chExt cx="5495290" cy="8333105"/>
                        </a:xfrm>
                      </wpg:grpSpPr>
                      <wps:wsp>
                        <wps:cNvPr id="48" name="Graphic 48"/>
                        <wps:cNvSpPr/>
                        <wps:spPr>
                          <a:xfrm>
                            <a:off x="6095" y="6095"/>
                            <a:ext cx="5483225" cy="457200"/>
                          </a:xfrm>
                          <a:custGeom>
                            <a:avLst/>
                            <a:gdLst/>
                            <a:ahLst/>
                            <a:cxnLst/>
                            <a:rect l="l" t="t" r="r" b="b"/>
                            <a:pathLst>
                              <a:path w="5483225" h="457200">
                                <a:moveTo>
                                  <a:pt x="5482717" y="0"/>
                                </a:moveTo>
                                <a:lnTo>
                                  <a:pt x="0" y="0"/>
                                </a:lnTo>
                                <a:lnTo>
                                  <a:pt x="0" y="457200"/>
                                </a:lnTo>
                                <a:lnTo>
                                  <a:pt x="5482717" y="457200"/>
                                </a:lnTo>
                                <a:lnTo>
                                  <a:pt x="5482717" y="0"/>
                                </a:lnTo>
                                <a:close/>
                              </a:path>
                            </a:pathLst>
                          </a:custGeom>
                          <a:solidFill>
                            <a:srgbClr val="1F487C"/>
                          </a:solidFill>
                        </wps:spPr>
                        <wps:bodyPr wrap="square" lIns="0" tIns="0" rIns="0" bIns="0" rtlCol="0">
                          <a:prstTxWarp prst="textNoShape">
                            <a:avLst/>
                          </a:prstTxWarp>
                          <a:noAutofit/>
                        </wps:bodyPr>
                      </wps:wsp>
                      <wps:wsp>
                        <wps:cNvPr id="49" name="Graphic 49"/>
                        <wps:cNvSpPr/>
                        <wps:spPr>
                          <a:xfrm>
                            <a:off x="0" y="0"/>
                            <a:ext cx="5495290" cy="463550"/>
                          </a:xfrm>
                          <a:custGeom>
                            <a:avLst/>
                            <a:gdLst/>
                            <a:ahLst/>
                            <a:cxnLst/>
                            <a:rect l="l" t="t" r="r" b="b"/>
                            <a:pathLst>
                              <a:path w="5495290" h="463550">
                                <a:moveTo>
                                  <a:pt x="5488800" y="0"/>
                                </a:moveTo>
                                <a:lnTo>
                                  <a:pt x="6096" y="0"/>
                                </a:lnTo>
                                <a:lnTo>
                                  <a:pt x="0" y="0"/>
                                </a:lnTo>
                                <a:lnTo>
                                  <a:pt x="0" y="6096"/>
                                </a:lnTo>
                                <a:lnTo>
                                  <a:pt x="0" y="463296"/>
                                </a:lnTo>
                                <a:lnTo>
                                  <a:pt x="6096" y="463296"/>
                                </a:lnTo>
                                <a:lnTo>
                                  <a:pt x="6096" y="6096"/>
                                </a:lnTo>
                                <a:lnTo>
                                  <a:pt x="5488800" y="6096"/>
                                </a:lnTo>
                                <a:lnTo>
                                  <a:pt x="5488800" y="0"/>
                                </a:lnTo>
                                <a:close/>
                              </a:path>
                              <a:path w="5495290" h="463550">
                                <a:moveTo>
                                  <a:pt x="5494985" y="0"/>
                                </a:moveTo>
                                <a:lnTo>
                                  <a:pt x="5488889" y="0"/>
                                </a:lnTo>
                                <a:lnTo>
                                  <a:pt x="5488889" y="6096"/>
                                </a:lnTo>
                                <a:lnTo>
                                  <a:pt x="5488889" y="463296"/>
                                </a:lnTo>
                                <a:lnTo>
                                  <a:pt x="5494985" y="463296"/>
                                </a:lnTo>
                                <a:lnTo>
                                  <a:pt x="5494985" y="6096"/>
                                </a:lnTo>
                                <a:lnTo>
                                  <a:pt x="5494985"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6095" y="463372"/>
                            <a:ext cx="5483225" cy="7861934"/>
                          </a:xfrm>
                          <a:custGeom>
                            <a:avLst/>
                            <a:gdLst/>
                            <a:ahLst/>
                            <a:cxnLst/>
                            <a:rect l="l" t="t" r="r" b="b"/>
                            <a:pathLst>
                              <a:path w="5483225" h="7861934">
                                <a:moveTo>
                                  <a:pt x="5482717" y="0"/>
                                </a:moveTo>
                                <a:lnTo>
                                  <a:pt x="0" y="0"/>
                                </a:lnTo>
                                <a:lnTo>
                                  <a:pt x="0" y="7861681"/>
                                </a:lnTo>
                                <a:lnTo>
                                  <a:pt x="5482717" y="7861681"/>
                                </a:lnTo>
                                <a:lnTo>
                                  <a:pt x="5482717" y="0"/>
                                </a:lnTo>
                                <a:close/>
                              </a:path>
                            </a:pathLst>
                          </a:custGeom>
                          <a:solidFill>
                            <a:srgbClr val="D9D9D9"/>
                          </a:solidFill>
                        </wps:spPr>
                        <wps:bodyPr wrap="square" lIns="0" tIns="0" rIns="0" bIns="0" rtlCol="0">
                          <a:prstTxWarp prst="textNoShape">
                            <a:avLst/>
                          </a:prstTxWarp>
                          <a:noAutofit/>
                        </wps:bodyPr>
                      </wps:wsp>
                      <wps:wsp>
                        <wps:cNvPr id="51" name="Graphic 51"/>
                        <wps:cNvSpPr/>
                        <wps:spPr>
                          <a:xfrm>
                            <a:off x="0" y="463371"/>
                            <a:ext cx="5495290" cy="7869555"/>
                          </a:xfrm>
                          <a:custGeom>
                            <a:avLst/>
                            <a:gdLst/>
                            <a:ahLst/>
                            <a:cxnLst/>
                            <a:rect l="l" t="t" r="r" b="b"/>
                            <a:pathLst>
                              <a:path w="5495290" h="7869555">
                                <a:moveTo>
                                  <a:pt x="77724" y="6051232"/>
                                </a:moveTo>
                                <a:lnTo>
                                  <a:pt x="71628" y="6051232"/>
                                </a:lnTo>
                                <a:lnTo>
                                  <a:pt x="71628" y="6445936"/>
                                </a:lnTo>
                                <a:lnTo>
                                  <a:pt x="77724" y="6445936"/>
                                </a:lnTo>
                                <a:lnTo>
                                  <a:pt x="77724" y="6051232"/>
                                </a:lnTo>
                                <a:close/>
                              </a:path>
                              <a:path w="5495290" h="7869555">
                                <a:moveTo>
                                  <a:pt x="77724" y="3975277"/>
                                </a:moveTo>
                                <a:lnTo>
                                  <a:pt x="71628" y="3975277"/>
                                </a:lnTo>
                                <a:lnTo>
                                  <a:pt x="71628" y="6051220"/>
                                </a:lnTo>
                                <a:lnTo>
                                  <a:pt x="77724" y="6051220"/>
                                </a:lnTo>
                                <a:lnTo>
                                  <a:pt x="77724" y="3975277"/>
                                </a:lnTo>
                                <a:close/>
                              </a:path>
                              <a:path w="5495290" h="7869555">
                                <a:moveTo>
                                  <a:pt x="5380609" y="6445948"/>
                                </a:moveTo>
                                <a:lnTo>
                                  <a:pt x="77724" y="6445948"/>
                                </a:lnTo>
                                <a:lnTo>
                                  <a:pt x="71628" y="6445948"/>
                                </a:lnTo>
                                <a:lnTo>
                                  <a:pt x="71628" y="6452032"/>
                                </a:lnTo>
                                <a:lnTo>
                                  <a:pt x="77724" y="6452032"/>
                                </a:lnTo>
                                <a:lnTo>
                                  <a:pt x="5380609" y="6452032"/>
                                </a:lnTo>
                                <a:lnTo>
                                  <a:pt x="5380609" y="6445948"/>
                                </a:lnTo>
                                <a:close/>
                              </a:path>
                              <a:path w="5495290" h="7869555">
                                <a:moveTo>
                                  <a:pt x="5380609" y="3391204"/>
                                </a:moveTo>
                                <a:lnTo>
                                  <a:pt x="77724" y="3391204"/>
                                </a:lnTo>
                                <a:lnTo>
                                  <a:pt x="71628" y="3391204"/>
                                </a:lnTo>
                                <a:lnTo>
                                  <a:pt x="71628" y="3397250"/>
                                </a:lnTo>
                                <a:lnTo>
                                  <a:pt x="71628" y="3758742"/>
                                </a:lnTo>
                                <a:lnTo>
                                  <a:pt x="71628" y="3975150"/>
                                </a:lnTo>
                                <a:lnTo>
                                  <a:pt x="77724" y="3975150"/>
                                </a:lnTo>
                                <a:lnTo>
                                  <a:pt x="77724" y="3758742"/>
                                </a:lnTo>
                                <a:lnTo>
                                  <a:pt x="77724" y="3397300"/>
                                </a:lnTo>
                                <a:lnTo>
                                  <a:pt x="5380609" y="3397300"/>
                                </a:lnTo>
                                <a:lnTo>
                                  <a:pt x="5380609" y="3391204"/>
                                </a:lnTo>
                                <a:close/>
                              </a:path>
                              <a:path w="5495290" h="7869555">
                                <a:moveTo>
                                  <a:pt x="5386768" y="6445948"/>
                                </a:moveTo>
                                <a:lnTo>
                                  <a:pt x="5380685" y="6445948"/>
                                </a:lnTo>
                                <a:lnTo>
                                  <a:pt x="5380685" y="6452032"/>
                                </a:lnTo>
                                <a:lnTo>
                                  <a:pt x="5386768" y="6452032"/>
                                </a:lnTo>
                                <a:lnTo>
                                  <a:pt x="5386768" y="6445948"/>
                                </a:lnTo>
                                <a:close/>
                              </a:path>
                              <a:path w="5495290" h="7869555">
                                <a:moveTo>
                                  <a:pt x="5386768" y="6051232"/>
                                </a:moveTo>
                                <a:lnTo>
                                  <a:pt x="5380685" y="6051232"/>
                                </a:lnTo>
                                <a:lnTo>
                                  <a:pt x="5380685" y="6445936"/>
                                </a:lnTo>
                                <a:lnTo>
                                  <a:pt x="5386768" y="6445936"/>
                                </a:lnTo>
                                <a:lnTo>
                                  <a:pt x="5386768" y="6051232"/>
                                </a:lnTo>
                                <a:close/>
                              </a:path>
                              <a:path w="5495290" h="7869555">
                                <a:moveTo>
                                  <a:pt x="5386768" y="3975277"/>
                                </a:moveTo>
                                <a:lnTo>
                                  <a:pt x="5380685" y="3975277"/>
                                </a:lnTo>
                                <a:lnTo>
                                  <a:pt x="5380685" y="6051220"/>
                                </a:lnTo>
                                <a:lnTo>
                                  <a:pt x="5386768" y="6051220"/>
                                </a:lnTo>
                                <a:lnTo>
                                  <a:pt x="5386768" y="3975277"/>
                                </a:lnTo>
                                <a:close/>
                              </a:path>
                              <a:path w="5495290" h="7869555">
                                <a:moveTo>
                                  <a:pt x="5386768" y="3391204"/>
                                </a:moveTo>
                                <a:lnTo>
                                  <a:pt x="5380685" y="3391204"/>
                                </a:lnTo>
                                <a:lnTo>
                                  <a:pt x="5380685" y="3397250"/>
                                </a:lnTo>
                                <a:lnTo>
                                  <a:pt x="5380685" y="3758742"/>
                                </a:lnTo>
                                <a:lnTo>
                                  <a:pt x="5380685" y="3975150"/>
                                </a:lnTo>
                                <a:lnTo>
                                  <a:pt x="5386768" y="3975150"/>
                                </a:lnTo>
                                <a:lnTo>
                                  <a:pt x="5386768" y="3758742"/>
                                </a:lnTo>
                                <a:lnTo>
                                  <a:pt x="5386768" y="3397300"/>
                                </a:lnTo>
                                <a:lnTo>
                                  <a:pt x="5386768" y="3391204"/>
                                </a:lnTo>
                                <a:close/>
                              </a:path>
                              <a:path w="5495290" h="7869555">
                                <a:moveTo>
                                  <a:pt x="5488800" y="7863205"/>
                                </a:moveTo>
                                <a:lnTo>
                                  <a:pt x="6096" y="7863205"/>
                                </a:lnTo>
                                <a:lnTo>
                                  <a:pt x="6096" y="0"/>
                                </a:lnTo>
                                <a:lnTo>
                                  <a:pt x="0" y="0"/>
                                </a:lnTo>
                                <a:lnTo>
                                  <a:pt x="0" y="7863205"/>
                                </a:lnTo>
                                <a:lnTo>
                                  <a:pt x="0" y="7869301"/>
                                </a:lnTo>
                                <a:lnTo>
                                  <a:pt x="6096" y="7869301"/>
                                </a:lnTo>
                                <a:lnTo>
                                  <a:pt x="5488800" y="7869301"/>
                                </a:lnTo>
                                <a:lnTo>
                                  <a:pt x="5488800" y="7863205"/>
                                </a:lnTo>
                                <a:close/>
                              </a:path>
                              <a:path w="5495290" h="7869555">
                                <a:moveTo>
                                  <a:pt x="5494985" y="0"/>
                                </a:moveTo>
                                <a:lnTo>
                                  <a:pt x="5488889" y="0"/>
                                </a:lnTo>
                                <a:lnTo>
                                  <a:pt x="5488889" y="7863205"/>
                                </a:lnTo>
                                <a:lnTo>
                                  <a:pt x="5488889" y="7869301"/>
                                </a:lnTo>
                                <a:lnTo>
                                  <a:pt x="5494985" y="7869301"/>
                                </a:lnTo>
                                <a:lnTo>
                                  <a:pt x="5494985" y="7863205"/>
                                </a:lnTo>
                                <a:lnTo>
                                  <a:pt x="5494985"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802012" y="6307690"/>
                            <a:ext cx="1530350" cy="1270"/>
                          </a:xfrm>
                          <a:custGeom>
                            <a:avLst/>
                            <a:gdLst/>
                            <a:ahLst/>
                            <a:cxnLst/>
                            <a:rect l="l" t="t" r="r" b="b"/>
                            <a:pathLst>
                              <a:path w="1530350" h="0">
                                <a:moveTo>
                                  <a:pt x="0" y="0"/>
                                </a:moveTo>
                                <a:lnTo>
                                  <a:pt x="1530205" y="0"/>
                                </a:lnTo>
                              </a:path>
                            </a:pathLst>
                          </a:custGeom>
                          <a:ln w="7598">
                            <a:solidFill>
                              <a:srgbClr val="FFFFFF"/>
                            </a:solidFill>
                            <a:prstDash val="solid"/>
                          </a:ln>
                        </wps:spPr>
                        <wps:bodyPr wrap="square" lIns="0" tIns="0" rIns="0" bIns="0" rtlCol="0">
                          <a:prstTxWarp prst="textNoShape">
                            <a:avLst/>
                          </a:prstTxWarp>
                          <a:noAutofit/>
                        </wps:bodyPr>
                      </wps:wsp>
                      <wps:wsp>
                        <wps:cNvPr id="53" name="Graphic 53"/>
                        <wps:cNvSpPr/>
                        <wps:spPr>
                          <a:xfrm>
                            <a:off x="802012" y="5252545"/>
                            <a:ext cx="1530350" cy="527685"/>
                          </a:xfrm>
                          <a:custGeom>
                            <a:avLst/>
                            <a:gdLst/>
                            <a:ahLst/>
                            <a:cxnLst/>
                            <a:rect l="l" t="t" r="r" b="b"/>
                            <a:pathLst>
                              <a:path w="1530350" h="527685">
                                <a:moveTo>
                                  <a:pt x="0" y="527564"/>
                                </a:moveTo>
                                <a:lnTo>
                                  <a:pt x="32557" y="527564"/>
                                </a:lnTo>
                              </a:path>
                              <a:path w="1530350" h="527685">
                                <a:moveTo>
                                  <a:pt x="345101" y="527564"/>
                                </a:moveTo>
                                <a:lnTo>
                                  <a:pt x="416728" y="527564"/>
                                </a:lnTo>
                              </a:path>
                              <a:path w="1530350" h="527685">
                                <a:moveTo>
                                  <a:pt x="729283" y="527564"/>
                                </a:moveTo>
                                <a:lnTo>
                                  <a:pt x="794399" y="527564"/>
                                </a:lnTo>
                              </a:path>
                              <a:path w="1530350" h="527685">
                                <a:moveTo>
                                  <a:pt x="1113465" y="527564"/>
                                </a:moveTo>
                                <a:lnTo>
                                  <a:pt x="1178581" y="527564"/>
                                </a:lnTo>
                              </a:path>
                              <a:path w="1530350" h="527685">
                                <a:moveTo>
                                  <a:pt x="1497647" y="527564"/>
                                </a:moveTo>
                                <a:lnTo>
                                  <a:pt x="1530205" y="527564"/>
                                </a:lnTo>
                              </a:path>
                              <a:path w="1530350" h="527685">
                                <a:moveTo>
                                  <a:pt x="1113465" y="0"/>
                                </a:moveTo>
                                <a:lnTo>
                                  <a:pt x="1178581" y="0"/>
                                </a:lnTo>
                              </a:path>
                              <a:path w="1530350" h="527685">
                                <a:moveTo>
                                  <a:pt x="1497647" y="0"/>
                                </a:moveTo>
                                <a:lnTo>
                                  <a:pt x="1530205" y="0"/>
                                </a:lnTo>
                              </a:path>
                              <a:path w="1530350" h="527685">
                                <a:moveTo>
                                  <a:pt x="729283" y="0"/>
                                </a:moveTo>
                                <a:lnTo>
                                  <a:pt x="794399" y="0"/>
                                </a:lnTo>
                              </a:path>
                              <a:path w="1530350" h="527685">
                                <a:moveTo>
                                  <a:pt x="345101" y="0"/>
                                </a:moveTo>
                                <a:lnTo>
                                  <a:pt x="416728" y="0"/>
                                </a:lnTo>
                              </a:path>
                              <a:path w="1530350" h="527685">
                                <a:moveTo>
                                  <a:pt x="0" y="0"/>
                                </a:moveTo>
                                <a:lnTo>
                                  <a:pt x="32557" y="0"/>
                                </a:lnTo>
                              </a:path>
                            </a:pathLst>
                          </a:custGeom>
                          <a:ln w="7598">
                            <a:solidFill>
                              <a:srgbClr val="FFFFFF"/>
                            </a:solidFill>
                            <a:prstDash val="solid"/>
                          </a:ln>
                        </wps:spPr>
                        <wps:bodyPr wrap="square" lIns="0" tIns="0" rIns="0" bIns="0" rtlCol="0">
                          <a:prstTxWarp prst="textNoShape">
                            <a:avLst/>
                          </a:prstTxWarp>
                          <a:noAutofit/>
                        </wps:bodyPr>
                      </wps:wsp>
                      <wps:wsp>
                        <wps:cNvPr id="54" name="Graphic 54"/>
                        <wps:cNvSpPr/>
                        <wps:spPr>
                          <a:xfrm>
                            <a:off x="834567" y="5428411"/>
                            <a:ext cx="1465580" cy="879475"/>
                          </a:xfrm>
                          <a:custGeom>
                            <a:avLst/>
                            <a:gdLst/>
                            <a:ahLst/>
                            <a:cxnLst/>
                            <a:rect l="l" t="t" r="r" b="b"/>
                            <a:pathLst>
                              <a:path w="1465580" h="879475">
                                <a:moveTo>
                                  <a:pt x="312534" y="0"/>
                                </a:moveTo>
                                <a:lnTo>
                                  <a:pt x="0" y="0"/>
                                </a:lnTo>
                                <a:lnTo>
                                  <a:pt x="0" y="879284"/>
                                </a:lnTo>
                                <a:lnTo>
                                  <a:pt x="312534" y="879284"/>
                                </a:lnTo>
                                <a:lnTo>
                                  <a:pt x="312534" y="0"/>
                                </a:lnTo>
                                <a:close/>
                              </a:path>
                              <a:path w="1465580" h="879475">
                                <a:moveTo>
                                  <a:pt x="696722" y="32562"/>
                                </a:moveTo>
                                <a:lnTo>
                                  <a:pt x="384162" y="32562"/>
                                </a:lnTo>
                                <a:lnTo>
                                  <a:pt x="384162" y="879284"/>
                                </a:lnTo>
                                <a:lnTo>
                                  <a:pt x="696722" y="879284"/>
                                </a:lnTo>
                                <a:lnTo>
                                  <a:pt x="696722" y="32562"/>
                                </a:lnTo>
                                <a:close/>
                              </a:path>
                              <a:path w="1465580" h="879475">
                                <a:moveTo>
                                  <a:pt x="1080909" y="58610"/>
                                </a:moveTo>
                                <a:lnTo>
                                  <a:pt x="761834" y="58610"/>
                                </a:lnTo>
                                <a:lnTo>
                                  <a:pt x="761834" y="879284"/>
                                </a:lnTo>
                                <a:lnTo>
                                  <a:pt x="1080909" y="879284"/>
                                </a:lnTo>
                                <a:lnTo>
                                  <a:pt x="1080909" y="58610"/>
                                </a:lnTo>
                                <a:close/>
                              </a:path>
                              <a:path w="1465580" h="879475">
                                <a:moveTo>
                                  <a:pt x="1465084" y="13017"/>
                                </a:moveTo>
                                <a:lnTo>
                                  <a:pt x="1146022" y="13017"/>
                                </a:lnTo>
                                <a:lnTo>
                                  <a:pt x="1146022" y="879284"/>
                                </a:lnTo>
                                <a:lnTo>
                                  <a:pt x="1465084" y="879284"/>
                                </a:lnTo>
                                <a:lnTo>
                                  <a:pt x="1465084" y="13017"/>
                                </a:lnTo>
                                <a:close/>
                              </a:path>
                            </a:pathLst>
                          </a:custGeom>
                          <a:solidFill>
                            <a:srgbClr val="2D75B6"/>
                          </a:solidFill>
                        </wps:spPr>
                        <wps:bodyPr wrap="square" lIns="0" tIns="0" rIns="0" bIns="0" rtlCol="0">
                          <a:prstTxWarp prst="textNoShape">
                            <a:avLst/>
                          </a:prstTxWarp>
                          <a:noAutofit/>
                        </wps:bodyPr>
                      </wps:wsp>
                      <wps:wsp>
                        <wps:cNvPr id="55" name="Graphic 55"/>
                        <wps:cNvSpPr/>
                        <wps:spPr>
                          <a:xfrm>
                            <a:off x="834570" y="5428400"/>
                            <a:ext cx="1465580" cy="879475"/>
                          </a:xfrm>
                          <a:custGeom>
                            <a:avLst/>
                            <a:gdLst/>
                            <a:ahLst/>
                            <a:cxnLst/>
                            <a:rect l="l" t="t" r="r" b="b"/>
                            <a:pathLst>
                              <a:path w="1465580" h="879475">
                                <a:moveTo>
                                  <a:pt x="0" y="0"/>
                                </a:moveTo>
                                <a:lnTo>
                                  <a:pt x="312543" y="0"/>
                                </a:lnTo>
                                <a:lnTo>
                                  <a:pt x="312544" y="879290"/>
                                </a:lnTo>
                                <a:lnTo>
                                  <a:pt x="0" y="879290"/>
                                </a:lnTo>
                                <a:lnTo>
                                  <a:pt x="0" y="0"/>
                                </a:lnTo>
                                <a:close/>
                              </a:path>
                              <a:path w="1465580" h="879475">
                                <a:moveTo>
                                  <a:pt x="384171" y="32565"/>
                                </a:moveTo>
                                <a:lnTo>
                                  <a:pt x="696725" y="32565"/>
                                </a:lnTo>
                                <a:lnTo>
                                  <a:pt x="696725" y="879290"/>
                                </a:lnTo>
                                <a:lnTo>
                                  <a:pt x="384171" y="879290"/>
                                </a:lnTo>
                                <a:lnTo>
                                  <a:pt x="384171" y="32565"/>
                                </a:lnTo>
                                <a:close/>
                              </a:path>
                              <a:path w="1465580" h="879475">
                                <a:moveTo>
                                  <a:pt x="761841" y="58618"/>
                                </a:moveTo>
                                <a:lnTo>
                                  <a:pt x="1080907" y="58618"/>
                                </a:lnTo>
                                <a:lnTo>
                                  <a:pt x="1080907" y="879290"/>
                                </a:lnTo>
                                <a:lnTo>
                                  <a:pt x="761841" y="879290"/>
                                </a:lnTo>
                                <a:lnTo>
                                  <a:pt x="761841" y="58618"/>
                                </a:lnTo>
                                <a:close/>
                              </a:path>
                              <a:path w="1465580" h="879475">
                                <a:moveTo>
                                  <a:pt x="1146023" y="13026"/>
                                </a:moveTo>
                                <a:lnTo>
                                  <a:pt x="1465089" y="13026"/>
                                </a:lnTo>
                                <a:lnTo>
                                  <a:pt x="1465089" y="879290"/>
                                </a:lnTo>
                                <a:lnTo>
                                  <a:pt x="1146023" y="879290"/>
                                </a:lnTo>
                                <a:lnTo>
                                  <a:pt x="1146023" y="13026"/>
                                </a:lnTo>
                                <a:close/>
                              </a:path>
                            </a:pathLst>
                          </a:custGeom>
                          <a:ln w="7597">
                            <a:solidFill>
                              <a:srgbClr val="FFFFFF"/>
                            </a:solidFill>
                            <a:prstDash val="solid"/>
                          </a:ln>
                        </wps:spPr>
                        <wps:bodyPr wrap="square" lIns="0" tIns="0" rIns="0" bIns="0" rtlCol="0">
                          <a:prstTxWarp prst="textNoShape">
                            <a:avLst/>
                          </a:prstTxWarp>
                          <a:noAutofit/>
                        </wps:bodyPr>
                      </wps:wsp>
                      <wps:wsp>
                        <wps:cNvPr id="56" name="Graphic 56"/>
                        <wps:cNvSpPr/>
                        <wps:spPr>
                          <a:xfrm>
                            <a:off x="834567" y="4731499"/>
                            <a:ext cx="1465580" cy="755650"/>
                          </a:xfrm>
                          <a:custGeom>
                            <a:avLst/>
                            <a:gdLst/>
                            <a:ahLst/>
                            <a:cxnLst/>
                            <a:rect l="l" t="t" r="r" b="b"/>
                            <a:pathLst>
                              <a:path w="1465580" h="755650">
                                <a:moveTo>
                                  <a:pt x="312534" y="0"/>
                                </a:moveTo>
                                <a:lnTo>
                                  <a:pt x="0" y="0"/>
                                </a:lnTo>
                                <a:lnTo>
                                  <a:pt x="0" y="696912"/>
                                </a:lnTo>
                                <a:lnTo>
                                  <a:pt x="312534" y="696912"/>
                                </a:lnTo>
                                <a:lnTo>
                                  <a:pt x="312534" y="0"/>
                                </a:lnTo>
                                <a:close/>
                              </a:path>
                              <a:path w="1465580" h="755650">
                                <a:moveTo>
                                  <a:pt x="696722" y="0"/>
                                </a:moveTo>
                                <a:lnTo>
                                  <a:pt x="384162" y="0"/>
                                </a:lnTo>
                                <a:lnTo>
                                  <a:pt x="384162" y="729475"/>
                                </a:lnTo>
                                <a:lnTo>
                                  <a:pt x="696722" y="729475"/>
                                </a:lnTo>
                                <a:lnTo>
                                  <a:pt x="696722" y="0"/>
                                </a:lnTo>
                                <a:close/>
                              </a:path>
                              <a:path w="1465580" h="755650">
                                <a:moveTo>
                                  <a:pt x="1080909" y="0"/>
                                </a:moveTo>
                                <a:lnTo>
                                  <a:pt x="761834" y="0"/>
                                </a:lnTo>
                                <a:lnTo>
                                  <a:pt x="761834" y="755523"/>
                                </a:lnTo>
                                <a:lnTo>
                                  <a:pt x="1080909" y="755523"/>
                                </a:lnTo>
                                <a:lnTo>
                                  <a:pt x="1080909" y="0"/>
                                </a:lnTo>
                                <a:close/>
                              </a:path>
                              <a:path w="1465580" h="755650">
                                <a:moveTo>
                                  <a:pt x="1465084" y="0"/>
                                </a:moveTo>
                                <a:lnTo>
                                  <a:pt x="1146022" y="0"/>
                                </a:lnTo>
                                <a:lnTo>
                                  <a:pt x="1146022" y="709930"/>
                                </a:lnTo>
                                <a:lnTo>
                                  <a:pt x="1465084" y="709930"/>
                                </a:lnTo>
                                <a:lnTo>
                                  <a:pt x="1465084" y="0"/>
                                </a:lnTo>
                                <a:close/>
                              </a:path>
                            </a:pathLst>
                          </a:custGeom>
                          <a:solidFill>
                            <a:srgbClr val="E8E8E8"/>
                          </a:solidFill>
                        </wps:spPr>
                        <wps:bodyPr wrap="square" lIns="0" tIns="0" rIns="0" bIns="0" rtlCol="0">
                          <a:prstTxWarp prst="textNoShape">
                            <a:avLst/>
                          </a:prstTxWarp>
                          <a:noAutofit/>
                        </wps:bodyPr>
                      </wps:wsp>
                      <wps:wsp>
                        <wps:cNvPr id="57" name="Graphic 57"/>
                        <wps:cNvSpPr/>
                        <wps:spPr>
                          <a:xfrm>
                            <a:off x="802012" y="4731493"/>
                            <a:ext cx="1530350" cy="755650"/>
                          </a:xfrm>
                          <a:custGeom>
                            <a:avLst/>
                            <a:gdLst/>
                            <a:ahLst/>
                            <a:cxnLst/>
                            <a:rect l="l" t="t" r="r" b="b"/>
                            <a:pathLst>
                              <a:path w="1530350" h="755650">
                                <a:moveTo>
                                  <a:pt x="32557" y="0"/>
                                </a:moveTo>
                                <a:lnTo>
                                  <a:pt x="345101" y="0"/>
                                </a:lnTo>
                                <a:lnTo>
                                  <a:pt x="345101" y="696906"/>
                                </a:lnTo>
                                <a:lnTo>
                                  <a:pt x="32557" y="696906"/>
                                </a:lnTo>
                                <a:lnTo>
                                  <a:pt x="32557" y="0"/>
                                </a:lnTo>
                                <a:close/>
                              </a:path>
                              <a:path w="1530350" h="755650">
                                <a:moveTo>
                                  <a:pt x="416728" y="0"/>
                                </a:moveTo>
                                <a:lnTo>
                                  <a:pt x="729283" y="0"/>
                                </a:lnTo>
                                <a:lnTo>
                                  <a:pt x="729283" y="729471"/>
                                </a:lnTo>
                                <a:lnTo>
                                  <a:pt x="416728" y="729471"/>
                                </a:lnTo>
                                <a:lnTo>
                                  <a:pt x="416728" y="0"/>
                                </a:lnTo>
                                <a:close/>
                              </a:path>
                              <a:path w="1530350" h="755650">
                                <a:moveTo>
                                  <a:pt x="794399" y="0"/>
                                </a:moveTo>
                                <a:lnTo>
                                  <a:pt x="1113465" y="0"/>
                                </a:lnTo>
                                <a:lnTo>
                                  <a:pt x="1113465" y="755524"/>
                                </a:lnTo>
                                <a:lnTo>
                                  <a:pt x="794399" y="755524"/>
                                </a:lnTo>
                                <a:lnTo>
                                  <a:pt x="794399" y="0"/>
                                </a:lnTo>
                                <a:close/>
                              </a:path>
                              <a:path w="1530350" h="755650">
                                <a:moveTo>
                                  <a:pt x="1178581" y="0"/>
                                </a:moveTo>
                                <a:lnTo>
                                  <a:pt x="1497647" y="0"/>
                                </a:lnTo>
                                <a:lnTo>
                                  <a:pt x="1497647" y="709932"/>
                                </a:lnTo>
                                <a:lnTo>
                                  <a:pt x="1178581" y="709932"/>
                                </a:lnTo>
                                <a:lnTo>
                                  <a:pt x="1178581" y="0"/>
                                </a:lnTo>
                                <a:close/>
                              </a:path>
                              <a:path w="1530350" h="755650">
                                <a:moveTo>
                                  <a:pt x="0" y="0"/>
                                </a:moveTo>
                                <a:lnTo>
                                  <a:pt x="1530205" y="0"/>
                                </a:lnTo>
                              </a:path>
                            </a:pathLst>
                          </a:custGeom>
                          <a:ln w="7597">
                            <a:solidFill>
                              <a:srgbClr val="FFFFFF"/>
                            </a:solidFill>
                            <a:prstDash val="solid"/>
                          </a:ln>
                        </wps:spPr>
                        <wps:bodyPr wrap="square" lIns="0" tIns="0" rIns="0" bIns="0" rtlCol="0">
                          <a:prstTxWarp prst="textNoShape">
                            <a:avLst/>
                          </a:prstTxWarp>
                          <a:noAutofit/>
                        </wps:bodyPr>
                      </wps:wsp>
                      <wps:wsp>
                        <wps:cNvPr id="58" name="Graphic 58"/>
                        <wps:cNvSpPr/>
                        <wps:spPr>
                          <a:xfrm>
                            <a:off x="619689" y="4529586"/>
                            <a:ext cx="39370" cy="39370"/>
                          </a:xfrm>
                          <a:custGeom>
                            <a:avLst/>
                            <a:gdLst/>
                            <a:ahLst/>
                            <a:cxnLst/>
                            <a:rect l="l" t="t" r="r" b="b"/>
                            <a:pathLst>
                              <a:path w="39370" h="39370">
                                <a:moveTo>
                                  <a:pt x="39069" y="0"/>
                                </a:moveTo>
                                <a:lnTo>
                                  <a:pt x="0" y="0"/>
                                </a:lnTo>
                                <a:lnTo>
                                  <a:pt x="0" y="39078"/>
                                </a:lnTo>
                                <a:lnTo>
                                  <a:pt x="39069" y="39078"/>
                                </a:lnTo>
                                <a:lnTo>
                                  <a:pt x="39069" y="0"/>
                                </a:lnTo>
                                <a:close/>
                              </a:path>
                            </a:pathLst>
                          </a:custGeom>
                          <a:solidFill>
                            <a:srgbClr val="2D75B6"/>
                          </a:solidFill>
                        </wps:spPr>
                        <wps:bodyPr wrap="square" lIns="0" tIns="0" rIns="0" bIns="0" rtlCol="0">
                          <a:prstTxWarp prst="textNoShape">
                            <a:avLst/>
                          </a:prstTxWarp>
                          <a:noAutofit/>
                        </wps:bodyPr>
                      </wps:wsp>
                      <wps:wsp>
                        <wps:cNvPr id="59" name="Graphic 59"/>
                        <wps:cNvSpPr/>
                        <wps:spPr>
                          <a:xfrm>
                            <a:off x="619689" y="4529586"/>
                            <a:ext cx="39370" cy="39370"/>
                          </a:xfrm>
                          <a:custGeom>
                            <a:avLst/>
                            <a:gdLst/>
                            <a:ahLst/>
                            <a:cxnLst/>
                            <a:rect l="l" t="t" r="r" b="b"/>
                            <a:pathLst>
                              <a:path w="39370" h="39370">
                                <a:moveTo>
                                  <a:pt x="0" y="39078"/>
                                </a:moveTo>
                                <a:lnTo>
                                  <a:pt x="39069" y="39078"/>
                                </a:lnTo>
                                <a:lnTo>
                                  <a:pt x="39069" y="0"/>
                                </a:lnTo>
                                <a:lnTo>
                                  <a:pt x="0" y="0"/>
                                </a:lnTo>
                                <a:lnTo>
                                  <a:pt x="0" y="39078"/>
                                </a:lnTo>
                                <a:close/>
                              </a:path>
                            </a:pathLst>
                          </a:custGeom>
                          <a:ln w="7597">
                            <a:solidFill>
                              <a:srgbClr val="FFFFFF"/>
                            </a:solidFill>
                            <a:prstDash val="solid"/>
                          </a:ln>
                        </wps:spPr>
                        <wps:bodyPr wrap="square" lIns="0" tIns="0" rIns="0" bIns="0" rtlCol="0">
                          <a:prstTxWarp prst="textNoShape">
                            <a:avLst/>
                          </a:prstTxWarp>
                          <a:noAutofit/>
                        </wps:bodyPr>
                      </wps:wsp>
                      <wps:wsp>
                        <wps:cNvPr id="60" name="Graphic 60"/>
                        <wps:cNvSpPr/>
                        <wps:spPr>
                          <a:xfrm>
                            <a:off x="1511761" y="4529586"/>
                            <a:ext cx="39370" cy="39370"/>
                          </a:xfrm>
                          <a:custGeom>
                            <a:avLst/>
                            <a:gdLst/>
                            <a:ahLst/>
                            <a:cxnLst/>
                            <a:rect l="l" t="t" r="r" b="b"/>
                            <a:pathLst>
                              <a:path w="39370" h="39370">
                                <a:moveTo>
                                  <a:pt x="39069" y="0"/>
                                </a:moveTo>
                                <a:lnTo>
                                  <a:pt x="0" y="0"/>
                                </a:lnTo>
                                <a:lnTo>
                                  <a:pt x="0" y="39078"/>
                                </a:lnTo>
                                <a:lnTo>
                                  <a:pt x="39069" y="39078"/>
                                </a:lnTo>
                                <a:lnTo>
                                  <a:pt x="39069" y="0"/>
                                </a:lnTo>
                                <a:close/>
                              </a:path>
                            </a:pathLst>
                          </a:custGeom>
                          <a:solidFill>
                            <a:srgbClr val="E8E8E8"/>
                          </a:solidFill>
                        </wps:spPr>
                        <wps:bodyPr wrap="square" lIns="0" tIns="0" rIns="0" bIns="0" rtlCol="0">
                          <a:prstTxWarp prst="textNoShape">
                            <a:avLst/>
                          </a:prstTxWarp>
                          <a:noAutofit/>
                        </wps:bodyPr>
                      </wps:wsp>
                      <wps:wsp>
                        <wps:cNvPr id="61" name="Graphic 61"/>
                        <wps:cNvSpPr/>
                        <wps:spPr>
                          <a:xfrm>
                            <a:off x="1511761" y="4529586"/>
                            <a:ext cx="39370" cy="39370"/>
                          </a:xfrm>
                          <a:custGeom>
                            <a:avLst/>
                            <a:gdLst/>
                            <a:ahLst/>
                            <a:cxnLst/>
                            <a:rect l="l" t="t" r="r" b="b"/>
                            <a:pathLst>
                              <a:path w="39370" h="39370">
                                <a:moveTo>
                                  <a:pt x="0" y="39078"/>
                                </a:moveTo>
                                <a:lnTo>
                                  <a:pt x="39069" y="39078"/>
                                </a:lnTo>
                                <a:lnTo>
                                  <a:pt x="39069" y="0"/>
                                </a:lnTo>
                                <a:lnTo>
                                  <a:pt x="0" y="0"/>
                                </a:lnTo>
                                <a:lnTo>
                                  <a:pt x="0" y="39078"/>
                                </a:lnTo>
                                <a:close/>
                              </a:path>
                            </a:pathLst>
                          </a:custGeom>
                          <a:ln w="7597">
                            <a:solidFill>
                              <a:srgbClr val="FFFFFF"/>
                            </a:solidFill>
                            <a:prstDash val="solid"/>
                          </a:ln>
                        </wps:spPr>
                        <wps:bodyPr wrap="square" lIns="0" tIns="0" rIns="0" bIns="0" rtlCol="0">
                          <a:prstTxWarp prst="textNoShape">
                            <a:avLst/>
                          </a:prstTxWarp>
                          <a:noAutofit/>
                        </wps:bodyPr>
                      </wps:wsp>
                      <wps:wsp>
                        <wps:cNvPr id="62" name="Graphic 62"/>
                        <wps:cNvSpPr/>
                        <wps:spPr>
                          <a:xfrm>
                            <a:off x="456901" y="4444934"/>
                            <a:ext cx="1973580" cy="2058670"/>
                          </a:xfrm>
                          <a:custGeom>
                            <a:avLst/>
                            <a:gdLst/>
                            <a:ahLst/>
                            <a:cxnLst/>
                            <a:rect l="l" t="t" r="r" b="b"/>
                            <a:pathLst>
                              <a:path w="1973580" h="2058670">
                                <a:moveTo>
                                  <a:pt x="0" y="2058152"/>
                                </a:moveTo>
                                <a:lnTo>
                                  <a:pt x="1973002" y="2058152"/>
                                </a:lnTo>
                                <a:lnTo>
                                  <a:pt x="1973002" y="0"/>
                                </a:lnTo>
                                <a:lnTo>
                                  <a:pt x="0" y="0"/>
                                </a:lnTo>
                                <a:lnTo>
                                  <a:pt x="0" y="2058152"/>
                                </a:lnTo>
                                <a:close/>
                              </a:path>
                            </a:pathLst>
                          </a:custGeom>
                          <a:ln w="7597">
                            <a:solidFill>
                              <a:srgbClr val="BEBEBE"/>
                            </a:solidFill>
                            <a:prstDash val="solid"/>
                          </a:ln>
                        </wps:spPr>
                        <wps:bodyPr wrap="square" lIns="0" tIns="0" rIns="0" bIns="0" rtlCol="0">
                          <a:prstTxWarp prst="textNoShape">
                            <a:avLst/>
                          </a:prstTxWarp>
                          <a:noAutofit/>
                        </wps:bodyPr>
                      </wps:wsp>
                      <wps:wsp>
                        <wps:cNvPr id="63" name="Graphic 63"/>
                        <wps:cNvSpPr/>
                        <wps:spPr>
                          <a:xfrm>
                            <a:off x="3446982" y="6298509"/>
                            <a:ext cx="1539875" cy="1270"/>
                          </a:xfrm>
                          <a:custGeom>
                            <a:avLst/>
                            <a:gdLst/>
                            <a:ahLst/>
                            <a:cxnLst/>
                            <a:rect l="l" t="t" r="r" b="b"/>
                            <a:pathLst>
                              <a:path w="1539875" h="0">
                                <a:moveTo>
                                  <a:pt x="0" y="0"/>
                                </a:moveTo>
                                <a:lnTo>
                                  <a:pt x="1539443" y="0"/>
                                </a:lnTo>
                              </a:path>
                            </a:pathLst>
                          </a:custGeom>
                          <a:ln w="7548">
                            <a:solidFill>
                              <a:srgbClr val="FFFFFF"/>
                            </a:solidFill>
                            <a:prstDash val="solid"/>
                          </a:ln>
                        </wps:spPr>
                        <wps:bodyPr wrap="square" lIns="0" tIns="0" rIns="0" bIns="0" rtlCol="0">
                          <a:prstTxWarp prst="textNoShape">
                            <a:avLst/>
                          </a:prstTxWarp>
                          <a:noAutofit/>
                        </wps:bodyPr>
                      </wps:wsp>
                      <wps:wsp>
                        <wps:cNvPr id="64" name="Graphic 64"/>
                        <wps:cNvSpPr/>
                        <wps:spPr>
                          <a:xfrm>
                            <a:off x="3446982" y="5256815"/>
                            <a:ext cx="1539875" cy="518159"/>
                          </a:xfrm>
                          <a:custGeom>
                            <a:avLst/>
                            <a:gdLst/>
                            <a:ahLst/>
                            <a:cxnLst/>
                            <a:rect l="l" t="t" r="r" b="b"/>
                            <a:pathLst>
                              <a:path w="1539875" h="518159">
                                <a:moveTo>
                                  <a:pt x="1125472" y="517614"/>
                                </a:moveTo>
                                <a:lnTo>
                                  <a:pt x="1190155" y="517614"/>
                                </a:lnTo>
                              </a:path>
                              <a:path w="1539875" h="518159">
                                <a:moveTo>
                                  <a:pt x="1507102" y="517614"/>
                                </a:moveTo>
                                <a:lnTo>
                                  <a:pt x="1539443" y="517614"/>
                                </a:lnTo>
                              </a:path>
                              <a:path w="1539875" h="518159">
                                <a:moveTo>
                                  <a:pt x="737375" y="517614"/>
                                </a:moveTo>
                                <a:lnTo>
                                  <a:pt x="802057" y="517614"/>
                                </a:lnTo>
                              </a:path>
                              <a:path w="1539875" h="518159">
                                <a:moveTo>
                                  <a:pt x="349277" y="517614"/>
                                </a:moveTo>
                                <a:lnTo>
                                  <a:pt x="420428" y="517614"/>
                                </a:lnTo>
                              </a:path>
                              <a:path w="1539875" h="518159">
                                <a:moveTo>
                                  <a:pt x="0" y="517614"/>
                                </a:moveTo>
                                <a:lnTo>
                                  <a:pt x="32341" y="517614"/>
                                </a:lnTo>
                              </a:path>
                              <a:path w="1539875" h="518159">
                                <a:moveTo>
                                  <a:pt x="0" y="0"/>
                                </a:moveTo>
                                <a:lnTo>
                                  <a:pt x="32341" y="0"/>
                                </a:lnTo>
                              </a:path>
                              <a:path w="1539875" h="518159">
                                <a:moveTo>
                                  <a:pt x="349277" y="0"/>
                                </a:moveTo>
                                <a:lnTo>
                                  <a:pt x="420428" y="0"/>
                                </a:lnTo>
                              </a:path>
                              <a:path w="1539875" h="518159">
                                <a:moveTo>
                                  <a:pt x="737375" y="0"/>
                                </a:moveTo>
                                <a:lnTo>
                                  <a:pt x="802057" y="0"/>
                                </a:lnTo>
                              </a:path>
                              <a:path w="1539875" h="518159">
                                <a:moveTo>
                                  <a:pt x="1125472" y="0"/>
                                </a:moveTo>
                                <a:lnTo>
                                  <a:pt x="1190155" y="0"/>
                                </a:lnTo>
                              </a:path>
                              <a:path w="1539875" h="518159">
                                <a:moveTo>
                                  <a:pt x="1507102" y="0"/>
                                </a:moveTo>
                                <a:lnTo>
                                  <a:pt x="1539443" y="0"/>
                                </a:lnTo>
                              </a:path>
                            </a:pathLst>
                          </a:custGeom>
                          <a:ln w="7548">
                            <a:solidFill>
                              <a:srgbClr val="FFFFFF"/>
                            </a:solidFill>
                            <a:prstDash val="solid"/>
                          </a:ln>
                        </wps:spPr>
                        <wps:bodyPr wrap="square" lIns="0" tIns="0" rIns="0" bIns="0" rtlCol="0">
                          <a:prstTxWarp prst="textNoShape">
                            <a:avLst/>
                          </a:prstTxWarp>
                          <a:noAutofit/>
                        </wps:bodyPr>
                      </wps:wsp>
                      <wps:wsp>
                        <wps:cNvPr id="65" name="Graphic 65"/>
                        <wps:cNvSpPr/>
                        <wps:spPr>
                          <a:xfrm>
                            <a:off x="3479317" y="5890894"/>
                            <a:ext cx="1475105" cy="407670"/>
                          </a:xfrm>
                          <a:custGeom>
                            <a:avLst/>
                            <a:gdLst/>
                            <a:ahLst/>
                            <a:cxnLst/>
                            <a:rect l="l" t="t" r="r" b="b"/>
                            <a:pathLst>
                              <a:path w="1475105" h="407670">
                                <a:moveTo>
                                  <a:pt x="316941" y="226453"/>
                                </a:moveTo>
                                <a:lnTo>
                                  <a:pt x="0" y="226453"/>
                                </a:lnTo>
                                <a:lnTo>
                                  <a:pt x="0" y="407619"/>
                                </a:lnTo>
                                <a:lnTo>
                                  <a:pt x="316941" y="407619"/>
                                </a:lnTo>
                                <a:lnTo>
                                  <a:pt x="316941" y="226453"/>
                                </a:lnTo>
                                <a:close/>
                              </a:path>
                              <a:path w="1475105" h="407670">
                                <a:moveTo>
                                  <a:pt x="705027" y="0"/>
                                </a:moveTo>
                                <a:lnTo>
                                  <a:pt x="388086" y="0"/>
                                </a:lnTo>
                                <a:lnTo>
                                  <a:pt x="388086" y="407619"/>
                                </a:lnTo>
                                <a:lnTo>
                                  <a:pt x="705027" y="407619"/>
                                </a:lnTo>
                                <a:lnTo>
                                  <a:pt x="705027" y="0"/>
                                </a:lnTo>
                                <a:close/>
                              </a:path>
                              <a:path w="1475105" h="407670">
                                <a:moveTo>
                                  <a:pt x="1093127" y="336448"/>
                                </a:moveTo>
                                <a:lnTo>
                                  <a:pt x="769721" y="336448"/>
                                </a:lnTo>
                                <a:lnTo>
                                  <a:pt x="769721" y="407619"/>
                                </a:lnTo>
                                <a:lnTo>
                                  <a:pt x="1093127" y="407619"/>
                                </a:lnTo>
                                <a:lnTo>
                                  <a:pt x="1093127" y="336448"/>
                                </a:lnTo>
                                <a:close/>
                              </a:path>
                              <a:path w="1475105" h="407670">
                                <a:moveTo>
                                  <a:pt x="1474762" y="58242"/>
                                </a:moveTo>
                                <a:lnTo>
                                  <a:pt x="1157808" y="58242"/>
                                </a:lnTo>
                                <a:lnTo>
                                  <a:pt x="1157808" y="407619"/>
                                </a:lnTo>
                                <a:lnTo>
                                  <a:pt x="1474762" y="407619"/>
                                </a:lnTo>
                                <a:lnTo>
                                  <a:pt x="1474762" y="58242"/>
                                </a:lnTo>
                                <a:close/>
                              </a:path>
                            </a:pathLst>
                          </a:custGeom>
                          <a:solidFill>
                            <a:srgbClr val="2D75B6"/>
                          </a:solidFill>
                        </wps:spPr>
                        <wps:bodyPr wrap="square" lIns="0" tIns="0" rIns="0" bIns="0" rtlCol="0">
                          <a:prstTxWarp prst="textNoShape">
                            <a:avLst/>
                          </a:prstTxWarp>
                          <a:noAutofit/>
                        </wps:bodyPr>
                      </wps:wsp>
                      <wps:wsp>
                        <wps:cNvPr id="66" name="Graphic 66"/>
                        <wps:cNvSpPr/>
                        <wps:spPr>
                          <a:xfrm>
                            <a:off x="3479324" y="5890893"/>
                            <a:ext cx="1475105" cy="407670"/>
                          </a:xfrm>
                          <a:custGeom>
                            <a:avLst/>
                            <a:gdLst/>
                            <a:ahLst/>
                            <a:cxnLst/>
                            <a:rect l="l" t="t" r="r" b="b"/>
                            <a:pathLst>
                              <a:path w="1475105" h="407670">
                                <a:moveTo>
                                  <a:pt x="0" y="226451"/>
                                </a:moveTo>
                                <a:lnTo>
                                  <a:pt x="316935" y="226451"/>
                                </a:lnTo>
                                <a:lnTo>
                                  <a:pt x="316935" y="407616"/>
                                </a:lnTo>
                                <a:lnTo>
                                  <a:pt x="0" y="407616"/>
                                </a:lnTo>
                                <a:lnTo>
                                  <a:pt x="0" y="226451"/>
                                </a:lnTo>
                                <a:close/>
                              </a:path>
                              <a:path w="1475105" h="407670">
                                <a:moveTo>
                                  <a:pt x="388086" y="0"/>
                                </a:moveTo>
                                <a:lnTo>
                                  <a:pt x="705033" y="0"/>
                                </a:lnTo>
                                <a:lnTo>
                                  <a:pt x="705033" y="407616"/>
                                </a:lnTo>
                                <a:lnTo>
                                  <a:pt x="388086" y="407616"/>
                                </a:lnTo>
                                <a:lnTo>
                                  <a:pt x="388086" y="0"/>
                                </a:lnTo>
                                <a:close/>
                              </a:path>
                              <a:path w="1475105" h="407670">
                                <a:moveTo>
                                  <a:pt x="769716" y="336444"/>
                                </a:moveTo>
                                <a:lnTo>
                                  <a:pt x="1093131" y="336444"/>
                                </a:lnTo>
                                <a:lnTo>
                                  <a:pt x="1093131" y="407616"/>
                                </a:lnTo>
                                <a:lnTo>
                                  <a:pt x="769716" y="407616"/>
                                </a:lnTo>
                                <a:lnTo>
                                  <a:pt x="769716" y="336444"/>
                                </a:lnTo>
                                <a:close/>
                              </a:path>
                              <a:path w="1475105" h="407670">
                                <a:moveTo>
                                  <a:pt x="1157814" y="58231"/>
                                </a:moveTo>
                                <a:lnTo>
                                  <a:pt x="1474760" y="58231"/>
                                </a:lnTo>
                                <a:lnTo>
                                  <a:pt x="1474760" y="407616"/>
                                </a:lnTo>
                                <a:lnTo>
                                  <a:pt x="1157814" y="407616"/>
                                </a:lnTo>
                                <a:lnTo>
                                  <a:pt x="1157814" y="58231"/>
                                </a:lnTo>
                                <a:close/>
                              </a:path>
                            </a:pathLst>
                          </a:custGeom>
                          <a:ln w="7547">
                            <a:solidFill>
                              <a:srgbClr val="FFFFFF"/>
                            </a:solidFill>
                            <a:prstDash val="solid"/>
                          </a:ln>
                        </wps:spPr>
                        <wps:bodyPr wrap="square" lIns="0" tIns="0" rIns="0" bIns="0" rtlCol="0">
                          <a:prstTxWarp prst="textNoShape">
                            <a:avLst/>
                          </a:prstTxWarp>
                          <a:noAutofit/>
                        </wps:bodyPr>
                      </wps:wsp>
                      <wps:wsp>
                        <wps:cNvPr id="67" name="Graphic 67"/>
                        <wps:cNvSpPr/>
                        <wps:spPr>
                          <a:xfrm>
                            <a:off x="3479317" y="4732730"/>
                            <a:ext cx="1475105" cy="1494790"/>
                          </a:xfrm>
                          <a:custGeom>
                            <a:avLst/>
                            <a:gdLst/>
                            <a:ahLst/>
                            <a:cxnLst/>
                            <a:rect l="l" t="t" r="r" b="b"/>
                            <a:pathLst>
                              <a:path w="1475105" h="1494790">
                                <a:moveTo>
                                  <a:pt x="316941" y="0"/>
                                </a:moveTo>
                                <a:lnTo>
                                  <a:pt x="0" y="0"/>
                                </a:lnTo>
                                <a:lnTo>
                                  <a:pt x="0" y="1384617"/>
                                </a:lnTo>
                                <a:lnTo>
                                  <a:pt x="316941" y="1384617"/>
                                </a:lnTo>
                                <a:lnTo>
                                  <a:pt x="316941" y="0"/>
                                </a:lnTo>
                                <a:close/>
                              </a:path>
                              <a:path w="1475105" h="1494790">
                                <a:moveTo>
                                  <a:pt x="705027" y="0"/>
                                </a:moveTo>
                                <a:lnTo>
                                  <a:pt x="388086" y="0"/>
                                </a:lnTo>
                                <a:lnTo>
                                  <a:pt x="388086" y="1158163"/>
                                </a:lnTo>
                                <a:lnTo>
                                  <a:pt x="705027" y="1158163"/>
                                </a:lnTo>
                                <a:lnTo>
                                  <a:pt x="705027" y="0"/>
                                </a:lnTo>
                                <a:close/>
                              </a:path>
                              <a:path w="1475105" h="1494790">
                                <a:moveTo>
                                  <a:pt x="1093127" y="0"/>
                                </a:moveTo>
                                <a:lnTo>
                                  <a:pt x="769721" y="0"/>
                                </a:lnTo>
                                <a:lnTo>
                                  <a:pt x="769721" y="1494612"/>
                                </a:lnTo>
                                <a:lnTo>
                                  <a:pt x="1093127" y="1494612"/>
                                </a:lnTo>
                                <a:lnTo>
                                  <a:pt x="1093127" y="0"/>
                                </a:lnTo>
                                <a:close/>
                              </a:path>
                              <a:path w="1475105" h="1494790">
                                <a:moveTo>
                                  <a:pt x="1474762" y="0"/>
                                </a:moveTo>
                                <a:lnTo>
                                  <a:pt x="1157808" y="0"/>
                                </a:lnTo>
                                <a:lnTo>
                                  <a:pt x="1157808" y="1216406"/>
                                </a:lnTo>
                                <a:lnTo>
                                  <a:pt x="1474762" y="1216406"/>
                                </a:lnTo>
                                <a:lnTo>
                                  <a:pt x="1474762" y="0"/>
                                </a:lnTo>
                                <a:close/>
                              </a:path>
                            </a:pathLst>
                          </a:custGeom>
                          <a:solidFill>
                            <a:srgbClr val="E8E8E8"/>
                          </a:solidFill>
                        </wps:spPr>
                        <wps:bodyPr wrap="square" lIns="0" tIns="0" rIns="0" bIns="0" rtlCol="0">
                          <a:prstTxWarp prst="textNoShape">
                            <a:avLst/>
                          </a:prstTxWarp>
                          <a:noAutofit/>
                        </wps:bodyPr>
                      </wps:wsp>
                      <wps:wsp>
                        <wps:cNvPr id="68" name="Graphic 68"/>
                        <wps:cNvSpPr/>
                        <wps:spPr>
                          <a:xfrm>
                            <a:off x="3446982" y="4732730"/>
                            <a:ext cx="1539875" cy="1494790"/>
                          </a:xfrm>
                          <a:custGeom>
                            <a:avLst/>
                            <a:gdLst/>
                            <a:ahLst/>
                            <a:cxnLst/>
                            <a:rect l="l" t="t" r="r" b="b"/>
                            <a:pathLst>
                              <a:path w="1539875" h="1494790">
                                <a:moveTo>
                                  <a:pt x="32341" y="0"/>
                                </a:moveTo>
                                <a:lnTo>
                                  <a:pt x="349277" y="0"/>
                                </a:lnTo>
                                <a:lnTo>
                                  <a:pt x="349277" y="1384614"/>
                                </a:lnTo>
                                <a:lnTo>
                                  <a:pt x="32341" y="1384614"/>
                                </a:lnTo>
                                <a:lnTo>
                                  <a:pt x="32341" y="0"/>
                                </a:lnTo>
                                <a:close/>
                              </a:path>
                              <a:path w="1539875" h="1494790">
                                <a:moveTo>
                                  <a:pt x="420428" y="0"/>
                                </a:moveTo>
                                <a:lnTo>
                                  <a:pt x="737374" y="0"/>
                                </a:lnTo>
                                <a:lnTo>
                                  <a:pt x="737375" y="1158163"/>
                                </a:lnTo>
                                <a:lnTo>
                                  <a:pt x="420428" y="1158163"/>
                                </a:lnTo>
                                <a:lnTo>
                                  <a:pt x="420428" y="0"/>
                                </a:lnTo>
                                <a:close/>
                              </a:path>
                              <a:path w="1539875" h="1494790">
                                <a:moveTo>
                                  <a:pt x="802057" y="0"/>
                                </a:moveTo>
                                <a:lnTo>
                                  <a:pt x="1125472" y="0"/>
                                </a:lnTo>
                                <a:lnTo>
                                  <a:pt x="1125472" y="1494607"/>
                                </a:lnTo>
                                <a:lnTo>
                                  <a:pt x="802058" y="1494607"/>
                                </a:lnTo>
                                <a:lnTo>
                                  <a:pt x="802057" y="0"/>
                                </a:lnTo>
                                <a:close/>
                              </a:path>
                              <a:path w="1539875" h="1494790">
                                <a:moveTo>
                                  <a:pt x="1190155" y="0"/>
                                </a:moveTo>
                                <a:lnTo>
                                  <a:pt x="1507102" y="0"/>
                                </a:lnTo>
                                <a:lnTo>
                                  <a:pt x="1507102" y="1216395"/>
                                </a:lnTo>
                                <a:lnTo>
                                  <a:pt x="1190155" y="1216395"/>
                                </a:lnTo>
                                <a:lnTo>
                                  <a:pt x="1190155" y="0"/>
                                </a:lnTo>
                                <a:close/>
                              </a:path>
                              <a:path w="1539875" h="1494790">
                                <a:moveTo>
                                  <a:pt x="0" y="0"/>
                                </a:moveTo>
                                <a:lnTo>
                                  <a:pt x="1539443" y="0"/>
                                </a:lnTo>
                              </a:path>
                            </a:pathLst>
                          </a:custGeom>
                          <a:ln w="7547">
                            <a:solidFill>
                              <a:srgbClr val="FFFFFF"/>
                            </a:solidFill>
                            <a:prstDash val="solid"/>
                          </a:ln>
                        </wps:spPr>
                        <wps:bodyPr wrap="square" lIns="0" tIns="0" rIns="0" bIns="0" rtlCol="0">
                          <a:prstTxWarp prst="textNoShape">
                            <a:avLst/>
                          </a:prstTxWarp>
                          <a:noAutofit/>
                        </wps:bodyPr>
                      </wps:wsp>
                      <wps:wsp>
                        <wps:cNvPr id="69" name="Graphic 69"/>
                        <wps:cNvSpPr/>
                        <wps:spPr>
                          <a:xfrm>
                            <a:off x="3278806" y="4551564"/>
                            <a:ext cx="39370" cy="39370"/>
                          </a:xfrm>
                          <a:custGeom>
                            <a:avLst/>
                            <a:gdLst/>
                            <a:ahLst/>
                            <a:cxnLst/>
                            <a:rect l="l" t="t" r="r" b="b"/>
                            <a:pathLst>
                              <a:path w="39370" h="39370">
                                <a:moveTo>
                                  <a:pt x="38809" y="0"/>
                                </a:moveTo>
                                <a:lnTo>
                                  <a:pt x="0" y="0"/>
                                </a:lnTo>
                                <a:lnTo>
                                  <a:pt x="0" y="38821"/>
                                </a:lnTo>
                                <a:lnTo>
                                  <a:pt x="38809" y="38821"/>
                                </a:lnTo>
                                <a:lnTo>
                                  <a:pt x="38809" y="0"/>
                                </a:lnTo>
                                <a:close/>
                              </a:path>
                            </a:pathLst>
                          </a:custGeom>
                          <a:solidFill>
                            <a:srgbClr val="2D75B6"/>
                          </a:solidFill>
                        </wps:spPr>
                        <wps:bodyPr wrap="square" lIns="0" tIns="0" rIns="0" bIns="0" rtlCol="0">
                          <a:prstTxWarp prst="textNoShape">
                            <a:avLst/>
                          </a:prstTxWarp>
                          <a:noAutofit/>
                        </wps:bodyPr>
                      </wps:wsp>
                      <wps:wsp>
                        <wps:cNvPr id="70" name="Graphic 70"/>
                        <wps:cNvSpPr/>
                        <wps:spPr>
                          <a:xfrm>
                            <a:off x="3278806" y="4551564"/>
                            <a:ext cx="39370" cy="39370"/>
                          </a:xfrm>
                          <a:custGeom>
                            <a:avLst/>
                            <a:gdLst/>
                            <a:ahLst/>
                            <a:cxnLst/>
                            <a:rect l="l" t="t" r="r" b="b"/>
                            <a:pathLst>
                              <a:path w="39370" h="39370">
                                <a:moveTo>
                                  <a:pt x="0" y="38821"/>
                                </a:moveTo>
                                <a:lnTo>
                                  <a:pt x="38809" y="38821"/>
                                </a:lnTo>
                                <a:lnTo>
                                  <a:pt x="38809" y="0"/>
                                </a:lnTo>
                                <a:lnTo>
                                  <a:pt x="0" y="0"/>
                                </a:lnTo>
                                <a:lnTo>
                                  <a:pt x="0" y="38821"/>
                                </a:lnTo>
                                <a:close/>
                              </a:path>
                            </a:pathLst>
                          </a:custGeom>
                          <a:ln w="7547">
                            <a:solidFill>
                              <a:srgbClr val="FFFFFF"/>
                            </a:solidFill>
                            <a:prstDash val="solid"/>
                          </a:ln>
                        </wps:spPr>
                        <wps:bodyPr wrap="square" lIns="0" tIns="0" rIns="0" bIns="0" rtlCol="0">
                          <a:prstTxWarp prst="textNoShape">
                            <a:avLst/>
                          </a:prstTxWarp>
                          <a:noAutofit/>
                        </wps:bodyPr>
                      </wps:wsp>
                      <wps:wsp>
                        <wps:cNvPr id="71" name="Graphic 71"/>
                        <wps:cNvSpPr/>
                        <wps:spPr>
                          <a:xfrm>
                            <a:off x="4126142" y="4551564"/>
                            <a:ext cx="39370" cy="39370"/>
                          </a:xfrm>
                          <a:custGeom>
                            <a:avLst/>
                            <a:gdLst/>
                            <a:ahLst/>
                            <a:cxnLst/>
                            <a:rect l="l" t="t" r="r" b="b"/>
                            <a:pathLst>
                              <a:path w="39370" h="39370">
                                <a:moveTo>
                                  <a:pt x="38809" y="0"/>
                                </a:moveTo>
                                <a:lnTo>
                                  <a:pt x="0" y="0"/>
                                </a:lnTo>
                                <a:lnTo>
                                  <a:pt x="0" y="38821"/>
                                </a:lnTo>
                                <a:lnTo>
                                  <a:pt x="38809" y="38821"/>
                                </a:lnTo>
                                <a:lnTo>
                                  <a:pt x="38809" y="0"/>
                                </a:lnTo>
                                <a:close/>
                              </a:path>
                            </a:pathLst>
                          </a:custGeom>
                          <a:solidFill>
                            <a:srgbClr val="E8E8E8"/>
                          </a:solidFill>
                        </wps:spPr>
                        <wps:bodyPr wrap="square" lIns="0" tIns="0" rIns="0" bIns="0" rtlCol="0">
                          <a:prstTxWarp prst="textNoShape">
                            <a:avLst/>
                          </a:prstTxWarp>
                          <a:noAutofit/>
                        </wps:bodyPr>
                      </wps:wsp>
                      <wps:wsp>
                        <wps:cNvPr id="72" name="Graphic 72"/>
                        <wps:cNvSpPr/>
                        <wps:spPr>
                          <a:xfrm>
                            <a:off x="4126142" y="4551564"/>
                            <a:ext cx="39370" cy="39370"/>
                          </a:xfrm>
                          <a:custGeom>
                            <a:avLst/>
                            <a:gdLst/>
                            <a:ahLst/>
                            <a:cxnLst/>
                            <a:rect l="l" t="t" r="r" b="b"/>
                            <a:pathLst>
                              <a:path w="39370" h="39370">
                                <a:moveTo>
                                  <a:pt x="0" y="38821"/>
                                </a:moveTo>
                                <a:lnTo>
                                  <a:pt x="38809" y="38821"/>
                                </a:lnTo>
                                <a:lnTo>
                                  <a:pt x="38809" y="0"/>
                                </a:lnTo>
                                <a:lnTo>
                                  <a:pt x="0" y="0"/>
                                </a:lnTo>
                                <a:lnTo>
                                  <a:pt x="0" y="38821"/>
                                </a:lnTo>
                                <a:close/>
                              </a:path>
                            </a:pathLst>
                          </a:custGeom>
                          <a:ln w="7547">
                            <a:solidFill>
                              <a:srgbClr val="FFFFFF"/>
                            </a:solidFill>
                            <a:prstDash val="solid"/>
                          </a:ln>
                        </wps:spPr>
                        <wps:bodyPr wrap="square" lIns="0" tIns="0" rIns="0" bIns="0" rtlCol="0">
                          <a:prstTxWarp prst="textNoShape">
                            <a:avLst/>
                          </a:prstTxWarp>
                          <a:noAutofit/>
                        </wps:bodyPr>
                      </wps:wsp>
                      <wps:wsp>
                        <wps:cNvPr id="73" name="Graphic 73"/>
                        <wps:cNvSpPr/>
                        <wps:spPr>
                          <a:xfrm>
                            <a:off x="3104163" y="4454507"/>
                            <a:ext cx="1979295" cy="2038350"/>
                          </a:xfrm>
                          <a:custGeom>
                            <a:avLst/>
                            <a:gdLst/>
                            <a:ahLst/>
                            <a:cxnLst/>
                            <a:rect l="l" t="t" r="r" b="b"/>
                            <a:pathLst>
                              <a:path w="1979295" h="2038350">
                                <a:moveTo>
                                  <a:pt x="0" y="2038108"/>
                                </a:moveTo>
                                <a:lnTo>
                                  <a:pt x="1979298" y="2038108"/>
                                </a:lnTo>
                                <a:lnTo>
                                  <a:pt x="1979298" y="0"/>
                                </a:lnTo>
                                <a:lnTo>
                                  <a:pt x="0" y="0"/>
                                </a:lnTo>
                                <a:lnTo>
                                  <a:pt x="0" y="2038108"/>
                                </a:lnTo>
                                <a:close/>
                              </a:path>
                            </a:pathLst>
                          </a:custGeom>
                          <a:ln w="7547">
                            <a:solidFill>
                              <a:srgbClr val="BEBEBE"/>
                            </a:solidFill>
                            <a:prstDash val="solid"/>
                          </a:ln>
                        </wps:spPr>
                        <wps:bodyPr wrap="square" lIns="0" tIns="0" rIns="0" bIns="0" rtlCol="0">
                          <a:prstTxWarp prst="textNoShape">
                            <a:avLst/>
                          </a:prstTxWarp>
                          <a:noAutofit/>
                        </wps:bodyPr>
                      </wps:wsp>
                      <wps:wsp>
                        <wps:cNvPr id="74" name="Textbox 74"/>
                        <wps:cNvSpPr txBox="1"/>
                        <wps:spPr>
                          <a:xfrm>
                            <a:off x="3236051" y="5209712"/>
                            <a:ext cx="156210" cy="87630"/>
                          </a:xfrm>
                          <a:prstGeom prst="rect">
                            <a:avLst/>
                          </a:prstGeom>
                        </wps:spPr>
                        <wps:txbx>
                          <w:txbxContent>
                            <w:p>
                              <w:pPr>
                                <w:spacing w:line="137" w:lineRule="exact" w:before="0"/>
                                <w:ind w:left="0" w:right="0" w:firstLine="0"/>
                                <w:jc w:val="left"/>
                                <w:rPr>
                                  <w:sz w:val="12"/>
                                </w:rPr>
                              </w:pPr>
                              <w:r>
                                <w:rPr>
                                  <w:spacing w:val="-5"/>
                                  <w:w w:val="105"/>
                                  <w:sz w:val="12"/>
                                </w:rPr>
                                <w:t>10%</w:t>
                              </w:r>
                            </w:p>
                          </w:txbxContent>
                        </wps:txbx>
                        <wps:bodyPr wrap="square" lIns="0" tIns="0" rIns="0" bIns="0" rtlCol="0">
                          <a:noAutofit/>
                        </wps:bodyPr>
                      </wps:wsp>
                      <wps:wsp>
                        <wps:cNvPr id="75" name="Textbox 75"/>
                        <wps:cNvSpPr txBox="1"/>
                        <wps:spPr>
                          <a:xfrm>
                            <a:off x="3463735" y="6353484"/>
                            <a:ext cx="1521460" cy="86360"/>
                          </a:xfrm>
                          <a:prstGeom prst="rect">
                            <a:avLst/>
                          </a:prstGeom>
                        </wps:spPr>
                        <wps:txbx>
                          <w:txbxContent>
                            <w:p>
                              <w:pPr>
                                <w:spacing w:line="135" w:lineRule="exact" w:before="0"/>
                                <w:ind w:left="0" w:right="0" w:firstLine="0"/>
                                <w:jc w:val="left"/>
                                <w:rPr>
                                  <w:sz w:val="12"/>
                                </w:rPr>
                              </w:pPr>
                              <w:r>
                                <w:rPr>
                                  <w:sz w:val="12"/>
                                </w:rPr>
                                <w:t>a´</w:t>
                              </w:r>
                              <w:r>
                                <w:rPr>
                                  <w:spacing w:val="2"/>
                                  <w:sz w:val="12"/>
                                </w:rPr>
                                <w:t> </w:t>
                              </w:r>
                              <w:r>
                                <w:rPr>
                                  <w:sz w:val="12"/>
                                </w:rPr>
                                <w:t>τp.</w:t>
                              </w:r>
                              <w:r>
                                <w:rPr>
                                  <w:spacing w:val="2"/>
                                  <w:sz w:val="12"/>
                                </w:rPr>
                                <w:t> </w:t>
                              </w:r>
                              <w:r>
                                <w:rPr>
                                  <w:sz w:val="12"/>
                                </w:rPr>
                                <w:t>2025</w:t>
                              </w:r>
                              <w:r>
                                <w:rPr>
                                  <w:spacing w:val="25"/>
                                  <w:sz w:val="12"/>
                                </w:rPr>
                                <w:t> </w:t>
                              </w:r>
                              <w:r>
                                <w:rPr>
                                  <w:sz w:val="12"/>
                                </w:rPr>
                                <w:t>β´</w:t>
                              </w:r>
                              <w:r>
                                <w:rPr>
                                  <w:spacing w:val="2"/>
                                  <w:sz w:val="12"/>
                                </w:rPr>
                                <w:t> </w:t>
                              </w:r>
                              <w:r>
                                <w:rPr>
                                  <w:sz w:val="12"/>
                                </w:rPr>
                                <w:t>τp.</w:t>
                              </w:r>
                              <w:r>
                                <w:rPr>
                                  <w:spacing w:val="2"/>
                                  <w:sz w:val="12"/>
                                </w:rPr>
                                <w:t> </w:t>
                              </w:r>
                              <w:r>
                                <w:rPr>
                                  <w:sz w:val="12"/>
                                </w:rPr>
                                <w:t>2025</w:t>
                              </w:r>
                              <w:r>
                                <w:rPr>
                                  <w:spacing w:val="38"/>
                                  <w:sz w:val="12"/>
                                </w:rPr>
                                <w:t> </w:t>
                              </w:r>
                              <w:r>
                                <w:rPr>
                                  <w:sz w:val="12"/>
                                </w:rPr>
                                <w:t>γ´</w:t>
                              </w:r>
                              <w:r>
                                <w:rPr>
                                  <w:spacing w:val="2"/>
                                  <w:sz w:val="12"/>
                                </w:rPr>
                                <w:t> </w:t>
                              </w:r>
                              <w:r>
                                <w:rPr>
                                  <w:sz w:val="12"/>
                                </w:rPr>
                                <w:t>τp.</w:t>
                              </w:r>
                              <w:r>
                                <w:rPr>
                                  <w:spacing w:val="2"/>
                                  <w:sz w:val="12"/>
                                </w:rPr>
                                <w:t> </w:t>
                              </w:r>
                              <w:r>
                                <w:rPr>
                                  <w:sz w:val="12"/>
                                </w:rPr>
                                <w:t>2025</w:t>
                              </w:r>
                              <w:r>
                                <w:rPr>
                                  <w:spacing w:val="39"/>
                                  <w:sz w:val="12"/>
                                </w:rPr>
                                <w:t> </w:t>
                              </w:r>
                              <w:r>
                                <w:rPr>
                                  <w:sz w:val="12"/>
                                </w:rPr>
                                <w:t>δ´</w:t>
                              </w:r>
                              <w:r>
                                <w:rPr>
                                  <w:spacing w:val="2"/>
                                  <w:sz w:val="12"/>
                                </w:rPr>
                                <w:t> </w:t>
                              </w:r>
                              <w:r>
                                <w:rPr>
                                  <w:sz w:val="12"/>
                                </w:rPr>
                                <w:t>τp.</w:t>
                              </w:r>
                              <w:r>
                                <w:rPr>
                                  <w:spacing w:val="2"/>
                                  <w:sz w:val="12"/>
                                </w:rPr>
                                <w:t> </w:t>
                              </w:r>
                              <w:r>
                                <w:rPr>
                                  <w:spacing w:val="-4"/>
                                  <w:sz w:val="12"/>
                                </w:rPr>
                                <w:t>2025</w:t>
                              </w:r>
                            </w:p>
                          </w:txbxContent>
                        </wps:txbx>
                        <wps:bodyPr wrap="square" lIns="0" tIns="0" rIns="0" bIns="0" rtlCol="0">
                          <a:noAutofit/>
                        </wps:bodyPr>
                      </wps:wsp>
                      <wps:wsp>
                        <wps:cNvPr id="76" name="Textbox 76"/>
                        <wps:cNvSpPr txBox="1"/>
                        <wps:spPr>
                          <a:xfrm>
                            <a:off x="3954031" y="5270391"/>
                            <a:ext cx="155575" cy="86360"/>
                          </a:xfrm>
                          <a:prstGeom prst="rect">
                            <a:avLst/>
                          </a:prstGeom>
                        </wps:spPr>
                        <wps:txbx>
                          <w:txbxContent>
                            <w:p>
                              <w:pPr>
                                <w:spacing w:line="135" w:lineRule="exact" w:before="0"/>
                                <w:ind w:left="0" w:right="0" w:firstLine="0"/>
                                <w:jc w:val="left"/>
                                <w:rPr>
                                  <w:sz w:val="12"/>
                                </w:rPr>
                              </w:pPr>
                              <w:r>
                                <w:rPr>
                                  <w:spacing w:val="-5"/>
                                  <w:sz w:val="12"/>
                                </w:rPr>
                                <w:t>99%</w:t>
                              </w:r>
                            </w:p>
                          </w:txbxContent>
                        </wps:txbx>
                        <wps:bodyPr wrap="square" lIns="0" tIns="0" rIns="0" bIns="0" rtlCol="0">
                          <a:noAutofit/>
                        </wps:bodyPr>
                      </wps:wsp>
                      <wps:wsp>
                        <wps:cNvPr id="77" name="Textbox 77"/>
                        <wps:cNvSpPr txBox="1"/>
                        <wps:spPr>
                          <a:xfrm>
                            <a:off x="4708235" y="5296272"/>
                            <a:ext cx="194310" cy="86360"/>
                          </a:xfrm>
                          <a:prstGeom prst="rect">
                            <a:avLst/>
                          </a:prstGeom>
                        </wps:spPr>
                        <wps:txbx>
                          <w:txbxContent>
                            <w:p>
                              <w:pPr>
                                <w:spacing w:line="135" w:lineRule="exact" w:before="0"/>
                                <w:ind w:left="0" w:right="0" w:firstLine="0"/>
                                <w:jc w:val="left"/>
                                <w:rPr>
                                  <w:sz w:val="12"/>
                                </w:rPr>
                              </w:pPr>
                              <w:r>
                                <w:rPr>
                                  <w:spacing w:val="-4"/>
                                  <w:sz w:val="12"/>
                                </w:rPr>
                                <w:t>100%</w:t>
                              </w:r>
                            </w:p>
                          </w:txbxContent>
                        </wps:txbx>
                        <wps:bodyPr wrap="square" lIns="0" tIns="0" rIns="0" bIns="0" rtlCol="0">
                          <a:noAutofit/>
                        </wps:bodyPr>
                      </wps:wsp>
                      <wps:wsp>
                        <wps:cNvPr id="78" name="Textbox 78"/>
                        <wps:cNvSpPr txBox="1"/>
                        <wps:spPr>
                          <a:xfrm>
                            <a:off x="3547822" y="5386854"/>
                            <a:ext cx="194310" cy="86360"/>
                          </a:xfrm>
                          <a:prstGeom prst="rect">
                            <a:avLst/>
                          </a:prstGeom>
                        </wps:spPr>
                        <wps:txbx>
                          <w:txbxContent>
                            <w:p>
                              <w:pPr>
                                <w:spacing w:line="135" w:lineRule="exact" w:before="0"/>
                                <w:ind w:left="0" w:right="0" w:firstLine="0"/>
                                <w:jc w:val="left"/>
                                <w:rPr>
                                  <w:sz w:val="12"/>
                                </w:rPr>
                              </w:pPr>
                              <w:r>
                                <w:rPr>
                                  <w:spacing w:val="-4"/>
                                  <w:sz w:val="12"/>
                                </w:rPr>
                                <w:t>100%</w:t>
                              </w:r>
                            </w:p>
                          </w:txbxContent>
                        </wps:txbx>
                        <wps:bodyPr wrap="square" lIns="0" tIns="0" rIns="0" bIns="0" rtlCol="0">
                          <a:noAutofit/>
                        </wps:bodyPr>
                      </wps:wsp>
                      <wps:wsp>
                        <wps:cNvPr id="79" name="Textbox 79"/>
                        <wps:cNvSpPr txBox="1"/>
                        <wps:spPr>
                          <a:xfrm>
                            <a:off x="4321431" y="5438616"/>
                            <a:ext cx="194310" cy="86360"/>
                          </a:xfrm>
                          <a:prstGeom prst="rect">
                            <a:avLst/>
                          </a:prstGeom>
                        </wps:spPr>
                        <wps:txbx>
                          <w:txbxContent>
                            <w:p>
                              <w:pPr>
                                <w:spacing w:line="135" w:lineRule="exact" w:before="0"/>
                                <w:ind w:left="0" w:right="0" w:firstLine="0"/>
                                <w:jc w:val="left"/>
                                <w:rPr>
                                  <w:sz w:val="12"/>
                                </w:rPr>
                              </w:pPr>
                              <w:r>
                                <w:rPr>
                                  <w:spacing w:val="-4"/>
                                  <w:sz w:val="12"/>
                                </w:rPr>
                                <w:t>100%</w:t>
                              </w:r>
                            </w:p>
                          </w:txbxContent>
                        </wps:txbx>
                        <wps:bodyPr wrap="square" lIns="0" tIns="0" rIns="0" bIns="0" rtlCol="0">
                          <a:noAutofit/>
                        </wps:bodyPr>
                      </wps:wsp>
                      <wps:wsp>
                        <wps:cNvPr id="80" name="Textbox 80"/>
                        <wps:cNvSpPr txBox="1"/>
                        <wps:spPr>
                          <a:xfrm>
                            <a:off x="3274860" y="5737538"/>
                            <a:ext cx="116205" cy="86360"/>
                          </a:xfrm>
                          <a:prstGeom prst="rect">
                            <a:avLst/>
                          </a:prstGeom>
                        </wps:spPr>
                        <wps:txbx>
                          <w:txbxContent>
                            <w:p>
                              <w:pPr>
                                <w:spacing w:line="135" w:lineRule="exact" w:before="0"/>
                                <w:ind w:left="0" w:right="0" w:firstLine="0"/>
                                <w:jc w:val="left"/>
                                <w:rPr>
                                  <w:sz w:val="12"/>
                                </w:rPr>
                              </w:pPr>
                              <w:r>
                                <w:rPr>
                                  <w:spacing w:val="-5"/>
                                  <w:sz w:val="12"/>
                                </w:rPr>
                                <w:t>1%</w:t>
                              </w:r>
                            </w:p>
                          </w:txbxContent>
                        </wps:txbx>
                        <wps:bodyPr wrap="square" lIns="0" tIns="0" rIns="0" bIns="0" rtlCol="0">
                          <a:noAutofit/>
                        </wps:bodyPr>
                      </wps:wsp>
                      <wps:wsp>
                        <wps:cNvPr id="81" name="Textbox 81"/>
                        <wps:cNvSpPr txBox="1"/>
                        <wps:spPr>
                          <a:xfrm>
                            <a:off x="3944976" y="6054561"/>
                            <a:ext cx="174625" cy="86360"/>
                          </a:xfrm>
                          <a:prstGeom prst="rect">
                            <a:avLst/>
                          </a:prstGeom>
                        </wps:spPr>
                        <wps:txbx>
                          <w:txbxContent>
                            <w:p>
                              <w:pPr>
                                <w:spacing w:line="135" w:lineRule="exact" w:before="0"/>
                                <w:ind w:left="0" w:right="0" w:firstLine="0"/>
                                <w:jc w:val="left"/>
                                <w:rPr>
                                  <w:sz w:val="12"/>
                                </w:rPr>
                              </w:pPr>
                              <w:r>
                                <w:rPr>
                                  <w:color w:val="FFFFFF"/>
                                  <w:spacing w:val="-4"/>
                                  <w:sz w:val="12"/>
                                </w:rPr>
                                <w:t>0,6%</w:t>
                              </w:r>
                            </w:p>
                          </w:txbxContent>
                        </wps:txbx>
                        <wps:bodyPr wrap="square" lIns="0" tIns="0" rIns="0" bIns="0" rtlCol="0">
                          <a:noAutofit/>
                        </wps:bodyPr>
                      </wps:wsp>
                      <wps:wsp>
                        <wps:cNvPr id="82" name="Textbox 82"/>
                        <wps:cNvSpPr txBox="1"/>
                        <wps:spPr>
                          <a:xfrm>
                            <a:off x="4718584" y="6079289"/>
                            <a:ext cx="175895" cy="87630"/>
                          </a:xfrm>
                          <a:prstGeom prst="rect">
                            <a:avLst/>
                          </a:prstGeom>
                        </wps:spPr>
                        <wps:txbx>
                          <w:txbxContent>
                            <w:p>
                              <w:pPr>
                                <w:spacing w:line="137" w:lineRule="exact" w:before="0"/>
                                <w:ind w:left="0" w:right="0" w:firstLine="0"/>
                                <w:jc w:val="left"/>
                                <w:rPr>
                                  <w:sz w:val="12"/>
                                </w:rPr>
                              </w:pPr>
                              <w:r>
                                <w:rPr>
                                  <w:color w:val="FFFFFF"/>
                                  <w:spacing w:val="-4"/>
                                  <w:w w:val="105"/>
                                  <w:sz w:val="12"/>
                                </w:rPr>
                                <w:t>0,5%</w:t>
                              </w:r>
                            </w:p>
                          </w:txbxContent>
                        </wps:txbx>
                        <wps:bodyPr wrap="square" lIns="0" tIns="0" rIns="0" bIns="0" rtlCol="0">
                          <a:noAutofit/>
                        </wps:bodyPr>
                      </wps:wsp>
                      <wps:wsp>
                        <wps:cNvPr id="83" name="Textbox 83"/>
                        <wps:cNvSpPr txBox="1"/>
                        <wps:spPr>
                          <a:xfrm>
                            <a:off x="3558172" y="6172319"/>
                            <a:ext cx="174625" cy="86360"/>
                          </a:xfrm>
                          <a:prstGeom prst="rect">
                            <a:avLst/>
                          </a:prstGeom>
                        </wps:spPr>
                        <wps:txbx>
                          <w:txbxContent>
                            <w:p>
                              <w:pPr>
                                <w:spacing w:line="135" w:lineRule="exact" w:before="0"/>
                                <w:ind w:left="0" w:right="0" w:firstLine="0"/>
                                <w:jc w:val="left"/>
                                <w:rPr>
                                  <w:sz w:val="12"/>
                                </w:rPr>
                              </w:pPr>
                              <w:r>
                                <w:rPr>
                                  <w:color w:val="FFFFFF"/>
                                  <w:spacing w:val="-4"/>
                                  <w:sz w:val="12"/>
                                </w:rPr>
                                <w:t>0,2%</w:t>
                              </w:r>
                            </w:p>
                          </w:txbxContent>
                        </wps:txbx>
                        <wps:bodyPr wrap="square" lIns="0" tIns="0" rIns="0" bIns="0" rtlCol="0">
                          <a:noAutofit/>
                        </wps:bodyPr>
                      </wps:wsp>
                      <wps:wsp>
                        <wps:cNvPr id="84" name="Textbox 84"/>
                        <wps:cNvSpPr txBox="1"/>
                        <wps:spPr>
                          <a:xfrm>
                            <a:off x="3274860" y="6256431"/>
                            <a:ext cx="116205" cy="86360"/>
                          </a:xfrm>
                          <a:prstGeom prst="rect">
                            <a:avLst/>
                          </a:prstGeom>
                        </wps:spPr>
                        <wps:txbx>
                          <w:txbxContent>
                            <w:p>
                              <w:pPr>
                                <w:spacing w:line="135" w:lineRule="exact" w:before="0"/>
                                <w:ind w:left="0" w:right="0" w:firstLine="0"/>
                                <w:jc w:val="left"/>
                                <w:rPr>
                                  <w:sz w:val="12"/>
                                </w:rPr>
                              </w:pPr>
                              <w:r>
                                <w:rPr>
                                  <w:spacing w:val="-5"/>
                                  <w:sz w:val="12"/>
                                </w:rPr>
                                <w:t>0%</w:t>
                              </w:r>
                            </w:p>
                          </w:txbxContent>
                        </wps:txbx>
                        <wps:bodyPr wrap="square" lIns="0" tIns="0" rIns="0" bIns="0" rtlCol="0">
                          <a:noAutofit/>
                        </wps:bodyPr>
                      </wps:wsp>
                      <wps:wsp>
                        <wps:cNvPr id="85" name="Textbox 85"/>
                        <wps:cNvSpPr txBox="1"/>
                        <wps:spPr>
                          <a:xfrm>
                            <a:off x="4331780" y="6224080"/>
                            <a:ext cx="174625" cy="86360"/>
                          </a:xfrm>
                          <a:prstGeom prst="rect">
                            <a:avLst/>
                          </a:prstGeom>
                        </wps:spPr>
                        <wps:txbx>
                          <w:txbxContent>
                            <w:p>
                              <w:pPr>
                                <w:spacing w:line="135" w:lineRule="exact" w:before="0"/>
                                <w:ind w:left="0" w:right="0" w:firstLine="0"/>
                                <w:jc w:val="left"/>
                                <w:rPr>
                                  <w:sz w:val="12"/>
                                </w:rPr>
                              </w:pPr>
                              <w:r>
                                <w:rPr>
                                  <w:color w:val="FFFFFF"/>
                                  <w:spacing w:val="-4"/>
                                  <w:sz w:val="12"/>
                                </w:rPr>
                                <w:t>0,1%</w:t>
                              </w:r>
                            </w:p>
                          </w:txbxContent>
                        </wps:txbx>
                        <wps:bodyPr wrap="square" lIns="0" tIns="0" rIns="0" bIns="0" rtlCol="0">
                          <a:noAutofit/>
                        </wps:bodyPr>
                      </wps:wsp>
                      <wps:wsp>
                        <wps:cNvPr id="86" name="Textbox 86"/>
                        <wps:cNvSpPr txBox="1"/>
                        <wps:spPr>
                          <a:xfrm>
                            <a:off x="3197241" y="4523732"/>
                            <a:ext cx="1754505" cy="248285"/>
                          </a:xfrm>
                          <a:prstGeom prst="rect">
                            <a:avLst/>
                          </a:prstGeom>
                        </wps:spPr>
                        <wps:txbx>
                          <w:txbxContent>
                            <w:p>
                              <w:pPr>
                                <w:tabs>
                                  <w:tab w:pos="1552" w:val="left" w:leader="none"/>
                                </w:tabs>
                                <w:spacing w:line="135" w:lineRule="exact" w:before="0"/>
                                <w:ind w:left="215" w:right="0" w:firstLine="0"/>
                                <w:jc w:val="left"/>
                                <w:rPr>
                                  <w:sz w:val="12"/>
                                </w:rPr>
                              </w:pPr>
                              <w:r>
                                <w:rPr>
                                  <w:sz w:val="12"/>
                                </w:rPr>
                                <w:t>Ŕνω τou</w:t>
                              </w:r>
                              <w:r>
                                <w:rPr>
                                  <w:spacing w:val="1"/>
                                  <w:sz w:val="12"/>
                                </w:rPr>
                                <w:t> </w:t>
                              </w:r>
                              <w:r>
                                <w:rPr>
                                  <w:sz w:val="12"/>
                                </w:rPr>
                                <w:t>opíou</w:t>
                              </w:r>
                              <w:r>
                                <w:rPr>
                                  <w:spacing w:val="13"/>
                                  <w:sz w:val="12"/>
                                </w:rPr>
                                <w:t> </w:t>
                              </w:r>
                              <w:r>
                                <w:rPr>
                                  <w:sz w:val="12"/>
                                </w:rPr>
                                <w:t>LTV-</w:t>
                              </w:r>
                              <w:r>
                                <w:rPr>
                                  <w:spacing w:val="-10"/>
                                  <w:sz w:val="12"/>
                                </w:rPr>
                                <w:t>O</w:t>
                              </w:r>
                              <w:r>
                                <w:rPr>
                                  <w:sz w:val="12"/>
                                </w:rPr>
                                <w:tab/>
                                <w:t>Κάτω</w:t>
                              </w:r>
                              <w:r>
                                <w:rPr>
                                  <w:spacing w:val="-1"/>
                                  <w:sz w:val="12"/>
                                </w:rPr>
                                <w:t> </w:t>
                              </w:r>
                              <w:r>
                                <w:rPr>
                                  <w:sz w:val="12"/>
                                </w:rPr>
                                <w:t>τou opíou</w:t>
                              </w:r>
                              <w:r>
                                <w:rPr>
                                  <w:spacing w:val="7"/>
                                  <w:sz w:val="12"/>
                                </w:rPr>
                                <w:t> </w:t>
                              </w:r>
                              <w:r>
                                <w:rPr>
                                  <w:sz w:val="12"/>
                                </w:rPr>
                                <w:t>LTV-</w:t>
                              </w:r>
                              <w:r>
                                <w:rPr>
                                  <w:spacing w:val="-10"/>
                                  <w:sz w:val="12"/>
                                </w:rPr>
                                <w:t>O</w:t>
                              </w:r>
                            </w:p>
                            <w:p>
                              <w:pPr>
                                <w:spacing w:before="116"/>
                                <w:ind w:left="0" w:right="0" w:firstLine="0"/>
                                <w:jc w:val="left"/>
                                <w:rPr>
                                  <w:sz w:val="12"/>
                                </w:rPr>
                              </w:pPr>
                              <w:r>
                                <w:rPr>
                                  <w:spacing w:val="-4"/>
                                  <w:sz w:val="12"/>
                                </w:rPr>
                                <w:t>100%</w:t>
                              </w:r>
                            </w:p>
                          </w:txbxContent>
                        </wps:txbx>
                        <wps:bodyPr wrap="square" lIns="0" tIns="0" rIns="0" bIns="0" rtlCol="0">
                          <a:noAutofit/>
                        </wps:bodyPr>
                      </wps:wsp>
                      <wps:wsp>
                        <wps:cNvPr id="87" name="Textbox 87"/>
                        <wps:cNvSpPr txBox="1"/>
                        <wps:spPr>
                          <a:xfrm>
                            <a:off x="814970" y="6356522"/>
                            <a:ext cx="1517015" cy="86995"/>
                          </a:xfrm>
                          <a:prstGeom prst="rect">
                            <a:avLst/>
                          </a:prstGeom>
                        </wps:spPr>
                        <wps:txbx>
                          <w:txbxContent>
                            <w:p>
                              <w:pPr>
                                <w:spacing w:line="136" w:lineRule="exact" w:before="0"/>
                                <w:ind w:left="0" w:right="0" w:firstLine="0"/>
                                <w:jc w:val="left"/>
                                <w:rPr>
                                  <w:sz w:val="12"/>
                                </w:rPr>
                              </w:pPr>
                              <w:r>
                                <w:rPr>
                                  <w:sz w:val="12"/>
                                </w:rPr>
                                <w:t>a´</w:t>
                              </w:r>
                              <w:r>
                                <w:rPr>
                                  <w:spacing w:val="3"/>
                                  <w:sz w:val="12"/>
                                </w:rPr>
                                <w:t> </w:t>
                              </w:r>
                              <w:r>
                                <w:rPr>
                                  <w:sz w:val="12"/>
                                </w:rPr>
                                <w:t>τp.</w:t>
                              </w:r>
                              <w:r>
                                <w:rPr>
                                  <w:spacing w:val="3"/>
                                  <w:sz w:val="12"/>
                                </w:rPr>
                                <w:t> </w:t>
                              </w:r>
                              <w:r>
                                <w:rPr>
                                  <w:sz w:val="12"/>
                                </w:rPr>
                                <w:t>2025</w:t>
                              </w:r>
                              <w:r>
                                <w:rPr>
                                  <w:spacing w:val="26"/>
                                  <w:sz w:val="12"/>
                                </w:rPr>
                                <w:t> </w:t>
                              </w:r>
                              <w:r>
                                <w:rPr>
                                  <w:sz w:val="12"/>
                                </w:rPr>
                                <w:t>β´</w:t>
                              </w:r>
                              <w:r>
                                <w:rPr>
                                  <w:spacing w:val="3"/>
                                  <w:sz w:val="12"/>
                                </w:rPr>
                                <w:t> </w:t>
                              </w:r>
                              <w:r>
                                <w:rPr>
                                  <w:sz w:val="12"/>
                                </w:rPr>
                                <w:t>τp.</w:t>
                              </w:r>
                              <w:r>
                                <w:rPr>
                                  <w:spacing w:val="3"/>
                                  <w:sz w:val="12"/>
                                </w:rPr>
                                <w:t> </w:t>
                              </w:r>
                              <w:r>
                                <w:rPr>
                                  <w:sz w:val="12"/>
                                </w:rPr>
                                <w:t>2025</w:t>
                              </w:r>
                              <w:r>
                                <w:rPr>
                                  <w:spacing w:val="31"/>
                                  <w:sz w:val="12"/>
                                </w:rPr>
                                <w:t> </w:t>
                              </w:r>
                              <w:r>
                                <w:rPr>
                                  <w:sz w:val="12"/>
                                </w:rPr>
                                <w:t>γ´</w:t>
                              </w:r>
                              <w:r>
                                <w:rPr>
                                  <w:spacing w:val="3"/>
                                  <w:sz w:val="12"/>
                                </w:rPr>
                                <w:t> </w:t>
                              </w:r>
                              <w:r>
                                <w:rPr>
                                  <w:sz w:val="12"/>
                                </w:rPr>
                                <w:t>τp.</w:t>
                              </w:r>
                              <w:r>
                                <w:rPr>
                                  <w:spacing w:val="3"/>
                                  <w:sz w:val="12"/>
                                </w:rPr>
                                <w:t> </w:t>
                              </w:r>
                              <w:r>
                                <w:rPr>
                                  <w:sz w:val="12"/>
                                </w:rPr>
                                <w:t>2025</w:t>
                              </w:r>
                              <w:r>
                                <w:rPr>
                                  <w:spacing w:val="33"/>
                                  <w:sz w:val="12"/>
                                </w:rPr>
                                <w:t> </w:t>
                              </w:r>
                              <w:r>
                                <w:rPr>
                                  <w:sz w:val="12"/>
                                </w:rPr>
                                <w:t>δ´</w:t>
                              </w:r>
                              <w:r>
                                <w:rPr>
                                  <w:spacing w:val="3"/>
                                  <w:sz w:val="12"/>
                                </w:rPr>
                                <w:t> </w:t>
                              </w:r>
                              <w:r>
                                <w:rPr>
                                  <w:sz w:val="12"/>
                                </w:rPr>
                                <w:t>τp.</w:t>
                              </w:r>
                              <w:r>
                                <w:rPr>
                                  <w:spacing w:val="3"/>
                                  <w:sz w:val="12"/>
                                </w:rPr>
                                <w:t> </w:t>
                              </w:r>
                              <w:r>
                                <w:rPr>
                                  <w:spacing w:val="-4"/>
                                  <w:sz w:val="12"/>
                                </w:rPr>
                                <w:t>2025</w:t>
                              </w:r>
                            </w:p>
                          </w:txbxContent>
                        </wps:txbx>
                        <wps:bodyPr wrap="square" lIns="0" tIns="0" rIns="0" bIns="0" rtlCol="0">
                          <a:noAutofit/>
                        </wps:bodyPr>
                      </wps:wsp>
                      <wps:wsp>
                        <wps:cNvPr id="88" name="Textbox 88"/>
                        <wps:cNvSpPr txBox="1"/>
                        <wps:spPr>
                          <a:xfrm>
                            <a:off x="628740" y="6265338"/>
                            <a:ext cx="117475" cy="86995"/>
                          </a:xfrm>
                          <a:prstGeom prst="rect">
                            <a:avLst/>
                          </a:prstGeom>
                        </wps:spPr>
                        <wps:txbx>
                          <w:txbxContent>
                            <w:p>
                              <w:pPr>
                                <w:spacing w:line="136" w:lineRule="exact" w:before="0"/>
                                <w:ind w:left="0" w:right="0" w:firstLine="0"/>
                                <w:jc w:val="left"/>
                                <w:rPr>
                                  <w:sz w:val="12"/>
                                </w:rPr>
                              </w:pPr>
                              <w:r>
                                <w:rPr>
                                  <w:spacing w:val="-5"/>
                                  <w:sz w:val="12"/>
                                </w:rPr>
                                <w:t>0%</w:t>
                              </w:r>
                            </w:p>
                          </w:txbxContent>
                        </wps:txbx>
                        <wps:bodyPr wrap="square" lIns="0" tIns="0" rIns="0" bIns="0" rtlCol="0">
                          <a:noAutofit/>
                        </wps:bodyPr>
                      </wps:wsp>
                      <wps:wsp>
                        <wps:cNvPr id="89" name="Textbox 89"/>
                        <wps:cNvSpPr txBox="1"/>
                        <wps:spPr>
                          <a:xfrm>
                            <a:off x="2063887" y="5834157"/>
                            <a:ext cx="175895" cy="86995"/>
                          </a:xfrm>
                          <a:prstGeom prst="rect">
                            <a:avLst/>
                          </a:prstGeom>
                        </wps:spPr>
                        <wps:txbx>
                          <w:txbxContent>
                            <w:p>
                              <w:pPr>
                                <w:spacing w:line="136" w:lineRule="exact" w:before="0"/>
                                <w:ind w:left="0" w:right="0" w:firstLine="0"/>
                                <w:jc w:val="left"/>
                                <w:rPr>
                                  <w:sz w:val="12"/>
                                </w:rPr>
                              </w:pPr>
                              <w:r>
                                <w:rPr>
                                  <w:color w:val="FFFFFF"/>
                                  <w:spacing w:val="-4"/>
                                  <w:sz w:val="12"/>
                                </w:rPr>
                                <w:t>4,4%</w:t>
                              </w:r>
                            </w:p>
                          </w:txbxContent>
                        </wps:txbx>
                        <wps:bodyPr wrap="square" lIns="0" tIns="0" rIns="0" bIns="0" rtlCol="0">
                          <a:noAutofit/>
                        </wps:bodyPr>
                      </wps:wsp>
                      <wps:wsp>
                        <wps:cNvPr id="90" name="Textbox 90"/>
                        <wps:cNvSpPr txBox="1"/>
                        <wps:spPr>
                          <a:xfrm>
                            <a:off x="1679705" y="5853696"/>
                            <a:ext cx="175895" cy="86995"/>
                          </a:xfrm>
                          <a:prstGeom prst="rect">
                            <a:avLst/>
                          </a:prstGeom>
                        </wps:spPr>
                        <wps:txbx>
                          <w:txbxContent>
                            <w:p>
                              <w:pPr>
                                <w:spacing w:line="136" w:lineRule="exact" w:before="0"/>
                                <w:ind w:left="0" w:right="0" w:firstLine="0"/>
                                <w:jc w:val="left"/>
                                <w:rPr>
                                  <w:sz w:val="12"/>
                                </w:rPr>
                              </w:pPr>
                              <w:r>
                                <w:rPr>
                                  <w:color w:val="FFFFFF"/>
                                  <w:spacing w:val="-4"/>
                                  <w:sz w:val="12"/>
                                </w:rPr>
                                <w:t>3,7%</w:t>
                              </w:r>
                            </w:p>
                          </w:txbxContent>
                        </wps:txbx>
                        <wps:bodyPr wrap="square" lIns="0" tIns="0" rIns="0" bIns="0" rtlCol="0">
                          <a:noAutofit/>
                        </wps:bodyPr>
                      </wps:wsp>
                      <wps:wsp>
                        <wps:cNvPr id="91" name="Textbox 91"/>
                        <wps:cNvSpPr txBox="1"/>
                        <wps:spPr>
                          <a:xfrm>
                            <a:off x="910039" y="5827644"/>
                            <a:ext cx="561340" cy="106680"/>
                          </a:xfrm>
                          <a:prstGeom prst="rect">
                            <a:avLst/>
                          </a:prstGeom>
                        </wps:spPr>
                        <wps:txbx>
                          <w:txbxContent>
                            <w:p>
                              <w:pPr>
                                <w:tabs>
                                  <w:tab w:pos="604" w:val="left" w:leader="none"/>
                                </w:tabs>
                                <w:spacing w:line="232" w:lineRule="auto" w:before="0"/>
                                <w:ind w:left="0" w:right="0" w:firstLine="0"/>
                                <w:jc w:val="left"/>
                                <w:rPr>
                                  <w:position w:val="-2"/>
                                  <w:sz w:val="12"/>
                                </w:rPr>
                              </w:pPr>
                              <w:r>
                                <w:rPr>
                                  <w:color w:val="FFFFFF"/>
                                  <w:spacing w:val="-4"/>
                                  <w:sz w:val="12"/>
                                </w:rPr>
                                <w:t>4,6%</w:t>
                              </w:r>
                              <w:r>
                                <w:rPr>
                                  <w:color w:val="FFFFFF"/>
                                  <w:sz w:val="12"/>
                                </w:rPr>
                                <w:tab/>
                              </w:r>
                              <w:r>
                                <w:rPr>
                                  <w:color w:val="FFFFFF"/>
                                  <w:spacing w:val="-4"/>
                                  <w:position w:val="-2"/>
                                  <w:sz w:val="12"/>
                                </w:rPr>
                                <w:t>4,0%</w:t>
                              </w:r>
                            </w:p>
                          </w:txbxContent>
                        </wps:txbx>
                        <wps:bodyPr wrap="square" lIns="0" tIns="0" rIns="0" bIns="0" rtlCol="0">
                          <a:noAutofit/>
                        </wps:bodyPr>
                      </wps:wsp>
                      <wps:wsp>
                        <wps:cNvPr id="92" name="Textbox 92"/>
                        <wps:cNvSpPr txBox="1"/>
                        <wps:spPr>
                          <a:xfrm>
                            <a:off x="628740" y="5742973"/>
                            <a:ext cx="117475" cy="86995"/>
                          </a:xfrm>
                          <a:prstGeom prst="rect">
                            <a:avLst/>
                          </a:prstGeom>
                        </wps:spPr>
                        <wps:txbx>
                          <w:txbxContent>
                            <w:p>
                              <w:pPr>
                                <w:spacing w:line="136" w:lineRule="exact" w:before="0"/>
                                <w:ind w:left="0" w:right="0" w:firstLine="0"/>
                                <w:jc w:val="left"/>
                                <w:rPr>
                                  <w:sz w:val="12"/>
                                </w:rPr>
                              </w:pPr>
                              <w:r>
                                <w:rPr>
                                  <w:spacing w:val="-5"/>
                                  <w:sz w:val="12"/>
                                </w:rPr>
                                <w:t>1%</w:t>
                              </w:r>
                            </w:p>
                          </w:txbxContent>
                        </wps:txbx>
                        <wps:bodyPr wrap="square" lIns="0" tIns="0" rIns="0" bIns="0" rtlCol="0">
                          <a:noAutofit/>
                        </wps:bodyPr>
                      </wps:wsp>
                      <wps:wsp>
                        <wps:cNvPr id="93" name="Textbox 93"/>
                        <wps:cNvSpPr txBox="1"/>
                        <wps:spPr>
                          <a:xfrm>
                            <a:off x="589670" y="5214106"/>
                            <a:ext cx="156210" cy="86995"/>
                          </a:xfrm>
                          <a:prstGeom prst="rect">
                            <a:avLst/>
                          </a:prstGeom>
                        </wps:spPr>
                        <wps:txbx>
                          <w:txbxContent>
                            <w:p>
                              <w:pPr>
                                <w:spacing w:line="136" w:lineRule="exact" w:before="0"/>
                                <w:ind w:left="0" w:right="0" w:firstLine="0"/>
                                <w:jc w:val="left"/>
                                <w:rPr>
                                  <w:sz w:val="12"/>
                                </w:rPr>
                              </w:pPr>
                              <w:r>
                                <w:rPr>
                                  <w:spacing w:val="-5"/>
                                  <w:sz w:val="12"/>
                                </w:rPr>
                                <w:t>10%</w:t>
                              </w:r>
                            </w:p>
                          </w:txbxContent>
                        </wps:txbx>
                        <wps:bodyPr wrap="square" lIns="0" tIns="0" rIns="0" bIns="0" rtlCol="0">
                          <a:noAutofit/>
                        </wps:bodyPr>
                      </wps:wsp>
                      <wps:wsp>
                        <wps:cNvPr id="94" name="Textbox 94"/>
                        <wps:cNvSpPr txBox="1"/>
                        <wps:spPr>
                          <a:xfrm>
                            <a:off x="2073003" y="5043462"/>
                            <a:ext cx="156210" cy="86995"/>
                          </a:xfrm>
                          <a:prstGeom prst="rect">
                            <a:avLst/>
                          </a:prstGeom>
                        </wps:spPr>
                        <wps:txbx>
                          <w:txbxContent>
                            <w:p>
                              <w:pPr>
                                <w:spacing w:line="136" w:lineRule="exact" w:before="0"/>
                                <w:ind w:left="0" w:right="0" w:firstLine="0"/>
                                <w:jc w:val="left"/>
                                <w:rPr>
                                  <w:sz w:val="12"/>
                                </w:rPr>
                              </w:pPr>
                              <w:r>
                                <w:rPr>
                                  <w:spacing w:val="-5"/>
                                  <w:sz w:val="12"/>
                                </w:rPr>
                                <w:t>96%</w:t>
                              </w:r>
                            </w:p>
                          </w:txbxContent>
                        </wps:txbx>
                        <wps:bodyPr wrap="square" lIns="0" tIns="0" rIns="0" bIns="0" rtlCol="0">
                          <a:noAutofit/>
                        </wps:bodyPr>
                      </wps:wsp>
                      <wps:wsp>
                        <wps:cNvPr id="95" name="Textbox 95"/>
                        <wps:cNvSpPr txBox="1"/>
                        <wps:spPr>
                          <a:xfrm>
                            <a:off x="1688821" y="5063001"/>
                            <a:ext cx="156210" cy="86995"/>
                          </a:xfrm>
                          <a:prstGeom prst="rect">
                            <a:avLst/>
                          </a:prstGeom>
                        </wps:spPr>
                        <wps:txbx>
                          <w:txbxContent>
                            <w:p>
                              <w:pPr>
                                <w:spacing w:line="136" w:lineRule="exact" w:before="0"/>
                                <w:ind w:left="0" w:right="0" w:firstLine="0"/>
                                <w:jc w:val="left"/>
                                <w:rPr>
                                  <w:sz w:val="12"/>
                                </w:rPr>
                              </w:pPr>
                              <w:r>
                                <w:rPr>
                                  <w:spacing w:val="-5"/>
                                  <w:sz w:val="12"/>
                                </w:rPr>
                                <w:t>96%</w:t>
                              </w:r>
                            </w:p>
                          </w:txbxContent>
                        </wps:txbx>
                        <wps:bodyPr wrap="square" lIns="0" tIns="0" rIns="0" bIns="0" rtlCol="0">
                          <a:noAutofit/>
                        </wps:bodyPr>
                      </wps:wsp>
                      <wps:wsp>
                        <wps:cNvPr id="96" name="Textbox 96"/>
                        <wps:cNvSpPr txBox="1"/>
                        <wps:spPr>
                          <a:xfrm>
                            <a:off x="920457" y="5036949"/>
                            <a:ext cx="540385" cy="106680"/>
                          </a:xfrm>
                          <a:prstGeom prst="rect">
                            <a:avLst/>
                          </a:prstGeom>
                        </wps:spPr>
                        <wps:txbx>
                          <w:txbxContent>
                            <w:p>
                              <w:pPr>
                                <w:tabs>
                                  <w:tab w:pos="604" w:val="left" w:leader="none"/>
                                </w:tabs>
                                <w:spacing w:line="232" w:lineRule="auto" w:before="0"/>
                                <w:ind w:left="0" w:right="0" w:firstLine="0"/>
                                <w:jc w:val="left"/>
                                <w:rPr>
                                  <w:position w:val="-2"/>
                                  <w:sz w:val="12"/>
                                </w:rPr>
                              </w:pPr>
                              <w:r>
                                <w:rPr>
                                  <w:spacing w:val="-5"/>
                                  <w:sz w:val="12"/>
                                </w:rPr>
                                <w:t>95%</w:t>
                              </w:r>
                              <w:r>
                                <w:rPr>
                                  <w:sz w:val="12"/>
                                </w:rPr>
                                <w:tab/>
                              </w:r>
                              <w:r>
                                <w:rPr>
                                  <w:spacing w:val="-5"/>
                                  <w:position w:val="-2"/>
                                  <w:sz w:val="12"/>
                                </w:rPr>
                                <w:t>96%</w:t>
                              </w:r>
                            </w:p>
                          </w:txbxContent>
                        </wps:txbx>
                        <wps:bodyPr wrap="square" lIns="0" tIns="0" rIns="0" bIns="0" rtlCol="0">
                          <a:noAutofit/>
                        </wps:bodyPr>
                      </wps:wsp>
                      <wps:wsp>
                        <wps:cNvPr id="97" name="Textbox 97"/>
                        <wps:cNvSpPr txBox="1"/>
                        <wps:spPr>
                          <a:xfrm>
                            <a:off x="550601" y="4501569"/>
                            <a:ext cx="1817370" cy="269240"/>
                          </a:xfrm>
                          <a:prstGeom prst="rect">
                            <a:avLst/>
                          </a:prstGeom>
                        </wps:spPr>
                        <wps:txbx>
                          <w:txbxContent>
                            <w:p>
                              <w:pPr>
                                <w:tabs>
                                  <w:tab w:pos="1607" w:val="left" w:leader="none"/>
                                </w:tabs>
                                <w:spacing w:line="136" w:lineRule="exact" w:before="0"/>
                                <w:ind w:left="192" w:right="0" w:firstLine="0"/>
                                <w:jc w:val="left"/>
                                <w:rPr>
                                  <w:sz w:val="12"/>
                                </w:rPr>
                              </w:pPr>
                              <w:r>
                                <w:rPr>
                                  <w:sz w:val="12"/>
                                </w:rPr>
                                <w:t>Ŕνω</w:t>
                              </w:r>
                              <w:r>
                                <w:rPr>
                                  <w:spacing w:val="3"/>
                                  <w:sz w:val="12"/>
                                </w:rPr>
                                <w:t> </w:t>
                              </w:r>
                              <w:r>
                                <w:rPr>
                                  <w:sz w:val="12"/>
                                </w:rPr>
                                <w:t>τou</w:t>
                              </w:r>
                              <w:r>
                                <w:rPr>
                                  <w:spacing w:val="4"/>
                                  <w:sz w:val="12"/>
                                </w:rPr>
                                <w:t> </w:t>
                              </w:r>
                              <w:r>
                                <w:rPr>
                                  <w:sz w:val="12"/>
                                </w:rPr>
                                <w:t>opíou</w:t>
                              </w:r>
                              <w:r>
                                <w:rPr>
                                  <w:spacing w:val="14"/>
                                  <w:sz w:val="12"/>
                                </w:rPr>
                                <w:t> </w:t>
                              </w:r>
                              <w:r>
                                <w:rPr>
                                  <w:sz w:val="12"/>
                                </w:rPr>
                                <w:t>DSTI-</w:t>
                              </w:r>
                              <w:r>
                                <w:rPr>
                                  <w:spacing w:val="-10"/>
                                  <w:sz w:val="12"/>
                                </w:rPr>
                                <w:t>O</w:t>
                              </w:r>
                              <w:r>
                                <w:rPr>
                                  <w:sz w:val="12"/>
                                </w:rPr>
                                <w:tab/>
                                <w:t>Κάτω</w:t>
                              </w:r>
                              <w:r>
                                <w:rPr>
                                  <w:spacing w:val="2"/>
                                  <w:sz w:val="12"/>
                                </w:rPr>
                                <w:t> </w:t>
                              </w:r>
                              <w:r>
                                <w:rPr>
                                  <w:sz w:val="12"/>
                                </w:rPr>
                                <w:t>τou</w:t>
                              </w:r>
                              <w:r>
                                <w:rPr>
                                  <w:spacing w:val="3"/>
                                  <w:sz w:val="12"/>
                                </w:rPr>
                                <w:t> </w:t>
                              </w:r>
                              <w:r>
                                <w:rPr>
                                  <w:sz w:val="12"/>
                                </w:rPr>
                                <w:t>opíou</w:t>
                              </w:r>
                              <w:r>
                                <w:rPr>
                                  <w:spacing w:val="12"/>
                                  <w:sz w:val="12"/>
                                </w:rPr>
                                <w:t> </w:t>
                              </w:r>
                              <w:r>
                                <w:rPr>
                                  <w:sz w:val="12"/>
                                </w:rPr>
                                <w:t>DSTI-</w:t>
                              </w:r>
                              <w:r>
                                <w:rPr>
                                  <w:spacing w:val="-12"/>
                                  <w:sz w:val="12"/>
                                </w:rPr>
                                <w:t>O</w:t>
                              </w:r>
                            </w:p>
                            <w:p>
                              <w:pPr>
                                <w:spacing w:line="240" w:lineRule="auto" w:before="11"/>
                                <w:rPr>
                                  <w:sz w:val="12"/>
                                </w:rPr>
                              </w:pPr>
                            </w:p>
                            <w:p>
                              <w:pPr>
                                <w:spacing w:before="0"/>
                                <w:ind w:left="0" w:right="0" w:firstLine="0"/>
                                <w:jc w:val="left"/>
                                <w:rPr>
                                  <w:sz w:val="12"/>
                                </w:rPr>
                              </w:pPr>
                              <w:r>
                                <w:rPr>
                                  <w:spacing w:val="-4"/>
                                  <w:w w:val="105"/>
                                  <w:sz w:val="12"/>
                                </w:rPr>
                                <w:t>100%</w:t>
                              </w:r>
                            </w:p>
                          </w:txbxContent>
                        </wps:txbx>
                        <wps:bodyPr wrap="square" lIns="0" tIns="0" rIns="0" bIns="0" rtlCol="0">
                          <a:noAutofit/>
                        </wps:bodyPr>
                      </wps:wsp>
                    </wpg:wgp>
                  </a:graphicData>
                </a:graphic>
              </wp:anchor>
            </w:drawing>
          </mc:Choice>
          <mc:Fallback>
            <w:pict>
              <v:group style="position:absolute;margin-left:75.744003pt;margin-top:111.61998pt;width:432.7pt;height:656.15pt;mso-position-horizontal-relative:page;mso-position-vertical-relative:page;z-index:-20659200" id="docshapegroup47" coordorigin="1515,2232" coordsize="8654,13123">
                <v:rect style="position:absolute;left:1524;top:2242;width:8635;height:720" id="docshape48" filled="true" fillcolor="#1f487c" stroked="false">
                  <v:fill type="solid"/>
                </v:rect>
                <v:shape style="position:absolute;left:1514;top:2232;width:8654;height:730" id="docshape49" coordorigin="1515,2232" coordsize="8654,730" path="m10159,2232l1524,2232,1515,2232,1515,2242,1515,2962,1524,2962,1524,2242,10159,2242,10159,2232xm10168,2232l10159,2232,10159,2242,10159,2962,10168,2962,10168,2242,10168,2232xe" filled="true" fillcolor="#000000" stroked="false">
                  <v:path arrowok="t"/>
                  <v:fill type="solid"/>
                </v:shape>
                <v:rect style="position:absolute;left:1524;top:2962;width:8635;height:12381" id="docshape50" filled="true" fillcolor="#d9d9d9" stroked="false">
                  <v:fill type="solid"/>
                </v:rect>
                <v:shape style="position:absolute;left:1514;top:2962;width:8654;height:12393" id="docshape51" coordorigin="1515,2962" coordsize="8654,12393" path="m1637,12492l1628,12492,1628,13113,1637,13113,1637,12492xm1637,9222l1628,9222,1628,12492,1637,12492,1637,9222xm9988,13113l1637,13113,1628,13113,1628,13123,1637,13123,9988,13123,9988,13113xm9988,8303l1637,8303,1628,8303,1628,8312,1628,8312,1628,8881,1628,9222,1637,9222,1637,8881,1637,8312,9988,8312,9988,8303xm9998,13113l9988,13113,9988,13123,9998,13123,9998,13113xm9998,12492l9988,12492,9988,13113,9998,13113,9998,12492xm9998,9222l9988,9222,9988,12492,9998,12492,9998,9222xm9998,8303l9988,8303,9988,8312,9988,8312,9988,8881,9988,9222,9998,9222,9998,8881,9998,8312,9998,8312,9998,8303xm10159,15345l1524,15345,1524,2962,1515,2962,1515,15345,1515,15355,1524,15355,10159,15355,10159,15345xm10168,2962l10159,2962,10159,15345,10159,15355,10168,15355,10168,15345,10168,2962xe" filled="true" fillcolor="#000000" stroked="false">
                  <v:path arrowok="t"/>
                  <v:fill type="solid"/>
                </v:shape>
                <v:line style="position:absolute" from="2778,12166" to="5188,12166" stroked="true" strokeweight=".598320pt" strokecolor="#ffffff">
                  <v:stroke dashstyle="solid"/>
                </v:line>
                <v:shape style="position:absolute;left:2777;top:10504;width:2410;height:831" id="docshape52" coordorigin="2778,10504" coordsize="2410,831" path="m2778,11335l2829,11335m3321,11335l3434,11335m3926,11335l4029,11335m4531,11335l4634,11335m5136,11335l5188,11335m4531,10504l4634,10504m5136,10504l5188,10504m3926,10504l4029,10504m3321,10504l3434,10504m2778,10504l2829,10504e" filled="false" stroked="true" strokeweight=".598320pt" strokecolor="#ffffff">
                  <v:path arrowok="t"/>
                  <v:stroke dashstyle="solid"/>
                </v:shape>
                <v:shape style="position:absolute;left:2829;top:10781;width:2308;height:1385" id="docshape53" coordorigin="2829,10781" coordsize="2308,1385" path="m3321,10781l2829,10781,2829,12166,3321,12166,3321,10781xm3926,10832l3434,10832,3434,12166,3926,12166,3926,10832xm4531,10873l4029,10873,4029,12166,4531,12166,4531,10873xm5136,10802l4634,10802,4634,12166,5136,12166,5136,10802xe" filled="true" fillcolor="#2d75b6" stroked="false">
                  <v:path arrowok="t"/>
                  <v:fill type="solid"/>
                </v:shape>
                <v:shape style="position:absolute;left:2829;top:10781;width:2308;height:1385" id="docshape54" coordorigin="2829,10781" coordsize="2308,1385" path="m2829,10781l3321,10781,3321,12166,2829,12166,2829,10781xm3434,10832l3926,10832,3926,12166,3434,12166,3434,10832xm4029,10873l4531,10873,4531,12166,4029,12166,4029,10873xm4634,10802l5136,10802,5136,12166,4634,12166,4634,10802xe" filled="false" stroked="true" strokeweight=".598247pt" strokecolor="#ffffff">
                  <v:path arrowok="t"/>
                  <v:stroke dashstyle="solid"/>
                </v:shape>
                <v:shape style="position:absolute;left:2829;top:9683;width:2308;height:1190" id="docshape55" coordorigin="2829,9684" coordsize="2308,1190" path="m3321,9684l2829,9684,2829,10781,3321,10781,3321,9684xm3926,9684l3434,9684,3434,10832,3926,10832,3926,9684xm4531,9684l4029,9684,4029,10873,4531,10873,4531,9684xm5136,9684l4634,9684,4634,10802,5136,10802,5136,9684xe" filled="true" fillcolor="#e8e8e8" stroked="false">
                  <v:path arrowok="t"/>
                  <v:fill type="solid"/>
                </v:shape>
                <v:shape style="position:absolute;left:2777;top:9683;width:2410;height:1190" id="docshape56" coordorigin="2778,9684" coordsize="2410,1190" path="m2829,9684l3321,9684,3321,10781,2829,10781,2829,9684xm3434,9684l3926,9684,3926,10832,3434,10832,3434,9684xm4029,9684l4531,9684,4531,10873,4029,10873,4029,9684xm4634,9684l5136,9684,5136,10802,4634,10802,4634,9684xm2778,9684l5188,9684e" filled="false" stroked="true" strokeweight=".598247pt" strokecolor="#ffffff">
                  <v:path arrowok="t"/>
                  <v:stroke dashstyle="solid"/>
                </v:shape>
                <v:rect style="position:absolute;left:2490;top:9365;width:62;height:62" id="docshape57" filled="true" fillcolor="#2d75b6" stroked="false">
                  <v:fill type="solid"/>
                </v:rect>
                <v:rect style="position:absolute;left:2490;top:9365;width:62;height:62" id="docshape58" filled="false" stroked="true" strokeweight=".598247pt" strokecolor="#ffffff">
                  <v:stroke dashstyle="solid"/>
                </v:rect>
                <v:rect style="position:absolute;left:3895;top:9365;width:62;height:62" id="docshape59" filled="true" fillcolor="#e8e8e8" stroked="false">
                  <v:fill type="solid"/>
                </v:rect>
                <v:rect style="position:absolute;left:3895;top:9365;width:62;height:62" id="docshape60" filled="false" stroked="true" strokeweight=".598247pt" strokecolor="#ffffff">
                  <v:stroke dashstyle="solid"/>
                </v:rect>
                <v:rect style="position:absolute;left:2234;top:9232;width:3108;height:3242" id="docshape61" filled="false" stroked="true" strokeweight=".598244pt" strokecolor="#bebebe">
                  <v:stroke dashstyle="solid"/>
                </v:rect>
                <v:line style="position:absolute" from="6943,12151" to="9368,12151" stroked="true" strokeweight=".594374pt" strokecolor="#ffffff">
                  <v:stroke dashstyle="solid"/>
                </v:line>
                <v:shape style="position:absolute;left:6943;top:10510;width:2425;height:816" id="docshape62" coordorigin="6943,10511" coordsize="2425,816" path="m8716,11326l8817,11326m9317,11326l9368,11326m8104,11326l8206,11326m7493,11326l7605,11326m6943,11326l6994,11326m6943,10511l6994,10511m7493,10511l7605,10511m8104,10511l8206,10511m8716,10511l8817,10511m9317,10511l9368,10511e" filled="false" stroked="true" strokeweight=".594385pt" strokecolor="#ffffff">
                  <v:path arrowok="t"/>
                  <v:stroke dashstyle="solid"/>
                </v:shape>
                <v:shape style="position:absolute;left:6994;top:11509;width:2323;height:642" id="docshape63" coordorigin="6994,11509" coordsize="2323,642" path="m7493,11866l6994,11866,6994,12151,7493,12151,7493,11866xm8104,11509l7605,11509,7605,12151,8104,12151,8104,11509xm8716,12039l8206,12039,8206,12151,8716,12151,8716,12039xm9317,11601l8817,11601,8817,12151,9317,12151,9317,11601xe" filled="true" fillcolor="#2d75b6" stroked="false">
                  <v:path arrowok="t"/>
                  <v:fill type="solid"/>
                </v:shape>
                <v:shape style="position:absolute;left:6994;top:11509;width:2323;height:642" id="docshape64" coordorigin="6994,11509" coordsize="2323,642" path="m6994,11866l7493,11866,7493,12151,6994,12151,6994,11866xm7605,11509l8104,11509,8104,12151,7605,12151,7605,11509xm8206,12039l8716,12039,8716,12151,8206,12151,8206,12039xm8817,11601l9317,11601,9317,12151,8817,12151,8817,11601xe" filled="false" stroked="true" strokeweight=".594287pt" strokecolor="#ffffff">
                  <v:path arrowok="t"/>
                  <v:stroke dashstyle="solid"/>
                </v:shape>
                <v:shape style="position:absolute;left:6994;top:9685;width:2323;height:2354" id="docshape65" coordorigin="6994,9686" coordsize="2323,2354" path="m7493,9686l6994,9686,6994,11866,7493,11866,7493,9686xm8104,9686l7605,9686,7605,11509,8104,11509,8104,9686xm8716,9686l8206,9686,8206,12039,8716,12039,8716,9686xm9317,9686l8817,9686,8817,11601,9317,11601,9317,9686xe" filled="true" fillcolor="#e8e8e8" stroked="false">
                  <v:path arrowok="t"/>
                  <v:fill type="solid"/>
                </v:shape>
                <v:shape style="position:absolute;left:6943;top:9685;width:2425;height:2354" id="docshape66" coordorigin="6943,9686" coordsize="2425,2354" path="m6994,9686l7493,9686,7493,11866,6994,11866,6994,9686xm7605,9686l8104,9686,8104,11509,7605,11509,7605,9686xm8206,9686l8716,9686,8716,12039,8206,12039,8206,9686xm8817,9686l9317,9686,9317,11601,8817,11601,8817,9686xm6943,9686l9368,9686e" filled="false" stroked="true" strokeweight=".594287pt" strokecolor="#ffffff">
                  <v:path arrowok="t"/>
                  <v:stroke dashstyle="solid"/>
                </v:shape>
                <v:rect style="position:absolute;left:6678;top:9400;width:62;height:62" id="docshape67" filled="true" fillcolor="#2d75b6" stroked="false">
                  <v:fill type="solid"/>
                </v:rect>
                <v:rect style="position:absolute;left:6678;top:9400;width:62;height:62" id="docshape68" filled="false" stroked="true" strokeweight=".594287pt" strokecolor="#ffffff">
                  <v:stroke dashstyle="solid"/>
                </v:rect>
                <v:rect style="position:absolute;left:8012;top:9400;width:62;height:62" id="docshape69" filled="true" fillcolor="#e8e8e8" stroked="false">
                  <v:fill type="solid"/>
                </v:rect>
                <v:rect style="position:absolute;left:8012;top:9400;width:62;height:62" id="docshape70" filled="false" stroked="true" strokeweight=".594287pt" strokecolor="#ffffff">
                  <v:stroke dashstyle="solid"/>
                </v:rect>
                <v:rect style="position:absolute;left:6403;top:9247;width:3117;height:3210" id="docshape71" filled="false" stroked="true" strokeweight=".594285pt" strokecolor="#bebebe">
                  <v:stroke dashstyle="solid"/>
                </v:rect>
                <v:shape style="position:absolute;left:6611;top:10436;width:246;height:138" type="#_x0000_t202" id="docshape72" filled="false" stroked="false">
                  <v:textbox inset="0,0,0,0">
                    <w:txbxContent>
                      <w:p>
                        <w:pPr>
                          <w:spacing w:line="137" w:lineRule="exact" w:before="0"/>
                          <w:ind w:left="0" w:right="0" w:firstLine="0"/>
                          <w:jc w:val="left"/>
                          <w:rPr>
                            <w:sz w:val="12"/>
                          </w:rPr>
                        </w:pPr>
                        <w:r>
                          <w:rPr>
                            <w:spacing w:val="-5"/>
                            <w:w w:val="105"/>
                            <w:sz w:val="12"/>
                          </w:rPr>
                          <w:t>10%</w:t>
                        </w:r>
                      </w:p>
                    </w:txbxContent>
                  </v:textbox>
                  <w10:wrap type="none"/>
                </v:shape>
                <v:shape style="position:absolute;left:6969;top:12237;width:2396;height:136" type="#_x0000_t202" id="docshape73" filled="false" stroked="false">
                  <v:textbox inset="0,0,0,0">
                    <w:txbxContent>
                      <w:p>
                        <w:pPr>
                          <w:spacing w:line="135" w:lineRule="exact" w:before="0"/>
                          <w:ind w:left="0" w:right="0" w:firstLine="0"/>
                          <w:jc w:val="left"/>
                          <w:rPr>
                            <w:sz w:val="12"/>
                          </w:rPr>
                        </w:pPr>
                        <w:r>
                          <w:rPr>
                            <w:sz w:val="12"/>
                          </w:rPr>
                          <w:t>a´</w:t>
                        </w:r>
                        <w:r>
                          <w:rPr>
                            <w:spacing w:val="2"/>
                            <w:sz w:val="12"/>
                          </w:rPr>
                          <w:t> </w:t>
                        </w:r>
                        <w:r>
                          <w:rPr>
                            <w:sz w:val="12"/>
                          </w:rPr>
                          <w:t>τp.</w:t>
                        </w:r>
                        <w:r>
                          <w:rPr>
                            <w:spacing w:val="2"/>
                            <w:sz w:val="12"/>
                          </w:rPr>
                          <w:t> </w:t>
                        </w:r>
                        <w:r>
                          <w:rPr>
                            <w:sz w:val="12"/>
                          </w:rPr>
                          <w:t>2025</w:t>
                        </w:r>
                        <w:r>
                          <w:rPr>
                            <w:spacing w:val="25"/>
                            <w:sz w:val="12"/>
                          </w:rPr>
                          <w:t> </w:t>
                        </w:r>
                        <w:r>
                          <w:rPr>
                            <w:sz w:val="12"/>
                          </w:rPr>
                          <w:t>β´</w:t>
                        </w:r>
                        <w:r>
                          <w:rPr>
                            <w:spacing w:val="2"/>
                            <w:sz w:val="12"/>
                          </w:rPr>
                          <w:t> </w:t>
                        </w:r>
                        <w:r>
                          <w:rPr>
                            <w:sz w:val="12"/>
                          </w:rPr>
                          <w:t>τp.</w:t>
                        </w:r>
                        <w:r>
                          <w:rPr>
                            <w:spacing w:val="2"/>
                            <w:sz w:val="12"/>
                          </w:rPr>
                          <w:t> </w:t>
                        </w:r>
                        <w:r>
                          <w:rPr>
                            <w:sz w:val="12"/>
                          </w:rPr>
                          <w:t>2025</w:t>
                        </w:r>
                        <w:r>
                          <w:rPr>
                            <w:spacing w:val="38"/>
                            <w:sz w:val="12"/>
                          </w:rPr>
                          <w:t> </w:t>
                        </w:r>
                        <w:r>
                          <w:rPr>
                            <w:sz w:val="12"/>
                          </w:rPr>
                          <w:t>γ´</w:t>
                        </w:r>
                        <w:r>
                          <w:rPr>
                            <w:spacing w:val="2"/>
                            <w:sz w:val="12"/>
                          </w:rPr>
                          <w:t> </w:t>
                        </w:r>
                        <w:r>
                          <w:rPr>
                            <w:sz w:val="12"/>
                          </w:rPr>
                          <w:t>τp.</w:t>
                        </w:r>
                        <w:r>
                          <w:rPr>
                            <w:spacing w:val="2"/>
                            <w:sz w:val="12"/>
                          </w:rPr>
                          <w:t> </w:t>
                        </w:r>
                        <w:r>
                          <w:rPr>
                            <w:sz w:val="12"/>
                          </w:rPr>
                          <w:t>2025</w:t>
                        </w:r>
                        <w:r>
                          <w:rPr>
                            <w:spacing w:val="39"/>
                            <w:sz w:val="12"/>
                          </w:rPr>
                          <w:t> </w:t>
                        </w:r>
                        <w:r>
                          <w:rPr>
                            <w:sz w:val="12"/>
                          </w:rPr>
                          <w:t>δ´</w:t>
                        </w:r>
                        <w:r>
                          <w:rPr>
                            <w:spacing w:val="2"/>
                            <w:sz w:val="12"/>
                          </w:rPr>
                          <w:t> </w:t>
                        </w:r>
                        <w:r>
                          <w:rPr>
                            <w:sz w:val="12"/>
                          </w:rPr>
                          <w:t>τp.</w:t>
                        </w:r>
                        <w:r>
                          <w:rPr>
                            <w:spacing w:val="2"/>
                            <w:sz w:val="12"/>
                          </w:rPr>
                          <w:t> </w:t>
                        </w:r>
                        <w:r>
                          <w:rPr>
                            <w:spacing w:val="-4"/>
                            <w:sz w:val="12"/>
                          </w:rPr>
                          <w:t>2025</w:t>
                        </w:r>
                      </w:p>
                    </w:txbxContent>
                  </v:textbox>
                  <w10:wrap type="none"/>
                </v:shape>
                <v:shape style="position:absolute;left:7741;top:10532;width:245;height:136" type="#_x0000_t202" id="docshape74" filled="false" stroked="false">
                  <v:textbox inset="0,0,0,0">
                    <w:txbxContent>
                      <w:p>
                        <w:pPr>
                          <w:spacing w:line="135" w:lineRule="exact" w:before="0"/>
                          <w:ind w:left="0" w:right="0" w:firstLine="0"/>
                          <w:jc w:val="left"/>
                          <w:rPr>
                            <w:sz w:val="12"/>
                          </w:rPr>
                        </w:pPr>
                        <w:r>
                          <w:rPr>
                            <w:spacing w:val="-5"/>
                            <w:sz w:val="12"/>
                          </w:rPr>
                          <w:t>99%</w:t>
                        </w:r>
                      </w:p>
                    </w:txbxContent>
                  </v:textbox>
                  <w10:wrap type="none"/>
                </v:shape>
                <v:shape style="position:absolute;left:8929;top:10572;width:306;height:136" type="#_x0000_t202" id="docshape75" filled="false" stroked="false">
                  <v:textbox inset="0,0,0,0">
                    <w:txbxContent>
                      <w:p>
                        <w:pPr>
                          <w:spacing w:line="135" w:lineRule="exact" w:before="0"/>
                          <w:ind w:left="0" w:right="0" w:firstLine="0"/>
                          <w:jc w:val="left"/>
                          <w:rPr>
                            <w:sz w:val="12"/>
                          </w:rPr>
                        </w:pPr>
                        <w:r>
                          <w:rPr>
                            <w:spacing w:val="-4"/>
                            <w:sz w:val="12"/>
                          </w:rPr>
                          <w:t>100%</w:t>
                        </w:r>
                      </w:p>
                    </w:txbxContent>
                  </v:textbox>
                  <w10:wrap type="none"/>
                </v:shape>
                <v:shape style="position:absolute;left:7102;top:10715;width:306;height:136" type="#_x0000_t202" id="docshape76" filled="false" stroked="false">
                  <v:textbox inset="0,0,0,0">
                    <w:txbxContent>
                      <w:p>
                        <w:pPr>
                          <w:spacing w:line="135" w:lineRule="exact" w:before="0"/>
                          <w:ind w:left="0" w:right="0" w:firstLine="0"/>
                          <w:jc w:val="left"/>
                          <w:rPr>
                            <w:sz w:val="12"/>
                          </w:rPr>
                        </w:pPr>
                        <w:r>
                          <w:rPr>
                            <w:spacing w:val="-4"/>
                            <w:sz w:val="12"/>
                          </w:rPr>
                          <w:t>100%</w:t>
                        </w:r>
                      </w:p>
                    </w:txbxContent>
                  </v:textbox>
                  <w10:wrap type="none"/>
                </v:shape>
                <v:shape style="position:absolute;left:8320;top:10797;width:306;height:136" type="#_x0000_t202" id="docshape77" filled="false" stroked="false">
                  <v:textbox inset="0,0,0,0">
                    <w:txbxContent>
                      <w:p>
                        <w:pPr>
                          <w:spacing w:line="135" w:lineRule="exact" w:before="0"/>
                          <w:ind w:left="0" w:right="0" w:firstLine="0"/>
                          <w:jc w:val="left"/>
                          <w:rPr>
                            <w:sz w:val="12"/>
                          </w:rPr>
                        </w:pPr>
                        <w:r>
                          <w:rPr>
                            <w:spacing w:val="-4"/>
                            <w:sz w:val="12"/>
                          </w:rPr>
                          <w:t>100%</w:t>
                        </w:r>
                      </w:p>
                    </w:txbxContent>
                  </v:textbox>
                  <w10:wrap type="none"/>
                </v:shape>
                <v:shape style="position:absolute;left:6672;top:11267;width:183;height:136" type="#_x0000_t202" id="docshape78" filled="false" stroked="false">
                  <v:textbox inset="0,0,0,0">
                    <w:txbxContent>
                      <w:p>
                        <w:pPr>
                          <w:spacing w:line="135" w:lineRule="exact" w:before="0"/>
                          <w:ind w:left="0" w:right="0" w:firstLine="0"/>
                          <w:jc w:val="left"/>
                          <w:rPr>
                            <w:sz w:val="12"/>
                          </w:rPr>
                        </w:pPr>
                        <w:r>
                          <w:rPr>
                            <w:spacing w:val="-5"/>
                            <w:sz w:val="12"/>
                          </w:rPr>
                          <w:t>1%</w:t>
                        </w:r>
                      </w:p>
                    </w:txbxContent>
                  </v:textbox>
                  <w10:wrap type="none"/>
                </v:shape>
                <v:shape style="position:absolute;left:7727;top:11767;width:275;height:136" type="#_x0000_t202" id="docshape79" filled="false" stroked="false">
                  <v:textbox inset="0,0,0,0">
                    <w:txbxContent>
                      <w:p>
                        <w:pPr>
                          <w:spacing w:line="135" w:lineRule="exact" w:before="0"/>
                          <w:ind w:left="0" w:right="0" w:firstLine="0"/>
                          <w:jc w:val="left"/>
                          <w:rPr>
                            <w:sz w:val="12"/>
                          </w:rPr>
                        </w:pPr>
                        <w:r>
                          <w:rPr>
                            <w:color w:val="FFFFFF"/>
                            <w:spacing w:val="-4"/>
                            <w:sz w:val="12"/>
                          </w:rPr>
                          <w:t>0,6%</w:t>
                        </w:r>
                      </w:p>
                    </w:txbxContent>
                  </v:textbox>
                  <w10:wrap type="none"/>
                </v:shape>
                <v:shape style="position:absolute;left:8945;top:11806;width:277;height:138" type="#_x0000_t202" id="docshape80" filled="false" stroked="false">
                  <v:textbox inset="0,0,0,0">
                    <w:txbxContent>
                      <w:p>
                        <w:pPr>
                          <w:spacing w:line="137" w:lineRule="exact" w:before="0"/>
                          <w:ind w:left="0" w:right="0" w:firstLine="0"/>
                          <w:jc w:val="left"/>
                          <w:rPr>
                            <w:sz w:val="12"/>
                          </w:rPr>
                        </w:pPr>
                        <w:r>
                          <w:rPr>
                            <w:color w:val="FFFFFF"/>
                            <w:spacing w:val="-4"/>
                            <w:w w:val="105"/>
                            <w:sz w:val="12"/>
                          </w:rPr>
                          <w:t>0,5%</w:t>
                        </w:r>
                      </w:p>
                    </w:txbxContent>
                  </v:textbox>
                  <w10:wrap type="none"/>
                </v:shape>
                <v:shape style="position:absolute;left:7118;top:11952;width:275;height:136" type="#_x0000_t202" id="docshape81" filled="false" stroked="false">
                  <v:textbox inset="0,0,0,0">
                    <w:txbxContent>
                      <w:p>
                        <w:pPr>
                          <w:spacing w:line="135" w:lineRule="exact" w:before="0"/>
                          <w:ind w:left="0" w:right="0" w:firstLine="0"/>
                          <w:jc w:val="left"/>
                          <w:rPr>
                            <w:sz w:val="12"/>
                          </w:rPr>
                        </w:pPr>
                        <w:r>
                          <w:rPr>
                            <w:color w:val="FFFFFF"/>
                            <w:spacing w:val="-4"/>
                            <w:sz w:val="12"/>
                          </w:rPr>
                          <w:t>0,2%</w:t>
                        </w:r>
                      </w:p>
                    </w:txbxContent>
                  </v:textbox>
                  <w10:wrap type="none"/>
                </v:shape>
                <v:shape style="position:absolute;left:6672;top:12085;width:183;height:136" type="#_x0000_t202" id="docshape82" filled="false" stroked="false">
                  <v:textbox inset="0,0,0,0">
                    <w:txbxContent>
                      <w:p>
                        <w:pPr>
                          <w:spacing w:line="135" w:lineRule="exact" w:before="0"/>
                          <w:ind w:left="0" w:right="0" w:firstLine="0"/>
                          <w:jc w:val="left"/>
                          <w:rPr>
                            <w:sz w:val="12"/>
                          </w:rPr>
                        </w:pPr>
                        <w:r>
                          <w:rPr>
                            <w:spacing w:val="-5"/>
                            <w:sz w:val="12"/>
                          </w:rPr>
                          <w:t>0%</w:t>
                        </w:r>
                      </w:p>
                    </w:txbxContent>
                  </v:textbox>
                  <w10:wrap type="none"/>
                </v:shape>
                <v:shape style="position:absolute;left:8336;top:12034;width:275;height:136" type="#_x0000_t202" id="docshape83" filled="false" stroked="false">
                  <v:textbox inset="0,0,0,0">
                    <w:txbxContent>
                      <w:p>
                        <w:pPr>
                          <w:spacing w:line="135" w:lineRule="exact" w:before="0"/>
                          <w:ind w:left="0" w:right="0" w:firstLine="0"/>
                          <w:jc w:val="left"/>
                          <w:rPr>
                            <w:sz w:val="12"/>
                          </w:rPr>
                        </w:pPr>
                        <w:r>
                          <w:rPr>
                            <w:color w:val="FFFFFF"/>
                            <w:spacing w:val="-4"/>
                            <w:sz w:val="12"/>
                          </w:rPr>
                          <w:t>0,1%</w:t>
                        </w:r>
                      </w:p>
                    </w:txbxContent>
                  </v:textbox>
                  <w10:wrap type="none"/>
                </v:shape>
                <v:shape style="position:absolute;left:6549;top:9356;width:2763;height:391" type="#_x0000_t202" id="docshape84" filled="false" stroked="false">
                  <v:textbox inset="0,0,0,0">
                    <w:txbxContent>
                      <w:p>
                        <w:pPr>
                          <w:tabs>
                            <w:tab w:pos="1552" w:val="left" w:leader="none"/>
                          </w:tabs>
                          <w:spacing w:line="135" w:lineRule="exact" w:before="0"/>
                          <w:ind w:left="215" w:right="0" w:firstLine="0"/>
                          <w:jc w:val="left"/>
                          <w:rPr>
                            <w:sz w:val="12"/>
                          </w:rPr>
                        </w:pPr>
                        <w:r>
                          <w:rPr>
                            <w:sz w:val="12"/>
                          </w:rPr>
                          <w:t>Ŕνω τou</w:t>
                        </w:r>
                        <w:r>
                          <w:rPr>
                            <w:spacing w:val="1"/>
                            <w:sz w:val="12"/>
                          </w:rPr>
                          <w:t> </w:t>
                        </w:r>
                        <w:r>
                          <w:rPr>
                            <w:sz w:val="12"/>
                          </w:rPr>
                          <w:t>opíou</w:t>
                        </w:r>
                        <w:r>
                          <w:rPr>
                            <w:spacing w:val="13"/>
                            <w:sz w:val="12"/>
                          </w:rPr>
                          <w:t> </w:t>
                        </w:r>
                        <w:r>
                          <w:rPr>
                            <w:sz w:val="12"/>
                          </w:rPr>
                          <w:t>LTV-</w:t>
                        </w:r>
                        <w:r>
                          <w:rPr>
                            <w:spacing w:val="-10"/>
                            <w:sz w:val="12"/>
                          </w:rPr>
                          <w:t>O</w:t>
                        </w:r>
                        <w:r>
                          <w:rPr>
                            <w:sz w:val="12"/>
                          </w:rPr>
                          <w:tab/>
                          <w:t>Κάτω</w:t>
                        </w:r>
                        <w:r>
                          <w:rPr>
                            <w:spacing w:val="-1"/>
                            <w:sz w:val="12"/>
                          </w:rPr>
                          <w:t> </w:t>
                        </w:r>
                        <w:r>
                          <w:rPr>
                            <w:sz w:val="12"/>
                          </w:rPr>
                          <w:t>τou opíou</w:t>
                        </w:r>
                        <w:r>
                          <w:rPr>
                            <w:spacing w:val="7"/>
                            <w:sz w:val="12"/>
                          </w:rPr>
                          <w:t> </w:t>
                        </w:r>
                        <w:r>
                          <w:rPr>
                            <w:sz w:val="12"/>
                          </w:rPr>
                          <w:t>LTV-</w:t>
                        </w:r>
                        <w:r>
                          <w:rPr>
                            <w:spacing w:val="-10"/>
                            <w:sz w:val="12"/>
                          </w:rPr>
                          <w:t>O</w:t>
                        </w:r>
                      </w:p>
                      <w:p>
                        <w:pPr>
                          <w:spacing w:before="116"/>
                          <w:ind w:left="0" w:right="0" w:firstLine="0"/>
                          <w:jc w:val="left"/>
                          <w:rPr>
                            <w:sz w:val="12"/>
                          </w:rPr>
                        </w:pPr>
                        <w:r>
                          <w:rPr>
                            <w:spacing w:val="-4"/>
                            <w:sz w:val="12"/>
                          </w:rPr>
                          <w:t>100%</w:t>
                        </w:r>
                      </w:p>
                    </w:txbxContent>
                  </v:textbox>
                  <w10:wrap type="none"/>
                </v:shape>
                <v:shape style="position:absolute;left:2798;top:12242;width:2389;height:137" type="#_x0000_t202" id="docshape85" filled="false" stroked="false">
                  <v:textbox inset="0,0,0,0">
                    <w:txbxContent>
                      <w:p>
                        <w:pPr>
                          <w:spacing w:line="136" w:lineRule="exact" w:before="0"/>
                          <w:ind w:left="0" w:right="0" w:firstLine="0"/>
                          <w:jc w:val="left"/>
                          <w:rPr>
                            <w:sz w:val="12"/>
                          </w:rPr>
                        </w:pPr>
                        <w:r>
                          <w:rPr>
                            <w:sz w:val="12"/>
                          </w:rPr>
                          <w:t>a´</w:t>
                        </w:r>
                        <w:r>
                          <w:rPr>
                            <w:spacing w:val="3"/>
                            <w:sz w:val="12"/>
                          </w:rPr>
                          <w:t> </w:t>
                        </w:r>
                        <w:r>
                          <w:rPr>
                            <w:sz w:val="12"/>
                          </w:rPr>
                          <w:t>τp.</w:t>
                        </w:r>
                        <w:r>
                          <w:rPr>
                            <w:spacing w:val="3"/>
                            <w:sz w:val="12"/>
                          </w:rPr>
                          <w:t> </w:t>
                        </w:r>
                        <w:r>
                          <w:rPr>
                            <w:sz w:val="12"/>
                          </w:rPr>
                          <w:t>2025</w:t>
                        </w:r>
                        <w:r>
                          <w:rPr>
                            <w:spacing w:val="26"/>
                            <w:sz w:val="12"/>
                          </w:rPr>
                          <w:t> </w:t>
                        </w:r>
                        <w:r>
                          <w:rPr>
                            <w:sz w:val="12"/>
                          </w:rPr>
                          <w:t>β´</w:t>
                        </w:r>
                        <w:r>
                          <w:rPr>
                            <w:spacing w:val="3"/>
                            <w:sz w:val="12"/>
                          </w:rPr>
                          <w:t> </w:t>
                        </w:r>
                        <w:r>
                          <w:rPr>
                            <w:sz w:val="12"/>
                          </w:rPr>
                          <w:t>τp.</w:t>
                        </w:r>
                        <w:r>
                          <w:rPr>
                            <w:spacing w:val="3"/>
                            <w:sz w:val="12"/>
                          </w:rPr>
                          <w:t> </w:t>
                        </w:r>
                        <w:r>
                          <w:rPr>
                            <w:sz w:val="12"/>
                          </w:rPr>
                          <w:t>2025</w:t>
                        </w:r>
                        <w:r>
                          <w:rPr>
                            <w:spacing w:val="31"/>
                            <w:sz w:val="12"/>
                          </w:rPr>
                          <w:t> </w:t>
                        </w:r>
                        <w:r>
                          <w:rPr>
                            <w:sz w:val="12"/>
                          </w:rPr>
                          <w:t>γ´</w:t>
                        </w:r>
                        <w:r>
                          <w:rPr>
                            <w:spacing w:val="3"/>
                            <w:sz w:val="12"/>
                          </w:rPr>
                          <w:t> </w:t>
                        </w:r>
                        <w:r>
                          <w:rPr>
                            <w:sz w:val="12"/>
                          </w:rPr>
                          <w:t>τp.</w:t>
                        </w:r>
                        <w:r>
                          <w:rPr>
                            <w:spacing w:val="3"/>
                            <w:sz w:val="12"/>
                          </w:rPr>
                          <w:t> </w:t>
                        </w:r>
                        <w:r>
                          <w:rPr>
                            <w:sz w:val="12"/>
                          </w:rPr>
                          <w:t>2025</w:t>
                        </w:r>
                        <w:r>
                          <w:rPr>
                            <w:spacing w:val="33"/>
                            <w:sz w:val="12"/>
                          </w:rPr>
                          <w:t> </w:t>
                        </w:r>
                        <w:r>
                          <w:rPr>
                            <w:sz w:val="12"/>
                          </w:rPr>
                          <w:t>δ´</w:t>
                        </w:r>
                        <w:r>
                          <w:rPr>
                            <w:spacing w:val="3"/>
                            <w:sz w:val="12"/>
                          </w:rPr>
                          <w:t> </w:t>
                        </w:r>
                        <w:r>
                          <w:rPr>
                            <w:sz w:val="12"/>
                          </w:rPr>
                          <w:t>τp.</w:t>
                        </w:r>
                        <w:r>
                          <w:rPr>
                            <w:spacing w:val="3"/>
                            <w:sz w:val="12"/>
                          </w:rPr>
                          <w:t> </w:t>
                        </w:r>
                        <w:r>
                          <w:rPr>
                            <w:spacing w:val="-4"/>
                            <w:sz w:val="12"/>
                          </w:rPr>
                          <w:t>2025</w:t>
                        </w:r>
                      </w:p>
                    </w:txbxContent>
                  </v:textbox>
                  <w10:wrap type="none"/>
                </v:shape>
                <v:shape style="position:absolute;left:2505;top:12099;width:185;height:137" type="#_x0000_t202" id="docshape86" filled="false" stroked="false">
                  <v:textbox inset="0,0,0,0">
                    <w:txbxContent>
                      <w:p>
                        <w:pPr>
                          <w:spacing w:line="136" w:lineRule="exact" w:before="0"/>
                          <w:ind w:left="0" w:right="0" w:firstLine="0"/>
                          <w:jc w:val="left"/>
                          <w:rPr>
                            <w:sz w:val="12"/>
                          </w:rPr>
                        </w:pPr>
                        <w:r>
                          <w:rPr>
                            <w:spacing w:val="-5"/>
                            <w:sz w:val="12"/>
                          </w:rPr>
                          <w:t>0%</w:t>
                        </w:r>
                      </w:p>
                    </w:txbxContent>
                  </v:textbox>
                  <w10:wrap type="none"/>
                </v:shape>
                <v:shape style="position:absolute;left:4765;top:11420;width:277;height:137" type="#_x0000_t202" id="docshape87" filled="false" stroked="false">
                  <v:textbox inset="0,0,0,0">
                    <w:txbxContent>
                      <w:p>
                        <w:pPr>
                          <w:spacing w:line="136" w:lineRule="exact" w:before="0"/>
                          <w:ind w:left="0" w:right="0" w:firstLine="0"/>
                          <w:jc w:val="left"/>
                          <w:rPr>
                            <w:sz w:val="12"/>
                          </w:rPr>
                        </w:pPr>
                        <w:r>
                          <w:rPr>
                            <w:color w:val="FFFFFF"/>
                            <w:spacing w:val="-4"/>
                            <w:sz w:val="12"/>
                          </w:rPr>
                          <w:t>4,4%</w:t>
                        </w:r>
                      </w:p>
                    </w:txbxContent>
                  </v:textbox>
                  <w10:wrap type="none"/>
                </v:shape>
                <v:shape style="position:absolute;left:4160;top:11450;width:277;height:137" type="#_x0000_t202" id="docshape88" filled="false" stroked="false">
                  <v:textbox inset="0,0,0,0">
                    <w:txbxContent>
                      <w:p>
                        <w:pPr>
                          <w:spacing w:line="136" w:lineRule="exact" w:before="0"/>
                          <w:ind w:left="0" w:right="0" w:firstLine="0"/>
                          <w:jc w:val="left"/>
                          <w:rPr>
                            <w:sz w:val="12"/>
                          </w:rPr>
                        </w:pPr>
                        <w:r>
                          <w:rPr>
                            <w:color w:val="FFFFFF"/>
                            <w:spacing w:val="-4"/>
                            <w:sz w:val="12"/>
                          </w:rPr>
                          <w:t>3,7%</w:t>
                        </w:r>
                      </w:p>
                    </w:txbxContent>
                  </v:textbox>
                  <w10:wrap type="none"/>
                </v:shape>
                <v:shape style="position:absolute;left:2948;top:11409;width:884;height:168" type="#_x0000_t202" id="docshape89" filled="false" stroked="false">
                  <v:textbox inset="0,0,0,0">
                    <w:txbxContent>
                      <w:p>
                        <w:pPr>
                          <w:tabs>
                            <w:tab w:pos="604" w:val="left" w:leader="none"/>
                          </w:tabs>
                          <w:spacing w:line="232" w:lineRule="auto" w:before="0"/>
                          <w:ind w:left="0" w:right="0" w:firstLine="0"/>
                          <w:jc w:val="left"/>
                          <w:rPr>
                            <w:position w:val="-2"/>
                            <w:sz w:val="12"/>
                          </w:rPr>
                        </w:pPr>
                        <w:r>
                          <w:rPr>
                            <w:color w:val="FFFFFF"/>
                            <w:spacing w:val="-4"/>
                            <w:sz w:val="12"/>
                          </w:rPr>
                          <w:t>4,6%</w:t>
                        </w:r>
                        <w:r>
                          <w:rPr>
                            <w:color w:val="FFFFFF"/>
                            <w:sz w:val="12"/>
                          </w:rPr>
                          <w:tab/>
                        </w:r>
                        <w:r>
                          <w:rPr>
                            <w:color w:val="FFFFFF"/>
                            <w:spacing w:val="-4"/>
                            <w:position w:val="-2"/>
                            <w:sz w:val="12"/>
                          </w:rPr>
                          <w:t>4,0%</w:t>
                        </w:r>
                      </w:p>
                    </w:txbxContent>
                  </v:textbox>
                  <w10:wrap type="none"/>
                </v:shape>
                <v:shape style="position:absolute;left:2505;top:11276;width:185;height:137" type="#_x0000_t202" id="docshape90" filled="false" stroked="false">
                  <v:textbox inset="0,0,0,0">
                    <w:txbxContent>
                      <w:p>
                        <w:pPr>
                          <w:spacing w:line="136" w:lineRule="exact" w:before="0"/>
                          <w:ind w:left="0" w:right="0" w:firstLine="0"/>
                          <w:jc w:val="left"/>
                          <w:rPr>
                            <w:sz w:val="12"/>
                          </w:rPr>
                        </w:pPr>
                        <w:r>
                          <w:rPr>
                            <w:spacing w:val="-5"/>
                            <w:sz w:val="12"/>
                          </w:rPr>
                          <w:t>1%</w:t>
                        </w:r>
                      </w:p>
                    </w:txbxContent>
                  </v:textbox>
                  <w10:wrap type="none"/>
                </v:shape>
                <v:shape style="position:absolute;left:2443;top:10443;width:246;height:137" type="#_x0000_t202" id="docshape91" filled="false" stroked="false">
                  <v:textbox inset="0,0,0,0">
                    <w:txbxContent>
                      <w:p>
                        <w:pPr>
                          <w:spacing w:line="136" w:lineRule="exact" w:before="0"/>
                          <w:ind w:left="0" w:right="0" w:firstLine="0"/>
                          <w:jc w:val="left"/>
                          <w:rPr>
                            <w:sz w:val="12"/>
                          </w:rPr>
                        </w:pPr>
                        <w:r>
                          <w:rPr>
                            <w:spacing w:val="-5"/>
                            <w:sz w:val="12"/>
                          </w:rPr>
                          <w:t>10%</w:t>
                        </w:r>
                      </w:p>
                    </w:txbxContent>
                  </v:textbox>
                  <w10:wrap type="none"/>
                </v:shape>
                <v:shape style="position:absolute;left:4779;top:10174;width:246;height:137" type="#_x0000_t202" id="docshape92" filled="false" stroked="false">
                  <v:textbox inset="0,0,0,0">
                    <w:txbxContent>
                      <w:p>
                        <w:pPr>
                          <w:spacing w:line="136" w:lineRule="exact" w:before="0"/>
                          <w:ind w:left="0" w:right="0" w:firstLine="0"/>
                          <w:jc w:val="left"/>
                          <w:rPr>
                            <w:sz w:val="12"/>
                          </w:rPr>
                        </w:pPr>
                        <w:r>
                          <w:rPr>
                            <w:spacing w:val="-5"/>
                            <w:sz w:val="12"/>
                          </w:rPr>
                          <w:t>96%</w:t>
                        </w:r>
                      </w:p>
                    </w:txbxContent>
                  </v:textbox>
                  <w10:wrap type="none"/>
                </v:shape>
                <v:shape style="position:absolute;left:4174;top:10205;width:246;height:137" type="#_x0000_t202" id="docshape93" filled="false" stroked="false">
                  <v:textbox inset="0,0,0,0">
                    <w:txbxContent>
                      <w:p>
                        <w:pPr>
                          <w:spacing w:line="136" w:lineRule="exact" w:before="0"/>
                          <w:ind w:left="0" w:right="0" w:firstLine="0"/>
                          <w:jc w:val="left"/>
                          <w:rPr>
                            <w:sz w:val="12"/>
                          </w:rPr>
                        </w:pPr>
                        <w:r>
                          <w:rPr>
                            <w:spacing w:val="-5"/>
                            <w:sz w:val="12"/>
                          </w:rPr>
                          <w:t>96%</w:t>
                        </w:r>
                      </w:p>
                    </w:txbxContent>
                  </v:textbox>
                  <w10:wrap type="none"/>
                </v:shape>
                <v:shape style="position:absolute;left:2964;top:10164;width:851;height:168" type="#_x0000_t202" id="docshape94" filled="false" stroked="false">
                  <v:textbox inset="0,0,0,0">
                    <w:txbxContent>
                      <w:p>
                        <w:pPr>
                          <w:tabs>
                            <w:tab w:pos="604" w:val="left" w:leader="none"/>
                          </w:tabs>
                          <w:spacing w:line="232" w:lineRule="auto" w:before="0"/>
                          <w:ind w:left="0" w:right="0" w:firstLine="0"/>
                          <w:jc w:val="left"/>
                          <w:rPr>
                            <w:position w:val="-2"/>
                            <w:sz w:val="12"/>
                          </w:rPr>
                        </w:pPr>
                        <w:r>
                          <w:rPr>
                            <w:spacing w:val="-5"/>
                            <w:sz w:val="12"/>
                          </w:rPr>
                          <w:t>95%</w:t>
                        </w:r>
                        <w:r>
                          <w:rPr>
                            <w:sz w:val="12"/>
                          </w:rPr>
                          <w:tab/>
                        </w:r>
                        <w:r>
                          <w:rPr>
                            <w:spacing w:val="-5"/>
                            <w:position w:val="-2"/>
                            <w:sz w:val="12"/>
                          </w:rPr>
                          <w:t>96%</w:t>
                        </w:r>
                      </w:p>
                    </w:txbxContent>
                  </v:textbox>
                  <w10:wrap type="none"/>
                </v:shape>
                <v:shape style="position:absolute;left:2381;top:9321;width:2862;height:424" type="#_x0000_t202" id="docshape95" filled="false" stroked="false">
                  <v:textbox inset="0,0,0,0">
                    <w:txbxContent>
                      <w:p>
                        <w:pPr>
                          <w:tabs>
                            <w:tab w:pos="1607" w:val="left" w:leader="none"/>
                          </w:tabs>
                          <w:spacing w:line="136" w:lineRule="exact" w:before="0"/>
                          <w:ind w:left="192" w:right="0" w:firstLine="0"/>
                          <w:jc w:val="left"/>
                          <w:rPr>
                            <w:sz w:val="12"/>
                          </w:rPr>
                        </w:pPr>
                        <w:r>
                          <w:rPr>
                            <w:sz w:val="12"/>
                          </w:rPr>
                          <w:t>Ŕνω</w:t>
                        </w:r>
                        <w:r>
                          <w:rPr>
                            <w:spacing w:val="3"/>
                            <w:sz w:val="12"/>
                          </w:rPr>
                          <w:t> </w:t>
                        </w:r>
                        <w:r>
                          <w:rPr>
                            <w:sz w:val="12"/>
                          </w:rPr>
                          <w:t>τou</w:t>
                        </w:r>
                        <w:r>
                          <w:rPr>
                            <w:spacing w:val="4"/>
                            <w:sz w:val="12"/>
                          </w:rPr>
                          <w:t> </w:t>
                        </w:r>
                        <w:r>
                          <w:rPr>
                            <w:sz w:val="12"/>
                          </w:rPr>
                          <w:t>opíou</w:t>
                        </w:r>
                        <w:r>
                          <w:rPr>
                            <w:spacing w:val="14"/>
                            <w:sz w:val="12"/>
                          </w:rPr>
                          <w:t> </w:t>
                        </w:r>
                        <w:r>
                          <w:rPr>
                            <w:sz w:val="12"/>
                          </w:rPr>
                          <w:t>DSTI-</w:t>
                        </w:r>
                        <w:r>
                          <w:rPr>
                            <w:spacing w:val="-10"/>
                            <w:sz w:val="12"/>
                          </w:rPr>
                          <w:t>O</w:t>
                        </w:r>
                        <w:r>
                          <w:rPr>
                            <w:sz w:val="12"/>
                          </w:rPr>
                          <w:tab/>
                          <w:t>Κάτω</w:t>
                        </w:r>
                        <w:r>
                          <w:rPr>
                            <w:spacing w:val="2"/>
                            <w:sz w:val="12"/>
                          </w:rPr>
                          <w:t> </w:t>
                        </w:r>
                        <w:r>
                          <w:rPr>
                            <w:sz w:val="12"/>
                          </w:rPr>
                          <w:t>τou</w:t>
                        </w:r>
                        <w:r>
                          <w:rPr>
                            <w:spacing w:val="3"/>
                            <w:sz w:val="12"/>
                          </w:rPr>
                          <w:t> </w:t>
                        </w:r>
                        <w:r>
                          <w:rPr>
                            <w:sz w:val="12"/>
                          </w:rPr>
                          <w:t>opíou</w:t>
                        </w:r>
                        <w:r>
                          <w:rPr>
                            <w:spacing w:val="12"/>
                            <w:sz w:val="12"/>
                          </w:rPr>
                          <w:t> </w:t>
                        </w:r>
                        <w:r>
                          <w:rPr>
                            <w:sz w:val="12"/>
                          </w:rPr>
                          <w:t>DSTI-</w:t>
                        </w:r>
                        <w:r>
                          <w:rPr>
                            <w:spacing w:val="-12"/>
                            <w:sz w:val="12"/>
                          </w:rPr>
                          <w:t>O</w:t>
                        </w:r>
                      </w:p>
                      <w:p>
                        <w:pPr>
                          <w:spacing w:line="240" w:lineRule="auto" w:before="11"/>
                          <w:rPr>
                            <w:sz w:val="12"/>
                          </w:rPr>
                        </w:pPr>
                      </w:p>
                      <w:p>
                        <w:pPr>
                          <w:spacing w:before="0"/>
                          <w:ind w:left="0" w:right="0" w:firstLine="0"/>
                          <w:jc w:val="left"/>
                          <w:rPr>
                            <w:sz w:val="12"/>
                          </w:rPr>
                        </w:pPr>
                        <w:r>
                          <w:rPr>
                            <w:spacing w:val="-4"/>
                            <w:w w:val="105"/>
                            <w:sz w:val="12"/>
                          </w:rPr>
                          <w:t>100%</w:t>
                        </w:r>
                      </w:p>
                    </w:txbxContent>
                  </v:textbox>
                  <w10:wrap type="none"/>
                </v:shape>
                <w10:wrap type="none"/>
              </v:group>
            </w:pict>
          </mc:Fallback>
        </mc:AlternateContent>
      </w:r>
    </w:p>
    <w:p>
      <w:pPr>
        <w:pStyle w:val="Heading4"/>
        <w:spacing w:line="285" w:lineRule="auto" w:before="1"/>
        <w:ind w:left="210" w:right="997"/>
      </w:pPr>
      <w:bookmarkStart w:name="_bookmark28" w:id="29"/>
      <w:bookmarkEnd w:id="29"/>
      <w:r>
        <w:rPr>
          <w:b w:val="0"/>
        </w:rPr>
      </w:r>
      <w:r>
        <w:rPr>
          <w:color w:val="FFFFFF"/>
        </w:rPr>
        <w:t>Πλαίσ</w:t>
      </w:r>
      <w:r>
        <w:rPr>
          <w:smallCaps/>
          <w:color w:val="FFFFFF"/>
        </w:rPr>
        <w:t>ιο</w:t>
      </w:r>
      <w:r>
        <w:rPr>
          <w:smallCaps w:val="0"/>
          <w:color w:val="FFFFFF"/>
          <w:spacing w:val="-14"/>
        </w:rPr>
        <w:t> </w:t>
      </w:r>
      <w:r>
        <w:rPr>
          <w:smallCaps w:val="0"/>
          <w:color w:val="FFFFFF"/>
        </w:rPr>
        <w:t>ΙΙ.1</w:t>
      </w:r>
      <w:r>
        <w:rPr>
          <w:smallCaps w:val="0"/>
          <w:color w:val="FFFFFF"/>
          <w:spacing w:val="-14"/>
        </w:rPr>
        <w:t> </w:t>
      </w:r>
      <w:r>
        <w:rPr>
          <w:smallCaps w:val="0"/>
          <w:color w:val="FFFFFF"/>
        </w:rPr>
        <w:t>Ανασκόπηση</w:t>
      </w:r>
      <w:r>
        <w:rPr>
          <w:smallCaps w:val="0"/>
          <w:color w:val="FFFFFF"/>
          <w:spacing w:val="-14"/>
        </w:rPr>
        <w:t> </w:t>
      </w:r>
      <w:r>
        <w:rPr>
          <w:smallCaps w:val="0"/>
          <w:color w:val="FFFFFF"/>
        </w:rPr>
        <w:t>της</w:t>
      </w:r>
      <w:r>
        <w:rPr>
          <w:smallCaps w:val="0"/>
          <w:color w:val="FFFFFF"/>
          <w:spacing w:val="-13"/>
        </w:rPr>
        <w:t> </w:t>
      </w:r>
      <w:r>
        <w:rPr>
          <w:smallCaps w:val="0"/>
          <w:color w:val="FFFFFF"/>
        </w:rPr>
        <w:t>εφαρμογής</w:t>
      </w:r>
      <w:r>
        <w:rPr>
          <w:smallCaps w:val="0"/>
          <w:color w:val="FFFFFF"/>
          <w:spacing w:val="-14"/>
        </w:rPr>
        <w:t> </w:t>
      </w:r>
      <w:r>
        <w:rPr>
          <w:smallCaps w:val="0"/>
          <w:color w:val="FFFFFF"/>
        </w:rPr>
        <w:t>των</w:t>
      </w:r>
      <w:r>
        <w:rPr>
          <w:smallCaps w:val="0"/>
          <w:color w:val="FFFFFF"/>
          <w:spacing w:val="-14"/>
        </w:rPr>
        <w:t> </w:t>
      </w:r>
      <w:r>
        <w:rPr>
          <w:smallCaps w:val="0"/>
          <w:color w:val="FFFFFF"/>
        </w:rPr>
        <w:t>μακροπροληπτ</w:t>
      </w:r>
      <w:r>
        <w:rPr>
          <w:smallCaps/>
          <w:color w:val="FFFFFF"/>
        </w:rPr>
        <w:t>ι</w:t>
      </w:r>
      <w:r>
        <w:rPr>
          <w:smallCaps w:val="0"/>
          <w:color w:val="FFFFFF"/>
        </w:rPr>
        <w:t>κών</w:t>
      </w:r>
      <w:r>
        <w:rPr>
          <w:smallCaps w:val="0"/>
          <w:color w:val="FFFFFF"/>
          <w:spacing w:val="-14"/>
        </w:rPr>
        <w:t> </w:t>
      </w:r>
      <w:r>
        <w:rPr>
          <w:smallCaps w:val="0"/>
          <w:color w:val="FFFFFF"/>
        </w:rPr>
        <w:t>μέτρων</w:t>
      </w:r>
      <w:r>
        <w:rPr>
          <w:smallCaps w:val="0"/>
          <w:color w:val="FFFFFF"/>
          <w:spacing w:val="-13"/>
        </w:rPr>
        <w:t> </w:t>
      </w:r>
      <w:r>
        <w:rPr>
          <w:smallCaps w:val="0"/>
          <w:color w:val="FFFFFF"/>
        </w:rPr>
        <w:t>γ</w:t>
      </w:r>
      <w:r>
        <w:rPr>
          <w:smallCaps/>
          <w:color w:val="FFFFFF"/>
        </w:rPr>
        <w:t>ι</w:t>
      </w:r>
      <w:r>
        <w:rPr>
          <w:smallCaps w:val="0"/>
          <w:color w:val="FFFFFF"/>
        </w:rPr>
        <w:t>α</w:t>
      </w:r>
      <w:r>
        <w:rPr>
          <w:smallCaps w:val="0"/>
          <w:color w:val="FFFFFF"/>
          <w:spacing w:val="-14"/>
        </w:rPr>
        <w:t> </w:t>
      </w:r>
      <w:r>
        <w:rPr>
          <w:smallCaps w:val="0"/>
          <w:color w:val="FFFFFF"/>
        </w:rPr>
        <w:t>τη</w:t>
      </w:r>
      <w:r>
        <w:rPr>
          <w:smallCaps w:val="0"/>
          <w:color w:val="FFFFFF"/>
          <w:spacing w:val="-14"/>
        </w:rPr>
        <w:t> </w:t>
      </w:r>
      <w:r>
        <w:rPr>
          <w:smallCaps w:val="0"/>
          <w:color w:val="FFFFFF"/>
        </w:rPr>
        <w:t>δανε</w:t>
      </w:r>
      <w:r>
        <w:rPr>
          <w:smallCaps/>
          <w:color w:val="FFFFFF"/>
        </w:rPr>
        <w:t>ι</w:t>
      </w:r>
      <w:r>
        <w:rPr>
          <w:smallCaps w:val="0"/>
          <w:color w:val="FFFFFF"/>
        </w:rPr>
        <w:t>ακή </w:t>
      </w:r>
      <w:r>
        <w:rPr>
          <w:smallCaps w:val="0"/>
          <w:color w:val="FFFFFF"/>
          <w:spacing w:val="-2"/>
        </w:rPr>
        <w:t>επ</w:t>
      </w:r>
      <w:r>
        <w:rPr>
          <w:smallCaps/>
          <w:color w:val="FFFFFF"/>
          <w:spacing w:val="-2"/>
        </w:rPr>
        <w:t>ι</w:t>
      </w:r>
      <w:r>
        <w:rPr>
          <w:smallCaps w:val="0"/>
          <w:color w:val="FFFFFF"/>
          <w:spacing w:val="-2"/>
        </w:rPr>
        <w:t>βάρυνση</w:t>
      </w:r>
    </w:p>
    <w:p>
      <w:pPr>
        <w:pStyle w:val="BodyText"/>
        <w:spacing w:line="285" w:lineRule="auto" w:before="117"/>
        <w:ind w:left="210" w:right="995"/>
        <w:jc w:val="both"/>
      </w:pPr>
      <w:r>
        <w:rPr/>
        <w:t>Το</w:t>
      </w:r>
      <w:r>
        <w:rPr>
          <w:spacing w:val="-5"/>
        </w:rPr>
        <w:t> </w:t>
      </w:r>
      <w:r>
        <w:rPr/>
        <w:t>παρόν</w:t>
      </w:r>
      <w:r>
        <w:rPr>
          <w:spacing w:val="-4"/>
        </w:rPr>
        <w:t> </w:t>
      </w:r>
      <w:r>
        <w:rPr/>
        <w:t>πλαίσιο</w:t>
      </w:r>
      <w:r>
        <w:rPr>
          <w:spacing w:val="-4"/>
        </w:rPr>
        <w:t> </w:t>
      </w:r>
      <w:r>
        <w:rPr/>
        <w:t>πραγματεύεται</w:t>
      </w:r>
      <w:r>
        <w:rPr>
          <w:spacing w:val="-5"/>
        </w:rPr>
        <w:t> </w:t>
      </w:r>
      <w:r>
        <w:rPr/>
        <w:t>τη</w:t>
      </w:r>
      <w:r>
        <w:rPr>
          <w:spacing w:val="-5"/>
        </w:rPr>
        <w:t> </w:t>
      </w:r>
      <w:r>
        <w:rPr/>
        <w:t>δανειακή</w:t>
      </w:r>
      <w:r>
        <w:rPr>
          <w:spacing w:val="-7"/>
        </w:rPr>
        <w:t> </w:t>
      </w:r>
      <w:r>
        <w:rPr/>
        <w:t>επιβάρυνση</w:t>
      </w:r>
      <w:r>
        <w:rPr>
          <w:spacing w:val="-5"/>
        </w:rPr>
        <w:t> </w:t>
      </w:r>
      <w:r>
        <w:rPr/>
        <w:t>των</w:t>
      </w:r>
      <w:r>
        <w:rPr>
          <w:spacing w:val="-4"/>
        </w:rPr>
        <w:t> </w:t>
      </w:r>
      <w:r>
        <w:rPr/>
        <w:t>νοικοκυριών</w:t>
      </w:r>
      <w:r>
        <w:rPr>
          <w:spacing w:val="-4"/>
        </w:rPr>
        <w:t> </w:t>
      </w:r>
      <w:r>
        <w:rPr/>
        <w:t>που</w:t>
      </w:r>
      <w:r>
        <w:rPr>
          <w:spacing w:val="-6"/>
        </w:rPr>
        <w:t> </w:t>
      </w:r>
      <w:r>
        <w:rPr/>
        <w:t>έλαβαν</w:t>
      </w:r>
      <w:r>
        <w:rPr>
          <w:spacing w:val="-4"/>
        </w:rPr>
        <w:t> </w:t>
      </w:r>
      <w:r>
        <w:rPr/>
        <w:t>δάνειο για οικιστικό ακίνητο την περίοδο 2023-2025 και διερευνά την επίδραση των μακροπροληπτι-κών</w:t>
      </w:r>
      <w:r>
        <w:rPr>
          <w:spacing w:val="-12"/>
        </w:rPr>
        <w:t> </w:t>
      </w:r>
      <w:r>
        <w:rPr/>
        <w:t>μέτρων</w:t>
      </w:r>
      <w:r>
        <w:rPr>
          <w:spacing w:val="-13"/>
        </w:rPr>
        <w:t> </w:t>
      </w:r>
      <w:r>
        <w:rPr/>
        <w:t>που</w:t>
      </w:r>
      <w:r>
        <w:rPr>
          <w:spacing w:val="-13"/>
        </w:rPr>
        <w:t> </w:t>
      </w:r>
      <w:r>
        <w:rPr/>
        <w:t>εφαρμόζονται</w:t>
      </w:r>
      <w:r>
        <w:rPr>
          <w:spacing w:val="-12"/>
        </w:rPr>
        <w:t> </w:t>
      </w:r>
      <w:r>
        <w:rPr/>
        <w:t>σε</w:t>
      </w:r>
      <w:r>
        <w:rPr>
          <w:spacing w:val="-14"/>
        </w:rPr>
        <w:t> </w:t>
      </w:r>
      <w:r>
        <w:rPr/>
        <w:t>επίπεδο</w:t>
      </w:r>
      <w:r>
        <w:rPr>
          <w:spacing w:val="-12"/>
        </w:rPr>
        <w:t> </w:t>
      </w:r>
      <w:r>
        <w:rPr/>
        <w:t>δανειολήπτη</w:t>
      </w:r>
      <w:r>
        <w:rPr>
          <w:spacing w:val="-14"/>
        </w:rPr>
        <w:t> </w:t>
      </w:r>
      <w:r>
        <w:rPr/>
        <w:t>(borrower-based</w:t>
      </w:r>
      <w:r>
        <w:rPr>
          <w:spacing w:val="-14"/>
        </w:rPr>
        <w:t> </w:t>
      </w:r>
      <w:r>
        <w:rPr/>
        <w:t>measures</w:t>
      </w:r>
      <w:r>
        <w:rPr>
          <w:spacing w:val="-14"/>
        </w:rPr>
        <w:t> </w:t>
      </w:r>
      <w:r>
        <w:rPr/>
        <w:t>–</w:t>
      </w:r>
      <w:r>
        <w:rPr>
          <w:spacing w:val="-12"/>
        </w:rPr>
        <w:t> </w:t>
      </w:r>
      <w:r>
        <w:rPr/>
        <w:t>BBMs)</w:t>
      </w:r>
      <w:r>
        <w:rPr>
          <w:spacing w:val="-13"/>
        </w:rPr>
        <w:t> </w:t>
      </w:r>
      <w:r>
        <w:rPr/>
        <w:t>στα χαρακτηριστικά</w:t>
      </w:r>
      <w:r>
        <w:rPr>
          <w:spacing w:val="-3"/>
        </w:rPr>
        <w:t> </w:t>
      </w:r>
      <w:r>
        <w:rPr/>
        <w:t>κινδύνου</w:t>
      </w:r>
      <w:r>
        <w:rPr>
          <w:spacing w:val="-1"/>
        </w:rPr>
        <w:t> </w:t>
      </w:r>
      <w:r>
        <w:rPr/>
        <w:t>των</w:t>
      </w:r>
      <w:r>
        <w:rPr>
          <w:spacing w:val="-4"/>
        </w:rPr>
        <w:t> </w:t>
      </w:r>
      <w:r>
        <w:rPr/>
        <w:t>εν</w:t>
      </w:r>
      <w:r>
        <w:rPr>
          <w:spacing w:val="-1"/>
        </w:rPr>
        <w:t> </w:t>
      </w:r>
      <w:r>
        <w:rPr/>
        <w:t>λόγω</w:t>
      </w:r>
      <w:r>
        <w:rPr>
          <w:spacing w:val="-1"/>
        </w:rPr>
        <w:t> </w:t>
      </w:r>
      <w:r>
        <w:rPr/>
        <w:t>δανείων</w:t>
      </w:r>
      <w:r>
        <w:rPr>
          <w:spacing w:val="-1"/>
        </w:rPr>
        <w:t> </w:t>
      </w:r>
      <w:r>
        <w:rPr/>
        <w:t>στο</w:t>
      </w:r>
      <w:r>
        <w:rPr>
          <w:spacing w:val="-2"/>
        </w:rPr>
        <w:t> </w:t>
      </w:r>
      <w:r>
        <w:rPr/>
        <w:t>πρώτο</w:t>
      </w:r>
      <w:r>
        <w:rPr>
          <w:spacing w:val="-2"/>
        </w:rPr>
        <w:t> </w:t>
      </w:r>
      <w:r>
        <w:rPr/>
        <w:t>έτος</w:t>
      </w:r>
      <w:r>
        <w:rPr>
          <w:spacing w:val="-3"/>
        </w:rPr>
        <w:t> </w:t>
      </w:r>
      <w:r>
        <w:rPr/>
        <w:t>από</w:t>
      </w:r>
      <w:r>
        <w:rPr>
          <w:spacing w:val="-2"/>
        </w:rPr>
        <w:t> </w:t>
      </w:r>
      <w:r>
        <w:rPr/>
        <w:t>την</w:t>
      </w:r>
      <w:r>
        <w:rPr>
          <w:spacing w:val="-2"/>
        </w:rPr>
        <w:t> </w:t>
      </w:r>
      <w:r>
        <w:rPr/>
        <w:t>έναρξη</w:t>
      </w:r>
      <w:r>
        <w:rPr>
          <w:spacing w:val="-2"/>
        </w:rPr>
        <w:t> </w:t>
      </w:r>
      <w:r>
        <w:rPr/>
        <w:t>της</w:t>
      </w:r>
      <w:r>
        <w:rPr>
          <w:spacing w:val="-4"/>
        </w:rPr>
        <w:t> </w:t>
      </w:r>
      <w:r>
        <w:rPr/>
        <w:t>εφαρμογής </w:t>
      </w:r>
      <w:r>
        <w:rPr>
          <w:spacing w:val="-2"/>
        </w:rPr>
        <w:t>τους.</w:t>
      </w:r>
      <w:r>
        <w:rPr>
          <w:spacing w:val="-2"/>
          <w:vertAlign w:val="superscript"/>
        </w:rPr>
        <w:t>i</w:t>
      </w:r>
    </w:p>
    <w:p>
      <w:pPr>
        <w:pStyle w:val="BodyText"/>
        <w:spacing w:line="285" w:lineRule="auto" w:before="55"/>
        <w:ind w:left="210" w:right="997"/>
        <w:jc w:val="both"/>
      </w:pPr>
      <w:r>
        <w:rPr/>
        <w:t>Ως δάνειο που αφορά οικιστικό ακίνητο νοείται κάθε χρηματοδότηση προς φυσικό πρόσωπο που εξασφαλίζεται με οικιστικό ακίνητο ανεξάρτητα</w:t>
      </w:r>
      <w:r>
        <w:rPr>
          <w:spacing w:val="-1"/>
        </w:rPr>
        <w:t> </w:t>
      </w:r>
      <w:r>
        <w:rPr/>
        <w:t>από τον σκοπό του δανείου,</w:t>
      </w:r>
      <w:r>
        <w:rPr>
          <w:spacing w:val="-1"/>
        </w:rPr>
        <w:t> </w:t>
      </w:r>
      <w:r>
        <w:rPr/>
        <w:t>δηλαδή περι-λαμβάνονται</w:t>
      </w:r>
      <w:r>
        <w:rPr>
          <w:spacing w:val="-7"/>
        </w:rPr>
        <w:t> </w:t>
      </w:r>
      <w:r>
        <w:rPr/>
        <w:t>στεγαστικά,</w:t>
      </w:r>
      <w:r>
        <w:rPr>
          <w:spacing w:val="-8"/>
        </w:rPr>
        <w:t> </w:t>
      </w:r>
      <w:r>
        <w:rPr/>
        <w:t>επισκευαστικά</w:t>
      </w:r>
      <w:r>
        <w:rPr>
          <w:spacing w:val="-7"/>
        </w:rPr>
        <w:t> </w:t>
      </w:r>
      <w:r>
        <w:rPr/>
        <w:t>και</w:t>
      </w:r>
      <w:r>
        <w:rPr>
          <w:spacing w:val="-6"/>
        </w:rPr>
        <w:t> </w:t>
      </w:r>
      <w:r>
        <w:rPr/>
        <w:t>καταναλωτικά</w:t>
      </w:r>
      <w:r>
        <w:rPr>
          <w:spacing w:val="-6"/>
        </w:rPr>
        <w:t> </w:t>
      </w:r>
      <w:r>
        <w:rPr/>
        <w:t>δάνεια,</w:t>
      </w:r>
      <w:r>
        <w:rPr>
          <w:spacing w:val="-5"/>
        </w:rPr>
        <w:t> </w:t>
      </w:r>
      <w:r>
        <w:rPr/>
        <w:t>αλλά</w:t>
      </w:r>
      <w:r>
        <w:rPr>
          <w:spacing w:val="-6"/>
        </w:rPr>
        <w:t> </w:t>
      </w:r>
      <w:r>
        <w:rPr/>
        <w:t>και</w:t>
      </w:r>
      <w:r>
        <w:rPr>
          <w:spacing w:val="-5"/>
        </w:rPr>
        <w:t> </w:t>
      </w:r>
      <w:r>
        <w:rPr/>
        <w:t>δάνεια</w:t>
      </w:r>
      <w:r>
        <w:rPr>
          <w:spacing w:val="-5"/>
        </w:rPr>
        <w:t> </w:t>
      </w:r>
      <w:r>
        <w:rPr/>
        <w:t>προς</w:t>
      </w:r>
      <w:r>
        <w:rPr>
          <w:spacing w:val="-7"/>
        </w:rPr>
        <w:t> </w:t>
      </w:r>
      <w:r>
        <w:rPr/>
        <w:t>ελεύ-θερους</w:t>
      </w:r>
      <w:r>
        <w:rPr>
          <w:spacing w:val="-6"/>
        </w:rPr>
        <w:t> </w:t>
      </w:r>
      <w:r>
        <w:rPr/>
        <w:t>επαγγελματίες,</w:t>
      </w:r>
      <w:r>
        <w:rPr>
          <w:spacing w:val="-5"/>
        </w:rPr>
        <w:t> </w:t>
      </w:r>
      <w:r>
        <w:rPr/>
        <w:t>αγρότες</w:t>
      </w:r>
      <w:r>
        <w:rPr>
          <w:spacing w:val="-5"/>
        </w:rPr>
        <w:t> </w:t>
      </w:r>
      <w:r>
        <w:rPr/>
        <w:t>και</w:t>
      </w:r>
      <w:r>
        <w:rPr>
          <w:spacing w:val="-5"/>
        </w:rPr>
        <w:t> </w:t>
      </w:r>
      <w:r>
        <w:rPr/>
        <w:t>ατομικές</w:t>
      </w:r>
      <w:r>
        <w:rPr>
          <w:spacing w:val="-5"/>
        </w:rPr>
        <w:t> </w:t>
      </w:r>
      <w:r>
        <w:rPr/>
        <w:t>επιχειρήσεις,</w:t>
      </w:r>
      <w:r>
        <w:rPr>
          <w:spacing w:val="-7"/>
        </w:rPr>
        <w:t> </w:t>
      </w:r>
      <w:r>
        <w:rPr/>
        <w:t>εφόσον</w:t>
      </w:r>
      <w:r>
        <w:rPr>
          <w:spacing w:val="-5"/>
        </w:rPr>
        <w:t> </w:t>
      </w:r>
      <w:r>
        <w:rPr/>
        <w:t>εξασφαλίζονται</w:t>
      </w:r>
      <w:r>
        <w:rPr>
          <w:spacing w:val="-5"/>
        </w:rPr>
        <w:t> </w:t>
      </w:r>
      <w:r>
        <w:rPr/>
        <w:t>με</w:t>
      </w:r>
      <w:r>
        <w:rPr>
          <w:spacing w:val="-5"/>
        </w:rPr>
        <w:t> </w:t>
      </w:r>
      <w:r>
        <w:rPr/>
        <w:t>οικιστικό </w:t>
      </w:r>
      <w:r>
        <w:rPr>
          <w:spacing w:val="-2"/>
        </w:rPr>
        <w:t>ακίνητο.</w:t>
      </w:r>
      <w:r>
        <w:rPr>
          <w:spacing w:val="-2"/>
          <w:vertAlign w:val="superscript"/>
        </w:rPr>
        <w:t>ii</w:t>
      </w:r>
    </w:p>
    <w:p>
      <w:pPr>
        <w:pStyle w:val="BodyText"/>
        <w:spacing w:line="285" w:lineRule="auto" w:before="56"/>
        <w:ind w:left="210" w:right="995"/>
        <w:jc w:val="both"/>
      </w:pPr>
      <w:r>
        <w:rPr/>
        <mc:AlternateContent>
          <mc:Choice Requires="wps">
            <w:drawing>
              <wp:anchor distT="0" distB="0" distL="0" distR="0" allowOverlap="1" layoutInCell="1" locked="0" behindDoc="1" simplePos="0" relativeHeight="487596544">
                <wp:simplePos x="0" y="0"/>
                <wp:positionH relativeFrom="page">
                  <wp:posOffset>1039672</wp:posOffset>
                </wp:positionH>
                <wp:positionV relativeFrom="paragraph">
                  <wp:posOffset>1391163</wp:posOffset>
                </wp:positionV>
                <wp:extent cx="5302885" cy="361950"/>
                <wp:effectExtent l="0" t="0" r="0" b="0"/>
                <wp:wrapTopAndBottom/>
                <wp:docPr id="98" name="Textbox 98"/>
                <wp:cNvGraphicFramePr>
                  <a:graphicFrameLocks/>
                </wp:cNvGraphicFramePr>
                <a:graphic>
                  <a:graphicData uri="http://schemas.microsoft.com/office/word/2010/wordprocessingShape">
                    <wps:wsp>
                      <wps:cNvPr id="98" name="Textbox 98"/>
                      <wps:cNvSpPr txBox="1"/>
                      <wps:spPr>
                        <a:xfrm>
                          <a:off x="0" y="0"/>
                          <a:ext cx="5302885" cy="361950"/>
                        </a:xfrm>
                        <a:prstGeom prst="rect">
                          <a:avLst/>
                        </a:prstGeom>
                        <a:solidFill>
                          <a:srgbClr val="1F487C"/>
                        </a:solidFill>
                      </wps:spPr>
                      <wps:txbx>
                        <w:txbxContent>
                          <w:p>
                            <w:pPr>
                              <w:spacing w:before="77"/>
                              <w:ind w:left="112" w:right="20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4"/>
                                <w:sz w:val="18"/>
                              </w:rPr>
                              <w:t> </w:t>
                            </w:r>
                            <w:r>
                              <w:rPr>
                                <w:b/>
                                <w:smallCaps w:val="0"/>
                                <w:color w:val="FFFFFF"/>
                                <w:sz w:val="18"/>
                              </w:rPr>
                              <w:t>1</w:t>
                            </w:r>
                            <w:r>
                              <w:rPr>
                                <w:b/>
                                <w:smallCaps w:val="0"/>
                                <w:color w:val="FFFFFF"/>
                                <w:spacing w:val="-1"/>
                                <w:sz w:val="18"/>
                              </w:rPr>
                              <w:t> </w:t>
                            </w:r>
                            <w:r>
                              <w:rPr>
                                <w:b/>
                                <w:smallCaps w:val="0"/>
                                <w:color w:val="FFFFFF"/>
                                <w:sz w:val="18"/>
                              </w:rPr>
                              <w:t>Ποσοστό</w:t>
                            </w:r>
                            <w:r>
                              <w:rPr>
                                <w:b/>
                                <w:smallCaps w:val="0"/>
                                <w:color w:val="FFFFFF"/>
                                <w:spacing w:val="-1"/>
                                <w:sz w:val="18"/>
                              </w:rPr>
                              <w:t> </w:t>
                            </w:r>
                            <w:r>
                              <w:rPr>
                                <w:b/>
                                <w:smallCaps w:val="0"/>
                                <w:color w:val="FFFFFF"/>
                                <w:sz w:val="18"/>
                              </w:rPr>
                              <w:t>δανείων</w:t>
                            </w:r>
                            <w:r>
                              <w:rPr>
                                <w:b/>
                                <w:smallCaps w:val="0"/>
                                <w:color w:val="FFFFFF"/>
                                <w:spacing w:val="-3"/>
                                <w:sz w:val="18"/>
                              </w:rPr>
                              <w:t> </w:t>
                            </w:r>
                            <w:r>
                              <w:rPr>
                                <w:b/>
                                <w:smallCaps w:val="0"/>
                                <w:color w:val="FFFFFF"/>
                                <w:sz w:val="18"/>
                              </w:rPr>
                              <w:t>άνω/κάτω</w:t>
                            </w:r>
                            <w:r>
                              <w:rPr>
                                <w:b/>
                                <w:smallCaps w:val="0"/>
                                <w:color w:val="FFFFFF"/>
                                <w:spacing w:val="-4"/>
                                <w:sz w:val="18"/>
                              </w:rPr>
                              <w:t> </w:t>
                            </w:r>
                            <w:r>
                              <w:rPr>
                                <w:b/>
                                <w:smallCaps w:val="0"/>
                                <w:color w:val="FFFFFF"/>
                                <w:sz w:val="18"/>
                              </w:rPr>
                              <w:t>των</w:t>
                            </w:r>
                            <w:r>
                              <w:rPr>
                                <w:b/>
                                <w:smallCaps w:val="0"/>
                                <w:color w:val="FFFFFF"/>
                                <w:spacing w:val="-3"/>
                                <w:sz w:val="18"/>
                              </w:rPr>
                              <w:t> </w:t>
                            </w:r>
                            <w:r>
                              <w:rPr>
                                <w:b/>
                                <w:smallCaps w:val="0"/>
                                <w:color w:val="FFFFFF"/>
                                <w:sz w:val="18"/>
                              </w:rPr>
                              <w:t>ορίων</w:t>
                            </w:r>
                            <w:r>
                              <w:rPr>
                                <w:b/>
                                <w:smallCaps w:val="0"/>
                                <w:color w:val="FFFFFF"/>
                                <w:spacing w:val="-3"/>
                                <w:sz w:val="18"/>
                              </w:rPr>
                              <w:t> </w:t>
                            </w:r>
                            <w:r>
                              <w:rPr>
                                <w:b/>
                                <w:smallCaps w:val="0"/>
                                <w:color w:val="FFFFFF"/>
                                <w:sz w:val="18"/>
                              </w:rPr>
                              <w:t>DSTI-O</w:t>
                            </w:r>
                            <w:r>
                              <w:rPr>
                                <w:b/>
                                <w:smallCaps w:val="0"/>
                                <w:color w:val="FFFFFF"/>
                                <w:spacing w:val="-3"/>
                                <w:sz w:val="18"/>
                              </w:rPr>
                              <w:t> </w:t>
                            </w:r>
                            <w:r>
                              <w:rPr>
                                <w:b/>
                                <w:smallCaps w:val="0"/>
                                <w:color w:val="FFFFFF"/>
                                <w:sz w:val="18"/>
                              </w:rPr>
                              <w:t>κα</w:t>
                            </w:r>
                            <w:r>
                              <w:rPr>
                                <w:b/>
                                <w:smallCaps/>
                                <w:color w:val="FFFFFF"/>
                                <w:sz w:val="18"/>
                              </w:rPr>
                              <w:t>ι</w:t>
                            </w:r>
                            <w:r>
                              <w:rPr>
                                <w:b/>
                                <w:smallCaps w:val="0"/>
                                <w:color w:val="FFFFFF"/>
                                <w:spacing w:val="-2"/>
                                <w:sz w:val="18"/>
                              </w:rPr>
                              <w:t> </w:t>
                            </w:r>
                            <w:r>
                              <w:rPr>
                                <w:b/>
                                <w:smallCaps w:val="0"/>
                                <w:color w:val="FFFFFF"/>
                                <w:sz w:val="18"/>
                              </w:rPr>
                              <w:t>LTV-O</w:t>
                            </w:r>
                            <w:r>
                              <w:rPr>
                                <w:b/>
                                <w:smallCaps w:val="0"/>
                                <w:color w:val="FFFFFF"/>
                                <w:spacing w:val="-3"/>
                                <w:sz w:val="18"/>
                              </w:rPr>
                              <w:t> </w:t>
                            </w:r>
                            <w:r>
                              <w:rPr>
                                <w:b/>
                                <w:smallCaps w:val="0"/>
                                <w:color w:val="FFFFFF"/>
                                <w:sz w:val="18"/>
                              </w:rPr>
                              <w:t>επί</w:t>
                            </w:r>
                            <w:r>
                              <w:rPr>
                                <w:b/>
                                <w:smallCaps w:val="0"/>
                                <w:color w:val="FFFFFF"/>
                                <w:spacing w:val="-3"/>
                                <w:sz w:val="18"/>
                              </w:rPr>
                              <w:t> </w:t>
                            </w:r>
                            <w:r>
                              <w:rPr>
                                <w:b/>
                                <w:smallCaps w:val="0"/>
                                <w:color w:val="FFFFFF"/>
                                <w:sz w:val="18"/>
                              </w:rPr>
                              <w:t>του</w:t>
                            </w:r>
                            <w:r>
                              <w:rPr>
                                <w:b/>
                                <w:smallCaps w:val="0"/>
                                <w:color w:val="FFFFFF"/>
                                <w:spacing w:val="-1"/>
                                <w:sz w:val="18"/>
                              </w:rPr>
                              <w:t> </w:t>
                            </w:r>
                            <w:r>
                              <w:rPr>
                                <w:b/>
                                <w:smallCaps w:val="0"/>
                                <w:color w:val="FFFFFF"/>
                                <w:sz w:val="18"/>
                              </w:rPr>
                              <w:t>συνολ</w:t>
                            </w:r>
                            <w:r>
                              <w:rPr>
                                <w:b/>
                                <w:smallCaps/>
                                <w:color w:val="FFFFFF"/>
                                <w:sz w:val="18"/>
                              </w:rPr>
                              <w:t>ι</w:t>
                            </w:r>
                            <w:r>
                              <w:rPr>
                                <w:b/>
                                <w:smallCaps w:val="0"/>
                                <w:color w:val="FFFFFF"/>
                                <w:sz w:val="18"/>
                              </w:rPr>
                              <w:t>κού</w:t>
                            </w:r>
                            <w:r>
                              <w:rPr>
                                <w:b/>
                                <w:smallCaps w:val="0"/>
                                <w:color w:val="FFFFFF"/>
                                <w:spacing w:val="-2"/>
                                <w:sz w:val="18"/>
                              </w:rPr>
                              <w:t> </w:t>
                            </w:r>
                            <w:r>
                              <w:rPr>
                                <w:b/>
                                <w:smallCaps w:val="0"/>
                                <w:color w:val="FFFFFF"/>
                                <w:sz w:val="18"/>
                              </w:rPr>
                              <w:t>αρ</w:t>
                            </w:r>
                            <w:r>
                              <w:rPr>
                                <w:b/>
                                <w:smallCaps/>
                                <w:color w:val="FFFFFF"/>
                                <w:sz w:val="18"/>
                              </w:rPr>
                              <w:t>ι</w:t>
                            </w:r>
                            <w:r>
                              <w:rPr>
                                <w:b/>
                                <w:smallCaps w:val="0"/>
                                <w:color w:val="FFFFFF"/>
                                <w:sz w:val="18"/>
                              </w:rPr>
                              <w:t>θμού δα-</w:t>
                            </w:r>
                            <w:r>
                              <w:rPr>
                                <w:b/>
                                <w:smallCaps w:val="0"/>
                                <w:color w:val="FFFFFF"/>
                                <w:spacing w:val="-2"/>
                                <w:sz w:val="18"/>
                              </w:rPr>
                              <w:t>νείων</w:t>
                            </w:r>
                          </w:p>
                        </w:txbxContent>
                      </wps:txbx>
                      <wps:bodyPr wrap="square" lIns="0" tIns="0" rIns="0" bIns="0" rtlCol="0">
                        <a:noAutofit/>
                      </wps:bodyPr>
                    </wps:wsp>
                  </a:graphicData>
                </a:graphic>
              </wp:anchor>
            </w:drawing>
          </mc:Choice>
          <mc:Fallback>
            <w:pict>
              <v:shape style="position:absolute;margin-left:81.863998pt;margin-top:109.540413pt;width:417.55pt;height:28.5pt;mso-position-horizontal-relative:page;mso-position-vertical-relative:paragraph;z-index:-15719936;mso-wrap-distance-left:0;mso-wrap-distance-right:0" type="#_x0000_t202" id="docshape96" filled="true" fillcolor="#1f487c" stroked="false">
                <v:textbox inset="0,0,0,0">
                  <w:txbxContent>
                    <w:p>
                      <w:pPr>
                        <w:spacing w:before="77"/>
                        <w:ind w:left="112" w:right="20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4"/>
                          <w:sz w:val="18"/>
                        </w:rPr>
                        <w:t> </w:t>
                      </w:r>
                      <w:r>
                        <w:rPr>
                          <w:b/>
                          <w:smallCaps w:val="0"/>
                          <w:color w:val="FFFFFF"/>
                          <w:sz w:val="18"/>
                        </w:rPr>
                        <w:t>1</w:t>
                      </w:r>
                      <w:r>
                        <w:rPr>
                          <w:b/>
                          <w:smallCaps w:val="0"/>
                          <w:color w:val="FFFFFF"/>
                          <w:spacing w:val="-1"/>
                          <w:sz w:val="18"/>
                        </w:rPr>
                        <w:t> </w:t>
                      </w:r>
                      <w:r>
                        <w:rPr>
                          <w:b/>
                          <w:smallCaps w:val="0"/>
                          <w:color w:val="FFFFFF"/>
                          <w:sz w:val="18"/>
                        </w:rPr>
                        <w:t>Ποσοστό</w:t>
                      </w:r>
                      <w:r>
                        <w:rPr>
                          <w:b/>
                          <w:smallCaps w:val="0"/>
                          <w:color w:val="FFFFFF"/>
                          <w:spacing w:val="-1"/>
                          <w:sz w:val="18"/>
                        </w:rPr>
                        <w:t> </w:t>
                      </w:r>
                      <w:r>
                        <w:rPr>
                          <w:b/>
                          <w:smallCaps w:val="0"/>
                          <w:color w:val="FFFFFF"/>
                          <w:sz w:val="18"/>
                        </w:rPr>
                        <w:t>δανείων</w:t>
                      </w:r>
                      <w:r>
                        <w:rPr>
                          <w:b/>
                          <w:smallCaps w:val="0"/>
                          <w:color w:val="FFFFFF"/>
                          <w:spacing w:val="-3"/>
                          <w:sz w:val="18"/>
                        </w:rPr>
                        <w:t> </w:t>
                      </w:r>
                      <w:r>
                        <w:rPr>
                          <w:b/>
                          <w:smallCaps w:val="0"/>
                          <w:color w:val="FFFFFF"/>
                          <w:sz w:val="18"/>
                        </w:rPr>
                        <w:t>άνω/κάτω</w:t>
                      </w:r>
                      <w:r>
                        <w:rPr>
                          <w:b/>
                          <w:smallCaps w:val="0"/>
                          <w:color w:val="FFFFFF"/>
                          <w:spacing w:val="-4"/>
                          <w:sz w:val="18"/>
                        </w:rPr>
                        <w:t> </w:t>
                      </w:r>
                      <w:r>
                        <w:rPr>
                          <w:b/>
                          <w:smallCaps w:val="0"/>
                          <w:color w:val="FFFFFF"/>
                          <w:sz w:val="18"/>
                        </w:rPr>
                        <w:t>των</w:t>
                      </w:r>
                      <w:r>
                        <w:rPr>
                          <w:b/>
                          <w:smallCaps w:val="0"/>
                          <w:color w:val="FFFFFF"/>
                          <w:spacing w:val="-3"/>
                          <w:sz w:val="18"/>
                        </w:rPr>
                        <w:t> </w:t>
                      </w:r>
                      <w:r>
                        <w:rPr>
                          <w:b/>
                          <w:smallCaps w:val="0"/>
                          <w:color w:val="FFFFFF"/>
                          <w:sz w:val="18"/>
                        </w:rPr>
                        <w:t>ορίων</w:t>
                      </w:r>
                      <w:r>
                        <w:rPr>
                          <w:b/>
                          <w:smallCaps w:val="0"/>
                          <w:color w:val="FFFFFF"/>
                          <w:spacing w:val="-3"/>
                          <w:sz w:val="18"/>
                        </w:rPr>
                        <w:t> </w:t>
                      </w:r>
                      <w:r>
                        <w:rPr>
                          <w:b/>
                          <w:smallCaps w:val="0"/>
                          <w:color w:val="FFFFFF"/>
                          <w:sz w:val="18"/>
                        </w:rPr>
                        <w:t>DSTI-O</w:t>
                      </w:r>
                      <w:r>
                        <w:rPr>
                          <w:b/>
                          <w:smallCaps w:val="0"/>
                          <w:color w:val="FFFFFF"/>
                          <w:spacing w:val="-3"/>
                          <w:sz w:val="18"/>
                        </w:rPr>
                        <w:t> </w:t>
                      </w:r>
                      <w:r>
                        <w:rPr>
                          <w:b/>
                          <w:smallCaps w:val="0"/>
                          <w:color w:val="FFFFFF"/>
                          <w:sz w:val="18"/>
                        </w:rPr>
                        <w:t>κα</w:t>
                      </w:r>
                      <w:r>
                        <w:rPr>
                          <w:b/>
                          <w:smallCaps/>
                          <w:color w:val="FFFFFF"/>
                          <w:sz w:val="18"/>
                        </w:rPr>
                        <w:t>ι</w:t>
                      </w:r>
                      <w:r>
                        <w:rPr>
                          <w:b/>
                          <w:smallCaps w:val="0"/>
                          <w:color w:val="FFFFFF"/>
                          <w:spacing w:val="-2"/>
                          <w:sz w:val="18"/>
                        </w:rPr>
                        <w:t> </w:t>
                      </w:r>
                      <w:r>
                        <w:rPr>
                          <w:b/>
                          <w:smallCaps w:val="0"/>
                          <w:color w:val="FFFFFF"/>
                          <w:sz w:val="18"/>
                        </w:rPr>
                        <w:t>LTV-O</w:t>
                      </w:r>
                      <w:r>
                        <w:rPr>
                          <w:b/>
                          <w:smallCaps w:val="0"/>
                          <w:color w:val="FFFFFF"/>
                          <w:spacing w:val="-3"/>
                          <w:sz w:val="18"/>
                        </w:rPr>
                        <w:t> </w:t>
                      </w:r>
                      <w:r>
                        <w:rPr>
                          <w:b/>
                          <w:smallCaps w:val="0"/>
                          <w:color w:val="FFFFFF"/>
                          <w:sz w:val="18"/>
                        </w:rPr>
                        <w:t>επί</w:t>
                      </w:r>
                      <w:r>
                        <w:rPr>
                          <w:b/>
                          <w:smallCaps w:val="0"/>
                          <w:color w:val="FFFFFF"/>
                          <w:spacing w:val="-3"/>
                          <w:sz w:val="18"/>
                        </w:rPr>
                        <w:t> </w:t>
                      </w:r>
                      <w:r>
                        <w:rPr>
                          <w:b/>
                          <w:smallCaps w:val="0"/>
                          <w:color w:val="FFFFFF"/>
                          <w:sz w:val="18"/>
                        </w:rPr>
                        <w:t>του</w:t>
                      </w:r>
                      <w:r>
                        <w:rPr>
                          <w:b/>
                          <w:smallCaps w:val="0"/>
                          <w:color w:val="FFFFFF"/>
                          <w:spacing w:val="-1"/>
                          <w:sz w:val="18"/>
                        </w:rPr>
                        <w:t> </w:t>
                      </w:r>
                      <w:r>
                        <w:rPr>
                          <w:b/>
                          <w:smallCaps w:val="0"/>
                          <w:color w:val="FFFFFF"/>
                          <w:sz w:val="18"/>
                        </w:rPr>
                        <w:t>συνολ</w:t>
                      </w:r>
                      <w:r>
                        <w:rPr>
                          <w:b/>
                          <w:smallCaps/>
                          <w:color w:val="FFFFFF"/>
                          <w:sz w:val="18"/>
                        </w:rPr>
                        <w:t>ι</w:t>
                      </w:r>
                      <w:r>
                        <w:rPr>
                          <w:b/>
                          <w:smallCaps w:val="0"/>
                          <w:color w:val="FFFFFF"/>
                          <w:sz w:val="18"/>
                        </w:rPr>
                        <w:t>κού</w:t>
                      </w:r>
                      <w:r>
                        <w:rPr>
                          <w:b/>
                          <w:smallCaps w:val="0"/>
                          <w:color w:val="FFFFFF"/>
                          <w:spacing w:val="-2"/>
                          <w:sz w:val="18"/>
                        </w:rPr>
                        <w:t> </w:t>
                      </w:r>
                      <w:r>
                        <w:rPr>
                          <w:b/>
                          <w:smallCaps w:val="0"/>
                          <w:color w:val="FFFFFF"/>
                          <w:sz w:val="18"/>
                        </w:rPr>
                        <w:t>αρ</w:t>
                      </w:r>
                      <w:r>
                        <w:rPr>
                          <w:b/>
                          <w:smallCaps/>
                          <w:color w:val="FFFFFF"/>
                          <w:sz w:val="18"/>
                        </w:rPr>
                        <w:t>ι</w:t>
                      </w:r>
                      <w:r>
                        <w:rPr>
                          <w:b/>
                          <w:smallCaps w:val="0"/>
                          <w:color w:val="FFFFFF"/>
                          <w:sz w:val="18"/>
                        </w:rPr>
                        <w:t>θμού δα-</w:t>
                      </w:r>
                      <w:r>
                        <w:rPr>
                          <w:b/>
                          <w:smallCaps w:val="0"/>
                          <w:color w:val="FFFFFF"/>
                          <w:spacing w:val="-2"/>
                          <w:sz w:val="18"/>
                        </w:rPr>
                        <w:t>νείων</w:t>
                      </w:r>
                    </w:p>
                  </w:txbxContent>
                </v:textbox>
                <v:fill type="solid"/>
                <w10:wrap type="topAndBottom"/>
              </v:shape>
            </w:pict>
          </mc:Fallback>
        </mc:AlternateContent>
      </w:r>
      <w:r>
        <w:rPr/>
        <w:t>Αρχικά εξετάζεται ο βαθμός συμμόρφωσης των πιστωτικών ιδρυμάτων με τα δεσμευτικά όρια που θεσπίστηκαν για τον δείκτη δανειακής επιβάρυνσης κατά την έγκριση (Debt service to in-come at origination – DSTI-O) και τον δείκτη δανείου προς αξία κατά την έγκριση (Loan to value</w:t>
      </w:r>
      <w:r>
        <w:rPr>
          <w:spacing w:val="-1"/>
        </w:rPr>
        <w:t> </w:t>
      </w:r>
      <w:r>
        <w:rPr/>
        <w:t>at origination – LTV-O) και το κατά πόσον αυτά</w:t>
      </w:r>
      <w:r>
        <w:rPr>
          <w:spacing w:val="-2"/>
        </w:rPr>
        <w:t> </w:t>
      </w:r>
      <w:r>
        <w:rPr/>
        <w:t>αξιοποιούν τη δυνατότητα να χορηγούν δάνεια για οικιστικά ακίνητα καθ’</w:t>
      </w:r>
      <w:r>
        <w:rPr>
          <w:spacing w:val="-1"/>
        </w:rPr>
        <w:t> </w:t>
      </w:r>
      <w:r>
        <w:rPr/>
        <w:t>υπέρβαση των παραπάνω δεσμευτικών ορίων.</w:t>
      </w:r>
      <w:r>
        <w:rPr>
          <w:vertAlign w:val="superscript"/>
        </w:rPr>
        <w:t>iii</w:t>
      </w:r>
      <w:r>
        <w:rPr>
          <w:vertAlign w:val="baseline"/>
        </w:rPr>
        <w:t> Σε επίπεδο τραπεζικού τομέα παρατηρείται συμμόρφωση με τα όρια και περιορισμένη χρήση της δυνατό-τητας για υπερβάσεις (βλ. Διάγραμμα 1).</w:t>
      </w:r>
    </w:p>
    <w:p>
      <w:pPr>
        <w:spacing w:before="119"/>
        <w:ind w:left="277" w:right="0" w:firstLine="0"/>
        <w:jc w:val="left"/>
        <w:rPr>
          <w:sz w:val="14"/>
        </w:rPr>
      </w:pPr>
      <w:r>
        <w:rPr>
          <w:color w:val="1F487C"/>
          <w:sz w:val="14"/>
        </w:rPr>
        <w:t>(ποσοστό</w:t>
      </w:r>
      <w:r>
        <w:rPr>
          <w:color w:val="1F487C"/>
          <w:spacing w:val="-7"/>
          <w:sz w:val="14"/>
        </w:rPr>
        <w:t> </w:t>
      </w:r>
      <w:r>
        <w:rPr>
          <w:color w:val="1F487C"/>
          <w:spacing w:val="-5"/>
          <w:sz w:val="14"/>
        </w:rPr>
        <w:t>%)</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8"/>
        <w:rPr>
          <w:sz w:val="14"/>
        </w:rPr>
      </w:pPr>
    </w:p>
    <w:p>
      <w:pPr>
        <w:spacing w:before="0"/>
        <w:ind w:left="333" w:right="0" w:firstLine="0"/>
        <w:jc w:val="left"/>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p>
      <w:pPr>
        <w:spacing w:before="120"/>
        <w:ind w:left="333" w:right="0" w:firstLine="0"/>
        <w:jc w:val="left"/>
        <w:rPr>
          <w:sz w:val="14"/>
        </w:rPr>
      </w:pPr>
      <w:r>
        <w:rPr>
          <w:sz w:val="14"/>
        </w:rPr>
        <w:t>Σημείωση:</w:t>
      </w:r>
      <w:r>
        <w:rPr>
          <w:spacing w:val="-4"/>
          <w:sz w:val="14"/>
        </w:rPr>
        <w:t> </w:t>
      </w:r>
      <w:r>
        <w:rPr>
          <w:sz w:val="14"/>
        </w:rPr>
        <w:t>Έχει</w:t>
      </w:r>
      <w:r>
        <w:rPr>
          <w:spacing w:val="-5"/>
          <w:sz w:val="14"/>
        </w:rPr>
        <w:t> </w:t>
      </w:r>
      <w:r>
        <w:rPr>
          <w:sz w:val="14"/>
        </w:rPr>
        <w:t>γίνει</w:t>
      </w:r>
      <w:r>
        <w:rPr>
          <w:spacing w:val="-3"/>
          <w:sz w:val="14"/>
        </w:rPr>
        <w:t> </w:t>
      </w:r>
      <w:r>
        <w:rPr>
          <w:sz w:val="14"/>
        </w:rPr>
        <w:t>χρήση</w:t>
      </w:r>
      <w:r>
        <w:rPr>
          <w:spacing w:val="-6"/>
          <w:sz w:val="14"/>
        </w:rPr>
        <w:t> </w:t>
      </w:r>
      <w:r>
        <w:rPr>
          <w:sz w:val="14"/>
        </w:rPr>
        <w:t>λογαριθμικής</w:t>
      </w:r>
      <w:r>
        <w:rPr>
          <w:spacing w:val="-3"/>
          <w:sz w:val="14"/>
        </w:rPr>
        <w:t> </w:t>
      </w:r>
      <w:r>
        <w:rPr>
          <w:sz w:val="14"/>
        </w:rPr>
        <w:t>κλίμακας</w:t>
      </w:r>
      <w:r>
        <w:rPr>
          <w:spacing w:val="-6"/>
          <w:sz w:val="14"/>
        </w:rPr>
        <w:t> </w:t>
      </w:r>
      <w:r>
        <w:rPr>
          <w:sz w:val="14"/>
        </w:rPr>
        <w:t>στον</w:t>
      </w:r>
      <w:r>
        <w:rPr>
          <w:spacing w:val="-6"/>
          <w:sz w:val="14"/>
        </w:rPr>
        <w:t> </w:t>
      </w:r>
      <w:r>
        <w:rPr>
          <w:sz w:val="14"/>
        </w:rPr>
        <w:t>κάθετο</w:t>
      </w:r>
      <w:r>
        <w:rPr>
          <w:spacing w:val="-6"/>
          <w:sz w:val="14"/>
        </w:rPr>
        <w:t> </w:t>
      </w:r>
      <w:r>
        <w:rPr>
          <w:spacing w:val="-2"/>
          <w:sz w:val="14"/>
        </w:rPr>
        <w:t>άξονα.</w:t>
      </w:r>
    </w:p>
    <w:p>
      <w:pPr>
        <w:pStyle w:val="BodyText"/>
        <w:spacing w:before="4"/>
        <w:rPr>
          <w:sz w:val="14"/>
        </w:rPr>
      </w:pPr>
    </w:p>
    <w:p>
      <w:pPr>
        <w:pStyle w:val="BodyText"/>
        <w:spacing w:line="285" w:lineRule="auto"/>
        <w:ind w:left="210" w:right="996"/>
        <w:jc w:val="both"/>
      </w:pPr>
      <w:r>
        <w:rPr/>
        <w:t>Ειδικότερα,</w:t>
      </w:r>
      <w:r>
        <w:rPr>
          <w:spacing w:val="-8"/>
        </w:rPr>
        <w:t> </w:t>
      </w:r>
      <w:r>
        <w:rPr/>
        <w:t>οι</w:t>
      </w:r>
      <w:r>
        <w:rPr>
          <w:spacing w:val="-6"/>
        </w:rPr>
        <w:t> </w:t>
      </w:r>
      <w:r>
        <w:rPr/>
        <w:t>υπερβάσεις</w:t>
      </w:r>
      <w:r>
        <w:rPr>
          <w:spacing w:val="-8"/>
        </w:rPr>
        <w:t> </w:t>
      </w:r>
      <w:r>
        <w:rPr/>
        <w:t>του</w:t>
      </w:r>
      <w:r>
        <w:rPr>
          <w:spacing w:val="-6"/>
        </w:rPr>
        <w:t> </w:t>
      </w:r>
      <w:r>
        <w:rPr/>
        <w:t>δείκτη</w:t>
      </w:r>
      <w:r>
        <w:rPr>
          <w:spacing w:val="-5"/>
        </w:rPr>
        <w:t> </w:t>
      </w:r>
      <w:r>
        <w:rPr/>
        <w:t>DSTI-O</w:t>
      </w:r>
      <w:r>
        <w:rPr>
          <w:spacing w:val="-8"/>
        </w:rPr>
        <w:t> </w:t>
      </w:r>
      <w:r>
        <w:rPr/>
        <w:t>κυμάνθηκαν</w:t>
      </w:r>
      <w:r>
        <w:rPr>
          <w:spacing w:val="-7"/>
        </w:rPr>
        <w:t> </w:t>
      </w:r>
      <w:r>
        <w:rPr/>
        <w:t>μεταξύ</w:t>
      </w:r>
      <w:r>
        <w:rPr>
          <w:spacing w:val="-7"/>
        </w:rPr>
        <w:t> </w:t>
      </w:r>
      <w:r>
        <w:rPr/>
        <w:t>3,7%</w:t>
      </w:r>
      <w:r>
        <w:rPr>
          <w:spacing w:val="-6"/>
        </w:rPr>
        <w:t> </w:t>
      </w:r>
      <w:r>
        <w:rPr/>
        <w:t>και</w:t>
      </w:r>
      <w:r>
        <w:rPr>
          <w:spacing w:val="-7"/>
        </w:rPr>
        <w:t> </w:t>
      </w:r>
      <w:r>
        <w:rPr/>
        <w:t>4,6%</w:t>
      </w:r>
      <w:r>
        <w:rPr>
          <w:spacing w:val="-8"/>
        </w:rPr>
        <w:t> </w:t>
      </w:r>
      <w:r>
        <w:rPr/>
        <w:t>επί</w:t>
      </w:r>
      <w:r>
        <w:rPr>
          <w:spacing w:val="-6"/>
        </w:rPr>
        <w:t> </w:t>
      </w:r>
      <w:r>
        <w:rPr/>
        <w:t>του</w:t>
      </w:r>
      <w:r>
        <w:rPr>
          <w:spacing w:val="-6"/>
        </w:rPr>
        <w:t> </w:t>
      </w:r>
      <w:r>
        <w:rPr/>
        <w:t>αριθ-μού των νέων δανείων για οικιστικά ακίνητα που εκταμιεύθηκαν εντός του 2025, ενώ οι υπερ-βάσεις</w:t>
      </w:r>
      <w:r>
        <w:rPr>
          <w:spacing w:val="-2"/>
        </w:rPr>
        <w:t> </w:t>
      </w:r>
      <w:r>
        <w:rPr/>
        <w:t>του</w:t>
      </w:r>
      <w:r>
        <w:rPr>
          <w:spacing w:val="-2"/>
        </w:rPr>
        <w:t> </w:t>
      </w:r>
      <w:r>
        <w:rPr/>
        <w:t>δείκτη</w:t>
      </w:r>
      <w:r>
        <w:rPr>
          <w:spacing w:val="-2"/>
        </w:rPr>
        <w:t> </w:t>
      </w:r>
      <w:r>
        <w:rPr/>
        <w:t>LTV-O</w:t>
      </w:r>
      <w:r>
        <w:rPr>
          <w:spacing w:val="-3"/>
        </w:rPr>
        <w:t> </w:t>
      </w:r>
      <w:r>
        <w:rPr/>
        <w:t>κυμάνθηκαν</w:t>
      </w:r>
      <w:r>
        <w:rPr>
          <w:spacing w:val="-2"/>
        </w:rPr>
        <w:t> </w:t>
      </w:r>
      <w:r>
        <w:rPr/>
        <w:t>μεταξύ</w:t>
      </w:r>
      <w:r>
        <w:rPr>
          <w:spacing w:val="-1"/>
        </w:rPr>
        <w:t> </w:t>
      </w:r>
      <w:r>
        <w:rPr/>
        <w:t>0,1%</w:t>
      </w:r>
      <w:r>
        <w:rPr>
          <w:spacing w:val="-2"/>
        </w:rPr>
        <w:t> </w:t>
      </w:r>
      <w:r>
        <w:rPr/>
        <w:t>και</w:t>
      </w:r>
      <w:r>
        <w:rPr>
          <w:spacing w:val="-2"/>
        </w:rPr>
        <w:t> </w:t>
      </w:r>
      <w:r>
        <w:rPr/>
        <w:t>0,6%</w:t>
      </w:r>
      <w:r>
        <w:rPr>
          <w:spacing w:val="-2"/>
        </w:rPr>
        <w:t> </w:t>
      </w:r>
      <w:r>
        <w:rPr/>
        <w:t>για</w:t>
      </w:r>
      <w:r>
        <w:rPr>
          <w:spacing w:val="-2"/>
        </w:rPr>
        <w:t> </w:t>
      </w:r>
      <w:r>
        <w:rPr/>
        <w:t>την</w:t>
      </w:r>
      <w:r>
        <w:rPr>
          <w:spacing w:val="-4"/>
        </w:rPr>
        <w:t> </w:t>
      </w:r>
      <w:r>
        <w:rPr/>
        <w:t>ίδια</w:t>
      </w:r>
      <w:r>
        <w:rPr>
          <w:spacing w:val="-2"/>
        </w:rPr>
        <w:t> </w:t>
      </w:r>
      <w:r>
        <w:rPr/>
        <w:t>περίοδο. Συνεπώς,</w:t>
      </w:r>
      <w:r>
        <w:rPr>
          <w:spacing w:val="-2"/>
        </w:rPr>
        <w:t> </w:t>
      </w:r>
      <w:r>
        <w:rPr/>
        <w:t>η δυνατότητα των υπερβάσεων αξιοποιήθηκε περισσότερο στην περίπτωση του δείκτη DSTI-O, τα</w:t>
      </w:r>
      <w:r>
        <w:rPr>
          <w:spacing w:val="-8"/>
        </w:rPr>
        <w:t> </w:t>
      </w:r>
      <w:r>
        <w:rPr/>
        <w:t>όρια</w:t>
      </w:r>
      <w:r>
        <w:rPr>
          <w:spacing w:val="-10"/>
        </w:rPr>
        <w:t> </w:t>
      </w:r>
      <w:r>
        <w:rPr/>
        <w:t>του</w:t>
      </w:r>
      <w:r>
        <w:rPr>
          <w:spacing w:val="-9"/>
        </w:rPr>
        <w:t> </w:t>
      </w:r>
      <w:r>
        <w:rPr/>
        <w:t>οποίου</w:t>
      </w:r>
      <w:r>
        <w:rPr>
          <w:spacing w:val="-6"/>
        </w:rPr>
        <w:t> </w:t>
      </w:r>
      <w:r>
        <w:rPr/>
        <w:t>παρουσιάζονται</w:t>
      </w:r>
      <w:r>
        <w:rPr>
          <w:spacing w:val="-9"/>
        </w:rPr>
        <w:t> </w:t>
      </w:r>
      <w:r>
        <w:rPr/>
        <w:t>πιο</w:t>
      </w:r>
      <w:r>
        <w:rPr>
          <w:spacing w:val="-6"/>
        </w:rPr>
        <w:t> </w:t>
      </w:r>
      <w:r>
        <w:rPr/>
        <w:t>δεσμευτικά</w:t>
      </w:r>
      <w:r>
        <w:rPr>
          <w:spacing w:val="-10"/>
        </w:rPr>
        <w:t> </w:t>
      </w:r>
      <w:r>
        <w:rPr/>
        <w:t>για</w:t>
      </w:r>
      <w:r>
        <w:rPr>
          <w:spacing w:val="-9"/>
        </w:rPr>
        <w:t> </w:t>
      </w:r>
      <w:r>
        <w:rPr/>
        <w:t>τους</w:t>
      </w:r>
      <w:r>
        <w:rPr>
          <w:spacing w:val="-8"/>
        </w:rPr>
        <w:t> </w:t>
      </w:r>
      <w:r>
        <w:rPr/>
        <w:t>δανειολήπτες,</w:t>
      </w:r>
      <w:r>
        <w:rPr>
          <w:spacing w:val="-10"/>
        </w:rPr>
        <w:t> </w:t>
      </w:r>
      <w:r>
        <w:rPr/>
        <w:t>γεγονός</w:t>
      </w:r>
      <w:r>
        <w:rPr>
          <w:spacing w:val="-11"/>
        </w:rPr>
        <w:t> </w:t>
      </w:r>
      <w:r>
        <w:rPr/>
        <w:t>που</w:t>
      </w:r>
      <w:r>
        <w:rPr>
          <w:spacing w:val="-8"/>
        </w:rPr>
        <w:t> </w:t>
      </w:r>
      <w:r>
        <w:rPr/>
        <w:t>συνάδει με</w:t>
      </w:r>
      <w:r>
        <w:rPr>
          <w:spacing w:val="-3"/>
        </w:rPr>
        <w:t> </w:t>
      </w:r>
      <w:r>
        <w:rPr/>
        <w:t>τα</w:t>
      </w:r>
      <w:r>
        <w:rPr>
          <w:spacing w:val="-6"/>
        </w:rPr>
        <w:t> </w:t>
      </w:r>
      <w:r>
        <w:rPr/>
        <w:t>συμπεράσματα</w:t>
      </w:r>
      <w:r>
        <w:rPr>
          <w:spacing w:val="-4"/>
        </w:rPr>
        <w:t> </w:t>
      </w:r>
      <w:r>
        <w:rPr/>
        <w:t>της</w:t>
      </w:r>
      <w:r>
        <w:rPr>
          <w:spacing w:val="-5"/>
        </w:rPr>
        <w:t> </w:t>
      </w:r>
      <w:r>
        <w:rPr/>
        <w:t>ανάλυσης</w:t>
      </w:r>
      <w:r>
        <w:rPr>
          <w:spacing w:val="-7"/>
        </w:rPr>
        <w:t> </w:t>
      </w:r>
      <w:r>
        <w:rPr/>
        <w:t>του</w:t>
      </w:r>
      <w:r>
        <w:rPr>
          <w:spacing w:val="-5"/>
        </w:rPr>
        <w:t> </w:t>
      </w:r>
      <w:r>
        <w:rPr/>
        <w:t>Δείκτη</w:t>
      </w:r>
      <w:r>
        <w:rPr>
          <w:spacing w:val="-3"/>
        </w:rPr>
        <w:t> </w:t>
      </w:r>
      <w:r>
        <w:rPr/>
        <w:t>Ικανότητας</w:t>
      </w:r>
      <w:r>
        <w:rPr>
          <w:spacing w:val="-4"/>
        </w:rPr>
        <w:t> </w:t>
      </w:r>
      <w:r>
        <w:rPr/>
        <w:t>Στεγαστικής</w:t>
      </w:r>
      <w:r>
        <w:rPr>
          <w:spacing w:val="-5"/>
        </w:rPr>
        <w:t> </w:t>
      </w:r>
      <w:r>
        <w:rPr/>
        <w:t>Χρηματοδότης</w:t>
      </w:r>
      <w:r>
        <w:rPr>
          <w:spacing w:val="-5"/>
        </w:rPr>
        <w:t> </w:t>
      </w:r>
      <w:r>
        <w:rPr/>
        <w:t>(ΔΙΣΧ) για οριακή ή χαμηλή προσιτότητα κατοικίας ήδη από το έτος 2024.</w:t>
      </w:r>
      <w:r>
        <w:rPr>
          <w:vertAlign w:val="superscript"/>
        </w:rPr>
        <w:t>iv</w:t>
      </w:r>
    </w:p>
    <w:p>
      <w:pPr>
        <w:pStyle w:val="BodyText"/>
        <w:spacing w:after="0" w:line="285" w:lineRule="auto"/>
        <w:jc w:val="both"/>
        <w:sectPr>
          <w:pgSz w:w="11910" w:h="16850"/>
          <w:pgMar w:header="0" w:footer="1108" w:top="1940" w:bottom="1360" w:left="1417" w:right="850"/>
        </w:sectPr>
      </w:pPr>
    </w:p>
    <w:p>
      <w:pPr>
        <w:pStyle w:val="BodyText"/>
        <w:spacing w:line="285" w:lineRule="auto" w:before="76"/>
        <w:ind w:left="210" w:right="995"/>
        <w:jc w:val="both"/>
      </w:pPr>
      <w:r>
        <w:rPr/>
        <mc:AlternateContent>
          <mc:Choice Requires="wps">
            <w:drawing>
              <wp:anchor distT="0" distB="0" distL="0" distR="0" allowOverlap="1" layoutInCell="1" locked="0" behindDoc="1" simplePos="0" relativeHeight="487597568">
                <wp:simplePos x="0" y="0"/>
                <wp:positionH relativeFrom="page">
                  <wp:posOffset>1039672</wp:posOffset>
                </wp:positionH>
                <wp:positionV relativeFrom="paragraph">
                  <wp:posOffset>641858</wp:posOffset>
                </wp:positionV>
                <wp:extent cx="5302885" cy="361315"/>
                <wp:effectExtent l="0" t="0" r="0" b="0"/>
                <wp:wrapTopAndBottom/>
                <wp:docPr id="99" name="Textbox 99"/>
                <wp:cNvGraphicFramePr>
                  <a:graphicFrameLocks/>
                </wp:cNvGraphicFramePr>
                <a:graphic>
                  <a:graphicData uri="http://schemas.microsoft.com/office/word/2010/wordprocessingShape">
                    <wps:wsp>
                      <wps:cNvPr id="99" name="Textbox 99"/>
                      <wps:cNvSpPr txBox="1"/>
                      <wps:spPr>
                        <a:xfrm>
                          <a:off x="0" y="0"/>
                          <a:ext cx="5302885" cy="361315"/>
                        </a:xfrm>
                        <a:prstGeom prst="rect">
                          <a:avLst/>
                        </a:prstGeom>
                        <a:solidFill>
                          <a:srgbClr val="1F487C"/>
                        </a:solidFill>
                      </wps:spPr>
                      <wps:txbx>
                        <w:txbxContent>
                          <w:p>
                            <w:pPr>
                              <w:spacing w:before="18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4"/>
                                <w:sz w:val="18"/>
                              </w:rPr>
                              <w:t> </w:t>
                            </w:r>
                            <w:r>
                              <w:rPr>
                                <w:b/>
                                <w:smallCaps w:val="0"/>
                                <w:color w:val="FFFFFF"/>
                                <w:sz w:val="18"/>
                              </w:rPr>
                              <w:t>2 Εκταμ</w:t>
                            </w:r>
                            <w:r>
                              <w:rPr>
                                <w:b/>
                                <w:smallCaps/>
                                <w:color w:val="FFFFFF"/>
                                <w:sz w:val="18"/>
                              </w:rPr>
                              <w:t>ι</w:t>
                            </w:r>
                            <w:r>
                              <w:rPr>
                                <w:b/>
                                <w:smallCaps w:val="0"/>
                                <w:color w:val="FFFFFF"/>
                                <w:sz w:val="18"/>
                              </w:rPr>
                              <w:t>εύσε</w:t>
                            </w:r>
                            <w:r>
                              <w:rPr>
                                <w:b/>
                                <w:smallCaps/>
                                <w:color w:val="FFFFFF"/>
                                <w:sz w:val="18"/>
                              </w:rPr>
                              <w:t>ι</w:t>
                            </w:r>
                            <w:r>
                              <w:rPr>
                                <w:b/>
                                <w:smallCaps w:val="0"/>
                                <w:color w:val="FFFFFF"/>
                                <w:sz w:val="18"/>
                              </w:rPr>
                              <w:t>ς</w:t>
                            </w:r>
                            <w:r>
                              <w:rPr>
                                <w:b/>
                                <w:smallCaps w:val="0"/>
                                <w:color w:val="FFFFFF"/>
                                <w:spacing w:val="-3"/>
                                <w:sz w:val="18"/>
                              </w:rPr>
                              <w:t> </w:t>
                            </w:r>
                            <w:r>
                              <w:rPr>
                                <w:b/>
                                <w:smallCaps w:val="0"/>
                                <w:color w:val="FFFFFF"/>
                                <w:sz w:val="18"/>
                              </w:rPr>
                              <w:t>δανείων γ</w:t>
                            </w:r>
                            <w:r>
                              <w:rPr>
                                <w:b/>
                                <w:smallCaps/>
                                <w:color w:val="FFFFFF"/>
                                <w:sz w:val="18"/>
                              </w:rPr>
                              <w:t>ι</w:t>
                            </w:r>
                            <w:r>
                              <w:rPr>
                                <w:b/>
                                <w:smallCaps w:val="0"/>
                                <w:color w:val="FFFFFF"/>
                                <w:sz w:val="18"/>
                              </w:rPr>
                              <w:t>α</w:t>
                            </w:r>
                            <w:r>
                              <w:rPr>
                                <w:b/>
                                <w:smallCaps w:val="0"/>
                                <w:color w:val="FFFFFF"/>
                                <w:spacing w:val="-2"/>
                                <w:sz w:val="18"/>
                              </w:rPr>
                              <w:t> </w:t>
                            </w:r>
                            <w:r>
                              <w:rPr>
                                <w:b/>
                                <w:smallCaps w:val="0"/>
                                <w:color w:val="FFFFFF"/>
                                <w:sz w:val="18"/>
                              </w:rPr>
                              <w:t>ο</w:t>
                            </w:r>
                            <w:r>
                              <w:rPr>
                                <w:b/>
                                <w:smallCaps/>
                                <w:color w:val="FFFFFF"/>
                                <w:sz w:val="18"/>
                              </w:rPr>
                              <w:t>ι</w:t>
                            </w:r>
                            <w:r>
                              <w:rPr>
                                <w:b/>
                                <w:smallCaps w:val="0"/>
                                <w:color w:val="FFFFFF"/>
                                <w:sz w:val="18"/>
                              </w:rPr>
                              <w:t>κ</w:t>
                            </w:r>
                            <w:r>
                              <w:rPr>
                                <w:b/>
                                <w:smallCaps/>
                                <w:color w:val="FFFFFF"/>
                                <w:sz w:val="18"/>
                              </w:rPr>
                              <w:t>ι</w:t>
                            </w:r>
                            <w:r>
                              <w:rPr>
                                <w:b/>
                                <w:smallCaps w:val="0"/>
                                <w:color w:val="FFFFFF"/>
                                <w:sz w:val="18"/>
                              </w:rPr>
                              <w:t>στ</w:t>
                            </w:r>
                            <w:r>
                              <w:rPr>
                                <w:b/>
                                <w:smallCaps/>
                                <w:color w:val="FFFFFF"/>
                                <w:sz w:val="18"/>
                              </w:rPr>
                              <w:t>ι</w:t>
                            </w:r>
                            <w:r>
                              <w:rPr>
                                <w:b/>
                                <w:smallCaps w:val="0"/>
                                <w:color w:val="FFFFFF"/>
                                <w:sz w:val="18"/>
                              </w:rPr>
                              <w:t>κά</w:t>
                            </w:r>
                            <w:r>
                              <w:rPr>
                                <w:b/>
                                <w:smallCaps w:val="0"/>
                                <w:color w:val="FFFFFF"/>
                                <w:spacing w:val="-1"/>
                                <w:sz w:val="18"/>
                              </w:rPr>
                              <w:t> </w:t>
                            </w:r>
                            <w:r>
                              <w:rPr>
                                <w:b/>
                                <w:smallCaps w:val="0"/>
                                <w:color w:val="FFFFFF"/>
                                <w:spacing w:val="-2"/>
                                <w:sz w:val="18"/>
                              </w:rPr>
                              <w:t>ακίνητα</w:t>
                            </w:r>
                          </w:p>
                        </w:txbxContent>
                      </wps:txbx>
                      <wps:bodyPr wrap="square" lIns="0" tIns="0" rIns="0" bIns="0" rtlCol="0">
                        <a:noAutofit/>
                      </wps:bodyPr>
                    </wps:wsp>
                  </a:graphicData>
                </a:graphic>
              </wp:anchor>
            </w:drawing>
          </mc:Choice>
          <mc:Fallback>
            <w:pict>
              <v:shape style="position:absolute;margin-left:81.863998pt;margin-top:50.540001pt;width:417.55pt;height:28.45pt;mso-position-horizontal-relative:page;mso-position-vertical-relative:paragraph;z-index:-15718912;mso-wrap-distance-left:0;mso-wrap-distance-right:0" type="#_x0000_t202" id="docshape97" filled="true" fillcolor="#1f487c" stroked="false">
                <v:textbox inset="0,0,0,0">
                  <w:txbxContent>
                    <w:p>
                      <w:pPr>
                        <w:spacing w:before="18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4"/>
                          <w:sz w:val="18"/>
                        </w:rPr>
                        <w:t> </w:t>
                      </w:r>
                      <w:r>
                        <w:rPr>
                          <w:b/>
                          <w:smallCaps w:val="0"/>
                          <w:color w:val="FFFFFF"/>
                          <w:sz w:val="18"/>
                        </w:rPr>
                        <w:t>2 Εκταμ</w:t>
                      </w:r>
                      <w:r>
                        <w:rPr>
                          <w:b/>
                          <w:smallCaps/>
                          <w:color w:val="FFFFFF"/>
                          <w:sz w:val="18"/>
                        </w:rPr>
                        <w:t>ι</w:t>
                      </w:r>
                      <w:r>
                        <w:rPr>
                          <w:b/>
                          <w:smallCaps w:val="0"/>
                          <w:color w:val="FFFFFF"/>
                          <w:sz w:val="18"/>
                        </w:rPr>
                        <w:t>εύσε</w:t>
                      </w:r>
                      <w:r>
                        <w:rPr>
                          <w:b/>
                          <w:smallCaps/>
                          <w:color w:val="FFFFFF"/>
                          <w:sz w:val="18"/>
                        </w:rPr>
                        <w:t>ι</w:t>
                      </w:r>
                      <w:r>
                        <w:rPr>
                          <w:b/>
                          <w:smallCaps w:val="0"/>
                          <w:color w:val="FFFFFF"/>
                          <w:sz w:val="18"/>
                        </w:rPr>
                        <w:t>ς</w:t>
                      </w:r>
                      <w:r>
                        <w:rPr>
                          <w:b/>
                          <w:smallCaps w:val="0"/>
                          <w:color w:val="FFFFFF"/>
                          <w:spacing w:val="-3"/>
                          <w:sz w:val="18"/>
                        </w:rPr>
                        <w:t> </w:t>
                      </w:r>
                      <w:r>
                        <w:rPr>
                          <w:b/>
                          <w:smallCaps w:val="0"/>
                          <w:color w:val="FFFFFF"/>
                          <w:sz w:val="18"/>
                        </w:rPr>
                        <w:t>δανείων γ</w:t>
                      </w:r>
                      <w:r>
                        <w:rPr>
                          <w:b/>
                          <w:smallCaps/>
                          <w:color w:val="FFFFFF"/>
                          <w:sz w:val="18"/>
                        </w:rPr>
                        <w:t>ι</w:t>
                      </w:r>
                      <w:r>
                        <w:rPr>
                          <w:b/>
                          <w:smallCaps w:val="0"/>
                          <w:color w:val="FFFFFF"/>
                          <w:sz w:val="18"/>
                        </w:rPr>
                        <w:t>α</w:t>
                      </w:r>
                      <w:r>
                        <w:rPr>
                          <w:b/>
                          <w:smallCaps w:val="0"/>
                          <w:color w:val="FFFFFF"/>
                          <w:spacing w:val="-2"/>
                          <w:sz w:val="18"/>
                        </w:rPr>
                        <w:t> </w:t>
                      </w:r>
                      <w:r>
                        <w:rPr>
                          <w:b/>
                          <w:smallCaps w:val="0"/>
                          <w:color w:val="FFFFFF"/>
                          <w:sz w:val="18"/>
                        </w:rPr>
                        <w:t>ο</w:t>
                      </w:r>
                      <w:r>
                        <w:rPr>
                          <w:b/>
                          <w:smallCaps/>
                          <w:color w:val="FFFFFF"/>
                          <w:sz w:val="18"/>
                        </w:rPr>
                        <w:t>ι</w:t>
                      </w:r>
                      <w:r>
                        <w:rPr>
                          <w:b/>
                          <w:smallCaps w:val="0"/>
                          <w:color w:val="FFFFFF"/>
                          <w:sz w:val="18"/>
                        </w:rPr>
                        <w:t>κ</w:t>
                      </w:r>
                      <w:r>
                        <w:rPr>
                          <w:b/>
                          <w:smallCaps/>
                          <w:color w:val="FFFFFF"/>
                          <w:sz w:val="18"/>
                        </w:rPr>
                        <w:t>ι</w:t>
                      </w:r>
                      <w:r>
                        <w:rPr>
                          <w:b/>
                          <w:smallCaps w:val="0"/>
                          <w:color w:val="FFFFFF"/>
                          <w:sz w:val="18"/>
                        </w:rPr>
                        <w:t>στ</w:t>
                      </w:r>
                      <w:r>
                        <w:rPr>
                          <w:b/>
                          <w:smallCaps/>
                          <w:color w:val="FFFFFF"/>
                          <w:sz w:val="18"/>
                        </w:rPr>
                        <w:t>ι</w:t>
                      </w:r>
                      <w:r>
                        <w:rPr>
                          <w:b/>
                          <w:smallCaps w:val="0"/>
                          <w:color w:val="FFFFFF"/>
                          <w:sz w:val="18"/>
                        </w:rPr>
                        <w:t>κά</w:t>
                      </w:r>
                      <w:r>
                        <w:rPr>
                          <w:b/>
                          <w:smallCaps w:val="0"/>
                          <w:color w:val="FFFFFF"/>
                          <w:spacing w:val="-1"/>
                          <w:sz w:val="18"/>
                        </w:rPr>
                        <w:t> </w:t>
                      </w:r>
                      <w:r>
                        <w:rPr>
                          <w:b/>
                          <w:smallCaps w:val="0"/>
                          <w:color w:val="FFFFFF"/>
                          <w:spacing w:val="-2"/>
                          <w:sz w:val="18"/>
                        </w:rPr>
                        <w:t>ακίνητα</w:t>
                      </w:r>
                    </w:p>
                  </w:txbxContent>
                </v:textbox>
                <v:fill type="solid"/>
                <w10:wrap type="topAndBottom"/>
              </v:shape>
            </w:pict>
          </mc:Fallback>
        </mc:AlternateContent>
      </w:r>
      <w:r>
        <w:rPr/>
        <w:t>Στη συνέχεια, εξετάζεται η εξέλιξη των νέων δανείων που αφορούν οικιστικό ακίνητο προκει-μένου</w:t>
      </w:r>
      <w:r>
        <w:rPr>
          <w:spacing w:val="-5"/>
        </w:rPr>
        <w:t> </w:t>
      </w:r>
      <w:r>
        <w:rPr/>
        <w:t>να</w:t>
      </w:r>
      <w:r>
        <w:rPr>
          <w:spacing w:val="-6"/>
        </w:rPr>
        <w:t> </w:t>
      </w:r>
      <w:r>
        <w:rPr/>
        <w:t>διαπιστωθεί</w:t>
      </w:r>
      <w:r>
        <w:rPr>
          <w:spacing w:val="-5"/>
        </w:rPr>
        <w:t> </w:t>
      </w:r>
      <w:r>
        <w:rPr/>
        <w:t>τυχόν</w:t>
      </w:r>
      <w:r>
        <w:rPr>
          <w:spacing w:val="-5"/>
        </w:rPr>
        <w:t> </w:t>
      </w:r>
      <w:r>
        <w:rPr/>
        <w:t>συσταλτική</w:t>
      </w:r>
      <w:r>
        <w:rPr>
          <w:spacing w:val="-6"/>
        </w:rPr>
        <w:t> </w:t>
      </w:r>
      <w:r>
        <w:rPr/>
        <w:t>επίδραση</w:t>
      </w:r>
      <w:r>
        <w:rPr>
          <w:spacing w:val="-6"/>
        </w:rPr>
        <w:t> </w:t>
      </w:r>
      <w:r>
        <w:rPr/>
        <w:t>των</w:t>
      </w:r>
      <w:r>
        <w:rPr>
          <w:spacing w:val="-4"/>
        </w:rPr>
        <w:t> </w:t>
      </w:r>
      <w:r>
        <w:rPr/>
        <w:t>μακροπροληπτικών</w:t>
      </w:r>
      <w:r>
        <w:rPr>
          <w:spacing w:val="-4"/>
        </w:rPr>
        <w:t> </w:t>
      </w:r>
      <w:r>
        <w:rPr/>
        <w:t>μέτρων,</w:t>
      </w:r>
      <w:r>
        <w:rPr>
          <w:spacing w:val="-6"/>
        </w:rPr>
        <w:t> </w:t>
      </w:r>
      <w:r>
        <w:rPr/>
        <w:t>η</w:t>
      </w:r>
      <w:r>
        <w:rPr>
          <w:spacing w:val="-6"/>
        </w:rPr>
        <w:t> </w:t>
      </w:r>
      <w:r>
        <w:rPr/>
        <w:t>οποία</w:t>
      </w:r>
      <w:r>
        <w:rPr>
          <w:spacing w:val="-5"/>
        </w:rPr>
        <w:t> </w:t>
      </w:r>
      <w:r>
        <w:rPr/>
        <w:t>δεν θα ήταν επιθυμητή μετά από 15 έτη διαρκούς απομόχλευσης στη στεγαστική πίστη.</w:t>
      </w:r>
    </w:p>
    <w:p>
      <w:pPr>
        <w:spacing w:before="119"/>
        <w:ind w:left="277" w:right="0" w:firstLine="0"/>
        <w:jc w:val="left"/>
        <w:rPr>
          <w:sz w:val="14"/>
        </w:rPr>
      </w:pPr>
      <w:r>
        <w:rPr>
          <w:color w:val="1F487C"/>
          <w:sz w:val="14"/>
        </w:rPr>
        <w:t>(εκατ.</w:t>
      </w:r>
      <w:r>
        <w:rPr>
          <w:color w:val="1F487C"/>
          <w:spacing w:val="-5"/>
          <w:sz w:val="14"/>
        </w:rPr>
        <w:t> </w:t>
      </w:r>
      <w:r>
        <w:rPr>
          <w:color w:val="1F487C"/>
          <w:spacing w:val="-2"/>
          <w:sz w:val="14"/>
        </w:rPr>
        <w:t>ευρώ)</w:t>
      </w:r>
    </w:p>
    <w:p>
      <w:pPr>
        <w:spacing w:before="161"/>
        <w:ind w:left="434" w:right="0" w:firstLine="0"/>
        <w:jc w:val="left"/>
        <w:rPr>
          <w:sz w:val="15"/>
        </w:rPr>
      </w:pPr>
      <w:r>
        <w:rPr>
          <w:spacing w:val="-5"/>
          <w:sz w:val="15"/>
        </w:rPr>
        <w:t>800</w:t>
      </w:r>
    </w:p>
    <w:p>
      <w:pPr>
        <w:pStyle w:val="BodyText"/>
        <w:spacing w:before="125"/>
        <w:rPr>
          <w:sz w:val="15"/>
        </w:rPr>
      </w:pPr>
    </w:p>
    <w:p>
      <w:pPr>
        <w:spacing w:before="0"/>
        <w:ind w:left="434" w:right="0" w:firstLine="0"/>
        <w:jc w:val="left"/>
        <w:rPr>
          <w:sz w:val="15"/>
        </w:rPr>
      </w:pPr>
      <w:r>
        <w:rPr>
          <w:spacing w:val="-5"/>
          <w:sz w:val="15"/>
        </w:rPr>
        <w:t>700</w:t>
      </w:r>
    </w:p>
    <w:p>
      <w:pPr>
        <w:pStyle w:val="BodyText"/>
        <w:spacing w:before="126"/>
        <w:rPr>
          <w:sz w:val="15"/>
        </w:rPr>
      </w:pPr>
    </w:p>
    <w:p>
      <w:pPr>
        <w:spacing w:before="1"/>
        <w:ind w:left="434" w:right="0" w:firstLine="0"/>
        <w:jc w:val="left"/>
        <w:rPr>
          <w:sz w:val="15"/>
        </w:rPr>
      </w:pPr>
      <w:r>
        <w:rPr>
          <w:spacing w:val="-5"/>
          <w:sz w:val="15"/>
        </w:rPr>
        <w:t>600</w:t>
      </w:r>
    </w:p>
    <w:p>
      <w:pPr>
        <w:pStyle w:val="BodyText"/>
        <w:spacing w:before="124"/>
        <w:rPr>
          <w:sz w:val="15"/>
        </w:rPr>
      </w:pPr>
    </w:p>
    <w:p>
      <w:pPr>
        <w:spacing w:before="0"/>
        <w:ind w:left="434" w:right="0" w:firstLine="0"/>
        <w:jc w:val="left"/>
        <w:rPr>
          <w:sz w:val="15"/>
        </w:rPr>
      </w:pPr>
      <w:r>
        <w:rPr>
          <w:spacing w:val="-5"/>
          <w:sz w:val="15"/>
        </w:rPr>
        <w:t>500</w:t>
      </w:r>
    </w:p>
    <w:p>
      <w:pPr>
        <w:pStyle w:val="BodyText"/>
        <w:spacing w:before="127"/>
        <w:rPr>
          <w:sz w:val="15"/>
        </w:rPr>
      </w:pPr>
    </w:p>
    <w:p>
      <w:pPr>
        <w:spacing w:before="0"/>
        <w:ind w:left="434" w:right="0" w:firstLine="0"/>
        <w:jc w:val="left"/>
        <w:rPr>
          <w:sz w:val="15"/>
        </w:rPr>
      </w:pPr>
      <w:r>
        <w:rPr>
          <w:spacing w:val="-5"/>
          <w:sz w:val="15"/>
        </w:rPr>
        <w:t>400</w:t>
      </w:r>
    </w:p>
    <w:p>
      <w:pPr>
        <w:pStyle w:val="BodyText"/>
        <w:spacing w:before="124"/>
        <w:rPr>
          <w:sz w:val="15"/>
        </w:rPr>
      </w:pPr>
    </w:p>
    <w:p>
      <w:pPr>
        <w:spacing w:before="1"/>
        <w:ind w:left="434" w:right="0" w:firstLine="0"/>
        <w:jc w:val="left"/>
        <w:rPr>
          <w:sz w:val="15"/>
        </w:rPr>
      </w:pPr>
      <w:r>
        <w:rPr>
          <w:spacing w:val="-5"/>
          <w:sz w:val="15"/>
        </w:rPr>
        <w:t>300</w:t>
      </w:r>
    </w:p>
    <w:p>
      <w:pPr>
        <w:pStyle w:val="BodyText"/>
        <w:spacing w:before="126"/>
        <w:rPr>
          <w:sz w:val="15"/>
        </w:rPr>
      </w:pPr>
    </w:p>
    <w:p>
      <w:pPr>
        <w:spacing w:before="1"/>
        <w:ind w:left="434" w:right="0" w:firstLine="0"/>
        <w:jc w:val="left"/>
        <w:rPr>
          <w:sz w:val="15"/>
        </w:rPr>
      </w:pPr>
      <w:r>
        <w:rPr>
          <w:spacing w:val="-5"/>
          <w:sz w:val="15"/>
        </w:rPr>
        <w:t>200</w:t>
      </w:r>
    </w:p>
    <w:p>
      <w:pPr>
        <w:pStyle w:val="BodyText"/>
        <w:spacing w:before="124"/>
        <w:rPr>
          <w:sz w:val="15"/>
        </w:rPr>
      </w:pPr>
    </w:p>
    <w:p>
      <w:pPr>
        <w:spacing w:before="0"/>
        <w:ind w:left="434" w:right="0" w:firstLine="0"/>
        <w:jc w:val="left"/>
        <w:rPr>
          <w:sz w:val="15"/>
        </w:rPr>
      </w:pPr>
      <w:r>
        <w:rPr>
          <w:spacing w:val="-5"/>
          <w:sz w:val="15"/>
        </w:rPr>
        <w:t>100</w:t>
      </w:r>
    </w:p>
    <w:p>
      <w:pPr>
        <w:pStyle w:val="BodyText"/>
        <w:rPr>
          <w:sz w:val="18"/>
        </w:rPr>
      </w:pPr>
    </w:p>
    <w:p>
      <w:pPr>
        <w:pStyle w:val="BodyText"/>
        <w:spacing w:after="0"/>
        <w:rPr>
          <w:sz w:val="18"/>
        </w:rPr>
        <w:sectPr>
          <w:pgSz w:w="11910" w:h="16850"/>
          <w:pgMar w:header="0" w:footer="1108" w:top="1840" w:bottom="1360" w:left="1417" w:right="850"/>
        </w:sectPr>
      </w:pPr>
    </w:p>
    <w:p>
      <w:pPr>
        <w:spacing w:before="93"/>
        <w:ind w:left="0" w:right="20" w:firstLine="0"/>
        <w:jc w:val="center"/>
        <w:rPr>
          <w:sz w:val="15"/>
        </w:rPr>
      </w:pPr>
      <w:r>
        <w:rPr>
          <w:spacing w:val="-10"/>
          <w:sz w:val="15"/>
        </w:rPr>
        <w:t>0</w:t>
      </w:r>
    </w:p>
    <w:p>
      <w:pPr>
        <w:spacing w:before="0"/>
        <w:ind w:left="929" w:right="0" w:firstLine="0"/>
        <w:jc w:val="center"/>
        <w:rPr>
          <w:sz w:val="15"/>
        </w:rPr>
      </w:pPr>
      <w:r>
        <w:rPr>
          <w:sz w:val="15"/>
        </w:rPr>
        <w:t>a´</w:t>
      </w:r>
      <w:r>
        <w:rPr>
          <w:spacing w:val="-10"/>
          <w:sz w:val="15"/>
        </w:rPr>
        <w:t> </w:t>
      </w:r>
      <w:r>
        <w:rPr>
          <w:sz w:val="15"/>
        </w:rPr>
        <w:t>τp.</w:t>
      </w:r>
      <w:r>
        <w:rPr>
          <w:spacing w:val="40"/>
          <w:sz w:val="15"/>
        </w:rPr>
        <w:t> </w:t>
      </w:r>
      <w:r>
        <w:rPr>
          <w:spacing w:val="-4"/>
          <w:sz w:val="15"/>
        </w:rPr>
        <w:t>2023</w:t>
      </w:r>
    </w:p>
    <w:p>
      <w:pPr>
        <w:pStyle w:val="BodyText"/>
        <w:spacing w:before="93"/>
        <w:rPr>
          <w:sz w:val="15"/>
        </w:rPr>
      </w:pPr>
      <w:r>
        <w:rPr/>
        <w:br w:type="column"/>
      </w:r>
      <w:r>
        <w:rPr>
          <w:sz w:val="15"/>
        </w:rPr>
      </w:r>
    </w:p>
    <w:p>
      <w:pPr>
        <w:spacing w:before="0"/>
        <w:ind w:left="271" w:right="-3" w:hanging="18"/>
        <w:jc w:val="left"/>
        <w:rPr>
          <w:sz w:val="15"/>
        </w:rPr>
      </w:pPr>
      <w:r>
        <w:rPr>
          <w:spacing w:val="-2"/>
          <w:sz w:val="15"/>
        </w:rPr>
        <w:t>β´</w:t>
      </w:r>
      <w:r>
        <w:rPr>
          <w:spacing w:val="-8"/>
          <w:sz w:val="15"/>
        </w:rPr>
        <w:t> </w:t>
      </w:r>
      <w:r>
        <w:rPr>
          <w:spacing w:val="-2"/>
          <w:sz w:val="15"/>
        </w:rPr>
        <w:t>τp.</w:t>
      </w:r>
      <w:r>
        <w:rPr>
          <w:spacing w:val="40"/>
          <w:sz w:val="15"/>
        </w:rPr>
        <w:t> </w:t>
      </w:r>
      <w:r>
        <w:rPr>
          <w:spacing w:val="-4"/>
          <w:sz w:val="15"/>
        </w:rPr>
        <w:t>2023</w:t>
      </w:r>
    </w:p>
    <w:p>
      <w:pPr>
        <w:pStyle w:val="BodyText"/>
        <w:spacing w:before="93"/>
        <w:rPr>
          <w:sz w:val="15"/>
        </w:rPr>
      </w:pPr>
      <w:r>
        <w:rPr/>
        <w:br w:type="column"/>
      </w:r>
      <w:r>
        <w:rPr>
          <w:sz w:val="15"/>
        </w:rPr>
      </w:r>
    </w:p>
    <w:p>
      <w:pPr>
        <w:spacing w:before="0"/>
        <w:ind w:left="271" w:right="-6" w:hanging="13"/>
        <w:jc w:val="left"/>
        <w:rPr>
          <w:sz w:val="15"/>
        </w:rPr>
      </w:pPr>
      <w:r>
        <w:rPr>
          <w:spacing w:val="-2"/>
          <w:sz w:val="15"/>
        </w:rPr>
        <w:t>γ´</w:t>
      </w:r>
      <w:r>
        <w:rPr>
          <w:spacing w:val="-8"/>
          <w:sz w:val="15"/>
        </w:rPr>
        <w:t> </w:t>
      </w:r>
      <w:r>
        <w:rPr>
          <w:spacing w:val="-2"/>
          <w:sz w:val="15"/>
        </w:rPr>
        <w:t>τp.</w:t>
      </w:r>
      <w:r>
        <w:rPr>
          <w:spacing w:val="40"/>
          <w:sz w:val="15"/>
        </w:rPr>
        <w:t> </w:t>
      </w:r>
      <w:r>
        <w:rPr>
          <w:spacing w:val="-4"/>
          <w:sz w:val="15"/>
        </w:rPr>
        <w:t>2023</w:t>
      </w:r>
    </w:p>
    <w:p>
      <w:pPr>
        <w:pStyle w:val="BodyText"/>
        <w:spacing w:before="93"/>
        <w:rPr>
          <w:sz w:val="15"/>
        </w:rPr>
      </w:pPr>
      <w:r>
        <w:rPr/>
        <w:br w:type="column"/>
      </w:r>
      <w:r>
        <w:rPr>
          <w:sz w:val="15"/>
        </w:rPr>
      </w:r>
    </w:p>
    <w:p>
      <w:pPr>
        <w:spacing w:before="0"/>
        <w:ind w:left="276" w:right="-3" w:hanging="15"/>
        <w:jc w:val="left"/>
        <w:rPr>
          <w:sz w:val="15"/>
        </w:rPr>
      </w:pPr>
      <w:r>
        <w:rPr>
          <w:spacing w:val="-2"/>
          <w:sz w:val="15"/>
        </w:rPr>
        <w:t>δ´</w:t>
      </w:r>
      <w:r>
        <w:rPr>
          <w:spacing w:val="-8"/>
          <w:sz w:val="15"/>
        </w:rPr>
        <w:t> </w:t>
      </w:r>
      <w:r>
        <w:rPr>
          <w:spacing w:val="-2"/>
          <w:sz w:val="15"/>
        </w:rPr>
        <w:t>τp.</w:t>
      </w:r>
      <w:r>
        <w:rPr>
          <w:spacing w:val="40"/>
          <w:sz w:val="15"/>
        </w:rPr>
        <w:t> </w:t>
      </w:r>
      <w:r>
        <w:rPr>
          <w:spacing w:val="-4"/>
          <w:sz w:val="15"/>
        </w:rPr>
        <w:t>2023</w:t>
      </w:r>
    </w:p>
    <w:p>
      <w:pPr>
        <w:pStyle w:val="BodyText"/>
        <w:spacing w:before="93"/>
        <w:rPr>
          <w:sz w:val="15"/>
        </w:rPr>
      </w:pPr>
      <w:r>
        <w:rPr/>
        <w:br w:type="column"/>
      </w:r>
      <w:r>
        <w:rPr>
          <w:sz w:val="15"/>
        </w:rPr>
      </w:r>
    </w:p>
    <w:p>
      <w:pPr>
        <w:spacing w:before="0"/>
        <w:ind w:left="274" w:right="0" w:hanging="20"/>
        <w:jc w:val="left"/>
        <w:rPr>
          <w:sz w:val="15"/>
        </w:rPr>
      </w:pPr>
      <w:r>
        <w:rPr>
          <w:sz w:val="15"/>
        </w:rPr>
        <w:t>a´</w:t>
      </w:r>
      <w:r>
        <w:rPr>
          <w:spacing w:val="-10"/>
          <w:sz w:val="15"/>
        </w:rPr>
        <w:t> </w:t>
      </w:r>
      <w:r>
        <w:rPr>
          <w:sz w:val="15"/>
        </w:rPr>
        <w:t>τp.</w:t>
      </w:r>
      <w:r>
        <w:rPr>
          <w:spacing w:val="40"/>
          <w:sz w:val="15"/>
        </w:rPr>
        <w:t> </w:t>
      </w:r>
      <w:r>
        <w:rPr>
          <w:spacing w:val="-4"/>
          <w:sz w:val="15"/>
        </w:rPr>
        <w:t>2024</w:t>
      </w:r>
    </w:p>
    <w:p>
      <w:pPr>
        <w:pStyle w:val="BodyText"/>
        <w:spacing w:before="93"/>
        <w:rPr>
          <w:sz w:val="15"/>
        </w:rPr>
      </w:pPr>
      <w:r>
        <w:rPr/>
        <w:br w:type="column"/>
      </w:r>
      <w:r>
        <w:rPr>
          <w:sz w:val="15"/>
        </w:rPr>
      </w:r>
    </w:p>
    <w:p>
      <w:pPr>
        <w:spacing w:before="0"/>
        <w:ind w:left="271" w:right="-4" w:hanging="20"/>
        <w:jc w:val="left"/>
        <w:rPr>
          <w:sz w:val="15"/>
        </w:rPr>
      </w:pPr>
      <w:r>
        <w:rPr>
          <w:spacing w:val="-2"/>
          <w:sz w:val="15"/>
        </w:rPr>
        <w:t>β´</w:t>
      </w:r>
      <w:r>
        <w:rPr>
          <w:spacing w:val="-8"/>
          <w:sz w:val="15"/>
        </w:rPr>
        <w:t> </w:t>
      </w:r>
      <w:r>
        <w:rPr>
          <w:spacing w:val="-2"/>
          <w:sz w:val="15"/>
        </w:rPr>
        <w:t>τp.</w:t>
      </w:r>
      <w:r>
        <w:rPr>
          <w:spacing w:val="40"/>
          <w:sz w:val="15"/>
        </w:rPr>
        <w:t> </w:t>
      </w:r>
      <w:r>
        <w:rPr>
          <w:spacing w:val="-4"/>
          <w:sz w:val="15"/>
        </w:rPr>
        <w:t>2024</w:t>
      </w:r>
    </w:p>
    <w:p>
      <w:pPr>
        <w:pStyle w:val="BodyText"/>
        <w:spacing w:before="93"/>
        <w:rPr>
          <w:sz w:val="15"/>
        </w:rPr>
      </w:pPr>
      <w:r>
        <w:rPr/>
        <w:br w:type="column"/>
      </w:r>
      <w:r>
        <w:rPr>
          <w:sz w:val="15"/>
        </w:rPr>
      </w:r>
    </w:p>
    <w:p>
      <w:pPr>
        <w:spacing w:before="0"/>
        <w:ind w:left="271" w:right="0" w:hanging="13"/>
        <w:jc w:val="left"/>
        <w:rPr>
          <w:sz w:val="15"/>
        </w:rPr>
      </w:pPr>
      <w:r>
        <w:rPr>
          <w:spacing w:val="-2"/>
          <w:sz w:val="15"/>
        </w:rPr>
        <w:t>γ´</w:t>
      </w:r>
      <w:r>
        <w:rPr>
          <w:spacing w:val="-8"/>
          <w:sz w:val="15"/>
        </w:rPr>
        <w:t> </w:t>
      </w:r>
      <w:r>
        <w:rPr>
          <w:spacing w:val="-2"/>
          <w:sz w:val="15"/>
        </w:rPr>
        <w:t>τp.</w:t>
      </w:r>
      <w:r>
        <w:rPr>
          <w:spacing w:val="40"/>
          <w:sz w:val="15"/>
        </w:rPr>
        <w:t> </w:t>
      </w:r>
      <w:r>
        <w:rPr>
          <w:spacing w:val="-4"/>
          <w:sz w:val="15"/>
        </w:rPr>
        <w:t>2024</w:t>
      </w:r>
    </w:p>
    <w:p>
      <w:pPr>
        <w:pStyle w:val="BodyText"/>
        <w:spacing w:before="93"/>
        <w:rPr>
          <w:sz w:val="15"/>
        </w:rPr>
      </w:pPr>
      <w:r>
        <w:rPr/>
        <w:br w:type="column"/>
      </w:r>
      <w:r>
        <w:rPr>
          <w:sz w:val="15"/>
        </w:rPr>
      </w:r>
    </w:p>
    <w:p>
      <w:pPr>
        <w:spacing w:before="0"/>
        <w:ind w:left="276" w:right="-5" w:hanging="15"/>
        <w:jc w:val="left"/>
        <w:rPr>
          <w:sz w:val="15"/>
        </w:rPr>
      </w:pPr>
      <w:r>
        <w:rPr>
          <w:spacing w:val="-2"/>
          <w:sz w:val="15"/>
        </w:rPr>
        <w:t>δ´</w:t>
      </w:r>
      <w:r>
        <w:rPr>
          <w:spacing w:val="-8"/>
          <w:sz w:val="15"/>
        </w:rPr>
        <w:t> </w:t>
      </w:r>
      <w:r>
        <w:rPr>
          <w:spacing w:val="-2"/>
          <w:sz w:val="15"/>
        </w:rPr>
        <w:t>τp.</w:t>
      </w:r>
      <w:r>
        <w:rPr>
          <w:spacing w:val="40"/>
          <w:sz w:val="15"/>
        </w:rPr>
        <w:t> </w:t>
      </w:r>
      <w:r>
        <w:rPr>
          <w:spacing w:val="-4"/>
          <w:sz w:val="15"/>
        </w:rPr>
        <w:t>2024</w:t>
      </w:r>
    </w:p>
    <w:p>
      <w:pPr>
        <w:pStyle w:val="BodyText"/>
        <w:spacing w:before="93"/>
        <w:rPr>
          <w:sz w:val="15"/>
        </w:rPr>
      </w:pPr>
      <w:r>
        <w:rPr/>
        <w:br w:type="column"/>
      </w:r>
      <w:r>
        <w:rPr>
          <w:sz w:val="15"/>
        </w:rPr>
      </w:r>
    </w:p>
    <w:p>
      <w:pPr>
        <w:spacing w:before="0"/>
        <w:ind w:left="276" w:right="0" w:hanging="20"/>
        <w:jc w:val="left"/>
        <w:rPr>
          <w:sz w:val="15"/>
        </w:rPr>
      </w:pPr>
      <w:r>
        <w:rPr>
          <w:sz w:val="15"/>
        </w:rPr>
        <w:t>a´</w:t>
      </w:r>
      <w:r>
        <w:rPr>
          <w:spacing w:val="-10"/>
          <w:sz w:val="15"/>
        </w:rPr>
        <w:t> </w:t>
      </w:r>
      <w:r>
        <w:rPr>
          <w:sz w:val="15"/>
        </w:rPr>
        <w:t>τp.</w:t>
      </w:r>
      <w:r>
        <w:rPr>
          <w:spacing w:val="40"/>
          <w:sz w:val="15"/>
        </w:rPr>
        <w:t> </w:t>
      </w:r>
      <w:r>
        <w:rPr>
          <w:spacing w:val="-4"/>
          <w:sz w:val="15"/>
        </w:rPr>
        <w:t>2025</w:t>
      </w:r>
    </w:p>
    <w:p>
      <w:pPr>
        <w:pStyle w:val="BodyText"/>
        <w:spacing w:before="93"/>
        <w:rPr>
          <w:sz w:val="15"/>
        </w:rPr>
      </w:pPr>
      <w:r>
        <w:rPr/>
        <w:br w:type="column"/>
      </w:r>
      <w:r>
        <w:rPr>
          <w:sz w:val="15"/>
        </w:rPr>
      </w:r>
    </w:p>
    <w:p>
      <w:pPr>
        <w:spacing w:before="0"/>
        <w:ind w:left="269" w:right="-4" w:hanging="18"/>
        <w:jc w:val="left"/>
        <w:rPr>
          <w:sz w:val="15"/>
        </w:rPr>
      </w:pPr>
      <w:r>
        <w:rPr>
          <w:spacing w:val="-2"/>
          <w:sz w:val="15"/>
        </w:rPr>
        <w:t>β´</w:t>
      </w:r>
      <w:r>
        <w:rPr>
          <w:spacing w:val="-8"/>
          <w:sz w:val="15"/>
        </w:rPr>
        <w:t> </w:t>
      </w:r>
      <w:r>
        <w:rPr>
          <w:spacing w:val="-2"/>
          <w:sz w:val="15"/>
        </w:rPr>
        <w:t>τp.</w:t>
      </w:r>
      <w:r>
        <w:rPr>
          <w:spacing w:val="40"/>
          <w:sz w:val="15"/>
        </w:rPr>
        <w:t> </w:t>
      </w:r>
      <w:r>
        <w:rPr>
          <w:spacing w:val="-4"/>
          <w:sz w:val="15"/>
        </w:rPr>
        <w:t>2025</w:t>
      </w:r>
    </w:p>
    <w:p>
      <w:pPr>
        <w:pStyle w:val="BodyText"/>
        <w:spacing w:before="93"/>
        <w:rPr>
          <w:sz w:val="15"/>
        </w:rPr>
      </w:pPr>
      <w:r>
        <w:rPr/>
        <w:br w:type="column"/>
      </w:r>
      <w:r>
        <w:rPr>
          <w:sz w:val="15"/>
        </w:rPr>
      </w:r>
    </w:p>
    <w:p>
      <w:pPr>
        <w:spacing w:before="0"/>
        <w:ind w:left="271" w:right="-6" w:hanging="13"/>
        <w:jc w:val="left"/>
        <w:rPr>
          <w:sz w:val="15"/>
        </w:rPr>
      </w:pPr>
      <w:r>
        <w:rPr>
          <w:spacing w:val="-2"/>
          <w:sz w:val="15"/>
        </w:rPr>
        <w:t>γ´</w:t>
      </w:r>
      <w:r>
        <w:rPr>
          <w:spacing w:val="-8"/>
          <w:sz w:val="15"/>
        </w:rPr>
        <w:t> </w:t>
      </w:r>
      <w:r>
        <w:rPr>
          <w:spacing w:val="-2"/>
          <w:sz w:val="15"/>
        </w:rPr>
        <w:t>τp.</w:t>
      </w:r>
      <w:r>
        <w:rPr>
          <w:spacing w:val="40"/>
          <w:sz w:val="15"/>
        </w:rPr>
        <w:t> </w:t>
      </w:r>
      <w:r>
        <w:rPr>
          <w:spacing w:val="-4"/>
          <w:sz w:val="15"/>
        </w:rPr>
        <w:t>2025</w:t>
      </w:r>
    </w:p>
    <w:p>
      <w:pPr>
        <w:pStyle w:val="BodyText"/>
        <w:spacing w:before="93"/>
        <w:rPr>
          <w:sz w:val="15"/>
        </w:rPr>
      </w:pPr>
      <w:r>
        <w:rPr/>
        <w:br w:type="column"/>
      </w:r>
      <w:r>
        <w:rPr>
          <w:sz w:val="15"/>
        </w:rPr>
      </w:r>
    </w:p>
    <w:p>
      <w:pPr>
        <w:spacing w:before="0"/>
        <w:ind w:left="279" w:right="1475" w:hanging="18"/>
        <w:jc w:val="left"/>
        <w:rPr>
          <w:sz w:val="15"/>
        </w:rPr>
      </w:pPr>
      <w:r>
        <w:rPr>
          <w:sz w:val="15"/>
        </w:rPr>
        <w:t>δ´</w:t>
      </w:r>
      <w:r>
        <w:rPr>
          <w:spacing w:val="-10"/>
          <w:sz w:val="15"/>
        </w:rPr>
        <w:t> </w:t>
      </w:r>
      <w:r>
        <w:rPr>
          <w:sz w:val="15"/>
        </w:rPr>
        <w:t>τp.</w:t>
      </w:r>
      <w:r>
        <w:rPr>
          <w:spacing w:val="40"/>
          <w:sz w:val="15"/>
        </w:rPr>
        <w:t> </w:t>
      </w:r>
      <w:r>
        <w:rPr>
          <w:spacing w:val="-4"/>
          <w:sz w:val="15"/>
        </w:rPr>
        <w:t>2025</w:t>
      </w:r>
    </w:p>
    <w:p>
      <w:pPr>
        <w:spacing w:after="0"/>
        <w:jc w:val="left"/>
        <w:rPr>
          <w:sz w:val="15"/>
        </w:rPr>
        <w:sectPr>
          <w:type w:val="continuous"/>
          <w:pgSz w:w="11910" w:h="16850"/>
          <w:pgMar w:header="0" w:footer="1108" w:top="1320" w:bottom="280" w:left="1417" w:right="850"/>
          <w:cols w:num="12" w:equalWidth="0">
            <w:col w:w="1264" w:space="40"/>
            <w:col w:w="589" w:space="39"/>
            <w:col w:w="581" w:space="39"/>
            <w:col w:w="591" w:space="40"/>
            <w:col w:w="591" w:space="40"/>
            <w:col w:w="586" w:space="39"/>
            <w:col w:w="584" w:space="40"/>
            <w:col w:w="589" w:space="39"/>
            <w:col w:w="594" w:space="40"/>
            <w:col w:w="586" w:space="39"/>
            <w:col w:w="581" w:space="40"/>
            <w:col w:w="2072"/>
          </w:cols>
        </w:sectPr>
      </w:pPr>
    </w:p>
    <w:p>
      <w:pPr>
        <w:tabs>
          <w:tab w:pos="3464" w:val="left" w:leader="none"/>
          <w:tab w:pos="5393" w:val="left" w:leader="none"/>
        </w:tabs>
        <w:spacing w:before="149"/>
        <w:ind w:left="2368" w:right="0" w:firstLine="0"/>
        <w:jc w:val="left"/>
        <w:rPr>
          <w:sz w:val="15"/>
        </w:rPr>
      </w:pPr>
      <w:r>
        <w:rPr>
          <w:sz w:val="15"/>
        </w:rPr>
        <mc:AlternateContent>
          <mc:Choice Requires="wps">
            <w:drawing>
              <wp:anchor distT="0" distB="0" distL="0" distR="0" allowOverlap="1" layoutInCell="1" locked="0" behindDoc="1" simplePos="0" relativeHeight="482658304">
                <wp:simplePos x="0" y="0"/>
                <wp:positionH relativeFrom="page">
                  <wp:posOffset>961948</wp:posOffset>
                </wp:positionH>
                <wp:positionV relativeFrom="page">
                  <wp:posOffset>1188973</wp:posOffset>
                </wp:positionV>
                <wp:extent cx="5495290" cy="843661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5495290" cy="8436610"/>
                          <a:chExt cx="5495290" cy="8436610"/>
                        </a:xfrm>
                      </wpg:grpSpPr>
                      <wps:wsp>
                        <wps:cNvPr id="101" name="Graphic 101"/>
                        <wps:cNvSpPr/>
                        <wps:spPr>
                          <a:xfrm>
                            <a:off x="6095" y="6172"/>
                            <a:ext cx="5483225" cy="8424545"/>
                          </a:xfrm>
                          <a:custGeom>
                            <a:avLst/>
                            <a:gdLst/>
                            <a:ahLst/>
                            <a:cxnLst/>
                            <a:rect l="l" t="t" r="r" b="b"/>
                            <a:pathLst>
                              <a:path w="5483225" h="8424545">
                                <a:moveTo>
                                  <a:pt x="5482717" y="0"/>
                                </a:moveTo>
                                <a:lnTo>
                                  <a:pt x="0" y="0"/>
                                </a:lnTo>
                                <a:lnTo>
                                  <a:pt x="0" y="8424037"/>
                                </a:lnTo>
                                <a:lnTo>
                                  <a:pt x="5482717" y="8424037"/>
                                </a:lnTo>
                                <a:lnTo>
                                  <a:pt x="5482717" y="0"/>
                                </a:lnTo>
                                <a:close/>
                              </a:path>
                            </a:pathLst>
                          </a:custGeom>
                          <a:solidFill>
                            <a:srgbClr val="D9D9D9"/>
                          </a:solidFill>
                        </wps:spPr>
                        <wps:bodyPr wrap="square" lIns="0" tIns="0" rIns="0" bIns="0" rtlCol="0">
                          <a:prstTxWarp prst="textNoShape">
                            <a:avLst/>
                          </a:prstTxWarp>
                          <a:noAutofit/>
                        </wps:bodyPr>
                      </wps:wsp>
                      <wps:wsp>
                        <wps:cNvPr id="102" name="Graphic 102"/>
                        <wps:cNvSpPr/>
                        <wps:spPr>
                          <a:xfrm>
                            <a:off x="0" y="0"/>
                            <a:ext cx="5495290" cy="8436610"/>
                          </a:xfrm>
                          <a:custGeom>
                            <a:avLst/>
                            <a:gdLst/>
                            <a:ahLst/>
                            <a:cxnLst/>
                            <a:rect l="l" t="t" r="r" b="b"/>
                            <a:pathLst>
                              <a:path w="5495290" h="8436610">
                                <a:moveTo>
                                  <a:pt x="6096" y="6172"/>
                                </a:moveTo>
                                <a:lnTo>
                                  <a:pt x="0" y="6172"/>
                                </a:lnTo>
                                <a:lnTo>
                                  <a:pt x="0" y="8430209"/>
                                </a:lnTo>
                                <a:lnTo>
                                  <a:pt x="6096" y="8430209"/>
                                </a:lnTo>
                                <a:lnTo>
                                  <a:pt x="6096" y="6172"/>
                                </a:lnTo>
                                <a:close/>
                              </a:path>
                              <a:path w="5495290" h="8436610">
                                <a:moveTo>
                                  <a:pt x="77724" y="1199515"/>
                                </a:moveTo>
                                <a:lnTo>
                                  <a:pt x="71628" y="1199515"/>
                                </a:lnTo>
                                <a:lnTo>
                                  <a:pt x="71628" y="4282770"/>
                                </a:lnTo>
                                <a:lnTo>
                                  <a:pt x="71628" y="4499483"/>
                                </a:lnTo>
                                <a:lnTo>
                                  <a:pt x="77724" y="4499483"/>
                                </a:lnTo>
                                <a:lnTo>
                                  <a:pt x="77724" y="4282821"/>
                                </a:lnTo>
                                <a:lnTo>
                                  <a:pt x="77724" y="1199515"/>
                                </a:lnTo>
                                <a:close/>
                              </a:path>
                              <a:path w="5495290" h="8436610">
                                <a:moveTo>
                                  <a:pt x="5380609" y="4499495"/>
                                </a:moveTo>
                                <a:lnTo>
                                  <a:pt x="77724" y="4499495"/>
                                </a:lnTo>
                                <a:lnTo>
                                  <a:pt x="71628" y="4499495"/>
                                </a:lnTo>
                                <a:lnTo>
                                  <a:pt x="71628" y="4505579"/>
                                </a:lnTo>
                                <a:lnTo>
                                  <a:pt x="77724" y="4505579"/>
                                </a:lnTo>
                                <a:lnTo>
                                  <a:pt x="5380609" y="4505579"/>
                                </a:lnTo>
                                <a:lnTo>
                                  <a:pt x="5380609" y="4499495"/>
                                </a:lnTo>
                                <a:close/>
                              </a:path>
                              <a:path w="5495290" h="8436610">
                                <a:moveTo>
                                  <a:pt x="5380609" y="615696"/>
                                </a:moveTo>
                                <a:lnTo>
                                  <a:pt x="77724" y="615696"/>
                                </a:lnTo>
                                <a:lnTo>
                                  <a:pt x="71628" y="615696"/>
                                </a:lnTo>
                                <a:lnTo>
                                  <a:pt x="71628" y="621792"/>
                                </a:lnTo>
                                <a:lnTo>
                                  <a:pt x="71628" y="982980"/>
                                </a:lnTo>
                                <a:lnTo>
                                  <a:pt x="71628" y="1199388"/>
                                </a:lnTo>
                                <a:lnTo>
                                  <a:pt x="77724" y="1199388"/>
                                </a:lnTo>
                                <a:lnTo>
                                  <a:pt x="77724" y="982980"/>
                                </a:lnTo>
                                <a:lnTo>
                                  <a:pt x="77724" y="621792"/>
                                </a:lnTo>
                                <a:lnTo>
                                  <a:pt x="5380609" y="621792"/>
                                </a:lnTo>
                                <a:lnTo>
                                  <a:pt x="5380609" y="615696"/>
                                </a:lnTo>
                                <a:close/>
                              </a:path>
                              <a:path w="5495290" h="8436610">
                                <a:moveTo>
                                  <a:pt x="5386768" y="4499495"/>
                                </a:moveTo>
                                <a:lnTo>
                                  <a:pt x="5380685" y="4499495"/>
                                </a:lnTo>
                                <a:lnTo>
                                  <a:pt x="5380685" y="4505579"/>
                                </a:lnTo>
                                <a:lnTo>
                                  <a:pt x="5386768" y="4505579"/>
                                </a:lnTo>
                                <a:lnTo>
                                  <a:pt x="5386768" y="4499495"/>
                                </a:lnTo>
                                <a:close/>
                              </a:path>
                              <a:path w="5495290" h="8436610">
                                <a:moveTo>
                                  <a:pt x="5386768" y="1199515"/>
                                </a:moveTo>
                                <a:lnTo>
                                  <a:pt x="5380685" y="1199515"/>
                                </a:lnTo>
                                <a:lnTo>
                                  <a:pt x="5380685" y="4282770"/>
                                </a:lnTo>
                                <a:lnTo>
                                  <a:pt x="5380685" y="4499483"/>
                                </a:lnTo>
                                <a:lnTo>
                                  <a:pt x="5386768" y="4499483"/>
                                </a:lnTo>
                                <a:lnTo>
                                  <a:pt x="5386768" y="4282821"/>
                                </a:lnTo>
                                <a:lnTo>
                                  <a:pt x="5386768" y="1199515"/>
                                </a:lnTo>
                                <a:close/>
                              </a:path>
                              <a:path w="5495290" h="8436610">
                                <a:moveTo>
                                  <a:pt x="5386768" y="615696"/>
                                </a:moveTo>
                                <a:lnTo>
                                  <a:pt x="5380685" y="615696"/>
                                </a:lnTo>
                                <a:lnTo>
                                  <a:pt x="5380685" y="621792"/>
                                </a:lnTo>
                                <a:lnTo>
                                  <a:pt x="5380685" y="982980"/>
                                </a:lnTo>
                                <a:lnTo>
                                  <a:pt x="5380685" y="1199388"/>
                                </a:lnTo>
                                <a:lnTo>
                                  <a:pt x="5386768" y="1199388"/>
                                </a:lnTo>
                                <a:lnTo>
                                  <a:pt x="5386768" y="982980"/>
                                </a:lnTo>
                                <a:lnTo>
                                  <a:pt x="5386768" y="621792"/>
                                </a:lnTo>
                                <a:lnTo>
                                  <a:pt x="5386768" y="615696"/>
                                </a:lnTo>
                                <a:close/>
                              </a:path>
                              <a:path w="5495290" h="8436610">
                                <a:moveTo>
                                  <a:pt x="5488800" y="8430222"/>
                                </a:moveTo>
                                <a:lnTo>
                                  <a:pt x="6096" y="8430222"/>
                                </a:lnTo>
                                <a:lnTo>
                                  <a:pt x="0" y="8430222"/>
                                </a:lnTo>
                                <a:lnTo>
                                  <a:pt x="0" y="8436305"/>
                                </a:lnTo>
                                <a:lnTo>
                                  <a:pt x="6096" y="8436305"/>
                                </a:lnTo>
                                <a:lnTo>
                                  <a:pt x="5488800" y="8436305"/>
                                </a:lnTo>
                                <a:lnTo>
                                  <a:pt x="5488800" y="8430222"/>
                                </a:lnTo>
                                <a:close/>
                              </a:path>
                              <a:path w="5495290" h="8436610">
                                <a:moveTo>
                                  <a:pt x="5488800" y="0"/>
                                </a:moveTo>
                                <a:lnTo>
                                  <a:pt x="6096" y="0"/>
                                </a:lnTo>
                                <a:lnTo>
                                  <a:pt x="0" y="0"/>
                                </a:lnTo>
                                <a:lnTo>
                                  <a:pt x="0" y="6096"/>
                                </a:lnTo>
                                <a:lnTo>
                                  <a:pt x="6096" y="6096"/>
                                </a:lnTo>
                                <a:lnTo>
                                  <a:pt x="5488800" y="6096"/>
                                </a:lnTo>
                                <a:lnTo>
                                  <a:pt x="5488800" y="0"/>
                                </a:lnTo>
                                <a:close/>
                              </a:path>
                              <a:path w="5495290" h="8436610">
                                <a:moveTo>
                                  <a:pt x="5494985" y="8430222"/>
                                </a:moveTo>
                                <a:lnTo>
                                  <a:pt x="5488889" y="8430222"/>
                                </a:lnTo>
                                <a:lnTo>
                                  <a:pt x="5488889" y="8436305"/>
                                </a:lnTo>
                                <a:lnTo>
                                  <a:pt x="5494985" y="8436305"/>
                                </a:lnTo>
                                <a:lnTo>
                                  <a:pt x="5494985" y="8430222"/>
                                </a:lnTo>
                                <a:close/>
                              </a:path>
                              <a:path w="5495290" h="8436610">
                                <a:moveTo>
                                  <a:pt x="5494985" y="6172"/>
                                </a:moveTo>
                                <a:lnTo>
                                  <a:pt x="5488889" y="6172"/>
                                </a:lnTo>
                                <a:lnTo>
                                  <a:pt x="5488889" y="8430209"/>
                                </a:lnTo>
                                <a:lnTo>
                                  <a:pt x="5494985" y="8430209"/>
                                </a:lnTo>
                                <a:lnTo>
                                  <a:pt x="5494985" y="6172"/>
                                </a:lnTo>
                                <a:close/>
                              </a:path>
                              <a:path w="5495290" h="8436610">
                                <a:moveTo>
                                  <a:pt x="5494985" y="0"/>
                                </a:moveTo>
                                <a:lnTo>
                                  <a:pt x="5488889" y="0"/>
                                </a:lnTo>
                                <a:lnTo>
                                  <a:pt x="5488889" y="6096"/>
                                </a:lnTo>
                                <a:lnTo>
                                  <a:pt x="5494985" y="6096"/>
                                </a:lnTo>
                                <a:lnTo>
                                  <a:pt x="5494985"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435479" y="3412435"/>
                            <a:ext cx="4775200" cy="1270"/>
                          </a:xfrm>
                          <a:custGeom>
                            <a:avLst/>
                            <a:gdLst/>
                            <a:ahLst/>
                            <a:cxnLst/>
                            <a:rect l="l" t="t" r="r" b="b"/>
                            <a:pathLst>
                              <a:path w="4775200" h="0">
                                <a:moveTo>
                                  <a:pt x="0" y="0"/>
                                </a:moveTo>
                                <a:lnTo>
                                  <a:pt x="15706" y="0"/>
                                </a:lnTo>
                              </a:path>
                              <a:path w="4775200" h="0">
                                <a:moveTo>
                                  <a:pt x="376932" y="0"/>
                                </a:moveTo>
                                <a:lnTo>
                                  <a:pt x="416197" y="0"/>
                                </a:lnTo>
                              </a:path>
                              <a:path w="4775200" h="0">
                                <a:moveTo>
                                  <a:pt x="777436" y="0"/>
                                </a:moveTo>
                                <a:lnTo>
                                  <a:pt x="816701" y="0"/>
                                </a:lnTo>
                              </a:path>
                              <a:path w="4775200" h="0">
                                <a:moveTo>
                                  <a:pt x="1177940" y="0"/>
                                </a:moveTo>
                                <a:lnTo>
                                  <a:pt x="1209353" y="0"/>
                                </a:lnTo>
                              </a:path>
                              <a:path w="4775200" h="0">
                                <a:moveTo>
                                  <a:pt x="1570592" y="0"/>
                                </a:moveTo>
                                <a:lnTo>
                                  <a:pt x="1609857" y="0"/>
                                </a:lnTo>
                              </a:path>
                              <a:path w="4775200" h="0">
                                <a:moveTo>
                                  <a:pt x="1971096" y="0"/>
                                </a:moveTo>
                                <a:lnTo>
                                  <a:pt x="2010361" y="0"/>
                                </a:lnTo>
                              </a:path>
                              <a:path w="4775200" h="0">
                                <a:moveTo>
                                  <a:pt x="2371601" y="0"/>
                                </a:moveTo>
                                <a:lnTo>
                                  <a:pt x="2403013" y="0"/>
                                </a:lnTo>
                              </a:path>
                              <a:path w="4775200" h="0">
                                <a:moveTo>
                                  <a:pt x="2764252" y="0"/>
                                </a:moveTo>
                                <a:lnTo>
                                  <a:pt x="2803517" y="0"/>
                                </a:lnTo>
                              </a:path>
                              <a:path w="4775200" h="0">
                                <a:moveTo>
                                  <a:pt x="3164756" y="0"/>
                                </a:moveTo>
                                <a:lnTo>
                                  <a:pt x="3204021" y="0"/>
                                </a:lnTo>
                              </a:path>
                              <a:path w="4775200" h="0">
                                <a:moveTo>
                                  <a:pt x="3565261" y="0"/>
                                </a:moveTo>
                                <a:lnTo>
                                  <a:pt x="3596673" y="0"/>
                                </a:lnTo>
                              </a:path>
                              <a:path w="4775200" h="0">
                                <a:moveTo>
                                  <a:pt x="3957912" y="0"/>
                                </a:moveTo>
                                <a:lnTo>
                                  <a:pt x="3997177" y="0"/>
                                </a:lnTo>
                              </a:path>
                              <a:path w="4775200" h="0">
                                <a:moveTo>
                                  <a:pt x="4358416" y="0"/>
                                </a:moveTo>
                                <a:lnTo>
                                  <a:pt x="4397682" y="0"/>
                                </a:lnTo>
                              </a:path>
                              <a:path w="4775200" h="0">
                                <a:moveTo>
                                  <a:pt x="4758921" y="0"/>
                                </a:moveTo>
                                <a:lnTo>
                                  <a:pt x="4774627" y="0"/>
                                </a:lnTo>
                              </a:path>
                            </a:pathLst>
                          </a:custGeom>
                          <a:ln w="9152">
                            <a:solidFill>
                              <a:srgbClr val="FFFFFF"/>
                            </a:solidFill>
                            <a:prstDash val="solid"/>
                          </a:ln>
                        </wps:spPr>
                        <wps:bodyPr wrap="square" lIns="0" tIns="0" rIns="0" bIns="0" rtlCol="0">
                          <a:prstTxWarp prst="textNoShape">
                            <a:avLst/>
                          </a:prstTxWarp>
                          <a:noAutofit/>
                        </wps:bodyPr>
                      </wps:wsp>
                      <wps:wsp>
                        <wps:cNvPr id="104" name="Graphic 104"/>
                        <wps:cNvSpPr/>
                        <wps:spPr>
                          <a:xfrm>
                            <a:off x="435479" y="3114321"/>
                            <a:ext cx="4775200" cy="1270"/>
                          </a:xfrm>
                          <a:custGeom>
                            <a:avLst/>
                            <a:gdLst/>
                            <a:ahLst/>
                            <a:cxnLst/>
                            <a:rect l="l" t="t" r="r" b="b"/>
                            <a:pathLst>
                              <a:path w="4775200" h="0">
                                <a:moveTo>
                                  <a:pt x="0" y="0"/>
                                </a:moveTo>
                                <a:lnTo>
                                  <a:pt x="15706" y="0"/>
                                </a:lnTo>
                              </a:path>
                              <a:path w="4775200" h="0">
                                <a:moveTo>
                                  <a:pt x="376932" y="0"/>
                                </a:moveTo>
                                <a:lnTo>
                                  <a:pt x="416197" y="0"/>
                                </a:lnTo>
                              </a:path>
                              <a:path w="4775200" h="0">
                                <a:moveTo>
                                  <a:pt x="777436" y="0"/>
                                </a:moveTo>
                                <a:lnTo>
                                  <a:pt x="816701" y="0"/>
                                </a:lnTo>
                              </a:path>
                              <a:path w="4775200" h="0">
                                <a:moveTo>
                                  <a:pt x="1177940" y="0"/>
                                </a:moveTo>
                                <a:lnTo>
                                  <a:pt x="1209353" y="0"/>
                                </a:lnTo>
                              </a:path>
                              <a:path w="4775200" h="0">
                                <a:moveTo>
                                  <a:pt x="1570592" y="0"/>
                                </a:moveTo>
                                <a:lnTo>
                                  <a:pt x="1609857" y="0"/>
                                </a:lnTo>
                              </a:path>
                              <a:path w="4775200" h="0">
                                <a:moveTo>
                                  <a:pt x="1971096" y="0"/>
                                </a:moveTo>
                                <a:lnTo>
                                  <a:pt x="2010361" y="0"/>
                                </a:lnTo>
                              </a:path>
                              <a:path w="4775200" h="0">
                                <a:moveTo>
                                  <a:pt x="2371601" y="0"/>
                                </a:moveTo>
                                <a:lnTo>
                                  <a:pt x="2403013" y="0"/>
                                </a:lnTo>
                              </a:path>
                              <a:path w="4775200" h="0">
                                <a:moveTo>
                                  <a:pt x="2764252" y="0"/>
                                </a:moveTo>
                                <a:lnTo>
                                  <a:pt x="2803517" y="0"/>
                                </a:lnTo>
                              </a:path>
                              <a:path w="4775200" h="0">
                                <a:moveTo>
                                  <a:pt x="3164756" y="0"/>
                                </a:moveTo>
                                <a:lnTo>
                                  <a:pt x="3204021" y="0"/>
                                </a:lnTo>
                              </a:path>
                              <a:path w="4775200" h="0">
                                <a:moveTo>
                                  <a:pt x="3565261" y="0"/>
                                </a:moveTo>
                                <a:lnTo>
                                  <a:pt x="3997177" y="0"/>
                                </a:lnTo>
                              </a:path>
                              <a:path w="4775200" h="0">
                                <a:moveTo>
                                  <a:pt x="4358416" y="0"/>
                                </a:moveTo>
                                <a:lnTo>
                                  <a:pt x="4397682" y="0"/>
                                </a:lnTo>
                              </a:path>
                              <a:path w="4775200" h="0">
                                <a:moveTo>
                                  <a:pt x="4758921" y="0"/>
                                </a:moveTo>
                                <a:lnTo>
                                  <a:pt x="4774627" y="0"/>
                                </a:lnTo>
                              </a:path>
                            </a:pathLst>
                          </a:custGeom>
                          <a:ln w="9152">
                            <a:solidFill>
                              <a:srgbClr val="FFFFFF"/>
                            </a:solidFill>
                            <a:prstDash val="solid"/>
                          </a:ln>
                        </wps:spPr>
                        <wps:bodyPr wrap="square" lIns="0" tIns="0" rIns="0" bIns="0" rtlCol="0">
                          <a:prstTxWarp prst="textNoShape">
                            <a:avLst/>
                          </a:prstTxWarp>
                          <a:noAutofit/>
                        </wps:bodyPr>
                      </wps:wsp>
                      <wps:wsp>
                        <wps:cNvPr id="105" name="Graphic 105"/>
                        <wps:cNvSpPr/>
                        <wps:spPr>
                          <a:xfrm>
                            <a:off x="435479" y="2816208"/>
                            <a:ext cx="4775200" cy="1270"/>
                          </a:xfrm>
                          <a:custGeom>
                            <a:avLst/>
                            <a:gdLst/>
                            <a:ahLst/>
                            <a:cxnLst/>
                            <a:rect l="l" t="t" r="r" b="b"/>
                            <a:pathLst>
                              <a:path w="4775200" h="0">
                                <a:moveTo>
                                  <a:pt x="0" y="0"/>
                                </a:moveTo>
                                <a:lnTo>
                                  <a:pt x="2010361" y="0"/>
                                </a:lnTo>
                              </a:path>
                              <a:path w="4775200" h="0">
                                <a:moveTo>
                                  <a:pt x="2371601" y="0"/>
                                </a:moveTo>
                                <a:lnTo>
                                  <a:pt x="2403013" y="0"/>
                                </a:lnTo>
                              </a:path>
                              <a:path w="4775200" h="0">
                                <a:moveTo>
                                  <a:pt x="2764252" y="0"/>
                                </a:moveTo>
                                <a:lnTo>
                                  <a:pt x="2803517" y="0"/>
                                </a:lnTo>
                              </a:path>
                              <a:path w="4775200" h="0">
                                <a:moveTo>
                                  <a:pt x="3164756" y="0"/>
                                </a:moveTo>
                                <a:lnTo>
                                  <a:pt x="3204021" y="0"/>
                                </a:lnTo>
                              </a:path>
                              <a:path w="4775200" h="0">
                                <a:moveTo>
                                  <a:pt x="3565261" y="0"/>
                                </a:moveTo>
                                <a:lnTo>
                                  <a:pt x="3596673" y="0"/>
                                </a:lnTo>
                              </a:path>
                              <a:path w="4775200" h="0">
                                <a:moveTo>
                                  <a:pt x="3957912" y="0"/>
                                </a:moveTo>
                                <a:lnTo>
                                  <a:pt x="4397682" y="0"/>
                                </a:lnTo>
                              </a:path>
                              <a:path w="4775200" h="0">
                                <a:moveTo>
                                  <a:pt x="4758921" y="0"/>
                                </a:moveTo>
                                <a:lnTo>
                                  <a:pt x="4774627" y="0"/>
                                </a:lnTo>
                              </a:path>
                            </a:pathLst>
                          </a:custGeom>
                          <a:ln w="9152">
                            <a:solidFill>
                              <a:srgbClr val="FFFFFF"/>
                            </a:solidFill>
                            <a:prstDash val="solid"/>
                          </a:ln>
                        </wps:spPr>
                        <wps:bodyPr wrap="square" lIns="0" tIns="0" rIns="0" bIns="0" rtlCol="0">
                          <a:prstTxWarp prst="textNoShape">
                            <a:avLst/>
                          </a:prstTxWarp>
                          <a:noAutofit/>
                        </wps:bodyPr>
                      </wps:wsp>
                      <wps:wsp>
                        <wps:cNvPr id="106" name="Graphic 106"/>
                        <wps:cNvSpPr/>
                        <wps:spPr>
                          <a:xfrm>
                            <a:off x="435479" y="2518095"/>
                            <a:ext cx="4398010" cy="1270"/>
                          </a:xfrm>
                          <a:custGeom>
                            <a:avLst/>
                            <a:gdLst/>
                            <a:ahLst/>
                            <a:cxnLst/>
                            <a:rect l="l" t="t" r="r" b="b"/>
                            <a:pathLst>
                              <a:path w="4398010" h="0">
                                <a:moveTo>
                                  <a:pt x="0" y="0"/>
                                </a:moveTo>
                                <a:lnTo>
                                  <a:pt x="2803517" y="0"/>
                                </a:lnTo>
                              </a:path>
                              <a:path w="4398010" h="0">
                                <a:moveTo>
                                  <a:pt x="3164756" y="0"/>
                                </a:moveTo>
                                <a:lnTo>
                                  <a:pt x="3596673" y="0"/>
                                </a:lnTo>
                              </a:path>
                              <a:path w="4398010" h="0">
                                <a:moveTo>
                                  <a:pt x="3957912" y="0"/>
                                </a:moveTo>
                                <a:lnTo>
                                  <a:pt x="4397682" y="0"/>
                                </a:lnTo>
                              </a:path>
                            </a:pathLst>
                          </a:custGeom>
                          <a:ln w="9152">
                            <a:solidFill>
                              <a:srgbClr val="FFFFFF"/>
                            </a:solidFill>
                            <a:prstDash val="solid"/>
                          </a:ln>
                        </wps:spPr>
                        <wps:bodyPr wrap="square" lIns="0" tIns="0" rIns="0" bIns="0" rtlCol="0">
                          <a:prstTxWarp prst="textNoShape">
                            <a:avLst/>
                          </a:prstTxWarp>
                          <a:noAutofit/>
                        </wps:bodyPr>
                      </wps:wsp>
                      <wps:wsp>
                        <wps:cNvPr id="107" name="Graphic 107"/>
                        <wps:cNvSpPr/>
                        <wps:spPr>
                          <a:xfrm>
                            <a:off x="5194401" y="2518095"/>
                            <a:ext cx="15875" cy="1270"/>
                          </a:xfrm>
                          <a:custGeom>
                            <a:avLst/>
                            <a:gdLst/>
                            <a:ahLst/>
                            <a:cxnLst/>
                            <a:rect l="l" t="t" r="r" b="b"/>
                            <a:pathLst>
                              <a:path w="15875" h="0">
                                <a:moveTo>
                                  <a:pt x="0" y="0"/>
                                </a:moveTo>
                                <a:lnTo>
                                  <a:pt x="15706" y="0"/>
                                </a:lnTo>
                              </a:path>
                            </a:pathLst>
                          </a:custGeom>
                          <a:ln w="9152">
                            <a:solidFill>
                              <a:srgbClr val="FFFFFF"/>
                            </a:solidFill>
                            <a:prstDash val="solid"/>
                          </a:ln>
                        </wps:spPr>
                        <wps:bodyPr wrap="square" lIns="0" tIns="0" rIns="0" bIns="0" rtlCol="0">
                          <a:prstTxWarp prst="textNoShape">
                            <a:avLst/>
                          </a:prstTxWarp>
                          <a:noAutofit/>
                        </wps:bodyPr>
                      </wps:wsp>
                      <wps:wsp>
                        <wps:cNvPr id="108" name="Graphic 108"/>
                        <wps:cNvSpPr/>
                        <wps:spPr>
                          <a:xfrm>
                            <a:off x="435479" y="1921868"/>
                            <a:ext cx="4775200" cy="298450"/>
                          </a:xfrm>
                          <a:custGeom>
                            <a:avLst/>
                            <a:gdLst/>
                            <a:ahLst/>
                            <a:cxnLst/>
                            <a:rect l="l" t="t" r="r" b="b"/>
                            <a:pathLst>
                              <a:path w="4775200" h="298450">
                                <a:moveTo>
                                  <a:pt x="0" y="298113"/>
                                </a:moveTo>
                                <a:lnTo>
                                  <a:pt x="4774627" y="298113"/>
                                </a:lnTo>
                              </a:path>
                              <a:path w="4775200" h="298450">
                                <a:moveTo>
                                  <a:pt x="0" y="0"/>
                                </a:moveTo>
                                <a:lnTo>
                                  <a:pt x="4774627" y="0"/>
                                </a:lnTo>
                              </a:path>
                            </a:pathLst>
                          </a:custGeom>
                          <a:ln w="9157">
                            <a:solidFill>
                              <a:srgbClr val="FFFFFF"/>
                            </a:solidFill>
                            <a:prstDash val="solid"/>
                          </a:ln>
                        </wps:spPr>
                        <wps:bodyPr wrap="square" lIns="0" tIns="0" rIns="0" bIns="0" rtlCol="0">
                          <a:prstTxWarp prst="textNoShape">
                            <a:avLst/>
                          </a:prstTxWarp>
                          <a:noAutofit/>
                        </wps:bodyPr>
                      </wps:wsp>
                      <wps:wsp>
                        <wps:cNvPr id="109" name="Graphic 109"/>
                        <wps:cNvSpPr/>
                        <wps:spPr>
                          <a:xfrm>
                            <a:off x="435479" y="1623755"/>
                            <a:ext cx="4775200" cy="1270"/>
                          </a:xfrm>
                          <a:custGeom>
                            <a:avLst/>
                            <a:gdLst/>
                            <a:ahLst/>
                            <a:cxnLst/>
                            <a:rect l="l" t="t" r="r" b="b"/>
                            <a:pathLst>
                              <a:path w="4775200" h="0">
                                <a:moveTo>
                                  <a:pt x="0" y="0"/>
                                </a:moveTo>
                                <a:lnTo>
                                  <a:pt x="4397682" y="0"/>
                                </a:lnTo>
                              </a:path>
                              <a:path w="4775200" h="0">
                                <a:moveTo>
                                  <a:pt x="4758921" y="0"/>
                                </a:moveTo>
                                <a:lnTo>
                                  <a:pt x="4774627" y="0"/>
                                </a:lnTo>
                              </a:path>
                            </a:pathLst>
                          </a:custGeom>
                          <a:ln w="9152">
                            <a:solidFill>
                              <a:srgbClr val="FFFFFF"/>
                            </a:solidFill>
                            <a:prstDash val="solid"/>
                          </a:ln>
                        </wps:spPr>
                        <wps:bodyPr wrap="square" lIns="0" tIns="0" rIns="0" bIns="0" rtlCol="0">
                          <a:prstTxWarp prst="textNoShape">
                            <a:avLst/>
                          </a:prstTxWarp>
                          <a:noAutofit/>
                        </wps:bodyPr>
                      </wps:wsp>
                      <wps:wsp>
                        <wps:cNvPr id="110" name="Graphic 110"/>
                        <wps:cNvSpPr/>
                        <wps:spPr>
                          <a:xfrm>
                            <a:off x="435479" y="1325641"/>
                            <a:ext cx="4775200" cy="1270"/>
                          </a:xfrm>
                          <a:custGeom>
                            <a:avLst/>
                            <a:gdLst/>
                            <a:ahLst/>
                            <a:cxnLst/>
                            <a:rect l="l" t="t" r="r" b="b"/>
                            <a:pathLst>
                              <a:path w="4775200" h="0">
                                <a:moveTo>
                                  <a:pt x="0" y="0"/>
                                </a:moveTo>
                                <a:lnTo>
                                  <a:pt x="4774627" y="0"/>
                                </a:lnTo>
                              </a:path>
                            </a:pathLst>
                          </a:custGeom>
                          <a:ln w="9152">
                            <a:solidFill>
                              <a:srgbClr val="FFFFFF"/>
                            </a:solidFill>
                            <a:prstDash val="solid"/>
                          </a:ln>
                        </wps:spPr>
                        <wps:bodyPr wrap="square" lIns="0" tIns="0" rIns="0" bIns="0" rtlCol="0">
                          <a:prstTxWarp prst="textNoShape">
                            <a:avLst/>
                          </a:prstTxWarp>
                          <a:noAutofit/>
                        </wps:bodyPr>
                      </wps:wsp>
                      <wps:wsp>
                        <wps:cNvPr id="111" name="Graphic 111"/>
                        <wps:cNvSpPr/>
                        <wps:spPr>
                          <a:xfrm>
                            <a:off x="3639489" y="2329814"/>
                            <a:ext cx="1555115" cy="1381125"/>
                          </a:xfrm>
                          <a:custGeom>
                            <a:avLst/>
                            <a:gdLst/>
                            <a:ahLst/>
                            <a:cxnLst/>
                            <a:rect l="l" t="t" r="r" b="b"/>
                            <a:pathLst>
                              <a:path w="1555115" h="1381125">
                                <a:moveTo>
                                  <a:pt x="361238" y="1239532"/>
                                </a:moveTo>
                                <a:lnTo>
                                  <a:pt x="0" y="1239532"/>
                                </a:lnTo>
                                <a:lnTo>
                                  <a:pt x="0" y="1380756"/>
                                </a:lnTo>
                                <a:lnTo>
                                  <a:pt x="361238" y="1380756"/>
                                </a:lnTo>
                                <a:lnTo>
                                  <a:pt x="361238" y="1239532"/>
                                </a:lnTo>
                                <a:close/>
                              </a:path>
                              <a:path w="1555115" h="1381125">
                                <a:moveTo>
                                  <a:pt x="753897" y="784517"/>
                                </a:moveTo>
                                <a:lnTo>
                                  <a:pt x="392658" y="784517"/>
                                </a:lnTo>
                                <a:lnTo>
                                  <a:pt x="392658" y="1380756"/>
                                </a:lnTo>
                                <a:lnTo>
                                  <a:pt x="753897" y="1380756"/>
                                </a:lnTo>
                                <a:lnTo>
                                  <a:pt x="753897" y="784517"/>
                                </a:lnTo>
                                <a:close/>
                              </a:path>
                              <a:path w="1555115" h="1381125">
                                <a:moveTo>
                                  <a:pt x="1154404" y="588391"/>
                                </a:moveTo>
                                <a:lnTo>
                                  <a:pt x="793165" y="588391"/>
                                </a:lnTo>
                                <a:lnTo>
                                  <a:pt x="793165" y="1380756"/>
                                </a:lnTo>
                                <a:lnTo>
                                  <a:pt x="1154404" y="1380756"/>
                                </a:lnTo>
                                <a:lnTo>
                                  <a:pt x="1154404" y="588391"/>
                                </a:lnTo>
                                <a:close/>
                              </a:path>
                              <a:path w="1555115" h="1381125">
                                <a:moveTo>
                                  <a:pt x="1554899" y="0"/>
                                </a:moveTo>
                                <a:lnTo>
                                  <a:pt x="1193660" y="0"/>
                                </a:lnTo>
                                <a:lnTo>
                                  <a:pt x="1193660" y="1380756"/>
                                </a:lnTo>
                                <a:lnTo>
                                  <a:pt x="1554899" y="1380756"/>
                                </a:lnTo>
                                <a:lnTo>
                                  <a:pt x="1554899" y="0"/>
                                </a:lnTo>
                                <a:close/>
                              </a:path>
                            </a:pathLst>
                          </a:custGeom>
                          <a:solidFill>
                            <a:srgbClr val="125B7B"/>
                          </a:solidFill>
                        </wps:spPr>
                        <wps:bodyPr wrap="square" lIns="0" tIns="0" rIns="0" bIns="0" rtlCol="0">
                          <a:prstTxWarp prst="textNoShape">
                            <a:avLst/>
                          </a:prstTxWarp>
                          <a:noAutofit/>
                        </wps:bodyPr>
                      </wps:wsp>
                      <wps:wsp>
                        <wps:cNvPr id="112" name="Graphic 112"/>
                        <wps:cNvSpPr/>
                        <wps:spPr>
                          <a:xfrm>
                            <a:off x="3639501" y="2329813"/>
                            <a:ext cx="1555115" cy="1381125"/>
                          </a:xfrm>
                          <a:custGeom>
                            <a:avLst/>
                            <a:gdLst/>
                            <a:ahLst/>
                            <a:cxnLst/>
                            <a:rect l="l" t="t" r="r" b="b"/>
                            <a:pathLst>
                              <a:path w="1555115" h="1381125">
                                <a:moveTo>
                                  <a:pt x="0" y="1239523"/>
                                </a:moveTo>
                                <a:lnTo>
                                  <a:pt x="361239" y="1239523"/>
                                </a:lnTo>
                                <a:lnTo>
                                  <a:pt x="361239" y="1380748"/>
                                </a:lnTo>
                                <a:lnTo>
                                  <a:pt x="0" y="1380748"/>
                                </a:lnTo>
                                <a:lnTo>
                                  <a:pt x="0" y="1239523"/>
                                </a:lnTo>
                                <a:close/>
                              </a:path>
                              <a:path w="1555115" h="1381125">
                                <a:moveTo>
                                  <a:pt x="392651" y="784508"/>
                                </a:moveTo>
                                <a:lnTo>
                                  <a:pt x="753890" y="784508"/>
                                </a:lnTo>
                                <a:lnTo>
                                  <a:pt x="753890" y="1380748"/>
                                </a:lnTo>
                                <a:lnTo>
                                  <a:pt x="392651" y="1380748"/>
                                </a:lnTo>
                                <a:lnTo>
                                  <a:pt x="392651" y="784508"/>
                                </a:lnTo>
                                <a:close/>
                              </a:path>
                              <a:path w="1555115" h="1381125">
                                <a:moveTo>
                                  <a:pt x="793155" y="588381"/>
                                </a:moveTo>
                                <a:lnTo>
                                  <a:pt x="1154394" y="588381"/>
                                </a:lnTo>
                                <a:lnTo>
                                  <a:pt x="1154395" y="1380748"/>
                                </a:lnTo>
                                <a:lnTo>
                                  <a:pt x="793155" y="1380748"/>
                                </a:lnTo>
                                <a:lnTo>
                                  <a:pt x="793155" y="588381"/>
                                </a:lnTo>
                                <a:close/>
                              </a:path>
                              <a:path w="1555115" h="1381125">
                                <a:moveTo>
                                  <a:pt x="1193660" y="0"/>
                                </a:moveTo>
                                <a:lnTo>
                                  <a:pt x="1554899" y="0"/>
                                </a:lnTo>
                                <a:lnTo>
                                  <a:pt x="1554899" y="1380748"/>
                                </a:lnTo>
                                <a:lnTo>
                                  <a:pt x="1193660" y="1380748"/>
                                </a:lnTo>
                                <a:lnTo>
                                  <a:pt x="1193660" y="0"/>
                                </a:lnTo>
                                <a:close/>
                              </a:path>
                            </a:pathLst>
                          </a:custGeom>
                          <a:ln w="9157">
                            <a:solidFill>
                              <a:srgbClr val="FFFFFF"/>
                            </a:solidFill>
                            <a:prstDash val="solid"/>
                          </a:ln>
                        </wps:spPr>
                        <wps:bodyPr wrap="square" lIns="0" tIns="0" rIns="0" bIns="0" rtlCol="0">
                          <a:prstTxWarp prst="textNoShape">
                            <a:avLst/>
                          </a:prstTxWarp>
                          <a:noAutofit/>
                        </wps:bodyPr>
                      </wps:wsp>
                      <pic:pic>
                        <pic:nvPicPr>
                          <pic:cNvPr id="113" name="Image 113"/>
                          <pic:cNvPicPr/>
                        </pic:nvPicPr>
                        <pic:blipFill>
                          <a:blip r:embed="rId24" cstate="print"/>
                          <a:stretch>
                            <a:fillRect/>
                          </a:stretch>
                        </pic:blipFill>
                        <pic:spPr>
                          <a:xfrm>
                            <a:off x="4032153" y="2878969"/>
                            <a:ext cx="361239" cy="235352"/>
                          </a:xfrm>
                          <a:prstGeom prst="rect">
                            <a:avLst/>
                          </a:prstGeom>
                        </pic:spPr>
                      </pic:pic>
                      <pic:pic>
                        <pic:nvPicPr>
                          <pic:cNvPr id="114" name="Image 114"/>
                          <pic:cNvPicPr/>
                        </pic:nvPicPr>
                        <pic:blipFill>
                          <a:blip r:embed="rId25" cstate="print"/>
                          <a:stretch>
                            <a:fillRect/>
                          </a:stretch>
                        </pic:blipFill>
                        <pic:spPr>
                          <a:xfrm>
                            <a:off x="4432657" y="2471024"/>
                            <a:ext cx="361239" cy="447169"/>
                          </a:xfrm>
                          <a:prstGeom prst="rect">
                            <a:avLst/>
                          </a:prstGeom>
                        </pic:spPr>
                      </pic:pic>
                      <pic:pic>
                        <pic:nvPicPr>
                          <pic:cNvPr id="115" name="Image 115"/>
                          <pic:cNvPicPr/>
                        </pic:nvPicPr>
                        <pic:blipFill>
                          <a:blip r:embed="rId26" cstate="print"/>
                          <a:stretch>
                            <a:fillRect/>
                          </a:stretch>
                        </pic:blipFill>
                        <pic:spPr>
                          <a:xfrm>
                            <a:off x="4833161" y="1788502"/>
                            <a:ext cx="361239" cy="541311"/>
                          </a:xfrm>
                          <a:prstGeom prst="rect">
                            <a:avLst/>
                          </a:prstGeom>
                        </pic:spPr>
                      </pic:pic>
                      <wps:wsp>
                        <wps:cNvPr id="116" name="Graphic 116"/>
                        <wps:cNvSpPr/>
                        <wps:spPr>
                          <a:xfrm>
                            <a:off x="3639501" y="1788502"/>
                            <a:ext cx="1555115" cy="1781175"/>
                          </a:xfrm>
                          <a:custGeom>
                            <a:avLst/>
                            <a:gdLst/>
                            <a:ahLst/>
                            <a:cxnLst/>
                            <a:rect l="l" t="t" r="r" b="b"/>
                            <a:pathLst>
                              <a:path w="1555115" h="1781175">
                                <a:moveTo>
                                  <a:pt x="0" y="1772989"/>
                                </a:moveTo>
                                <a:lnTo>
                                  <a:pt x="361239" y="1772989"/>
                                </a:lnTo>
                                <a:lnTo>
                                  <a:pt x="361239" y="1780834"/>
                                </a:lnTo>
                                <a:lnTo>
                                  <a:pt x="0" y="1780834"/>
                                </a:lnTo>
                                <a:lnTo>
                                  <a:pt x="0" y="1772989"/>
                                </a:lnTo>
                                <a:close/>
                              </a:path>
                              <a:path w="1555115" h="1781175">
                                <a:moveTo>
                                  <a:pt x="392651" y="1090467"/>
                                </a:moveTo>
                                <a:lnTo>
                                  <a:pt x="753890" y="1090467"/>
                                </a:lnTo>
                                <a:lnTo>
                                  <a:pt x="753890" y="1325819"/>
                                </a:lnTo>
                                <a:lnTo>
                                  <a:pt x="392651" y="1325819"/>
                                </a:lnTo>
                                <a:lnTo>
                                  <a:pt x="392651" y="1090467"/>
                                </a:lnTo>
                                <a:close/>
                              </a:path>
                              <a:path w="1555115" h="1781175">
                                <a:moveTo>
                                  <a:pt x="793155" y="682522"/>
                                </a:moveTo>
                                <a:lnTo>
                                  <a:pt x="1154394" y="682522"/>
                                </a:lnTo>
                                <a:lnTo>
                                  <a:pt x="1154394" y="1129692"/>
                                </a:lnTo>
                                <a:lnTo>
                                  <a:pt x="793155" y="1129692"/>
                                </a:lnTo>
                                <a:lnTo>
                                  <a:pt x="793155" y="682522"/>
                                </a:lnTo>
                                <a:close/>
                              </a:path>
                              <a:path w="1555115" h="1781175">
                                <a:moveTo>
                                  <a:pt x="1193660" y="0"/>
                                </a:moveTo>
                                <a:lnTo>
                                  <a:pt x="1554899" y="0"/>
                                </a:lnTo>
                                <a:lnTo>
                                  <a:pt x="1554899" y="541311"/>
                                </a:lnTo>
                                <a:lnTo>
                                  <a:pt x="1193660" y="541311"/>
                                </a:lnTo>
                                <a:lnTo>
                                  <a:pt x="1193660" y="0"/>
                                </a:lnTo>
                                <a:close/>
                              </a:path>
                            </a:pathLst>
                          </a:custGeom>
                          <a:ln w="9157">
                            <a:solidFill>
                              <a:srgbClr val="FFFFFF"/>
                            </a:solidFill>
                            <a:prstDash val="solid"/>
                          </a:ln>
                        </wps:spPr>
                        <wps:bodyPr wrap="square" lIns="0" tIns="0" rIns="0" bIns="0" rtlCol="0">
                          <a:prstTxWarp prst="textNoShape">
                            <a:avLst/>
                          </a:prstTxWarp>
                          <a:noAutofit/>
                        </wps:bodyPr>
                      </wps:wsp>
                      <wps:wsp>
                        <wps:cNvPr id="117" name="Graphic 117"/>
                        <wps:cNvSpPr/>
                        <wps:spPr>
                          <a:xfrm>
                            <a:off x="451180" y="1506079"/>
                            <a:ext cx="4743450" cy="2204720"/>
                          </a:xfrm>
                          <a:custGeom>
                            <a:avLst/>
                            <a:gdLst/>
                            <a:ahLst/>
                            <a:cxnLst/>
                            <a:rect l="l" t="t" r="r" b="b"/>
                            <a:pathLst>
                              <a:path w="4743450" h="2204720">
                                <a:moveTo>
                                  <a:pt x="361226" y="1404277"/>
                                </a:moveTo>
                                <a:lnTo>
                                  <a:pt x="0" y="1404277"/>
                                </a:lnTo>
                                <a:lnTo>
                                  <a:pt x="0" y="2204491"/>
                                </a:lnTo>
                                <a:lnTo>
                                  <a:pt x="361226" y="2204491"/>
                                </a:lnTo>
                                <a:lnTo>
                                  <a:pt x="361226" y="1404277"/>
                                </a:lnTo>
                                <a:close/>
                              </a:path>
                              <a:path w="4743450" h="2204720">
                                <a:moveTo>
                                  <a:pt x="761733" y="1482725"/>
                                </a:moveTo>
                                <a:lnTo>
                                  <a:pt x="400494" y="1482725"/>
                                </a:lnTo>
                                <a:lnTo>
                                  <a:pt x="400494" y="2204491"/>
                                </a:lnTo>
                                <a:lnTo>
                                  <a:pt x="761733" y="2204491"/>
                                </a:lnTo>
                                <a:lnTo>
                                  <a:pt x="761733" y="1482725"/>
                                </a:lnTo>
                                <a:close/>
                              </a:path>
                              <a:path w="4743450" h="2204720">
                                <a:moveTo>
                                  <a:pt x="1162240" y="1569021"/>
                                </a:moveTo>
                                <a:lnTo>
                                  <a:pt x="800989" y="1569021"/>
                                </a:lnTo>
                                <a:lnTo>
                                  <a:pt x="800989" y="2204491"/>
                                </a:lnTo>
                                <a:lnTo>
                                  <a:pt x="1162240" y="2204491"/>
                                </a:lnTo>
                                <a:lnTo>
                                  <a:pt x="1162240" y="1569021"/>
                                </a:lnTo>
                                <a:close/>
                              </a:path>
                              <a:path w="4743450" h="2204720">
                                <a:moveTo>
                                  <a:pt x="1554886" y="1349362"/>
                                </a:moveTo>
                                <a:lnTo>
                                  <a:pt x="1193647" y="1349362"/>
                                </a:lnTo>
                                <a:lnTo>
                                  <a:pt x="1193647" y="2204491"/>
                                </a:lnTo>
                                <a:lnTo>
                                  <a:pt x="1554886" y="2204491"/>
                                </a:lnTo>
                                <a:lnTo>
                                  <a:pt x="1554886" y="1349362"/>
                                </a:lnTo>
                                <a:close/>
                              </a:path>
                              <a:path w="4743450" h="2204720">
                                <a:moveTo>
                                  <a:pt x="1955393" y="1419961"/>
                                </a:moveTo>
                                <a:lnTo>
                                  <a:pt x="1594154" y="1419961"/>
                                </a:lnTo>
                                <a:lnTo>
                                  <a:pt x="1594154" y="2204491"/>
                                </a:lnTo>
                                <a:lnTo>
                                  <a:pt x="1955393" y="2204491"/>
                                </a:lnTo>
                                <a:lnTo>
                                  <a:pt x="1955393" y="1419961"/>
                                </a:lnTo>
                                <a:close/>
                              </a:path>
                              <a:path w="4743450" h="2204720">
                                <a:moveTo>
                                  <a:pt x="2355888" y="1215999"/>
                                </a:moveTo>
                                <a:lnTo>
                                  <a:pt x="1994649" y="1215999"/>
                                </a:lnTo>
                                <a:lnTo>
                                  <a:pt x="1994649" y="2204491"/>
                                </a:lnTo>
                                <a:lnTo>
                                  <a:pt x="2355888" y="2204491"/>
                                </a:lnTo>
                                <a:lnTo>
                                  <a:pt x="2355888" y="1215999"/>
                                </a:lnTo>
                                <a:close/>
                              </a:path>
                              <a:path w="4743450" h="2204720">
                                <a:moveTo>
                                  <a:pt x="2748546" y="1223835"/>
                                </a:moveTo>
                                <a:lnTo>
                                  <a:pt x="2387308" y="1223835"/>
                                </a:lnTo>
                                <a:lnTo>
                                  <a:pt x="2387308" y="2204491"/>
                                </a:lnTo>
                                <a:lnTo>
                                  <a:pt x="2748546" y="2204491"/>
                                </a:lnTo>
                                <a:lnTo>
                                  <a:pt x="2748546" y="1223835"/>
                                </a:lnTo>
                                <a:close/>
                              </a:path>
                              <a:path w="4743450" h="2204720">
                                <a:moveTo>
                                  <a:pt x="3149054" y="972794"/>
                                </a:moveTo>
                                <a:lnTo>
                                  <a:pt x="2787815" y="972794"/>
                                </a:lnTo>
                                <a:lnTo>
                                  <a:pt x="2787815" y="2204491"/>
                                </a:lnTo>
                                <a:lnTo>
                                  <a:pt x="3149054" y="2204491"/>
                                </a:lnTo>
                                <a:lnTo>
                                  <a:pt x="3149054" y="972794"/>
                                </a:lnTo>
                                <a:close/>
                              </a:path>
                              <a:path w="4743450" h="2204720">
                                <a:moveTo>
                                  <a:pt x="3549548" y="1200302"/>
                                </a:moveTo>
                                <a:lnTo>
                                  <a:pt x="3188309" y="1200302"/>
                                </a:lnTo>
                                <a:lnTo>
                                  <a:pt x="3188309" y="2063267"/>
                                </a:lnTo>
                                <a:lnTo>
                                  <a:pt x="3549548" y="2063267"/>
                                </a:lnTo>
                                <a:lnTo>
                                  <a:pt x="3549548" y="1200302"/>
                                </a:lnTo>
                                <a:close/>
                              </a:path>
                              <a:path w="4743450" h="2204720">
                                <a:moveTo>
                                  <a:pt x="3942207" y="760984"/>
                                </a:moveTo>
                                <a:lnTo>
                                  <a:pt x="3580968" y="760984"/>
                                </a:lnTo>
                                <a:lnTo>
                                  <a:pt x="3580968" y="1372895"/>
                                </a:lnTo>
                                <a:lnTo>
                                  <a:pt x="3942207" y="1372895"/>
                                </a:lnTo>
                                <a:lnTo>
                                  <a:pt x="3942207" y="760984"/>
                                </a:lnTo>
                                <a:close/>
                              </a:path>
                              <a:path w="4743450" h="2204720">
                                <a:moveTo>
                                  <a:pt x="4342714" y="737438"/>
                                </a:moveTo>
                                <a:lnTo>
                                  <a:pt x="3981475" y="737438"/>
                                </a:lnTo>
                                <a:lnTo>
                                  <a:pt x="3981475" y="964946"/>
                                </a:lnTo>
                                <a:lnTo>
                                  <a:pt x="4342714" y="964946"/>
                                </a:lnTo>
                                <a:lnTo>
                                  <a:pt x="4342714" y="737438"/>
                                </a:lnTo>
                                <a:close/>
                              </a:path>
                              <a:path w="4743450" h="2204720">
                                <a:moveTo>
                                  <a:pt x="4743208" y="0"/>
                                </a:moveTo>
                                <a:lnTo>
                                  <a:pt x="4381970" y="0"/>
                                </a:lnTo>
                                <a:lnTo>
                                  <a:pt x="4381970" y="282422"/>
                                </a:lnTo>
                                <a:lnTo>
                                  <a:pt x="4743208" y="282422"/>
                                </a:lnTo>
                                <a:lnTo>
                                  <a:pt x="4743208" y="0"/>
                                </a:lnTo>
                                <a:close/>
                              </a:path>
                            </a:pathLst>
                          </a:custGeom>
                          <a:solidFill>
                            <a:srgbClr val="BBC5CD"/>
                          </a:solidFill>
                        </wps:spPr>
                        <wps:bodyPr wrap="square" lIns="0" tIns="0" rIns="0" bIns="0" rtlCol="0">
                          <a:prstTxWarp prst="textNoShape">
                            <a:avLst/>
                          </a:prstTxWarp>
                          <a:noAutofit/>
                        </wps:bodyPr>
                      </wps:wsp>
                      <wps:wsp>
                        <wps:cNvPr id="118" name="Graphic 118"/>
                        <wps:cNvSpPr/>
                        <wps:spPr>
                          <a:xfrm>
                            <a:off x="451185" y="1506078"/>
                            <a:ext cx="4743450" cy="2204720"/>
                          </a:xfrm>
                          <a:custGeom>
                            <a:avLst/>
                            <a:gdLst/>
                            <a:ahLst/>
                            <a:cxnLst/>
                            <a:rect l="l" t="t" r="r" b="b"/>
                            <a:pathLst>
                              <a:path w="4743450" h="2204720">
                                <a:moveTo>
                                  <a:pt x="0" y="1404270"/>
                                </a:moveTo>
                                <a:lnTo>
                                  <a:pt x="361226" y="1404270"/>
                                </a:lnTo>
                                <a:lnTo>
                                  <a:pt x="361226" y="2204482"/>
                                </a:lnTo>
                                <a:lnTo>
                                  <a:pt x="0" y="2204482"/>
                                </a:lnTo>
                                <a:lnTo>
                                  <a:pt x="0" y="1404270"/>
                                </a:lnTo>
                                <a:close/>
                              </a:path>
                              <a:path w="4743450" h="2204720">
                                <a:moveTo>
                                  <a:pt x="400491" y="1482721"/>
                                </a:moveTo>
                                <a:lnTo>
                                  <a:pt x="761730" y="1482721"/>
                                </a:lnTo>
                                <a:lnTo>
                                  <a:pt x="761730" y="2204482"/>
                                </a:lnTo>
                                <a:lnTo>
                                  <a:pt x="400491" y="2204482"/>
                                </a:lnTo>
                                <a:lnTo>
                                  <a:pt x="400491" y="1482721"/>
                                </a:lnTo>
                                <a:close/>
                              </a:path>
                              <a:path w="4743450" h="2204720">
                                <a:moveTo>
                                  <a:pt x="800995" y="1569017"/>
                                </a:moveTo>
                                <a:lnTo>
                                  <a:pt x="1162234" y="1569017"/>
                                </a:lnTo>
                                <a:lnTo>
                                  <a:pt x="1162234" y="2204482"/>
                                </a:lnTo>
                                <a:lnTo>
                                  <a:pt x="800995" y="2204482"/>
                                </a:lnTo>
                                <a:lnTo>
                                  <a:pt x="800995" y="1569017"/>
                                </a:lnTo>
                                <a:close/>
                              </a:path>
                              <a:path w="4743450" h="2204720">
                                <a:moveTo>
                                  <a:pt x="1193647" y="1349354"/>
                                </a:moveTo>
                                <a:lnTo>
                                  <a:pt x="1554886" y="1349354"/>
                                </a:lnTo>
                                <a:lnTo>
                                  <a:pt x="1554886" y="2204482"/>
                                </a:lnTo>
                                <a:lnTo>
                                  <a:pt x="1193647" y="2204482"/>
                                </a:lnTo>
                                <a:lnTo>
                                  <a:pt x="1193647" y="1349354"/>
                                </a:lnTo>
                                <a:close/>
                              </a:path>
                              <a:path w="4743450" h="2204720">
                                <a:moveTo>
                                  <a:pt x="1594151" y="1419960"/>
                                </a:moveTo>
                                <a:lnTo>
                                  <a:pt x="1955390" y="1419960"/>
                                </a:lnTo>
                                <a:lnTo>
                                  <a:pt x="1955390" y="2204482"/>
                                </a:lnTo>
                                <a:lnTo>
                                  <a:pt x="1594151" y="2204482"/>
                                </a:lnTo>
                                <a:lnTo>
                                  <a:pt x="1594151" y="1419960"/>
                                </a:lnTo>
                                <a:close/>
                              </a:path>
                              <a:path w="4743450" h="2204720">
                                <a:moveTo>
                                  <a:pt x="1994655" y="1215988"/>
                                </a:moveTo>
                                <a:lnTo>
                                  <a:pt x="2355895" y="1215988"/>
                                </a:lnTo>
                                <a:lnTo>
                                  <a:pt x="2355895" y="2204482"/>
                                </a:lnTo>
                                <a:lnTo>
                                  <a:pt x="1994655" y="2204482"/>
                                </a:lnTo>
                                <a:lnTo>
                                  <a:pt x="1994655" y="1215988"/>
                                </a:lnTo>
                                <a:close/>
                              </a:path>
                              <a:path w="4743450" h="2204720">
                                <a:moveTo>
                                  <a:pt x="2387307" y="1223833"/>
                                </a:moveTo>
                                <a:lnTo>
                                  <a:pt x="2748546" y="1223833"/>
                                </a:lnTo>
                                <a:lnTo>
                                  <a:pt x="2748546" y="2204482"/>
                                </a:lnTo>
                                <a:lnTo>
                                  <a:pt x="2387307" y="2204482"/>
                                </a:lnTo>
                                <a:lnTo>
                                  <a:pt x="2387307" y="1223833"/>
                                </a:lnTo>
                                <a:close/>
                              </a:path>
                              <a:path w="4743450" h="2204720">
                                <a:moveTo>
                                  <a:pt x="2787811" y="972790"/>
                                </a:moveTo>
                                <a:lnTo>
                                  <a:pt x="3149050" y="972790"/>
                                </a:lnTo>
                                <a:lnTo>
                                  <a:pt x="3149050" y="2204482"/>
                                </a:lnTo>
                                <a:lnTo>
                                  <a:pt x="2787811" y="2204482"/>
                                </a:lnTo>
                                <a:lnTo>
                                  <a:pt x="2787811" y="972790"/>
                                </a:lnTo>
                                <a:close/>
                              </a:path>
                              <a:path w="4743450" h="2204720">
                                <a:moveTo>
                                  <a:pt x="3188315" y="1200298"/>
                                </a:moveTo>
                                <a:lnTo>
                                  <a:pt x="3549555" y="1200298"/>
                                </a:lnTo>
                                <a:lnTo>
                                  <a:pt x="3549555" y="2063257"/>
                                </a:lnTo>
                                <a:lnTo>
                                  <a:pt x="3188315" y="2063257"/>
                                </a:lnTo>
                                <a:lnTo>
                                  <a:pt x="3188315" y="1200298"/>
                                </a:lnTo>
                                <a:close/>
                              </a:path>
                              <a:path w="4743450" h="2204720">
                                <a:moveTo>
                                  <a:pt x="3580967" y="760973"/>
                                </a:moveTo>
                                <a:lnTo>
                                  <a:pt x="3942206" y="760973"/>
                                </a:lnTo>
                                <a:lnTo>
                                  <a:pt x="3942206" y="1372890"/>
                                </a:lnTo>
                                <a:lnTo>
                                  <a:pt x="3580967" y="1372890"/>
                                </a:lnTo>
                                <a:lnTo>
                                  <a:pt x="3580967" y="760973"/>
                                </a:lnTo>
                                <a:close/>
                              </a:path>
                              <a:path w="4743450" h="2204720">
                                <a:moveTo>
                                  <a:pt x="3981471" y="737438"/>
                                </a:moveTo>
                                <a:lnTo>
                                  <a:pt x="4342710" y="737438"/>
                                </a:lnTo>
                                <a:lnTo>
                                  <a:pt x="4342710" y="964945"/>
                                </a:lnTo>
                                <a:lnTo>
                                  <a:pt x="3981471" y="964945"/>
                                </a:lnTo>
                                <a:lnTo>
                                  <a:pt x="3981471" y="737438"/>
                                </a:lnTo>
                                <a:close/>
                              </a:path>
                              <a:path w="4743450" h="2204720">
                                <a:moveTo>
                                  <a:pt x="4381976" y="0"/>
                                </a:moveTo>
                                <a:lnTo>
                                  <a:pt x="4743215" y="0"/>
                                </a:lnTo>
                                <a:lnTo>
                                  <a:pt x="4743215" y="282423"/>
                                </a:lnTo>
                                <a:lnTo>
                                  <a:pt x="4381976" y="282423"/>
                                </a:lnTo>
                                <a:lnTo>
                                  <a:pt x="4381976" y="0"/>
                                </a:lnTo>
                                <a:close/>
                              </a:path>
                            </a:pathLst>
                          </a:custGeom>
                          <a:ln w="9157">
                            <a:solidFill>
                              <a:srgbClr val="FFFFFF"/>
                            </a:solidFill>
                            <a:prstDash val="solid"/>
                          </a:ln>
                        </wps:spPr>
                        <wps:bodyPr wrap="square" lIns="0" tIns="0" rIns="0" bIns="0" rtlCol="0">
                          <a:prstTxWarp prst="textNoShape">
                            <a:avLst/>
                          </a:prstTxWarp>
                          <a:noAutofit/>
                        </wps:bodyPr>
                      </wps:wsp>
                      <wps:wsp>
                        <wps:cNvPr id="119" name="Graphic 119"/>
                        <wps:cNvSpPr/>
                        <wps:spPr>
                          <a:xfrm>
                            <a:off x="435479" y="3710561"/>
                            <a:ext cx="4775200" cy="1270"/>
                          </a:xfrm>
                          <a:custGeom>
                            <a:avLst/>
                            <a:gdLst/>
                            <a:ahLst/>
                            <a:cxnLst/>
                            <a:rect l="l" t="t" r="r" b="b"/>
                            <a:pathLst>
                              <a:path w="4775200" h="0">
                                <a:moveTo>
                                  <a:pt x="0" y="0"/>
                                </a:moveTo>
                                <a:lnTo>
                                  <a:pt x="4774627" y="0"/>
                                </a:lnTo>
                              </a:path>
                            </a:pathLst>
                          </a:custGeom>
                          <a:ln w="9152">
                            <a:solidFill>
                              <a:srgbClr val="D9D9D9"/>
                            </a:solidFill>
                            <a:prstDash val="solid"/>
                          </a:ln>
                        </wps:spPr>
                        <wps:bodyPr wrap="square" lIns="0" tIns="0" rIns="0" bIns="0" rtlCol="0">
                          <a:prstTxWarp prst="textNoShape">
                            <a:avLst/>
                          </a:prstTxWarp>
                          <a:noAutofit/>
                        </wps:bodyPr>
                      </wps:wsp>
                      <wps:wsp>
                        <wps:cNvPr id="120" name="Graphic 120"/>
                        <wps:cNvSpPr/>
                        <wps:spPr>
                          <a:xfrm>
                            <a:off x="1377830" y="4110661"/>
                            <a:ext cx="47625" cy="47625"/>
                          </a:xfrm>
                          <a:custGeom>
                            <a:avLst/>
                            <a:gdLst/>
                            <a:ahLst/>
                            <a:cxnLst/>
                            <a:rect l="l" t="t" r="r" b="b"/>
                            <a:pathLst>
                              <a:path w="47625" h="47625">
                                <a:moveTo>
                                  <a:pt x="47117" y="0"/>
                                </a:moveTo>
                                <a:lnTo>
                                  <a:pt x="0" y="0"/>
                                </a:lnTo>
                                <a:lnTo>
                                  <a:pt x="0" y="47069"/>
                                </a:lnTo>
                                <a:lnTo>
                                  <a:pt x="47117" y="47069"/>
                                </a:lnTo>
                                <a:lnTo>
                                  <a:pt x="47117" y="0"/>
                                </a:lnTo>
                                <a:close/>
                              </a:path>
                            </a:pathLst>
                          </a:custGeom>
                          <a:solidFill>
                            <a:srgbClr val="125B7B"/>
                          </a:solidFill>
                        </wps:spPr>
                        <wps:bodyPr wrap="square" lIns="0" tIns="0" rIns="0" bIns="0" rtlCol="0">
                          <a:prstTxWarp prst="textNoShape">
                            <a:avLst/>
                          </a:prstTxWarp>
                          <a:noAutofit/>
                        </wps:bodyPr>
                      </wps:wsp>
                      <wps:wsp>
                        <wps:cNvPr id="121" name="Graphic 121"/>
                        <wps:cNvSpPr/>
                        <wps:spPr>
                          <a:xfrm>
                            <a:off x="1377830" y="4110661"/>
                            <a:ext cx="47625" cy="47625"/>
                          </a:xfrm>
                          <a:custGeom>
                            <a:avLst/>
                            <a:gdLst/>
                            <a:ahLst/>
                            <a:cxnLst/>
                            <a:rect l="l" t="t" r="r" b="b"/>
                            <a:pathLst>
                              <a:path w="47625" h="47625">
                                <a:moveTo>
                                  <a:pt x="0" y="47069"/>
                                </a:moveTo>
                                <a:lnTo>
                                  <a:pt x="47117" y="47069"/>
                                </a:lnTo>
                                <a:lnTo>
                                  <a:pt x="47117" y="0"/>
                                </a:lnTo>
                                <a:lnTo>
                                  <a:pt x="0" y="0"/>
                                </a:lnTo>
                                <a:lnTo>
                                  <a:pt x="0" y="47069"/>
                                </a:lnTo>
                                <a:close/>
                              </a:path>
                            </a:pathLst>
                          </a:custGeom>
                          <a:ln w="9157">
                            <a:solidFill>
                              <a:srgbClr val="FFFFFF"/>
                            </a:solidFill>
                            <a:prstDash val="solid"/>
                          </a:ln>
                        </wps:spPr>
                        <wps:bodyPr wrap="square" lIns="0" tIns="0" rIns="0" bIns="0" rtlCol="0">
                          <a:prstTxWarp prst="textNoShape">
                            <a:avLst/>
                          </a:prstTxWarp>
                          <a:noAutofit/>
                        </wps:bodyPr>
                      </wps:wsp>
                      <pic:pic>
                        <pic:nvPicPr>
                          <pic:cNvPr id="122" name="Image 122"/>
                          <pic:cNvPicPr/>
                        </pic:nvPicPr>
                        <pic:blipFill>
                          <a:blip r:embed="rId27" cstate="print"/>
                          <a:stretch>
                            <a:fillRect/>
                          </a:stretch>
                        </pic:blipFill>
                        <pic:spPr>
                          <a:xfrm>
                            <a:off x="2068896" y="4110661"/>
                            <a:ext cx="47118" cy="47069"/>
                          </a:xfrm>
                          <a:prstGeom prst="rect">
                            <a:avLst/>
                          </a:prstGeom>
                        </pic:spPr>
                      </pic:pic>
                      <wps:wsp>
                        <wps:cNvPr id="123" name="Graphic 123"/>
                        <wps:cNvSpPr/>
                        <wps:spPr>
                          <a:xfrm>
                            <a:off x="2068896" y="4110661"/>
                            <a:ext cx="47625" cy="47625"/>
                          </a:xfrm>
                          <a:custGeom>
                            <a:avLst/>
                            <a:gdLst/>
                            <a:ahLst/>
                            <a:cxnLst/>
                            <a:rect l="l" t="t" r="r" b="b"/>
                            <a:pathLst>
                              <a:path w="47625" h="47625">
                                <a:moveTo>
                                  <a:pt x="0" y="47069"/>
                                </a:moveTo>
                                <a:lnTo>
                                  <a:pt x="47118" y="47069"/>
                                </a:lnTo>
                                <a:lnTo>
                                  <a:pt x="47118" y="0"/>
                                </a:lnTo>
                                <a:lnTo>
                                  <a:pt x="0" y="0"/>
                                </a:lnTo>
                                <a:lnTo>
                                  <a:pt x="0" y="47069"/>
                                </a:lnTo>
                                <a:close/>
                              </a:path>
                            </a:pathLst>
                          </a:custGeom>
                          <a:ln w="9157">
                            <a:solidFill>
                              <a:srgbClr val="FFFFFF"/>
                            </a:solidFill>
                            <a:prstDash val="solid"/>
                          </a:ln>
                        </wps:spPr>
                        <wps:bodyPr wrap="square" lIns="0" tIns="0" rIns="0" bIns="0" rtlCol="0">
                          <a:prstTxWarp prst="textNoShape">
                            <a:avLst/>
                          </a:prstTxWarp>
                          <a:noAutofit/>
                        </wps:bodyPr>
                      </wps:wsp>
                      <wps:wsp>
                        <wps:cNvPr id="124" name="Graphic 124"/>
                        <wps:cNvSpPr/>
                        <wps:spPr>
                          <a:xfrm>
                            <a:off x="3293968" y="4110661"/>
                            <a:ext cx="47625" cy="47625"/>
                          </a:xfrm>
                          <a:custGeom>
                            <a:avLst/>
                            <a:gdLst/>
                            <a:ahLst/>
                            <a:cxnLst/>
                            <a:rect l="l" t="t" r="r" b="b"/>
                            <a:pathLst>
                              <a:path w="47625" h="47625">
                                <a:moveTo>
                                  <a:pt x="47118" y="0"/>
                                </a:moveTo>
                                <a:lnTo>
                                  <a:pt x="0" y="0"/>
                                </a:lnTo>
                                <a:lnTo>
                                  <a:pt x="0" y="47069"/>
                                </a:lnTo>
                                <a:lnTo>
                                  <a:pt x="47118" y="47069"/>
                                </a:lnTo>
                                <a:lnTo>
                                  <a:pt x="47118" y="0"/>
                                </a:lnTo>
                                <a:close/>
                              </a:path>
                            </a:pathLst>
                          </a:custGeom>
                          <a:solidFill>
                            <a:srgbClr val="BBC5CD"/>
                          </a:solidFill>
                        </wps:spPr>
                        <wps:bodyPr wrap="square" lIns="0" tIns="0" rIns="0" bIns="0" rtlCol="0">
                          <a:prstTxWarp prst="textNoShape">
                            <a:avLst/>
                          </a:prstTxWarp>
                          <a:noAutofit/>
                        </wps:bodyPr>
                      </wps:wsp>
                      <wps:wsp>
                        <wps:cNvPr id="125" name="Graphic 125"/>
                        <wps:cNvSpPr/>
                        <wps:spPr>
                          <a:xfrm>
                            <a:off x="3293968" y="4110661"/>
                            <a:ext cx="47625" cy="47625"/>
                          </a:xfrm>
                          <a:custGeom>
                            <a:avLst/>
                            <a:gdLst/>
                            <a:ahLst/>
                            <a:cxnLst/>
                            <a:rect l="l" t="t" r="r" b="b"/>
                            <a:pathLst>
                              <a:path w="47625" h="47625">
                                <a:moveTo>
                                  <a:pt x="0" y="47069"/>
                                </a:moveTo>
                                <a:lnTo>
                                  <a:pt x="47118" y="47069"/>
                                </a:lnTo>
                                <a:lnTo>
                                  <a:pt x="47118" y="0"/>
                                </a:lnTo>
                                <a:lnTo>
                                  <a:pt x="0" y="0"/>
                                </a:lnTo>
                                <a:lnTo>
                                  <a:pt x="0" y="47069"/>
                                </a:lnTo>
                                <a:close/>
                              </a:path>
                            </a:pathLst>
                          </a:custGeom>
                          <a:ln w="915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44003pt;margin-top:93.61998pt;width:432.7pt;height:664.3pt;mso-position-horizontal-relative:page;mso-position-vertical-relative:page;z-index:-20658176" id="docshapegroup98" coordorigin="1515,1872" coordsize="8654,13286">
                <v:rect style="position:absolute;left:1524;top:1882;width:8635;height:13267" id="docshape99" filled="true" fillcolor="#d9d9d9" stroked="false">
                  <v:fill type="solid"/>
                </v:rect>
                <v:shape style="position:absolute;left:1514;top:1872;width:8654;height:13286" id="docshape100" coordorigin="1515,1872" coordsize="8654,13286" path="m1524,1882l1515,1882,1515,15148,1524,15148,1524,1882xm1637,3761l1628,3761,1628,8617,1628,8617,1628,8958,1637,8958,1637,8617,1637,8617,1637,3761xm9988,8958l1637,8958,1628,8958,1628,8968,1637,8968,9988,8968,9988,8958xm9988,2842l1637,2842,1628,2842,1628,2852,1628,3420,1628,3761,1637,3761,1637,3420,1637,2852,9988,2852,9988,2842xm9998,8958l9988,8958,9988,8968,9998,8968,9998,8958xm9998,3761l9988,3761,9988,8617,9988,8617,9988,8958,9998,8958,9998,8617,9998,8617,9998,3761xm9998,2842l9988,2842,9988,2852,9988,3420,9988,3761,9998,3761,9998,3420,9998,2852,9998,2842xm10159,15148l1524,15148,1515,15148,1515,15158,1524,15158,10159,15158,10159,15148xm10159,1872l1524,1872,1515,1872,1515,1882,1524,1882,10159,1882,10159,1872xm10168,15148l10159,15148,10159,15158,10168,15158,10168,15148xm10168,1882l10159,1882,10159,15148,10168,15148,10168,1882xm10168,1872l10159,1872,10159,1882,10168,1882,10168,1872xe" filled="true" fillcolor="#000000" stroked="false">
                  <v:path arrowok="t"/>
                  <v:fill type="solid"/>
                </v:shape>
                <v:shape style="position:absolute;left:2200;top:7246;width:7520;height:2" id="docshape101" coordorigin="2201,7246" coordsize="7520,0" path="m2201,7246l2225,7246m2794,7246l2856,7246m3425,7246l3487,7246m4056,7246l4105,7246m4674,7246l4736,7246m5305,7246l5367,7246m5935,7246l5985,7246m6554,7246l6616,7246m7185,7246l7246,7246m7815,7246l7865,7246m8434,7246l8495,7246m9064,7246l9126,7246m9695,7246l9720,7246e" filled="false" stroked="true" strokeweight=".720702pt" strokecolor="#ffffff">
                  <v:path arrowok="t"/>
                  <v:stroke dashstyle="solid"/>
                </v:shape>
                <v:shape style="position:absolute;left:2200;top:6776;width:7520;height:2" id="docshape102" coordorigin="2201,6777" coordsize="7520,0" path="m2201,6777l2225,6777m2794,6777l2856,6777m3425,6777l3487,6777m4056,6777l4105,6777m4674,6777l4736,6777m5305,6777l5367,6777m5935,6777l5985,6777m6554,6777l6616,6777m7185,6777l7246,6777m7815,6777l8495,6777m9064,6777l9126,6777m9695,6777l9720,6777e" filled="false" stroked="true" strokeweight=".720702pt" strokecolor="#ffffff">
                  <v:path arrowok="t"/>
                  <v:stroke dashstyle="solid"/>
                </v:shape>
                <v:shape style="position:absolute;left:2200;top:6307;width:7520;height:2" id="docshape103" coordorigin="2201,6307" coordsize="7520,0" path="m2201,6307l5367,6307m5935,6307l5985,6307m6554,6307l6616,6307m7185,6307l7246,6307m7815,6307l7865,6307m8434,6307l9126,6307m9695,6307l9720,6307e" filled="false" stroked="true" strokeweight=".720702pt" strokecolor="#ffffff">
                  <v:path arrowok="t"/>
                  <v:stroke dashstyle="solid"/>
                </v:shape>
                <v:shape style="position:absolute;left:2200;top:5837;width:6926;height:2" id="docshape104" coordorigin="2201,5838" coordsize="6926,0" path="m2201,5838l6616,5838m7185,5838l7865,5838m8434,5838l9126,5838e" filled="false" stroked="true" strokeweight=".720702pt" strokecolor="#ffffff">
                  <v:path arrowok="t"/>
                  <v:stroke dashstyle="solid"/>
                </v:shape>
                <v:line style="position:absolute" from="9695,5838" to="9720,5838" stroked="true" strokeweight=".720702pt" strokecolor="#ffffff">
                  <v:stroke dashstyle="solid"/>
                </v:line>
                <v:shape style="position:absolute;left:2200;top:4898;width:7520;height:470" id="docshape105" coordorigin="2201,4899" coordsize="7520,470" path="m2201,5368l9720,5368m2201,4899l9720,4899e" filled="false" stroked="true" strokeweight=".721042pt" strokecolor="#ffffff">
                  <v:path arrowok="t"/>
                  <v:stroke dashstyle="solid"/>
                </v:shape>
                <v:shape style="position:absolute;left:2200;top:4429;width:7520;height:2" id="docshape106" coordorigin="2201,4429" coordsize="7520,0" path="m2201,4429l9126,4429m9695,4429l9720,4429e" filled="false" stroked="true" strokeweight=".720702pt" strokecolor="#ffffff">
                  <v:path arrowok="t"/>
                  <v:stroke dashstyle="solid"/>
                </v:shape>
                <v:line style="position:absolute" from="2201,3960" to="9720,3960" stroked="true" strokeweight=".720677pt" strokecolor="#ffffff">
                  <v:stroke dashstyle="solid"/>
                </v:line>
                <v:shape style="position:absolute;left:7246;top:5541;width:2449;height:2175" id="docshape107" coordorigin="7246,5541" coordsize="2449,2175" path="m7815,7493l7246,7493,7246,7716,7815,7716,7815,7493xm8434,6777l7865,6777,7865,7716,8434,7716,8434,6777xm9064,6468l8495,6468,8495,7716,9064,7716,9064,6468xm9695,5541l9126,5541,9126,7716,9695,7716,9695,5541xe" filled="true" fillcolor="#125b7b" stroked="false">
                  <v:path arrowok="t"/>
                  <v:fill type="solid"/>
                </v:shape>
                <v:shape style="position:absolute;left:7246;top:5541;width:2449;height:2175" id="docshape108" coordorigin="7246,5541" coordsize="2449,2175" path="m7246,7493l7815,7493,7815,7716,7246,7716,7246,7493xm7865,6777l8434,6777,8434,7716,7865,7716,7865,6777xm8495,6468l9064,6468,9064,7716,8495,7716,8495,6468xm9126,5541l9695,5541,9695,7716,9126,7716,9126,5541xe" filled="false" stroked="true" strokeweight=".721042pt" strokecolor="#ffffff">
                  <v:path arrowok="t"/>
                  <v:stroke dashstyle="solid"/>
                </v:shape>
                <v:shape style="position:absolute;left:7864;top:6406;width:569;height:371" type="#_x0000_t75" id="docshape109" stroked="false">
                  <v:imagedata r:id="rId24" o:title=""/>
                </v:shape>
                <v:shape style="position:absolute;left:8495;top:5763;width:569;height:705" type="#_x0000_t75" id="docshape110" stroked="false">
                  <v:imagedata r:id="rId25" o:title=""/>
                </v:shape>
                <v:shape style="position:absolute;left:9126;top:4688;width:569;height:853" type="#_x0000_t75" id="docshape111" stroked="false">
                  <v:imagedata r:id="rId26" o:title=""/>
                </v:shape>
                <v:shape style="position:absolute;left:7246;top:4688;width:2449;height:2805" id="docshape112" coordorigin="7246,4689" coordsize="2449,2805" path="m7246,7481l7815,7481,7815,7493,7246,7493,7246,7481xm7865,6406l8434,6406,8434,6777,7865,6777,7865,6406xm8495,5764l9064,5764,9064,6468,8495,6468,8495,5764xm9126,4689l9695,4689,9695,5541,9126,5541,9126,4689xe" filled="false" stroked="true" strokeweight=".721042pt" strokecolor="#ffffff">
                  <v:path arrowok="t"/>
                  <v:stroke dashstyle="solid"/>
                </v:shape>
                <v:shape style="position:absolute;left:2225;top:4244;width:7470;height:3472" id="docshape113" coordorigin="2225,4244" coordsize="7470,3472" path="m2794,6456l2225,6456,2225,7716,2794,7716,2794,6456xm3425,6579l2856,6579,2856,7716,3425,7716,3425,6579xm4056,6715l3487,6715,3487,7716,4056,7716,4056,6715xm4674,6369l4105,6369,4105,7716,4674,7716,4674,6369xm5305,6480l4736,6480,4736,7716,5305,7716,5305,6480xm5935,6159l5367,6159,5367,7716,5935,7716,5935,6159xm6554,6171l5985,6171,5985,7716,6554,7716,6554,6171xm7185,5776l6616,5776,6616,7716,7185,7716,7185,5776xm7815,6134l7246,6134,7246,7493,7815,7493,7815,6134xm8434,5443l7865,5443,7865,6406,8434,6406,8434,5443xm9064,5405l8495,5405,8495,5764,9064,5764,9064,5405xm9695,4244l9126,4244,9126,4689,9695,4689,9695,4244xe" filled="true" fillcolor="#bbc5cd" stroked="false">
                  <v:path arrowok="t"/>
                  <v:fill type="solid"/>
                </v:shape>
                <v:shape style="position:absolute;left:2225;top:4244;width:7470;height:3472" id="docshape114" coordorigin="2225,4244" coordsize="7470,3472" path="m2225,6456l2794,6456,2794,7716,2225,7716,2225,6456xm2856,6579l3425,6579,3425,7716,2856,7716,2856,6579xm3487,6715l4056,6715,4056,7716,3487,7716,3487,6715xm4105,6369l4674,6369,4674,7716,4105,7716,4105,6369xm4736,6480l5305,6480,5305,7716,4736,7716,4736,6480xm5367,6159l5935,6159,5935,7716,5367,7716,5367,6159xm5985,6171l6554,6171,6554,7716,5985,7716,5985,6171xm6616,5776l7185,5776,7185,7716,6616,7716,6616,5776xm7246,6134l7815,6134,7815,7493,7246,7493,7246,6134xm7865,5443l8434,5443,8434,6406,7865,6406,7865,5443xm8495,5405l9064,5405,9064,5764,8495,5764,8495,5405xm9126,4244l9695,4244,9695,4689,9126,4689,9126,4244xe" filled="false" stroked="true" strokeweight=".721042pt" strokecolor="#ffffff">
                  <v:path arrowok="t"/>
                  <v:stroke dashstyle="solid"/>
                </v:shape>
                <v:line style="position:absolute" from="2201,7716" to="9720,7716" stroked="true" strokeweight=".720677pt" strokecolor="#d9d9d9">
                  <v:stroke dashstyle="solid"/>
                </v:line>
                <v:rect style="position:absolute;left:3684;top:8345;width:75;height:75" id="docshape115" filled="true" fillcolor="#125b7b" stroked="false">
                  <v:fill type="solid"/>
                </v:rect>
                <v:rect style="position:absolute;left:3684;top:8345;width:75;height:75" id="docshape116" filled="false" stroked="true" strokeweight=".721042pt" strokecolor="#ffffff">
                  <v:stroke dashstyle="solid"/>
                </v:rect>
                <v:shape style="position:absolute;left:4772;top:8345;width:75;height:75" type="#_x0000_t75" id="docshape117" stroked="false">
                  <v:imagedata r:id="rId27" o:title=""/>
                </v:shape>
                <v:rect style="position:absolute;left:4772;top:8345;width:75;height:75" id="docshape118" filled="false" stroked="true" strokeweight=".721042pt" strokecolor="#ffffff">
                  <v:stroke dashstyle="solid"/>
                </v:rect>
                <v:rect style="position:absolute;left:6702;top:8345;width:75;height:75" id="docshape119" filled="true" fillcolor="#bbc5cd" stroked="false">
                  <v:fill type="solid"/>
                </v:rect>
                <v:rect style="position:absolute;left:6702;top:8345;width:75;height:75" id="docshape120" filled="false" stroked="true" strokeweight=".721042pt" strokecolor="#ffffff">
                  <v:stroke dashstyle="solid"/>
                </v:rect>
                <w10:wrap type="none"/>
              </v:group>
            </w:pict>
          </mc:Fallback>
        </mc:AlternateContent>
      </w:r>
      <w:r>
        <w:rPr>
          <w:spacing w:val="-2"/>
          <w:sz w:val="15"/>
        </w:rPr>
        <w:t>εντóς</w:t>
      </w:r>
      <w:r>
        <w:rPr>
          <w:sz w:val="15"/>
        </w:rPr>
        <w:t> </w:t>
      </w:r>
      <w:r>
        <w:rPr>
          <w:spacing w:val="-4"/>
          <w:sz w:val="15"/>
        </w:rPr>
        <w:t>BBMs</w:t>
      </w:r>
      <w:r>
        <w:rPr>
          <w:sz w:val="15"/>
        </w:rPr>
        <w:tab/>
        <w:t>εкτóς</w:t>
      </w:r>
      <w:r>
        <w:rPr>
          <w:spacing w:val="-9"/>
          <w:sz w:val="15"/>
        </w:rPr>
        <w:t> </w:t>
      </w:r>
      <w:r>
        <w:rPr>
          <w:sz w:val="15"/>
        </w:rPr>
        <w:t>BBMs</w:t>
      </w:r>
      <w:r>
        <w:rPr>
          <w:spacing w:val="-8"/>
          <w:sz w:val="15"/>
        </w:rPr>
        <w:t> </w:t>
      </w:r>
      <w:r>
        <w:rPr>
          <w:sz w:val="15"/>
        </w:rPr>
        <w:t>-</w:t>
      </w:r>
      <w:r>
        <w:rPr>
          <w:spacing w:val="-7"/>
          <w:sz w:val="15"/>
        </w:rPr>
        <w:t> </w:t>
      </w:r>
      <w:r>
        <w:rPr>
          <w:sz w:val="15"/>
        </w:rPr>
        <w:t>Σπíτι</w:t>
      </w:r>
      <w:r>
        <w:rPr>
          <w:spacing w:val="-9"/>
          <w:sz w:val="15"/>
        </w:rPr>
        <w:t> </w:t>
      </w:r>
      <w:r>
        <w:rPr>
          <w:sz w:val="15"/>
        </w:rPr>
        <w:t>µou</w:t>
      </w:r>
      <w:r>
        <w:rPr>
          <w:spacing w:val="-5"/>
          <w:sz w:val="15"/>
        </w:rPr>
        <w:t> II</w:t>
      </w:r>
      <w:r>
        <w:rPr>
          <w:sz w:val="15"/>
        </w:rPr>
        <w:tab/>
        <w:t>εкτóς</w:t>
      </w:r>
      <w:r>
        <w:rPr>
          <w:spacing w:val="-7"/>
          <w:sz w:val="15"/>
        </w:rPr>
        <w:t> </w:t>
      </w:r>
      <w:r>
        <w:rPr>
          <w:sz w:val="15"/>
        </w:rPr>
        <w:t>BBMs</w:t>
      </w:r>
      <w:r>
        <w:rPr>
          <w:spacing w:val="-8"/>
          <w:sz w:val="15"/>
        </w:rPr>
        <w:t> </w:t>
      </w:r>
      <w:r>
        <w:rPr>
          <w:sz w:val="15"/>
        </w:rPr>
        <w:t>-</w:t>
      </w:r>
      <w:r>
        <w:rPr>
          <w:spacing w:val="-5"/>
          <w:sz w:val="15"/>
        </w:rPr>
        <w:t> </w:t>
      </w:r>
      <w:r>
        <w:rPr>
          <w:spacing w:val="-4"/>
          <w:sz w:val="15"/>
        </w:rPr>
        <w:t>λoιπά</w:t>
      </w:r>
    </w:p>
    <w:p>
      <w:pPr>
        <w:pStyle w:val="BodyText"/>
        <w:spacing w:before="108"/>
        <w:rPr>
          <w:sz w:val="14"/>
        </w:rPr>
      </w:pPr>
    </w:p>
    <w:p>
      <w:pPr>
        <w:spacing w:before="0"/>
        <w:ind w:left="333"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p>
      <w:pPr>
        <w:pStyle w:val="BodyText"/>
        <w:spacing w:before="4"/>
        <w:rPr>
          <w:sz w:val="14"/>
        </w:rPr>
      </w:pPr>
    </w:p>
    <w:p>
      <w:pPr>
        <w:pStyle w:val="BodyText"/>
        <w:spacing w:line="285" w:lineRule="auto" w:before="1"/>
        <w:ind w:left="210" w:right="996"/>
        <w:jc w:val="both"/>
      </w:pPr>
      <w:r>
        <w:rPr/>
        <w:t>Το 2025 οι εκταμιεύσεις δανείων για οικιστικά ακίνητα ανήλθαν σε 2 δισεκ. ευρώ, έναντι 1,3 δισεκ.</w:t>
      </w:r>
      <w:r>
        <w:rPr>
          <w:spacing w:val="-6"/>
        </w:rPr>
        <w:t> </w:t>
      </w:r>
      <w:r>
        <w:rPr/>
        <w:t>ευρώ</w:t>
      </w:r>
      <w:r>
        <w:rPr>
          <w:spacing w:val="-2"/>
        </w:rPr>
        <w:t> </w:t>
      </w:r>
      <w:r>
        <w:rPr/>
        <w:t>το</w:t>
      </w:r>
      <w:r>
        <w:rPr>
          <w:spacing w:val="-6"/>
        </w:rPr>
        <w:t> </w:t>
      </w:r>
      <w:r>
        <w:rPr/>
        <w:t>προηγούμενο</w:t>
      </w:r>
      <w:r>
        <w:rPr>
          <w:spacing w:val="-3"/>
        </w:rPr>
        <w:t> </w:t>
      </w:r>
      <w:r>
        <w:rPr/>
        <w:t>έτος,</w:t>
      </w:r>
      <w:r>
        <w:rPr>
          <w:spacing w:val="-3"/>
        </w:rPr>
        <w:t> </w:t>
      </w:r>
      <w:r>
        <w:rPr/>
        <w:t>καταγράφοντας</w:t>
      </w:r>
      <w:r>
        <w:rPr>
          <w:spacing w:val="-7"/>
        </w:rPr>
        <w:t> </w:t>
      </w:r>
      <w:r>
        <w:rPr/>
        <w:t>σημαντική</w:t>
      </w:r>
      <w:r>
        <w:rPr>
          <w:spacing w:val="-3"/>
        </w:rPr>
        <w:t> </w:t>
      </w:r>
      <w:r>
        <w:rPr/>
        <w:t>άνοδο.</w:t>
      </w:r>
      <w:r>
        <w:rPr>
          <w:spacing w:val="-2"/>
        </w:rPr>
        <w:t> </w:t>
      </w:r>
      <w:r>
        <w:rPr/>
        <w:t>Η</w:t>
      </w:r>
      <w:r>
        <w:rPr>
          <w:spacing w:val="-7"/>
        </w:rPr>
        <w:t> </w:t>
      </w:r>
      <w:r>
        <w:rPr/>
        <w:t>αύξηση</w:t>
      </w:r>
      <w:r>
        <w:rPr>
          <w:spacing w:val="-3"/>
        </w:rPr>
        <w:t> </w:t>
      </w:r>
      <w:r>
        <w:rPr/>
        <w:t>αυτή</w:t>
      </w:r>
      <w:r>
        <w:rPr>
          <w:spacing w:val="-3"/>
        </w:rPr>
        <w:t> </w:t>
      </w:r>
      <w:r>
        <w:rPr/>
        <w:t>οφείλεται εν μέρει στις εκταμιεύσεις που σχετίζονται με το Πρόγραμμα “Σπίτι μου ΙΙ”, οι οποίες για το 2025</w:t>
      </w:r>
      <w:r>
        <w:rPr>
          <w:spacing w:val="-3"/>
        </w:rPr>
        <w:t> </w:t>
      </w:r>
      <w:r>
        <w:rPr/>
        <w:t>ανήλθαν</w:t>
      </w:r>
      <w:r>
        <w:rPr>
          <w:spacing w:val="-2"/>
        </w:rPr>
        <w:t> </w:t>
      </w:r>
      <w:r>
        <w:rPr/>
        <w:t>σε</w:t>
      </w:r>
      <w:r>
        <w:rPr>
          <w:spacing w:val="-3"/>
        </w:rPr>
        <w:t> </w:t>
      </w:r>
      <w:r>
        <w:rPr/>
        <w:t>περίπου</w:t>
      </w:r>
      <w:r>
        <w:rPr>
          <w:spacing w:val="-4"/>
        </w:rPr>
        <w:t> </w:t>
      </w:r>
      <w:r>
        <w:rPr/>
        <w:t>0,4</w:t>
      </w:r>
      <w:r>
        <w:rPr>
          <w:spacing w:val="-3"/>
        </w:rPr>
        <w:t> </w:t>
      </w:r>
      <w:r>
        <w:rPr/>
        <w:t>δισεκ.</w:t>
      </w:r>
      <w:r>
        <w:rPr>
          <w:spacing w:val="-3"/>
        </w:rPr>
        <w:t> </w:t>
      </w:r>
      <w:r>
        <w:rPr/>
        <w:t>ευρώ.</w:t>
      </w:r>
      <w:r>
        <w:rPr>
          <w:spacing w:val="-1"/>
        </w:rPr>
        <w:t> </w:t>
      </w:r>
      <w:r>
        <w:rPr/>
        <w:t>Δεδομένου</w:t>
      </w:r>
      <w:r>
        <w:rPr>
          <w:spacing w:val="-4"/>
        </w:rPr>
        <w:t> </w:t>
      </w:r>
      <w:r>
        <w:rPr/>
        <w:t>ότι</w:t>
      </w:r>
      <w:r>
        <w:rPr>
          <w:spacing w:val="-3"/>
        </w:rPr>
        <w:t> </w:t>
      </w:r>
      <w:r>
        <w:rPr/>
        <w:t>οι</w:t>
      </w:r>
      <w:r>
        <w:rPr>
          <w:spacing w:val="-4"/>
        </w:rPr>
        <w:t> </w:t>
      </w:r>
      <w:r>
        <w:rPr/>
        <w:t>εκταμιεύσεις</w:t>
      </w:r>
      <w:r>
        <w:rPr>
          <w:spacing w:val="-3"/>
        </w:rPr>
        <w:t> </w:t>
      </w:r>
      <w:r>
        <w:rPr/>
        <w:t>δανείων</w:t>
      </w:r>
      <w:r>
        <w:rPr>
          <w:spacing w:val="-4"/>
        </w:rPr>
        <w:t> </w:t>
      </w:r>
      <w:r>
        <w:rPr/>
        <w:t>έχουν</w:t>
      </w:r>
      <w:r>
        <w:rPr>
          <w:spacing w:val="-4"/>
        </w:rPr>
        <w:t> </w:t>
      </w:r>
      <w:r>
        <w:rPr/>
        <w:t>αυξη-θεί σε ετήσια βάση ακόμη και αν δεν προσμετρηθούν αυτές που συνδέονται με το Πρόγραμμα “Σπίτι μου ΙΙ”, η εφαρμογή μακροπροληπτικών μέτρων δεν φαίνεται να προκαλεί σημαντικό περιορισμό της πρόσβασης σε τραπεζικό δανεισμό.</w:t>
      </w:r>
    </w:p>
    <w:p>
      <w:pPr>
        <w:pStyle w:val="BodyText"/>
        <w:spacing w:line="285" w:lineRule="auto" w:before="52"/>
        <w:ind w:left="210" w:right="996"/>
        <w:jc w:val="both"/>
      </w:pPr>
      <w:r>
        <w:rPr/>
        <w:t>Τέλος,</w:t>
      </w:r>
      <w:r>
        <w:rPr>
          <w:spacing w:val="-5"/>
        </w:rPr>
        <w:t> </w:t>
      </w:r>
      <w:r>
        <w:rPr/>
        <w:t>εξετάζεται</w:t>
      </w:r>
      <w:r>
        <w:rPr>
          <w:spacing w:val="-5"/>
        </w:rPr>
        <w:t> </w:t>
      </w:r>
      <w:r>
        <w:rPr/>
        <w:t>αν</w:t>
      </w:r>
      <w:r>
        <w:rPr>
          <w:spacing w:val="-2"/>
        </w:rPr>
        <w:t> </w:t>
      </w:r>
      <w:r>
        <w:rPr/>
        <w:t>η</w:t>
      </w:r>
      <w:r>
        <w:rPr>
          <w:spacing w:val="-4"/>
        </w:rPr>
        <w:t> </w:t>
      </w:r>
      <w:r>
        <w:rPr/>
        <w:t>αύξηση</w:t>
      </w:r>
      <w:r>
        <w:rPr>
          <w:spacing w:val="-2"/>
        </w:rPr>
        <w:t> </w:t>
      </w:r>
      <w:r>
        <w:rPr/>
        <w:t>των</w:t>
      </w:r>
      <w:r>
        <w:rPr>
          <w:spacing w:val="-4"/>
        </w:rPr>
        <w:t> </w:t>
      </w:r>
      <w:r>
        <w:rPr/>
        <w:t>εκταμιεύσεων</w:t>
      </w:r>
      <w:r>
        <w:rPr>
          <w:spacing w:val="-4"/>
        </w:rPr>
        <w:t> </w:t>
      </w:r>
      <w:r>
        <w:rPr/>
        <w:t>δανείων</w:t>
      </w:r>
      <w:r>
        <w:rPr>
          <w:spacing w:val="-4"/>
        </w:rPr>
        <w:t> </w:t>
      </w:r>
      <w:r>
        <w:rPr/>
        <w:t>για</w:t>
      </w:r>
      <w:r>
        <w:rPr>
          <w:spacing w:val="-2"/>
        </w:rPr>
        <w:t> </w:t>
      </w:r>
      <w:r>
        <w:rPr/>
        <w:t>οικιστικά</w:t>
      </w:r>
      <w:r>
        <w:rPr>
          <w:spacing w:val="-3"/>
        </w:rPr>
        <w:t> </w:t>
      </w:r>
      <w:r>
        <w:rPr/>
        <w:t>ακίνητα</w:t>
      </w:r>
      <w:r>
        <w:rPr>
          <w:spacing w:val="-5"/>
        </w:rPr>
        <w:t> </w:t>
      </w:r>
      <w:r>
        <w:rPr/>
        <w:t>που</w:t>
      </w:r>
      <w:r>
        <w:rPr>
          <w:spacing w:val="-1"/>
        </w:rPr>
        <w:t> </w:t>
      </w:r>
      <w:r>
        <w:rPr/>
        <w:t>καταγρά-φηκε</w:t>
      </w:r>
      <w:r>
        <w:rPr>
          <w:spacing w:val="-6"/>
        </w:rPr>
        <w:t> </w:t>
      </w:r>
      <w:r>
        <w:rPr/>
        <w:t>το</w:t>
      </w:r>
      <w:r>
        <w:rPr>
          <w:spacing w:val="-7"/>
        </w:rPr>
        <w:t> </w:t>
      </w:r>
      <w:r>
        <w:rPr/>
        <w:t>2025</w:t>
      </w:r>
      <w:r>
        <w:rPr>
          <w:spacing w:val="-7"/>
        </w:rPr>
        <w:t> </w:t>
      </w:r>
      <w:r>
        <w:rPr/>
        <w:t>συνοδεύθηκε</w:t>
      </w:r>
      <w:r>
        <w:rPr>
          <w:spacing w:val="-9"/>
        </w:rPr>
        <w:t> </w:t>
      </w:r>
      <w:r>
        <w:rPr/>
        <w:t>από</w:t>
      </w:r>
      <w:r>
        <w:rPr>
          <w:spacing w:val="-7"/>
        </w:rPr>
        <w:t> </w:t>
      </w:r>
      <w:r>
        <w:rPr/>
        <w:t>επιδείνωση</w:t>
      </w:r>
      <w:r>
        <w:rPr>
          <w:spacing w:val="-7"/>
        </w:rPr>
        <w:t> </w:t>
      </w:r>
      <w:r>
        <w:rPr/>
        <w:t>του</w:t>
      </w:r>
      <w:r>
        <w:rPr>
          <w:spacing w:val="-6"/>
        </w:rPr>
        <w:t> </w:t>
      </w:r>
      <w:r>
        <w:rPr/>
        <w:t>προφίλ</w:t>
      </w:r>
      <w:r>
        <w:rPr>
          <w:spacing w:val="-8"/>
        </w:rPr>
        <w:t> </w:t>
      </w:r>
      <w:r>
        <w:rPr/>
        <w:t>κινδύνου</w:t>
      </w:r>
      <w:r>
        <w:rPr>
          <w:spacing w:val="-6"/>
        </w:rPr>
        <w:t> </w:t>
      </w:r>
      <w:r>
        <w:rPr/>
        <w:t>των</w:t>
      </w:r>
      <w:r>
        <w:rPr>
          <w:spacing w:val="-9"/>
        </w:rPr>
        <w:t> </w:t>
      </w:r>
      <w:r>
        <w:rPr/>
        <w:t>νέων</w:t>
      </w:r>
      <w:r>
        <w:rPr>
          <w:spacing w:val="-9"/>
        </w:rPr>
        <w:t> </w:t>
      </w:r>
      <w:r>
        <w:rPr/>
        <w:t>δανείων.</w:t>
      </w:r>
      <w:r>
        <w:rPr>
          <w:spacing w:val="-7"/>
        </w:rPr>
        <w:t> </w:t>
      </w:r>
      <w:r>
        <w:rPr/>
        <w:t>Το</w:t>
      </w:r>
      <w:r>
        <w:rPr>
          <w:spacing w:val="-10"/>
        </w:rPr>
        <w:t> </w:t>
      </w:r>
      <w:r>
        <w:rPr/>
        <w:t>επίπεδο κινδύνου των νέων δανείων για οικιστικά ακίνητα μπορεί να</w:t>
      </w:r>
      <w:r>
        <w:rPr>
          <w:spacing w:val="-1"/>
        </w:rPr>
        <w:t> </w:t>
      </w:r>
      <w:r>
        <w:rPr/>
        <w:t>εκτιμηθεί από την έκταση της ου-ράς</w:t>
      </w:r>
      <w:r>
        <w:rPr>
          <w:spacing w:val="-8"/>
        </w:rPr>
        <w:t> </w:t>
      </w:r>
      <w:r>
        <w:rPr/>
        <w:t>(tail)</w:t>
      </w:r>
      <w:r>
        <w:rPr>
          <w:spacing w:val="-6"/>
        </w:rPr>
        <w:t> </w:t>
      </w:r>
      <w:r>
        <w:rPr/>
        <w:t>της</w:t>
      </w:r>
      <w:r>
        <w:rPr>
          <w:spacing w:val="-8"/>
        </w:rPr>
        <w:t> </w:t>
      </w:r>
      <w:r>
        <w:rPr/>
        <w:t>κατανομής</w:t>
      </w:r>
      <w:r>
        <w:rPr>
          <w:spacing w:val="-8"/>
        </w:rPr>
        <w:t> </w:t>
      </w:r>
      <w:r>
        <w:rPr/>
        <w:t>κάθε</w:t>
      </w:r>
      <w:r>
        <w:rPr>
          <w:spacing w:val="-6"/>
        </w:rPr>
        <w:t> </w:t>
      </w:r>
      <w:r>
        <w:rPr/>
        <w:t>δείκτη,</w:t>
      </w:r>
      <w:r>
        <w:rPr>
          <w:spacing w:val="-10"/>
        </w:rPr>
        <w:t> </w:t>
      </w:r>
      <w:r>
        <w:rPr/>
        <w:t>δηλαδή</w:t>
      </w:r>
      <w:r>
        <w:rPr>
          <w:spacing w:val="-7"/>
        </w:rPr>
        <w:t> </w:t>
      </w:r>
      <w:r>
        <w:rPr/>
        <w:t>από</w:t>
      </w:r>
      <w:r>
        <w:rPr>
          <w:spacing w:val="-7"/>
        </w:rPr>
        <w:t> </w:t>
      </w:r>
      <w:r>
        <w:rPr/>
        <w:t>το</w:t>
      </w:r>
      <w:r>
        <w:rPr>
          <w:spacing w:val="-7"/>
        </w:rPr>
        <w:t> </w:t>
      </w:r>
      <w:r>
        <w:rPr/>
        <w:t>μερίδιο</w:t>
      </w:r>
      <w:r>
        <w:rPr>
          <w:spacing w:val="-9"/>
        </w:rPr>
        <w:t> </w:t>
      </w:r>
      <w:r>
        <w:rPr/>
        <w:t>που</w:t>
      </w:r>
      <w:r>
        <w:rPr>
          <w:spacing w:val="-6"/>
        </w:rPr>
        <w:t> </w:t>
      </w:r>
      <w:r>
        <w:rPr/>
        <w:t>καταλαμβάνουν</w:t>
      </w:r>
      <w:r>
        <w:rPr>
          <w:spacing w:val="-9"/>
        </w:rPr>
        <w:t> </w:t>
      </w:r>
      <w:r>
        <w:rPr/>
        <w:t>τα</w:t>
      </w:r>
      <w:r>
        <w:rPr>
          <w:spacing w:val="-8"/>
        </w:rPr>
        <w:t> </w:t>
      </w:r>
      <w:r>
        <w:rPr/>
        <w:t>νέα</w:t>
      </w:r>
      <w:r>
        <w:rPr>
          <w:spacing w:val="-8"/>
        </w:rPr>
        <w:t> </w:t>
      </w:r>
      <w:r>
        <w:rPr/>
        <w:t>δάνεια που</w:t>
      </w:r>
      <w:r>
        <w:rPr>
          <w:spacing w:val="-9"/>
        </w:rPr>
        <w:t> </w:t>
      </w:r>
      <w:r>
        <w:rPr/>
        <w:t>χαρακτηρίζονται</w:t>
      </w:r>
      <w:r>
        <w:rPr>
          <w:spacing w:val="-9"/>
        </w:rPr>
        <w:t> </w:t>
      </w:r>
      <w:r>
        <w:rPr/>
        <w:t>από</w:t>
      </w:r>
      <w:r>
        <w:rPr>
          <w:spacing w:val="-12"/>
        </w:rPr>
        <w:t> </w:t>
      </w:r>
      <w:r>
        <w:rPr/>
        <w:t>ιδιαίτερα</w:t>
      </w:r>
      <w:r>
        <w:rPr>
          <w:spacing w:val="-10"/>
        </w:rPr>
        <w:t> </w:t>
      </w:r>
      <w:r>
        <w:rPr/>
        <w:t>αυξημένες</w:t>
      </w:r>
      <w:r>
        <w:rPr>
          <w:spacing w:val="-11"/>
        </w:rPr>
        <w:t> </w:t>
      </w:r>
      <w:r>
        <w:rPr/>
        <w:t>τιμές</w:t>
      </w:r>
      <w:r>
        <w:rPr>
          <w:spacing w:val="-11"/>
        </w:rPr>
        <w:t> </w:t>
      </w:r>
      <w:r>
        <w:rPr/>
        <w:t>δεικτών</w:t>
      </w:r>
      <w:r>
        <w:rPr>
          <w:spacing w:val="-11"/>
        </w:rPr>
        <w:t> </w:t>
      </w:r>
      <w:r>
        <w:rPr/>
        <w:t>στο</w:t>
      </w:r>
      <w:r>
        <w:rPr>
          <w:spacing w:val="-12"/>
        </w:rPr>
        <w:t> </w:t>
      </w:r>
      <w:r>
        <w:rPr/>
        <w:t>σύνολο</w:t>
      </w:r>
      <w:r>
        <w:rPr>
          <w:spacing w:val="-12"/>
        </w:rPr>
        <w:t> </w:t>
      </w:r>
      <w:r>
        <w:rPr/>
        <w:t>της</w:t>
      </w:r>
      <w:r>
        <w:rPr>
          <w:spacing w:val="-11"/>
        </w:rPr>
        <w:t> </w:t>
      </w:r>
      <w:r>
        <w:rPr/>
        <w:t>ροής</w:t>
      </w:r>
      <w:r>
        <w:rPr>
          <w:spacing w:val="-11"/>
        </w:rPr>
        <w:t> </w:t>
      </w:r>
      <w:r>
        <w:rPr/>
        <w:t>της</w:t>
      </w:r>
      <w:r>
        <w:rPr>
          <w:spacing w:val="-11"/>
        </w:rPr>
        <w:t> </w:t>
      </w:r>
      <w:r>
        <w:rPr/>
        <w:t>περιόδου. Τα δάνεια που βρίσκονται στην ουρά της κατανομής χαρακτηρίζονται από αυξημένη αρχική διάρκεια, υψηλό δείκτη DSTI-O ή/και υψηλό δείκτη LTV-O και θεωρούνται πιο επιρρεπή σε αθέτηση, ιδιαίτερα σε ένα δυσμενές οικονομικό περιβάλλον.</w:t>
      </w:r>
    </w:p>
    <w:p>
      <w:pPr>
        <w:pStyle w:val="BodyText"/>
        <w:spacing w:line="285" w:lineRule="auto" w:before="52"/>
        <w:ind w:left="210" w:right="996"/>
        <w:jc w:val="both"/>
      </w:pPr>
      <w:r>
        <w:rPr/>
        <w:t>Η</w:t>
      </w:r>
      <w:r>
        <w:rPr>
          <w:spacing w:val="-3"/>
        </w:rPr>
        <w:t> </w:t>
      </w:r>
      <w:r>
        <w:rPr/>
        <w:t>διαχρονική</w:t>
      </w:r>
      <w:r>
        <w:rPr>
          <w:spacing w:val="-5"/>
        </w:rPr>
        <w:t> </w:t>
      </w:r>
      <w:r>
        <w:rPr/>
        <w:t>συγκράτηση</w:t>
      </w:r>
      <w:r>
        <w:rPr>
          <w:spacing w:val="-7"/>
        </w:rPr>
        <w:t> </w:t>
      </w:r>
      <w:r>
        <w:rPr/>
        <w:t>της</w:t>
      </w:r>
      <w:r>
        <w:rPr>
          <w:spacing w:val="-4"/>
        </w:rPr>
        <w:t> </w:t>
      </w:r>
      <w:r>
        <w:rPr/>
        <w:t>ουράς</w:t>
      </w:r>
      <w:r>
        <w:rPr>
          <w:spacing w:val="-6"/>
        </w:rPr>
        <w:t> </w:t>
      </w:r>
      <w:r>
        <w:rPr/>
        <w:t>της</w:t>
      </w:r>
      <w:r>
        <w:rPr>
          <w:spacing w:val="-4"/>
        </w:rPr>
        <w:t> </w:t>
      </w:r>
      <w:r>
        <w:rPr/>
        <w:t>κατανομής</w:t>
      </w:r>
      <w:r>
        <w:rPr>
          <w:spacing w:val="-4"/>
        </w:rPr>
        <w:t> </w:t>
      </w:r>
      <w:r>
        <w:rPr/>
        <w:t>των</w:t>
      </w:r>
      <w:r>
        <w:rPr>
          <w:spacing w:val="-4"/>
        </w:rPr>
        <w:t> </w:t>
      </w:r>
      <w:r>
        <w:rPr/>
        <w:t>εξεταζόμενων</w:t>
      </w:r>
      <w:r>
        <w:rPr>
          <w:spacing w:val="-4"/>
        </w:rPr>
        <w:t> </w:t>
      </w:r>
      <w:r>
        <w:rPr/>
        <w:t>δεικτών αποτελεί</w:t>
      </w:r>
      <w:r>
        <w:rPr>
          <w:spacing w:val="-4"/>
        </w:rPr>
        <w:t> </w:t>
      </w:r>
      <w:r>
        <w:rPr/>
        <w:t>σαφή ένδειξη</w:t>
      </w:r>
      <w:r>
        <w:rPr>
          <w:spacing w:val="-5"/>
        </w:rPr>
        <w:t> </w:t>
      </w:r>
      <w:r>
        <w:rPr/>
        <w:t>για</w:t>
      </w:r>
      <w:r>
        <w:rPr>
          <w:spacing w:val="-5"/>
        </w:rPr>
        <w:t> </w:t>
      </w:r>
      <w:r>
        <w:rPr/>
        <w:t>την</w:t>
      </w:r>
      <w:r>
        <w:rPr>
          <w:spacing w:val="-4"/>
        </w:rPr>
        <w:t> </w:t>
      </w:r>
      <w:r>
        <w:rPr/>
        <w:t>εφαρμογή</w:t>
      </w:r>
      <w:r>
        <w:rPr>
          <w:spacing w:val="-8"/>
        </w:rPr>
        <w:t> </w:t>
      </w:r>
      <w:r>
        <w:rPr/>
        <w:t>συνετών</w:t>
      </w:r>
      <w:r>
        <w:rPr>
          <w:spacing w:val="-4"/>
        </w:rPr>
        <w:t> </w:t>
      </w:r>
      <w:r>
        <w:rPr/>
        <w:t>πιστοδοτικών</w:t>
      </w:r>
      <w:r>
        <w:rPr>
          <w:spacing w:val="-5"/>
        </w:rPr>
        <w:t> </w:t>
      </w:r>
      <w:r>
        <w:rPr/>
        <w:t>κριτηρίων</w:t>
      </w:r>
      <w:r>
        <w:rPr>
          <w:spacing w:val="-5"/>
        </w:rPr>
        <w:t> </w:t>
      </w:r>
      <w:r>
        <w:rPr/>
        <w:t>εκ</w:t>
      </w:r>
      <w:r>
        <w:rPr>
          <w:spacing w:val="-7"/>
        </w:rPr>
        <w:t> </w:t>
      </w:r>
      <w:r>
        <w:rPr/>
        <w:t>μέρους</w:t>
      </w:r>
      <w:r>
        <w:rPr>
          <w:spacing w:val="-7"/>
        </w:rPr>
        <w:t> </w:t>
      </w:r>
      <w:r>
        <w:rPr/>
        <w:t>των</w:t>
      </w:r>
      <w:r>
        <w:rPr>
          <w:spacing w:val="-5"/>
        </w:rPr>
        <w:t> </w:t>
      </w:r>
      <w:r>
        <w:rPr/>
        <w:t>πιστωτικών</w:t>
      </w:r>
      <w:r>
        <w:rPr>
          <w:spacing w:val="-5"/>
        </w:rPr>
        <w:t> </w:t>
      </w:r>
      <w:r>
        <w:rPr/>
        <w:t>ιδρυμά-των και, κατ’</w:t>
      </w:r>
      <w:r>
        <w:rPr>
          <w:spacing w:val="-2"/>
        </w:rPr>
        <w:t> </w:t>
      </w:r>
      <w:r>
        <w:rPr/>
        <w:t>επέκταση, για την αποτελεσματικότητα των μακροπροληπτικών μέτρων σχετικά με</w:t>
      </w:r>
      <w:r>
        <w:rPr>
          <w:spacing w:val="-9"/>
        </w:rPr>
        <w:t> </w:t>
      </w:r>
      <w:r>
        <w:rPr/>
        <w:t>τη</w:t>
      </w:r>
      <w:r>
        <w:rPr>
          <w:spacing w:val="-10"/>
        </w:rPr>
        <w:t> </w:t>
      </w:r>
      <w:r>
        <w:rPr/>
        <w:t>δανειακή</w:t>
      </w:r>
      <w:r>
        <w:rPr>
          <w:spacing w:val="-12"/>
        </w:rPr>
        <w:t> </w:t>
      </w:r>
      <w:r>
        <w:rPr/>
        <w:t>επιβάρυνση.</w:t>
      </w:r>
      <w:r>
        <w:rPr>
          <w:spacing w:val="-10"/>
        </w:rPr>
        <w:t> </w:t>
      </w:r>
      <w:r>
        <w:rPr/>
        <w:t>Η</w:t>
      </w:r>
      <w:r>
        <w:rPr>
          <w:spacing w:val="-10"/>
        </w:rPr>
        <w:t> </w:t>
      </w:r>
      <w:r>
        <w:rPr/>
        <w:t>επιβεβαίωση</w:t>
      </w:r>
      <w:r>
        <w:rPr>
          <w:spacing w:val="-9"/>
        </w:rPr>
        <w:t> </w:t>
      </w:r>
      <w:r>
        <w:rPr/>
        <w:t>της</w:t>
      </w:r>
      <w:r>
        <w:rPr>
          <w:spacing w:val="-11"/>
        </w:rPr>
        <w:t> </w:t>
      </w:r>
      <w:r>
        <w:rPr/>
        <w:t>τήρησης</w:t>
      </w:r>
      <w:r>
        <w:rPr>
          <w:spacing w:val="-11"/>
        </w:rPr>
        <w:t> </w:t>
      </w:r>
      <w:r>
        <w:rPr/>
        <w:t>αυτής</w:t>
      </w:r>
      <w:r>
        <w:rPr>
          <w:spacing w:val="-10"/>
        </w:rPr>
        <w:t> </w:t>
      </w:r>
      <w:r>
        <w:rPr/>
        <w:t>της</w:t>
      </w:r>
      <w:r>
        <w:rPr>
          <w:spacing w:val="-10"/>
        </w:rPr>
        <w:t> </w:t>
      </w:r>
      <w:r>
        <w:rPr/>
        <w:t>συνθήκης</w:t>
      </w:r>
      <w:r>
        <w:rPr>
          <w:spacing w:val="-11"/>
        </w:rPr>
        <w:t> </w:t>
      </w:r>
      <w:r>
        <w:rPr/>
        <w:t>κρίνεται</w:t>
      </w:r>
      <w:r>
        <w:rPr>
          <w:spacing w:val="-9"/>
        </w:rPr>
        <w:t> </w:t>
      </w:r>
      <w:r>
        <w:rPr/>
        <w:t>ιδιαίτερα κρίσιμη</w:t>
      </w:r>
      <w:r>
        <w:rPr>
          <w:spacing w:val="21"/>
        </w:rPr>
        <w:t> </w:t>
      </w:r>
      <w:r>
        <w:rPr/>
        <w:t>σε</w:t>
      </w:r>
      <w:r>
        <w:rPr>
          <w:spacing w:val="25"/>
        </w:rPr>
        <w:t> </w:t>
      </w:r>
      <w:r>
        <w:rPr/>
        <w:t>περιόδους</w:t>
      </w:r>
      <w:r>
        <w:rPr>
          <w:spacing w:val="23"/>
        </w:rPr>
        <w:t> </w:t>
      </w:r>
      <w:r>
        <w:rPr/>
        <w:t>πιστωτικής</w:t>
      </w:r>
      <w:r>
        <w:rPr>
          <w:spacing w:val="20"/>
        </w:rPr>
        <w:t> </w:t>
      </w:r>
      <w:r>
        <w:rPr/>
        <w:t>επέκτασης.</w:t>
      </w:r>
      <w:r>
        <w:rPr>
          <w:spacing w:val="28"/>
        </w:rPr>
        <w:t> </w:t>
      </w:r>
      <w:r>
        <w:rPr/>
        <w:t>Πράγματι,</w:t>
      </w:r>
      <w:r>
        <w:rPr>
          <w:spacing w:val="24"/>
        </w:rPr>
        <w:t> </w:t>
      </w:r>
      <w:r>
        <w:rPr/>
        <w:t>το</w:t>
      </w:r>
      <w:r>
        <w:rPr>
          <w:spacing w:val="23"/>
        </w:rPr>
        <w:t> </w:t>
      </w:r>
      <w:r>
        <w:rPr/>
        <w:t>2025</w:t>
      </w:r>
      <w:r>
        <w:rPr>
          <w:spacing w:val="24"/>
        </w:rPr>
        <w:t> </w:t>
      </w:r>
      <w:r>
        <w:rPr/>
        <w:t>η</w:t>
      </w:r>
      <w:r>
        <w:rPr>
          <w:spacing w:val="22"/>
        </w:rPr>
        <w:t> </w:t>
      </w:r>
      <w:r>
        <w:rPr/>
        <w:t>ουρά</w:t>
      </w:r>
      <w:r>
        <w:rPr>
          <w:spacing w:val="22"/>
        </w:rPr>
        <w:t> </w:t>
      </w:r>
      <w:r>
        <w:rPr/>
        <w:t>της</w:t>
      </w:r>
      <w:r>
        <w:rPr>
          <w:spacing w:val="23"/>
        </w:rPr>
        <w:t> </w:t>
      </w:r>
      <w:r>
        <w:rPr/>
        <w:t>κατανομής</w:t>
      </w:r>
      <w:r>
        <w:rPr>
          <w:spacing w:val="24"/>
        </w:rPr>
        <w:t> </w:t>
      </w:r>
      <w:r>
        <w:rPr>
          <w:spacing w:val="-5"/>
        </w:rPr>
        <w:t>του</w:t>
      </w:r>
    </w:p>
    <w:p>
      <w:pPr>
        <w:pStyle w:val="BodyText"/>
        <w:spacing w:after="0" w:line="285" w:lineRule="auto"/>
        <w:jc w:val="both"/>
        <w:sectPr>
          <w:type w:val="continuous"/>
          <w:pgSz w:w="11910" w:h="16850"/>
          <w:pgMar w:header="0" w:footer="1108" w:top="1320" w:bottom="280" w:left="1417" w:right="85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
        <w:gridCol w:w="4401"/>
        <w:gridCol w:w="720"/>
        <w:gridCol w:w="1017"/>
        <w:gridCol w:w="1456"/>
        <w:gridCol w:w="942"/>
      </w:tblGrid>
      <w:tr>
        <w:trPr>
          <w:trHeight w:val="2759" w:hRule="atLeast"/>
        </w:trPr>
        <w:tc>
          <w:tcPr>
            <w:tcW w:w="8644" w:type="dxa"/>
            <w:gridSpan w:val="6"/>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85" w:lineRule="auto" w:before="34"/>
              <w:ind w:left="107" w:right="92"/>
              <w:jc w:val="both"/>
              <w:rPr>
                <w:sz w:val="22"/>
              </w:rPr>
            </w:pPr>
            <w:r>
              <w:rPr>
                <w:sz w:val="22"/>
              </w:rPr>
              <mc:AlternateContent>
                <mc:Choice Requires="wps">
                  <w:drawing>
                    <wp:anchor distT="0" distB="0" distL="0" distR="0" allowOverlap="1" layoutInCell="1" locked="0" behindDoc="1" simplePos="0" relativeHeight="482659840">
                      <wp:simplePos x="0" y="0"/>
                      <wp:positionH relativeFrom="column">
                        <wp:posOffset>3047</wp:posOffset>
                      </wp:positionH>
                      <wp:positionV relativeFrom="paragraph">
                        <wp:posOffset>-310</wp:posOffset>
                      </wp:positionV>
                      <wp:extent cx="5483225" cy="855218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5483225" cy="8552180"/>
                                <a:chExt cx="5483225" cy="8552180"/>
                              </a:xfrm>
                            </wpg:grpSpPr>
                            <wps:wsp>
                              <wps:cNvPr id="127" name="Graphic 127"/>
                              <wps:cNvSpPr/>
                              <wps:spPr>
                                <a:xfrm>
                                  <a:off x="0" y="0"/>
                                  <a:ext cx="5483225" cy="8552180"/>
                                </a:xfrm>
                                <a:custGeom>
                                  <a:avLst/>
                                  <a:gdLst/>
                                  <a:ahLst/>
                                  <a:cxnLst/>
                                  <a:rect l="l" t="t" r="r" b="b"/>
                                  <a:pathLst>
                                    <a:path w="5483225" h="8552180">
                                      <a:moveTo>
                                        <a:pt x="5482717" y="0"/>
                                      </a:moveTo>
                                      <a:lnTo>
                                        <a:pt x="0" y="0"/>
                                      </a:lnTo>
                                      <a:lnTo>
                                        <a:pt x="0" y="8552053"/>
                                      </a:lnTo>
                                      <a:lnTo>
                                        <a:pt x="5482717" y="8552053"/>
                                      </a:lnTo>
                                      <a:lnTo>
                                        <a:pt x="5482717" y="0"/>
                                      </a:lnTo>
                                      <a:close/>
                                    </a:path>
                                  </a:pathLst>
                                </a:custGeom>
                                <a:solidFill>
                                  <a:srgbClr val="D9D9D9"/>
                                </a:solidFill>
                              </wps:spPr>
                              <wps:bodyPr wrap="square" lIns="0" tIns="0" rIns="0" bIns="0" rtlCol="0">
                                <a:prstTxWarp prst="textNoShape">
                                  <a:avLst/>
                                </a:prstTxWarp>
                                <a:noAutofit/>
                              </wps:bodyPr>
                            </wps:wsp>
                            <wps:wsp>
                              <wps:cNvPr id="128" name="Graphic 128"/>
                              <wps:cNvSpPr/>
                              <wps:spPr>
                                <a:xfrm>
                                  <a:off x="212868" y="2343242"/>
                                  <a:ext cx="1756410" cy="2145030"/>
                                </a:xfrm>
                                <a:custGeom>
                                  <a:avLst/>
                                  <a:gdLst/>
                                  <a:ahLst/>
                                  <a:cxnLst/>
                                  <a:rect l="l" t="t" r="r" b="b"/>
                                  <a:pathLst>
                                    <a:path w="1756410" h="2145030">
                                      <a:moveTo>
                                        <a:pt x="1755885" y="0"/>
                                      </a:moveTo>
                                      <a:lnTo>
                                        <a:pt x="0" y="0"/>
                                      </a:lnTo>
                                      <a:lnTo>
                                        <a:pt x="0" y="2144728"/>
                                      </a:lnTo>
                                      <a:lnTo>
                                        <a:pt x="1755885" y="2144729"/>
                                      </a:lnTo>
                                    </a:path>
                                  </a:pathLst>
                                </a:custGeom>
                                <a:ln w="7487">
                                  <a:solidFill>
                                    <a:srgbClr val="BEBEBE"/>
                                  </a:solidFill>
                                  <a:prstDash val="solid"/>
                                </a:ln>
                              </wps:spPr>
                              <wps:bodyPr wrap="square" lIns="0" tIns="0" rIns="0" bIns="0" rtlCol="0">
                                <a:prstTxWarp prst="textNoShape">
                                  <a:avLst/>
                                </a:prstTxWarp>
                                <a:noAutofit/>
                              </wps:bodyPr>
                            </wps:wsp>
                            <wps:wsp>
                              <wps:cNvPr id="129" name="Graphic 129"/>
                              <wps:cNvSpPr/>
                              <wps:spPr>
                                <a:xfrm>
                                  <a:off x="2117182" y="2343230"/>
                                  <a:ext cx="1757045" cy="2150110"/>
                                </a:xfrm>
                                <a:custGeom>
                                  <a:avLst/>
                                  <a:gdLst/>
                                  <a:ahLst/>
                                  <a:cxnLst/>
                                  <a:rect l="l" t="t" r="r" b="b"/>
                                  <a:pathLst>
                                    <a:path w="1757045" h="2150110">
                                      <a:moveTo>
                                        <a:pt x="1756520" y="0"/>
                                      </a:moveTo>
                                      <a:lnTo>
                                        <a:pt x="0" y="0"/>
                                      </a:lnTo>
                                      <a:lnTo>
                                        <a:pt x="0" y="2149919"/>
                                      </a:lnTo>
                                      <a:lnTo>
                                        <a:pt x="1756520" y="2149919"/>
                                      </a:lnTo>
                                    </a:path>
                                  </a:pathLst>
                                </a:custGeom>
                                <a:ln w="7485">
                                  <a:solidFill>
                                    <a:srgbClr val="BEBEBE"/>
                                  </a:solidFill>
                                  <a:prstDash val="solid"/>
                                </a:ln>
                              </wps:spPr>
                              <wps:bodyPr wrap="square" lIns="0" tIns="0" rIns="0" bIns="0" rtlCol="0">
                                <a:prstTxWarp prst="textNoShape">
                                  <a:avLst/>
                                </a:prstTxWarp>
                                <a:noAutofit/>
                              </wps:bodyPr>
                            </wps:wsp>
                            <wps:wsp>
                              <wps:cNvPr id="130" name="Graphic 130"/>
                              <wps:cNvSpPr/>
                              <wps:spPr>
                                <a:xfrm>
                                  <a:off x="4390301" y="3158413"/>
                                  <a:ext cx="852169" cy="1044575"/>
                                </a:xfrm>
                                <a:custGeom>
                                  <a:avLst/>
                                  <a:gdLst/>
                                  <a:ahLst/>
                                  <a:cxnLst/>
                                  <a:rect l="l" t="t" r="r" b="b"/>
                                  <a:pathLst>
                                    <a:path w="852169" h="1044575">
                                      <a:moveTo>
                                        <a:pt x="387896" y="108267"/>
                                      </a:moveTo>
                                      <a:lnTo>
                                        <a:pt x="0" y="108267"/>
                                      </a:lnTo>
                                      <a:lnTo>
                                        <a:pt x="0" y="1044435"/>
                                      </a:lnTo>
                                      <a:lnTo>
                                        <a:pt x="387896" y="1044435"/>
                                      </a:lnTo>
                                      <a:lnTo>
                                        <a:pt x="387896" y="108267"/>
                                      </a:lnTo>
                                      <a:close/>
                                    </a:path>
                                    <a:path w="852169" h="1044575">
                                      <a:moveTo>
                                        <a:pt x="852119" y="0"/>
                                      </a:moveTo>
                                      <a:lnTo>
                                        <a:pt x="464210" y="0"/>
                                      </a:lnTo>
                                      <a:lnTo>
                                        <a:pt x="464210" y="1044435"/>
                                      </a:lnTo>
                                      <a:lnTo>
                                        <a:pt x="852119" y="1044435"/>
                                      </a:lnTo>
                                      <a:lnTo>
                                        <a:pt x="852119" y="0"/>
                                      </a:lnTo>
                                      <a:close/>
                                    </a:path>
                                  </a:pathLst>
                                </a:custGeom>
                                <a:solidFill>
                                  <a:srgbClr val="1F3863"/>
                                </a:solidFill>
                              </wps:spPr>
                              <wps:bodyPr wrap="square" lIns="0" tIns="0" rIns="0" bIns="0" rtlCol="0">
                                <a:prstTxWarp prst="textNoShape">
                                  <a:avLst/>
                                </a:prstTxWarp>
                                <a:noAutofit/>
                              </wps:bodyPr>
                            </wps:wsp>
                            <wps:wsp>
                              <wps:cNvPr id="131" name="Graphic 131"/>
                              <wps:cNvSpPr/>
                              <wps:spPr>
                                <a:xfrm>
                                  <a:off x="4390310" y="3158410"/>
                                  <a:ext cx="852169" cy="1044575"/>
                                </a:xfrm>
                                <a:custGeom>
                                  <a:avLst/>
                                  <a:gdLst/>
                                  <a:ahLst/>
                                  <a:cxnLst/>
                                  <a:rect l="l" t="t" r="r" b="b"/>
                                  <a:pathLst>
                                    <a:path w="852169" h="1044575">
                                      <a:moveTo>
                                        <a:pt x="0" y="108265"/>
                                      </a:moveTo>
                                      <a:lnTo>
                                        <a:pt x="387898" y="108265"/>
                                      </a:lnTo>
                                      <a:lnTo>
                                        <a:pt x="387898" y="1044427"/>
                                      </a:lnTo>
                                      <a:lnTo>
                                        <a:pt x="0" y="1044427"/>
                                      </a:lnTo>
                                      <a:lnTo>
                                        <a:pt x="0" y="108265"/>
                                      </a:lnTo>
                                      <a:close/>
                                    </a:path>
                                    <a:path w="852169" h="1044575">
                                      <a:moveTo>
                                        <a:pt x="464208" y="0"/>
                                      </a:moveTo>
                                      <a:lnTo>
                                        <a:pt x="852118" y="0"/>
                                      </a:lnTo>
                                      <a:lnTo>
                                        <a:pt x="852118" y="1044427"/>
                                      </a:lnTo>
                                      <a:lnTo>
                                        <a:pt x="464208" y="1044427"/>
                                      </a:lnTo>
                                      <a:lnTo>
                                        <a:pt x="464208" y="0"/>
                                      </a:lnTo>
                                      <a:close/>
                                    </a:path>
                                  </a:pathLst>
                                </a:custGeom>
                                <a:ln w="7424">
                                  <a:solidFill>
                                    <a:srgbClr val="FFFFFF"/>
                                  </a:solidFill>
                                  <a:prstDash val="solid"/>
                                </a:ln>
                              </wps:spPr>
                              <wps:bodyPr wrap="square" lIns="0" tIns="0" rIns="0" bIns="0" rtlCol="0">
                                <a:prstTxWarp prst="textNoShape">
                                  <a:avLst/>
                                </a:prstTxWarp>
                                <a:noAutofit/>
                              </wps:bodyPr>
                            </wps:wsp>
                            <wps:wsp>
                              <wps:cNvPr id="132" name="Graphic 132"/>
                              <wps:cNvSpPr/>
                              <wps:spPr>
                                <a:xfrm>
                                  <a:off x="4390301" y="2763570"/>
                                  <a:ext cx="852169" cy="503555"/>
                                </a:xfrm>
                                <a:custGeom>
                                  <a:avLst/>
                                  <a:gdLst/>
                                  <a:ahLst/>
                                  <a:cxnLst/>
                                  <a:rect l="l" t="t" r="r" b="b"/>
                                  <a:pathLst>
                                    <a:path w="852169" h="503555">
                                      <a:moveTo>
                                        <a:pt x="387896" y="38201"/>
                                      </a:moveTo>
                                      <a:lnTo>
                                        <a:pt x="0" y="38201"/>
                                      </a:lnTo>
                                      <a:lnTo>
                                        <a:pt x="0" y="503110"/>
                                      </a:lnTo>
                                      <a:lnTo>
                                        <a:pt x="387896" y="503110"/>
                                      </a:lnTo>
                                      <a:lnTo>
                                        <a:pt x="387896" y="38201"/>
                                      </a:lnTo>
                                      <a:close/>
                                    </a:path>
                                    <a:path w="852169" h="503555">
                                      <a:moveTo>
                                        <a:pt x="852119" y="0"/>
                                      </a:moveTo>
                                      <a:lnTo>
                                        <a:pt x="464210" y="0"/>
                                      </a:lnTo>
                                      <a:lnTo>
                                        <a:pt x="464210" y="394843"/>
                                      </a:lnTo>
                                      <a:lnTo>
                                        <a:pt x="852119" y="394843"/>
                                      </a:lnTo>
                                      <a:lnTo>
                                        <a:pt x="852119" y="0"/>
                                      </a:lnTo>
                                      <a:close/>
                                    </a:path>
                                  </a:pathLst>
                                </a:custGeom>
                                <a:solidFill>
                                  <a:srgbClr val="ACB8C9"/>
                                </a:solidFill>
                              </wps:spPr>
                              <wps:bodyPr wrap="square" lIns="0" tIns="0" rIns="0" bIns="0" rtlCol="0">
                                <a:prstTxWarp prst="textNoShape">
                                  <a:avLst/>
                                </a:prstTxWarp>
                                <a:noAutofit/>
                              </wps:bodyPr>
                            </wps:wsp>
                            <wps:wsp>
                              <wps:cNvPr id="133" name="Graphic 133"/>
                              <wps:cNvSpPr/>
                              <wps:spPr>
                                <a:xfrm>
                                  <a:off x="4390310" y="2763558"/>
                                  <a:ext cx="852169" cy="503555"/>
                                </a:xfrm>
                                <a:custGeom>
                                  <a:avLst/>
                                  <a:gdLst/>
                                  <a:ahLst/>
                                  <a:cxnLst/>
                                  <a:rect l="l" t="t" r="r" b="b"/>
                                  <a:pathLst>
                                    <a:path w="852169" h="503555">
                                      <a:moveTo>
                                        <a:pt x="0" y="38211"/>
                                      </a:moveTo>
                                      <a:lnTo>
                                        <a:pt x="387898" y="38211"/>
                                      </a:lnTo>
                                      <a:lnTo>
                                        <a:pt x="387898" y="503118"/>
                                      </a:lnTo>
                                      <a:lnTo>
                                        <a:pt x="0" y="503118"/>
                                      </a:lnTo>
                                      <a:lnTo>
                                        <a:pt x="0" y="38211"/>
                                      </a:lnTo>
                                      <a:close/>
                                    </a:path>
                                    <a:path w="852169" h="503555">
                                      <a:moveTo>
                                        <a:pt x="464208" y="0"/>
                                      </a:moveTo>
                                      <a:lnTo>
                                        <a:pt x="852118" y="0"/>
                                      </a:lnTo>
                                      <a:lnTo>
                                        <a:pt x="852118" y="394852"/>
                                      </a:lnTo>
                                      <a:lnTo>
                                        <a:pt x="464208" y="394852"/>
                                      </a:lnTo>
                                      <a:lnTo>
                                        <a:pt x="464208" y="0"/>
                                      </a:lnTo>
                                      <a:close/>
                                    </a:path>
                                  </a:pathLst>
                                </a:custGeom>
                                <a:ln w="7424">
                                  <a:solidFill>
                                    <a:srgbClr val="FFFFFF"/>
                                  </a:solidFill>
                                  <a:prstDash val="solid"/>
                                </a:ln>
                              </wps:spPr>
                              <wps:bodyPr wrap="square" lIns="0" tIns="0" rIns="0" bIns="0" rtlCol="0">
                                <a:prstTxWarp prst="textNoShape">
                                  <a:avLst/>
                                </a:prstTxWarp>
                                <a:noAutofit/>
                              </wps:bodyPr>
                            </wps:wsp>
                            <wps:wsp>
                              <wps:cNvPr id="134" name="Graphic 134"/>
                              <wps:cNvSpPr/>
                              <wps:spPr>
                                <a:xfrm>
                                  <a:off x="4390301" y="2617088"/>
                                  <a:ext cx="852169" cy="184785"/>
                                </a:xfrm>
                                <a:custGeom>
                                  <a:avLst/>
                                  <a:gdLst/>
                                  <a:ahLst/>
                                  <a:cxnLst/>
                                  <a:rect l="l" t="t" r="r" b="b"/>
                                  <a:pathLst>
                                    <a:path w="852169" h="184785">
                                      <a:moveTo>
                                        <a:pt x="387896" y="0"/>
                                      </a:moveTo>
                                      <a:lnTo>
                                        <a:pt x="0" y="0"/>
                                      </a:lnTo>
                                      <a:lnTo>
                                        <a:pt x="0" y="184683"/>
                                      </a:lnTo>
                                      <a:lnTo>
                                        <a:pt x="387896" y="184683"/>
                                      </a:lnTo>
                                      <a:lnTo>
                                        <a:pt x="387896" y="0"/>
                                      </a:lnTo>
                                      <a:close/>
                                    </a:path>
                                    <a:path w="852169" h="184785">
                                      <a:moveTo>
                                        <a:pt x="852119" y="0"/>
                                      </a:moveTo>
                                      <a:lnTo>
                                        <a:pt x="464210" y="0"/>
                                      </a:lnTo>
                                      <a:lnTo>
                                        <a:pt x="464210" y="146481"/>
                                      </a:lnTo>
                                      <a:lnTo>
                                        <a:pt x="852119" y="146481"/>
                                      </a:lnTo>
                                      <a:lnTo>
                                        <a:pt x="852119" y="0"/>
                                      </a:lnTo>
                                      <a:close/>
                                    </a:path>
                                  </a:pathLst>
                                </a:custGeom>
                                <a:solidFill>
                                  <a:srgbClr val="DAE2F3"/>
                                </a:solidFill>
                              </wps:spPr>
                              <wps:bodyPr wrap="square" lIns="0" tIns="0" rIns="0" bIns="0" rtlCol="0">
                                <a:prstTxWarp prst="textNoShape">
                                  <a:avLst/>
                                </a:prstTxWarp>
                                <a:noAutofit/>
                              </wps:bodyPr>
                            </wps:wsp>
                            <wps:wsp>
                              <wps:cNvPr id="135" name="Graphic 135"/>
                              <wps:cNvSpPr/>
                              <wps:spPr>
                                <a:xfrm>
                                  <a:off x="4390310" y="2617080"/>
                                  <a:ext cx="852169" cy="184785"/>
                                </a:xfrm>
                                <a:custGeom>
                                  <a:avLst/>
                                  <a:gdLst/>
                                  <a:ahLst/>
                                  <a:cxnLst/>
                                  <a:rect l="l" t="t" r="r" b="b"/>
                                  <a:pathLst>
                                    <a:path w="852169" h="184785">
                                      <a:moveTo>
                                        <a:pt x="0" y="0"/>
                                      </a:moveTo>
                                      <a:lnTo>
                                        <a:pt x="387898" y="0"/>
                                      </a:lnTo>
                                      <a:lnTo>
                                        <a:pt x="387898" y="184689"/>
                                      </a:lnTo>
                                      <a:lnTo>
                                        <a:pt x="0" y="184689"/>
                                      </a:lnTo>
                                      <a:lnTo>
                                        <a:pt x="0" y="0"/>
                                      </a:lnTo>
                                      <a:close/>
                                    </a:path>
                                    <a:path w="852169" h="184785">
                                      <a:moveTo>
                                        <a:pt x="464208" y="0"/>
                                      </a:moveTo>
                                      <a:lnTo>
                                        <a:pt x="852118" y="0"/>
                                      </a:lnTo>
                                      <a:lnTo>
                                        <a:pt x="852118" y="146477"/>
                                      </a:lnTo>
                                      <a:lnTo>
                                        <a:pt x="464208" y="146477"/>
                                      </a:lnTo>
                                      <a:lnTo>
                                        <a:pt x="464208" y="0"/>
                                      </a:lnTo>
                                      <a:close/>
                                    </a:path>
                                  </a:pathLst>
                                </a:custGeom>
                                <a:ln w="742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pt;margin-top:-.024466pt;width:431.75pt;height:673.4pt;mso-position-horizontal-relative:column;mso-position-vertical-relative:paragraph;z-index:-20656640" id="docshapegroup121" coordorigin="5,0" coordsize="8635,13468">
                      <v:rect style="position:absolute;left:4;top:-1;width:8635;height:13468" id="docshape122" filled="true" fillcolor="#d9d9d9" stroked="false">
                        <v:fill type="solid"/>
                      </v:rect>
                      <v:shape style="position:absolute;left:340;top:3689;width:2766;height:3378" id="docshape123" coordorigin="340,3690" coordsize="2766,3378" path="m3105,3690l340,3690,340,7067,3105,7067e" filled="false" stroked="true" strokeweight=".589573pt" strokecolor="#bebebe">
                        <v:path arrowok="t"/>
                        <v:stroke dashstyle="solid"/>
                      </v:shape>
                      <v:shape style="position:absolute;left:3338;top:3689;width:2767;height:3386" id="docshape124" coordorigin="3339,3690" coordsize="2767,3386" path="m6105,3690l3339,3690,3339,7075,6105,7075e" filled="false" stroked="true" strokeweight=".589419pt" strokecolor="#bebebe">
                        <v:path arrowok="t"/>
                        <v:stroke dashstyle="solid"/>
                      </v:shape>
                      <v:shape style="position:absolute;left:6918;top:4973;width:1342;height:1645" id="docshape125" coordorigin="6919,4973" coordsize="1342,1645" path="m7530,5144l6919,5144,6919,6618,7530,6618,7530,5144xm8261,4973l7650,4973,7650,6618,8261,6618,8261,4973xe" filled="true" fillcolor="#1f3863" stroked="false">
                        <v:path arrowok="t"/>
                        <v:fill type="solid"/>
                      </v:shape>
                      <v:shape style="position:absolute;left:6918;top:4973;width:1342;height:1645" id="docshape126" coordorigin="6919,4973" coordsize="1342,1645" path="m6919,5144l7530,5144,7530,6618,6919,6618,6919,5144xm7650,4973l8261,4973,8261,6618,7650,6618,7650,4973xe" filled="false" stroked="true" strokeweight=".584608pt" strokecolor="#ffffff">
                        <v:path arrowok="t"/>
                        <v:stroke dashstyle="solid"/>
                      </v:shape>
                      <v:shape style="position:absolute;left:6918;top:4351;width:1342;height:793" id="docshape127" coordorigin="6919,4352" coordsize="1342,793" path="m7530,4412l6919,4412,6919,5144,7530,5144,7530,4412xm8261,4352l7650,4352,7650,4973,8261,4973,8261,4352xe" filled="true" fillcolor="#acb8c9" stroked="false">
                        <v:path arrowok="t"/>
                        <v:fill type="solid"/>
                      </v:shape>
                      <v:shape style="position:absolute;left:6918;top:4351;width:1342;height:793" id="docshape128" coordorigin="6919,4352" coordsize="1342,793" path="m6919,4412l7530,4412,7530,5144,6919,5144,6919,4412xm7650,4352l8261,4352,8261,4973,7650,4973,7650,4352xe" filled="false" stroked="true" strokeweight=".584608pt" strokecolor="#ffffff">
                        <v:path arrowok="t"/>
                        <v:stroke dashstyle="solid"/>
                      </v:shape>
                      <v:shape style="position:absolute;left:6918;top:4120;width:1342;height:291" id="docshape129" coordorigin="6919,4121" coordsize="1342,291" path="m7530,4121l6919,4121,6919,4412,7530,4412,7530,4121xm8261,4121l7650,4121,7650,4352,8261,4352,8261,4121xe" filled="true" fillcolor="#dae2f3" stroked="false">
                        <v:path arrowok="t"/>
                        <v:fill type="solid"/>
                      </v:shape>
                      <v:shape style="position:absolute;left:6918;top:4120;width:1342;height:291" id="docshape130" coordorigin="6919,4121" coordsize="1342,291" path="m6919,4121l7530,4121,7530,4412,6919,4412,6919,4121xm7650,4121l8261,4121,8261,4352,7650,4352,7650,4121xe" filled="false" stroked="true" strokeweight=".584608pt" strokecolor="#ffffff">
                        <v:path arrowok="t"/>
                        <v:stroke dashstyle="solid"/>
                      </v:shape>
                      <w10:wrap type="none"/>
                    </v:group>
                  </w:pict>
                </mc:Fallback>
              </mc:AlternateContent>
            </w:r>
            <w:r>
              <w:rPr>
                <w:sz w:val="22"/>
              </w:rPr>
              <w:t>DSTI-O αντιστοιχεί στο 7,8% των νέων δανείων της περιόδου, έναντι 10,5% για την περίοδο 2023 έως 2024, καταγράφοντας μείωση κατά 2,7 ποσοστιαίες μονάδες. Ακόμη χαμηλότερη υ-πήρξε</w:t>
            </w:r>
            <w:r>
              <w:rPr>
                <w:spacing w:val="-1"/>
                <w:sz w:val="22"/>
              </w:rPr>
              <w:t> </w:t>
            </w:r>
            <w:r>
              <w:rPr>
                <w:sz w:val="22"/>
              </w:rPr>
              <w:t>η</w:t>
            </w:r>
            <w:r>
              <w:rPr>
                <w:spacing w:val="-1"/>
                <w:sz w:val="22"/>
              </w:rPr>
              <w:t> </w:t>
            </w:r>
            <w:r>
              <w:rPr>
                <w:sz w:val="22"/>
              </w:rPr>
              <w:t>έκταση</w:t>
            </w:r>
            <w:r>
              <w:rPr>
                <w:spacing w:val="-1"/>
                <w:sz w:val="22"/>
              </w:rPr>
              <w:t> </w:t>
            </w:r>
            <w:r>
              <w:rPr>
                <w:sz w:val="22"/>
              </w:rPr>
              <w:t>της</w:t>
            </w:r>
            <w:r>
              <w:rPr>
                <w:spacing w:val="-3"/>
                <w:sz w:val="22"/>
              </w:rPr>
              <w:t> </w:t>
            </w:r>
            <w:r>
              <w:rPr>
                <w:sz w:val="22"/>
              </w:rPr>
              <w:t>ουράς</w:t>
            </w:r>
            <w:r>
              <w:rPr>
                <w:spacing w:val="-5"/>
                <w:sz w:val="22"/>
              </w:rPr>
              <w:t> </w:t>
            </w:r>
            <w:r>
              <w:rPr>
                <w:sz w:val="22"/>
              </w:rPr>
              <w:t>του DSTI-O</w:t>
            </w:r>
            <w:r>
              <w:rPr>
                <w:spacing w:val="-2"/>
                <w:sz w:val="22"/>
              </w:rPr>
              <w:t> </w:t>
            </w:r>
            <w:r>
              <w:rPr>
                <w:sz w:val="22"/>
              </w:rPr>
              <w:t>για</w:t>
            </w:r>
            <w:r>
              <w:rPr>
                <w:spacing w:val="-1"/>
                <w:sz w:val="22"/>
              </w:rPr>
              <w:t> </w:t>
            </w:r>
            <w:r>
              <w:rPr>
                <w:sz w:val="22"/>
              </w:rPr>
              <w:t>τα</w:t>
            </w:r>
            <w:r>
              <w:rPr>
                <w:spacing w:val="-1"/>
                <w:sz w:val="22"/>
              </w:rPr>
              <w:t> </w:t>
            </w:r>
            <w:r>
              <w:rPr>
                <w:sz w:val="22"/>
              </w:rPr>
              <w:t>νέα</w:t>
            </w:r>
            <w:r>
              <w:rPr>
                <w:spacing w:val="-1"/>
                <w:sz w:val="22"/>
              </w:rPr>
              <w:t> </w:t>
            </w:r>
            <w:r>
              <w:rPr>
                <w:sz w:val="22"/>
              </w:rPr>
              <w:t>δάνεια</w:t>
            </w:r>
            <w:r>
              <w:rPr>
                <w:spacing w:val="-1"/>
                <w:sz w:val="22"/>
              </w:rPr>
              <w:t> </w:t>
            </w:r>
            <w:r>
              <w:rPr>
                <w:sz w:val="22"/>
              </w:rPr>
              <w:t>οικιστικών ακινήτων στα</w:t>
            </w:r>
            <w:r>
              <w:rPr>
                <w:spacing w:val="-1"/>
                <w:sz w:val="22"/>
              </w:rPr>
              <w:t> </w:t>
            </w:r>
            <w:r>
              <w:rPr>
                <w:sz w:val="22"/>
              </w:rPr>
              <w:t>οποία</w:t>
            </w:r>
            <w:r>
              <w:rPr>
                <w:spacing w:val="-1"/>
                <w:sz w:val="22"/>
              </w:rPr>
              <w:t> </w:t>
            </w:r>
            <w:r>
              <w:rPr>
                <w:sz w:val="22"/>
              </w:rPr>
              <w:t>είχαν εφαρμογή τα μακροπροληπτικά μέτρα για τη δανειακή επιβάρυνση (2025: 6,7%). Αντίστοιχα, παρατηρήθηκε μείωση της ουράς του δείκτη LTV-O, καθώς από 1,7% την περίοδο 2023-2024 περιορίστηκε στο 0,7% για το 2025. Αντιθέτως, η ουρά της κατανομής με βάση τη διάρκεια κατά την έκδοση παρουσίασε αύξηση κατά 3,4 ποσοστιαίες μονάδες (2025: 9,3%, 2023-2024: 5,9%), γεγονός που αποδίδεται στην απουσία σχετικού δεσμευτικού ορίου με βάση το ισχύον</w:t>
            </w:r>
          </w:p>
          <w:p>
            <w:pPr>
              <w:pStyle w:val="TableParagraph"/>
              <w:spacing w:line="245" w:lineRule="exact"/>
              <w:ind w:left="107"/>
              <w:jc w:val="both"/>
              <w:rPr>
                <w:sz w:val="22"/>
              </w:rPr>
            </w:pPr>
            <w:r>
              <w:rPr>
                <w:sz w:val="22"/>
              </w:rPr>
              <w:t>πλαίσιο</w:t>
            </w:r>
            <w:r>
              <w:rPr>
                <w:spacing w:val="-6"/>
                <w:sz w:val="22"/>
              </w:rPr>
              <w:t> </w:t>
            </w:r>
            <w:r>
              <w:rPr>
                <w:sz w:val="22"/>
              </w:rPr>
              <w:t>για</w:t>
            </w:r>
            <w:r>
              <w:rPr>
                <w:spacing w:val="-3"/>
                <w:sz w:val="22"/>
              </w:rPr>
              <w:t> </w:t>
            </w:r>
            <w:r>
              <w:rPr>
                <w:sz w:val="22"/>
              </w:rPr>
              <w:t>τα</w:t>
            </w:r>
            <w:r>
              <w:rPr>
                <w:spacing w:val="-3"/>
                <w:sz w:val="22"/>
              </w:rPr>
              <w:t> </w:t>
            </w:r>
            <w:r>
              <w:rPr>
                <w:sz w:val="22"/>
              </w:rPr>
              <w:t>μακροπροληπτικά</w:t>
            </w:r>
            <w:r>
              <w:rPr>
                <w:spacing w:val="-4"/>
                <w:sz w:val="22"/>
              </w:rPr>
              <w:t> </w:t>
            </w:r>
            <w:r>
              <w:rPr>
                <w:sz w:val="22"/>
              </w:rPr>
              <w:t>μέτρα</w:t>
            </w:r>
            <w:r>
              <w:rPr>
                <w:spacing w:val="-2"/>
                <w:sz w:val="22"/>
              </w:rPr>
              <w:t> </w:t>
            </w:r>
            <w:r>
              <w:rPr>
                <w:sz w:val="22"/>
              </w:rPr>
              <w:t>σχετικά</w:t>
            </w:r>
            <w:r>
              <w:rPr>
                <w:spacing w:val="-4"/>
                <w:sz w:val="22"/>
              </w:rPr>
              <w:t> </w:t>
            </w:r>
            <w:r>
              <w:rPr>
                <w:sz w:val="22"/>
              </w:rPr>
              <w:t>με</w:t>
            </w:r>
            <w:r>
              <w:rPr>
                <w:spacing w:val="-3"/>
                <w:sz w:val="22"/>
              </w:rPr>
              <w:t> </w:t>
            </w:r>
            <w:r>
              <w:rPr>
                <w:sz w:val="22"/>
              </w:rPr>
              <w:t>τη</w:t>
            </w:r>
            <w:r>
              <w:rPr>
                <w:spacing w:val="-6"/>
                <w:sz w:val="22"/>
              </w:rPr>
              <w:t> </w:t>
            </w:r>
            <w:r>
              <w:rPr>
                <w:sz w:val="22"/>
              </w:rPr>
              <w:t>δανειακή</w:t>
            </w:r>
            <w:r>
              <w:rPr>
                <w:spacing w:val="-5"/>
                <w:sz w:val="22"/>
              </w:rPr>
              <w:t> </w:t>
            </w:r>
            <w:r>
              <w:rPr>
                <w:spacing w:val="-2"/>
                <w:sz w:val="22"/>
              </w:rPr>
              <w:t>επιβάρυνση.</w:t>
            </w:r>
          </w:p>
        </w:tc>
      </w:tr>
      <w:tr>
        <w:trPr>
          <w:trHeight w:val="568" w:hRule="atLeast"/>
        </w:trPr>
        <w:tc>
          <w:tcPr>
            <w:tcW w:w="108" w:type="dxa"/>
            <w:tcBorders>
              <w:left w:val="single" w:sz="4" w:space="0" w:color="000000"/>
              <w:right w:val="single" w:sz="4" w:space="0" w:color="000000"/>
            </w:tcBorders>
            <w:shd w:val="clear" w:color="auto" w:fill="D9D9D9"/>
          </w:tcPr>
          <w:p>
            <w:pPr>
              <w:pStyle w:val="TableParagraph"/>
              <w:rPr>
                <w:sz w:val="18"/>
              </w:rPr>
            </w:pPr>
          </w:p>
        </w:tc>
        <w:tc>
          <w:tcPr>
            <w:tcW w:w="8536" w:type="dxa"/>
            <w:gridSpan w:val="5"/>
            <w:tcBorders>
              <w:top w:val="single" w:sz="4" w:space="0" w:color="000000"/>
              <w:left w:val="single" w:sz="4" w:space="0" w:color="000000"/>
              <w:right w:val="double" w:sz="4" w:space="0" w:color="000000"/>
            </w:tcBorders>
            <w:shd w:val="clear" w:color="auto" w:fill="1F487C"/>
          </w:tcPr>
          <w:p>
            <w:pPr>
              <w:pStyle w:val="TableParagraph"/>
              <w:spacing w:before="76"/>
              <w:ind w:left="117" w:right="266"/>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3"/>
                <w:sz w:val="18"/>
              </w:rPr>
              <w:t> </w:t>
            </w:r>
            <w:r>
              <w:rPr>
                <w:b/>
                <w:smallCaps w:val="0"/>
                <w:color w:val="FFFFFF"/>
                <w:sz w:val="18"/>
              </w:rPr>
              <w:t>3</w:t>
            </w:r>
            <w:r>
              <w:rPr>
                <w:b/>
                <w:smallCaps w:val="0"/>
                <w:color w:val="FFFFFF"/>
                <w:spacing w:val="-1"/>
                <w:sz w:val="18"/>
              </w:rPr>
              <w:t> </w:t>
            </w:r>
            <w:r>
              <w:rPr>
                <w:b/>
                <w:smallCaps w:val="0"/>
                <w:color w:val="FFFFFF"/>
                <w:sz w:val="18"/>
              </w:rPr>
              <w:t>Κατανομή</w:t>
            </w:r>
            <w:r>
              <w:rPr>
                <w:b/>
                <w:smallCaps w:val="0"/>
                <w:color w:val="FFFFFF"/>
                <w:spacing w:val="-3"/>
                <w:sz w:val="18"/>
              </w:rPr>
              <w:t> </w:t>
            </w:r>
            <w:r>
              <w:rPr>
                <w:b/>
                <w:smallCaps w:val="0"/>
                <w:color w:val="FFFFFF"/>
                <w:sz w:val="18"/>
              </w:rPr>
              <w:t>των</w:t>
            </w:r>
            <w:r>
              <w:rPr>
                <w:b/>
                <w:smallCaps w:val="0"/>
                <w:color w:val="FFFFFF"/>
                <w:spacing w:val="-2"/>
                <w:sz w:val="18"/>
              </w:rPr>
              <w:t> </w:t>
            </w:r>
            <w:r>
              <w:rPr>
                <w:b/>
                <w:smallCaps w:val="0"/>
                <w:color w:val="FFFFFF"/>
                <w:sz w:val="18"/>
              </w:rPr>
              <w:t>δε</w:t>
            </w:r>
            <w:r>
              <w:rPr>
                <w:b/>
                <w:smallCaps/>
                <w:color w:val="FFFFFF"/>
                <w:sz w:val="18"/>
              </w:rPr>
              <w:t>ι</w:t>
            </w:r>
            <w:r>
              <w:rPr>
                <w:b/>
                <w:smallCaps w:val="0"/>
                <w:color w:val="FFFFFF"/>
                <w:sz w:val="18"/>
              </w:rPr>
              <w:t>κτών</w:t>
            </w:r>
            <w:r>
              <w:rPr>
                <w:b/>
                <w:smallCaps w:val="0"/>
                <w:color w:val="FFFFFF"/>
                <w:spacing w:val="-1"/>
                <w:sz w:val="18"/>
              </w:rPr>
              <w:t> </w:t>
            </w:r>
            <w:r>
              <w:rPr>
                <w:b/>
                <w:smallCaps w:val="0"/>
                <w:color w:val="FFFFFF"/>
                <w:sz w:val="18"/>
              </w:rPr>
              <w:t>DSTI-O</w:t>
            </w:r>
            <w:r>
              <w:rPr>
                <w:b/>
                <w:smallCaps w:val="0"/>
                <w:color w:val="FFFFFF"/>
                <w:spacing w:val="-2"/>
                <w:sz w:val="18"/>
              </w:rPr>
              <w:t> </w:t>
            </w:r>
            <w:r>
              <w:rPr>
                <w:b/>
                <w:smallCaps w:val="0"/>
                <w:color w:val="FFFFFF"/>
                <w:sz w:val="18"/>
              </w:rPr>
              <w:t>,</w:t>
            </w:r>
            <w:r>
              <w:rPr>
                <w:b/>
                <w:smallCaps w:val="0"/>
                <w:color w:val="FFFFFF"/>
                <w:spacing w:val="-1"/>
                <w:sz w:val="18"/>
              </w:rPr>
              <w:t> </w:t>
            </w:r>
            <w:r>
              <w:rPr>
                <w:b/>
                <w:smallCaps w:val="0"/>
                <w:color w:val="FFFFFF"/>
                <w:sz w:val="18"/>
              </w:rPr>
              <w:t>LTV-O</w:t>
            </w:r>
            <w:r>
              <w:rPr>
                <w:b/>
                <w:smallCaps w:val="0"/>
                <w:color w:val="FFFFFF"/>
                <w:spacing w:val="-2"/>
                <w:sz w:val="18"/>
              </w:rPr>
              <w:t> </w:t>
            </w:r>
            <w:r>
              <w:rPr>
                <w:b/>
                <w:smallCaps w:val="0"/>
                <w:color w:val="FFFFFF"/>
                <w:sz w:val="18"/>
              </w:rPr>
              <w:t>κα</w:t>
            </w:r>
            <w:r>
              <w:rPr>
                <w:b/>
                <w:smallCaps/>
                <w:color w:val="FFFFFF"/>
                <w:sz w:val="18"/>
              </w:rPr>
              <w:t>ι</w:t>
            </w:r>
            <w:r>
              <w:rPr>
                <w:b/>
                <w:smallCaps w:val="0"/>
                <w:color w:val="FFFFFF"/>
                <w:spacing w:val="-3"/>
                <w:sz w:val="18"/>
              </w:rPr>
              <w:t> </w:t>
            </w:r>
            <w:r>
              <w:rPr>
                <w:b/>
                <w:smallCaps w:val="0"/>
                <w:color w:val="FFFFFF"/>
                <w:sz w:val="18"/>
              </w:rPr>
              <w:t>της</w:t>
            </w:r>
            <w:r>
              <w:rPr>
                <w:b/>
                <w:smallCaps w:val="0"/>
                <w:color w:val="FFFFFF"/>
                <w:spacing w:val="-5"/>
                <w:sz w:val="18"/>
              </w:rPr>
              <w:t> </w:t>
            </w:r>
            <w:r>
              <w:rPr>
                <w:b/>
                <w:smallCaps w:val="0"/>
                <w:color w:val="FFFFFF"/>
                <w:sz w:val="18"/>
              </w:rPr>
              <w:t>δ</w:t>
            </w:r>
            <w:r>
              <w:rPr>
                <w:b/>
                <w:smallCaps/>
                <w:color w:val="FFFFFF"/>
                <w:sz w:val="18"/>
              </w:rPr>
              <w:t>ι</w:t>
            </w:r>
            <w:r>
              <w:rPr>
                <w:b/>
                <w:smallCaps w:val="0"/>
                <w:color w:val="FFFFFF"/>
                <w:sz w:val="18"/>
              </w:rPr>
              <w:t>άρκε</w:t>
            </w:r>
            <w:r>
              <w:rPr>
                <w:b/>
                <w:smallCaps/>
                <w:color w:val="FFFFFF"/>
                <w:sz w:val="18"/>
              </w:rPr>
              <w:t>ι</w:t>
            </w:r>
            <w:r>
              <w:rPr>
                <w:b/>
                <w:smallCaps w:val="0"/>
                <w:color w:val="FFFFFF"/>
                <w:sz w:val="18"/>
              </w:rPr>
              <w:t>ας</w:t>
            </w:r>
            <w:r>
              <w:rPr>
                <w:b/>
                <w:smallCaps w:val="0"/>
                <w:color w:val="FFFFFF"/>
                <w:spacing w:val="-1"/>
                <w:sz w:val="18"/>
              </w:rPr>
              <w:t> </w:t>
            </w:r>
            <w:r>
              <w:rPr>
                <w:b/>
                <w:smallCaps w:val="0"/>
                <w:color w:val="FFFFFF"/>
                <w:sz w:val="18"/>
              </w:rPr>
              <w:t>κατά</w:t>
            </w:r>
            <w:r>
              <w:rPr>
                <w:b/>
                <w:smallCaps w:val="0"/>
                <w:color w:val="FFFFFF"/>
                <w:spacing w:val="-2"/>
                <w:sz w:val="18"/>
              </w:rPr>
              <w:t> </w:t>
            </w:r>
            <w:r>
              <w:rPr>
                <w:b/>
                <w:smallCaps w:val="0"/>
                <w:color w:val="FFFFFF"/>
                <w:sz w:val="18"/>
              </w:rPr>
              <w:t>την</w:t>
            </w:r>
            <w:r>
              <w:rPr>
                <w:b/>
                <w:smallCaps w:val="0"/>
                <w:color w:val="FFFFFF"/>
                <w:spacing w:val="-1"/>
                <w:sz w:val="18"/>
              </w:rPr>
              <w:t> </w:t>
            </w:r>
            <w:r>
              <w:rPr>
                <w:b/>
                <w:smallCaps w:val="0"/>
                <w:color w:val="FFFFFF"/>
                <w:sz w:val="18"/>
              </w:rPr>
              <w:t>έγκρ</w:t>
            </w:r>
            <w:r>
              <w:rPr>
                <w:b/>
                <w:smallCaps/>
                <w:color w:val="FFFFFF"/>
                <w:sz w:val="18"/>
              </w:rPr>
              <w:t>ι</w:t>
            </w:r>
            <w:r>
              <w:rPr>
                <w:b/>
                <w:smallCaps w:val="0"/>
                <w:color w:val="FFFFFF"/>
                <w:sz w:val="18"/>
              </w:rPr>
              <w:t>ση</w:t>
            </w:r>
            <w:r>
              <w:rPr>
                <w:b/>
                <w:smallCaps w:val="0"/>
                <w:color w:val="FFFFFF"/>
                <w:spacing w:val="-1"/>
                <w:sz w:val="18"/>
              </w:rPr>
              <w:t> </w:t>
            </w:r>
            <w:r>
              <w:rPr>
                <w:b/>
                <w:smallCaps w:val="0"/>
                <w:color w:val="FFFFFF"/>
                <w:sz w:val="18"/>
              </w:rPr>
              <w:t>γ</w:t>
            </w:r>
            <w:r>
              <w:rPr>
                <w:b/>
                <w:smallCaps/>
                <w:color w:val="FFFFFF"/>
                <w:sz w:val="18"/>
              </w:rPr>
              <w:t>ι</w:t>
            </w:r>
            <w:r>
              <w:rPr>
                <w:b/>
                <w:smallCaps w:val="0"/>
                <w:color w:val="FFFFFF"/>
                <w:sz w:val="18"/>
              </w:rPr>
              <w:t>α</w:t>
            </w:r>
            <w:r>
              <w:rPr>
                <w:b/>
                <w:smallCaps w:val="0"/>
                <w:color w:val="FFFFFF"/>
                <w:spacing w:val="-3"/>
                <w:sz w:val="18"/>
              </w:rPr>
              <w:t> </w:t>
            </w:r>
            <w:r>
              <w:rPr>
                <w:b/>
                <w:smallCaps w:val="0"/>
                <w:color w:val="FFFFFF"/>
                <w:sz w:val="18"/>
              </w:rPr>
              <w:t>τα</w:t>
            </w:r>
            <w:r>
              <w:rPr>
                <w:b/>
                <w:smallCaps w:val="0"/>
                <w:color w:val="FFFFFF"/>
                <w:spacing w:val="-3"/>
                <w:sz w:val="18"/>
              </w:rPr>
              <w:t> </w:t>
            </w:r>
            <w:r>
              <w:rPr>
                <w:b/>
                <w:smallCaps w:val="0"/>
                <w:color w:val="FFFFFF"/>
                <w:sz w:val="18"/>
              </w:rPr>
              <w:t>νέα</w:t>
            </w:r>
            <w:r>
              <w:rPr>
                <w:b/>
                <w:smallCaps w:val="0"/>
                <w:color w:val="FFFFFF"/>
                <w:spacing w:val="-2"/>
                <w:sz w:val="18"/>
              </w:rPr>
              <w:t> </w:t>
            </w:r>
            <w:r>
              <w:rPr>
                <w:b/>
                <w:smallCaps w:val="0"/>
                <w:color w:val="FFFFFF"/>
                <w:sz w:val="18"/>
              </w:rPr>
              <w:t>δά-νε</w:t>
            </w:r>
            <w:r>
              <w:rPr>
                <w:b/>
                <w:smallCaps/>
                <w:color w:val="FFFFFF"/>
                <w:sz w:val="18"/>
              </w:rPr>
              <w:t>ι</w:t>
            </w:r>
            <w:r>
              <w:rPr>
                <w:b/>
                <w:smallCaps w:val="0"/>
                <w:color w:val="FFFFFF"/>
                <w:sz w:val="18"/>
              </w:rPr>
              <w:t>α γ</w:t>
            </w:r>
            <w:r>
              <w:rPr>
                <w:b/>
                <w:smallCaps/>
                <w:color w:val="FFFFFF"/>
                <w:sz w:val="18"/>
              </w:rPr>
              <w:t>ι</w:t>
            </w:r>
            <w:r>
              <w:rPr>
                <w:b/>
                <w:smallCaps w:val="0"/>
                <w:color w:val="FFFFFF"/>
                <w:sz w:val="18"/>
              </w:rPr>
              <w:t>α ο</w:t>
            </w:r>
            <w:r>
              <w:rPr>
                <w:b/>
                <w:smallCaps/>
                <w:color w:val="FFFFFF"/>
                <w:sz w:val="18"/>
              </w:rPr>
              <w:t>ι</w:t>
            </w:r>
            <w:r>
              <w:rPr>
                <w:b/>
                <w:smallCaps w:val="0"/>
                <w:color w:val="FFFFFF"/>
                <w:sz w:val="18"/>
              </w:rPr>
              <w:t>κ</w:t>
            </w:r>
            <w:r>
              <w:rPr>
                <w:b/>
                <w:smallCaps/>
                <w:color w:val="FFFFFF"/>
                <w:sz w:val="18"/>
              </w:rPr>
              <w:t>ι</w:t>
            </w:r>
            <w:r>
              <w:rPr>
                <w:b/>
                <w:smallCaps w:val="0"/>
                <w:color w:val="FFFFFF"/>
                <w:sz w:val="18"/>
              </w:rPr>
              <w:t>στ</w:t>
            </w:r>
            <w:r>
              <w:rPr>
                <w:b/>
                <w:smallCaps/>
                <w:color w:val="FFFFFF"/>
                <w:sz w:val="18"/>
              </w:rPr>
              <w:t>ι</w:t>
            </w:r>
            <w:r>
              <w:rPr>
                <w:b/>
                <w:smallCaps w:val="0"/>
                <w:color w:val="FFFFFF"/>
                <w:sz w:val="18"/>
              </w:rPr>
              <w:t>κά ακίνητα</w:t>
            </w:r>
          </w:p>
        </w:tc>
      </w:tr>
      <w:tr>
        <w:trPr>
          <w:trHeight w:val="657" w:hRule="atLeast"/>
        </w:trPr>
        <w:tc>
          <w:tcPr>
            <w:tcW w:w="108" w:type="dxa"/>
            <w:vMerge w:val="restart"/>
            <w:tcBorders>
              <w:left w:val="single" w:sz="4" w:space="0" w:color="000000"/>
              <w:right w:val="single" w:sz="4" w:space="0" w:color="000000"/>
            </w:tcBorders>
            <w:shd w:val="clear" w:color="auto" w:fill="D9D9D9"/>
          </w:tcPr>
          <w:p>
            <w:pPr>
              <w:pStyle w:val="TableParagraph"/>
              <w:rPr>
                <w:sz w:val="18"/>
              </w:rPr>
            </w:pPr>
          </w:p>
        </w:tc>
        <w:tc>
          <w:tcPr>
            <w:tcW w:w="4401" w:type="dxa"/>
            <w:vMerge w:val="restart"/>
            <w:tcBorders>
              <w:left w:val="single" w:sz="4" w:space="0" w:color="000000"/>
              <w:bottom w:val="single" w:sz="4" w:space="0" w:color="000000"/>
            </w:tcBorders>
          </w:tcPr>
          <w:p>
            <w:pPr>
              <w:pStyle w:val="TableParagraph"/>
              <w:spacing w:before="119"/>
              <w:ind w:left="62"/>
              <w:rPr>
                <w:sz w:val="14"/>
              </w:rPr>
            </w:pPr>
            <w:r>
              <w:rPr>
                <w:color w:val="1F487C"/>
                <w:sz w:val="14"/>
              </w:rPr>
              <w:t>(ποσοστό</w:t>
            </w:r>
            <w:r>
              <w:rPr>
                <w:color w:val="1F487C"/>
                <w:spacing w:val="-7"/>
                <w:sz w:val="14"/>
              </w:rPr>
              <w:t> </w:t>
            </w:r>
            <w:r>
              <w:rPr>
                <w:color w:val="1F487C"/>
                <w:spacing w:val="-5"/>
                <w:sz w:val="14"/>
              </w:rPr>
              <w:t>%)</w:t>
            </w:r>
          </w:p>
          <w:p>
            <w:pPr>
              <w:pStyle w:val="TableParagraph"/>
              <w:spacing w:before="15"/>
              <w:rPr>
                <w:sz w:val="14"/>
              </w:rPr>
            </w:pPr>
          </w:p>
          <w:p>
            <w:pPr>
              <w:pStyle w:val="TableParagraph"/>
              <w:tabs>
                <w:tab w:pos="523" w:val="left" w:leader="none"/>
                <w:tab w:pos="1315" w:val="left" w:leader="none"/>
                <w:tab w:pos="2996" w:val="left" w:leader="none"/>
              </w:tabs>
              <w:ind w:right="213"/>
              <w:jc w:val="right"/>
              <w:rPr>
                <w:sz w:val="12"/>
              </w:rPr>
            </w:pPr>
            <w:r>
              <w:rPr>
                <w:sz w:val="12"/>
              </w:rPr>
              <mc:AlternateContent>
                <mc:Choice Requires="wps">
                  <w:drawing>
                    <wp:anchor distT="0" distB="0" distL="0" distR="0" allowOverlap="1" layoutInCell="1" locked="0" behindDoc="0" simplePos="0" relativeHeight="15742976">
                      <wp:simplePos x="0" y="0"/>
                      <wp:positionH relativeFrom="column">
                        <wp:posOffset>1834634</wp:posOffset>
                      </wp:positionH>
                      <wp:positionV relativeFrom="paragraph">
                        <wp:posOffset>732777</wp:posOffset>
                      </wp:positionV>
                      <wp:extent cx="38735" cy="762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38735" cy="7620"/>
                                <a:chExt cx="38735" cy="7620"/>
                              </a:xfrm>
                            </wpg:grpSpPr>
                            <wps:wsp>
                              <wps:cNvPr id="137" name="Graphic 137"/>
                              <wps:cNvSpPr/>
                              <wps:spPr>
                                <a:xfrm>
                                  <a:off x="0" y="3745"/>
                                  <a:ext cx="38735" cy="1270"/>
                                </a:xfrm>
                                <a:custGeom>
                                  <a:avLst/>
                                  <a:gdLst/>
                                  <a:ahLst/>
                                  <a:cxnLst/>
                                  <a:rect l="l" t="t" r="r" b="b"/>
                                  <a:pathLst>
                                    <a:path w="38735" h="0">
                                      <a:moveTo>
                                        <a:pt x="0" y="0"/>
                                      </a:moveTo>
                                      <a:lnTo>
                                        <a:pt x="38493" y="0"/>
                                      </a:lnTo>
                                    </a:path>
                                  </a:pathLst>
                                </a:custGeom>
                                <a:ln w="7491">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459396pt;margin-top:57.699013pt;width:3.05pt;height:.6pt;mso-position-horizontal-relative:column;mso-position-vertical-relative:paragraph;z-index:15742976" id="docshapegroup131" coordorigin="2889,1154" coordsize="61,12">
                      <v:line style="position:absolute" from="2889,1160" to="2950,1160" stroked="true" strokeweight=".589908pt" strokecolor="#ffffff">
                        <v:stroke dashstyle="solid"/>
                      </v:line>
                      <w10:wrap type="none"/>
                    </v:group>
                  </w:pict>
                </mc:Fallback>
              </mc:AlternateContent>
            </w:r>
            <w:r>
              <w:rPr>
                <w:sz w:val="12"/>
              </w:rPr>
              <mc:AlternateContent>
                <mc:Choice Requires="wps">
                  <w:drawing>
                    <wp:anchor distT="0" distB="0" distL="0" distR="0" allowOverlap="1" layoutInCell="1" locked="0" behindDoc="0" simplePos="0" relativeHeight="15743488">
                      <wp:simplePos x="0" y="0"/>
                      <wp:positionH relativeFrom="column">
                        <wp:posOffset>509282</wp:posOffset>
                      </wp:positionH>
                      <wp:positionV relativeFrom="paragraph">
                        <wp:posOffset>26431</wp:posOffset>
                      </wp:positionV>
                      <wp:extent cx="46355" cy="4635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46355" cy="46355"/>
                                <a:chExt cx="46355" cy="46355"/>
                              </a:xfrm>
                            </wpg:grpSpPr>
                            <wps:wsp>
                              <wps:cNvPr id="139" name="Graphic 139"/>
                              <wps:cNvSpPr/>
                              <wps:spPr>
                                <a:xfrm>
                                  <a:off x="3744" y="3744"/>
                                  <a:ext cx="38735" cy="38735"/>
                                </a:xfrm>
                                <a:custGeom>
                                  <a:avLst/>
                                  <a:gdLst/>
                                  <a:ahLst/>
                                  <a:cxnLst/>
                                  <a:rect l="l" t="t" r="r" b="b"/>
                                  <a:pathLst>
                                    <a:path w="38735" h="38735">
                                      <a:moveTo>
                                        <a:pt x="38493" y="0"/>
                                      </a:moveTo>
                                      <a:lnTo>
                                        <a:pt x="0" y="0"/>
                                      </a:lnTo>
                                      <a:lnTo>
                                        <a:pt x="0" y="38528"/>
                                      </a:lnTo>
                                      <a:lnTo>
                                        <a:pt x="38493" y="38528"/>
                                      </a:lnTo>
                                      <a:lnTo>
                                        <a:pt x="38493" y="0"/>
                                      </a:lnTo>
                                      <a:close/>
                                    </a:path>
                                  </a:pathLst>
                                </a:custGeom>
                                <a:solidFill>
                                  <a:srgbClr val="1F3863"/>
                                </a:solidFill>
                              </wps:spPr>
                              <wps:bodyPr wrap="square" lIns="0" tIns="0" rIns="0" bIns="0" rtlCol="0">
                                <a:prstTxWarp prst="textNoShape">
                                  <a:avLst/>
                                </a:prstTxWarp>
                                <a:noAutofit/>
                              </wps:bodyPr>
                            </wps:wsp>
                            <wps:wsp>
                              <wps:cNvPr id="140" name="Graphic 140"/>
                              <wps:cNvSpPr/>
                              <wps:spPr>
                                <a:xfrm>
                                  <a:off x="3744" y="3744"/>
                                  <a:ext cx="38735" cy="38735"/>
                                </a:xfrm>
                                <a:custGeom>
                                  <a:avLst/>
                                  <a:gdLst/>
                                  <a:ahLst/>
                                  <a:cxnLst/>
                                  <a:rect l="l" t="t" r="r" b="b"/>
                                  <a:pathLst>
                                    <a:path w="38735" h="38735">
                                      <a:moveTo>
                                        <a:pt x="0" y="38528"/>
                                      </a:moveTo>
                                      <a:lnTo>
                                        <a:pt x="38493" y="38528"/>
                                      </a:lnTo>
                                      <a:lnTo>
                                        <a:pt x="38493" y="0"/>
                                      </a:lnTo>
                                      <a:lnTo>
                                        <a:pt x="0" y="0"/>
                                      </a:lnTo>
                                      <a:lnTo>
                                        <a:pt x="0" y="38528"/>
                                      </a:lnTo>
                                      <a:close/>
                                    </a:path>
                                  </a:pathLst>
                                </a:custGeom>
                                <a:ln w="748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100967pt;margin-top:2.081207pt;width:3.65pt;height:3.65pt;mso-position-horizontal-relative:column;mso-position-vertical-relative:paragraph;z-index:15743488" id="docshapegroup132" coordorigin="802,42" coordsize="73,73">
                      <v:rect style="position:absolute;left:807;top:47;width:61;height:61" id="docshape133" filled="true" fillcolor="#1f3863" stroked="false">
                        <v:fill type="solid"/>
                      </v:rect>
                      <v:rect style="position:absolute;left:807;top:47;width:61;height:61" id="docshape134" filled="false" stroked="true" strokeweight=".589624pt" strokecolor="#ffffff">
                        <v:stroke dashstyle="solid"/>
                      </v:rect>
                      <w10:wrap type="none"/>
                    </v:group>
                  </w:pict>
                </mc:Fallback>
              </mc:AlternateContent>
            </w:r>
            <w:r>
              <w:rPr>
                <w:sz w:val="12"/>
              </w:rPr>
              <mc:AlternateContent>
                <mc:Choice Requires="wps">
                  <w:drawing>
                    <wp:anchor distT="0" distB="0" distL="0" distR="0" allowOverlap="1" layoutInCell="1" locked="0" behindDoc="0" simplePos="0" relativeHeight="15744000">
                      <wp:simplePos x="0" y="0"/>
                      <wp:positionH relativeFrom="column">
                        <wp:posOffset>842884</wp:posOffset>
                      </wp:positionH>
                      <wp:positionV relativeFrom="paragraph">
                        <wp:posOffset>26431</wp:posOffset>
                      </wp:positionV>
                      <wp:extent cx="46355" cy="46355"/>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46355" cy="46355"/>
                                <a:chExt cx="46355" cy="46355"/>
                              </a:xfrm>
                            </wpg:grpSpPr>
                            <wps:wsp>
                              <wps:cNvPr id="142" name="Graphic 142"/>
                              <wps:cNvSpPr/>
                              <wps:spPr>
                                <a:xfrm>
                                  <a:off x="3744" y="3744"/>
                                  <a:ext cx="38735" cy="38735"/>
                                </a:xfrm>
                                <a:custGeom>
                                  <a:avLst/>
                                  <a:gdLst/>
                                  <a:ahLst/>
                                  <a:cxnLst/>
                                  <a:rect l="l" t="t" r="r" b="b"/>
                                  <a:pathLst>
                                    <a:path w="38735" h="38735">
                                      <a:moveTo>
                                        <a:pt x="38493" y="0"/>
                                      </a:moveTo>
                                      <a:lnTo>
                                        <a:pt x="0" y="0"/>
                                      </a:lnTo>
                                      <a:lnTo>
                                        <a:pt x="0" y="38528"/>
                                      </a:lnTo>
                                      <a:lnTo>
                                        <a:pt x="38493" y="38528"/>
                                      </a:lnTo>
                                      <a:lnTo>
                                        <a:pt x="38493" y="0"/>
                                      </a:lnTo>
                                      <a:close/>
                                    </a:path>
                                  </a:pathLst>
                                </a:custGeom>
                                <a:solidFill>
                                  <a:srgbClr val="ACB8C9"/>
                                </a:solidFill>
                              </wps:spPr>
                              <wps:bodyPr wrap="square" lIns="0" tIns="0" rIns="0" bIns="0" rtlCol="0">
                                <a:prstTxWarp prst="textNoShape">
                                  <a:avLst/>
                                </a:prstTxWarp>
                                <a:noAutofit/>
                              </wps:bodyPr>
                            </wps:wsp>
                            <wps:wsp>
                              <wps:cNvPr id="143" name="Graphic 143"/>
                              <wps:cNvSpPr/>
                              <wps:spPr>
                                <a:xfrm>
                                  <a:off x="3744" y="3744"/>
                                  <a:ext cx="38735" cy="38735"/>
                                </a:xfrm>
                                <a:custGeom>
                                  <a:avLst/>
                                  <a:gdLst/>
                                  <a:ahLst/>
                                  <a:cxnLst/>
                                  <a:rect l="l" t="t" r="r" b="b"/>
                                  <a:pathLst>
                                    <a:path w="38735" h="38735">
                                      <a:moveTo>
                                        <a:pt x="0" y="38528"/>
                                      </a:moveTo>
                                      <a:lnTo>
                                        <a:pt x="38493" y="38528"/>
                                      </a:lnTo>
                                      <a:lnTo>
                                        <a:pt x="38493" y="0"/>
                                      </a:lnTo>
                                      <a:lnTo>
                                        <a:pt x="0" y="0"/>
                                      </a:lnTo>
                                      <a:lnTo>
                                        <a:pt x="0" y="38528"/>
                                      </a:lnTo>
                                      <a:close/>
                                    </a:path>
                                  </a:pathLst>
                                </a:custGeom>
                                <a:ln w="748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368828pt;margin-top:2.081212pt;width:3.65pt;height:3.65pt;mso-position-horizontal-relative:column;mso-position-vertical-relative:paragraph;z-index:15744000" id="docshapegroup135" coordorigin="1327,42" coordsize="73,73">
                      <v:rect style="position:absolute;left:1333;top:47;width:61;height:61" id="docshape136" filled="true" fillcolor="#acb8c9" stroked="false">
                        <v:fill type="solid"/>
                      </v:rect>
                      <v:rect style="position:absolute;left:1333;top:47;width:61;height:61" id="docshape137" filled="false" stroked="true" strokeweight=".589624pt" strokecolor="#ffffff">
                        <v:stroke dashstyle="solid"/>
                      </v:rect>
                      <w10:wrap type="none"/>
                    </v:group>
                  </w:pict>
                </mc:Fallback>
              </mc:AlternateContent>
            </w:r>
            <w:r>
              <w:rPr>
                <w:sz w:val="12"/>
              </w:rPr>
              <mc:AlternateContent>
                <mc:Choice Requires="wps">
                  <w:drawing>
                    <wp:anchor distT="0" distB="0" distL="0" distR="0" allowOverlap="1" layoutInCell="1" locked="0" behindDoc="0" simplePos="0" relativeHeight="15744512">
                      <wp:simplePos x="0" y="0"/>
                      <wp:positionH relativeFrom="column">
                        <wp:posOffset>1343302</wp:posOffset>
                      </wp:positionH>
                      <wp:positionV relativeFrom="paragraph">
                        <wp:posOffset>26431</wp:posOffset>
                      </wp:positionV>
                      <wp:extent cx="46355" cy="46355"/>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46355" cy="46355"/>
                                <a:chExt cx="46355" cy="46355"/>
                              </a:xfrm>
                            </wpg:grpSpPr>
                            <wps:wsp>
                              <wps:cNvPr id="145" name="Graphic 145"/>
                              <wps:cNvSpPr/>
                              <wps:spPr>
                                <a:xfrm>
                                  <a:off x="3744" y="3744"/>
                                  <a:ext cx="38735" cy="38735"/>
                                </a:xfrm>
                                <a:custGeom>
                                  <a:avLst/>
                                  <a:gdLst/>
                                  <a:ahLst/>
                                  <a:cxnLst/>
                                  <a:rect l="l" t="t" r="r" b="b"/>
                                  <a:pathLst>
                                    <a:path w="38735" h="38735">
                                      <a:moveTo>
                                        <a:pt x="38493" y="0"/>
                                      </a:moveTo>
                                      <a:lnTo>
                                        <a:pt x="0" y="0"/>
                                      </a:lnTo>
                                      <a:lnTo>
                                        <a:pt x="0" y="38528"/>
                                      </a:lnTo>
                                      <a:lnTo>
                                        <a:pt x="38493" y="38528"/>
                                      </a:lnTo>
                                      <a:lnTo>
                                        <a:pt x="38493" y="0"/>
                                      </a:lnTo>
                                      <a:close/>
                                    </a:path>
                                  </a:pathLst>
                                </a:custGeom>
                                <a:solidFill>
                                  <a:srgbClr val="DAE2F3"/>
                                </a:solidFill>
                              </wps:spPr>
                              <wps:bodyPr wrap="square" lIns="0" tIns="0" rIns="0" bIns="0" rtlCol="0">
                                <a:prstTxWarp prst="textNoShape">
                                  <a:avLst/>
                                </a:prstTxWarp>
                                <a:noAutofit/>
                              </wps:bodyPr>
                            </wps:wsp>
                            <wps:wsp>
                              <wps:cNvPr id="146" name="Graphic 146"/>
                              <wps:cNvSpPr/>
                              <wps:spPr>
                                <a:xfrm>
                                  <a:off x="3744" y="3744"/>
                                  <a:ext cx="38735" cy="38735"/>
                                </a:xfrm>
                                <a:custGeom>
                                  <a:avLst/>
                                  <a:gdLst/>
                                  <a:ahLst/>
                                  <a:cxnLst/>
                                  <a:rect l="l" t="t" r="r" b="b"/>
                                  <a:pathLst>
                                    <a:path w="38735" h="38735">
                                      <a:moveTo>
                                        <a:pt x="0" y="38528"/>
                                      </a:moveTo>
                                      <a:lnTo>
                                        <a:pt x="38493" y="38528"/>
                                      </a:lnTo>
                                      <a:lnTo>
                                        <a:pt x="38493" y="0"/>
                                      </a:lnTo>
                                      <a:lnTo>
                                        <a:pt x="0" y="0"/>
                                      </a:lnTo>
                                      <a:lnTo>
                                        <a:pt x="0" y="38528"/>
                                      </a:lnTo>
                                      <a:close/>
                                    </a:path>
                                  </a:pathLst>
                                </a:custGeom>
                                <a:ln w="748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5.771873pt;margin-top:2.08122pt;width:3.65pt;height:3.65pt;mso-position-horizontal-relative:column;mso-position-vertical-relative:paragraph;z-index:15744512" id="docshapegroup138" coordorigin="2115,42" coordsize="73,73">
                      <v:rect style="position:absolute;left:2121;top:47;width:61;height:61" id="docshape139" filled="true" fillcolor="#dae2f3" stroked="false">
                        <v:fill type="solid"/>
                      </v:rect>
                      <v:rect style="position:absolute;left:2121;top:47;width:61;height:61" id="docshape140" filled="false" stroked="true" strokeweight=".589624pt" strokecolor="#ffffff">
                        <v:stroke dashstyle="solid"/>
                      </v:rect>
                      <w10:wrap type="none"/>
                    </v:group>
                  </w:pict>
                </mc:Fallback>
              </mc:AlternateContent>
            </w:r>
            <w:r>
              <w:rPr>
                <w:sz w:val="12"/>
              </w:rPr>
              <mc:AlternateContent>
                <mc:Choice Requires="wps">
                  <w:drawing>
                    <wp:anchor distT="0" distB="0" distL="0" distR="0" allowOverlap="1" layoutInCell="1" locked="0" behindDoc="0" simplePos="0" relativeHeight="15745536">
                      <wp:simplePos x="0" y="0"/>
                      <wp:positionH relativeFrom="column">
                        <wp:posOffset>2413579</wp:posOffset>
                      </wp:positionH>
                      <wp:positionV relativeFrom="paragraph">
                        <wp:posOffset>32780</wp:posOffset>
                      </wp:positionV>
                      <wp:extent cx="46355" cy="46355"/>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46355" cy="46355"/>
                                <a:chExt cx="46355" cy="46355"/>
                              </a:xfrm>
                            </wpg:grpSpPr>
                            <wps:wsp>
                              <wps:cNvPr id="148" name="Graphic 148"/>
                              <wps:cNvSpPr/>
                              <wps:spPr>
                                <a:xfrm>
                                  <a:off x="3742" y="3742"/>
                                  <a:ext cx="38735" cy="38735"/>
                                </a:xfrm>
                                <a:custGeom>
                                  <a:avLst/>
                                  <a:gdLst/>
                                  <a:ahLst/>
                                  <a:cxnLst/>
                                  <a:rect l="l" t="t" r="r" b="b"/>
                                  <a:pathLst>
                                    <a:path w="38735" h="38735">
                                      <a:moveTo>
                                        <a:pt x="38491" y="0"/>
                                      </a:moveTo>
                                      <a:lnTo>
                                        <a:pt x="0" y="0"/>
                                      </a:lnTo>
                                      <a:lnTo>
                                        <a:pt x="0" y="38506"/>
                                      </a:lnTo>
                                      <a:lnTo>
                                        <a:pt x="38491" y="38506"/>
                                      </a:lnTo>
                                      <a:lnTo>
                                        <a:pt x="38491" y="0"/>
                                      </a:lnTo>
                                      <a:close/>
                                    </a:path>
                                  </a:pathLst>
                                </a:custGeom>
                                <a:solidFill>
                                  <a:srgbClr val="1F3863"/>
                                </a:solidFill>
                              </wps:spPr>
                              <wps:bodyPr wrap="square" lIns="0" tIns="0" rIns="0" bIns="0" rtlCol="0">
                                <a:prstTxWarp prst="textNoShape">
                                  <a:avLst/>
                                </a:prstTxWarp>
                                <a:noAutofit/>
                              </wps:bodyPr>
                            </wps:wsp>
                            <wps:wsp>
                              <wps:cNvPr id="149" name="Graphic 149"/>
                              <wps:cNvSpPr/>
                              <wps:spPr>
                                <a:xfrm>
                                  <a:off x="3742" y="3742"/>
                                  <a:ext cx="38735" cy="38735"/>
                                </a:xfrm>
                                <a:custGeom>
                                  <a:avLst/>
                                  <a:gdLst/>
                                  <a:ahLst/>
                                  <a:cxnLst/>
                                  <a:rect l="l" t="t" r="r" b="b"/>
                                  <a:pathLst>
                                    <a:path w="38735" h="38735">
                                      <a:moveTo>
                                        <a:pt x="0" y="38506"/>
                                      </a:moveTo>
                                      <a:lnTo>
                                        <a:pt x="38491" y="38506"/>
                                      </a:lnTo>
                                      <a:lnTo>
                                        <a:pt x="38491" y="0"/>
                                      </a:lnTo>
                                      <a:lnTo>
                                        <a:pt x="0" y="0"/>
                                      </a:lnTo>
                                      <a:lnTo>
                                        <a:pt x="0" y="38506"/>
                                      </a:lnTo>
                                      <a:close/>
                                    </a:path>
                                  </a:pathLst>
                                </a:custGeom>
                                <a:ln w="748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0.045609pt;margin-top:2.581178pt;width:3.65pt;height:3.65pt;mso-position-horizontal-relative:column;mso-position-vertical-relative:paragraph;z-index:15745536" id="docshapegroup141" coordorigin="3801,52" coordsize="73,73">
                      <v:rect style="position:absolute;left:3806;top:57;width:61;height:61" id="docshape142" filled="true" fillcolor="#1f3863" stroked="false">
                        <v:fill type="solid"/>
                      </v:rect>
                      <v:rect style="position:absolute;left:3806;top:57;width:61;height:61" id="docshape143" filled="false" stroked="true" strokeweight=".589441pt" strokecolor="#ffffff">
                        <v:stroke dashstyle="solid"/>
                      </v:rect>
                      <w10:wrap type="none"/>
                    </v:group>
                  </w:pict>
                </mc:Fallback>
              </mc:AlternateContent>
            </w:r>
            <w:r>
              <w:rPr>
                <w:sz w:val="12"/>
              </w:rPr>
              <mc:AlternateContent>
                <mc:Choice Requires="wps">
                  <w:drawing>
                    <wp:anchor distT="0" distB="0" distL="0" distR="0" allowOverlap="1" layoutInCell="1" locked="0" behindDoc="0" simplePos="0" relativeHeight="15746048">
                      <wp:simplePos x="0" y="0"/>
                      <wp:positionH relativeFrom="column">
                        <wp:posOffset>2740748</wp:posOffset>
                      </wp:positionH>
                      <wp:positionV relativeFrom="paragraph">
                        <wp:posOffset>32781</wp:posOffset>
                      </wp:positionV>
                      <wp:extent cx="46355" cy="4635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46355" cy="46355"/>
                                <a:chExt cx="46355" cy="46355"/>
                              </a:xfrm>
                            </wpg:grpSpPr>
                            <wps:wsp>
                              <wps:cNvPr id="151" name="Graphic 151"/>
                              <wps:cNvSpPr/>
                              <wps:spPr>
                                <a:xfrm>
                                  <a:off x="3742" y="3742"/>
                                  <a:ext cx="38735" cy="38735"/>
                                </a:xfrm>
                                <a:custGeom>
                                  <a:avLst/>
                                  <a:gdLst/>
                                  <a:ahLst/>
                                  <a:cxnLst/>
                                  <a:rect l="l" t="t" r="r" b="b"/>
                                  <a:pathLst>
                                    <a:path w="38735" h="38735">
                                      <a:moveTo>
                                        <a:pt x="38491" y="0"/>
                                      </a:moveTo>
                                      <a:lnTo>
                                        <a:pt x="0" y="0"/>
                                      </a:lnTo>
                                      <a:lnTo>
                                        <a:pt x="0" y="38506"/>
                                      </a:lnTo>
                                      <a:lnTo>
                                        <a:pt x="38491" y="38506"/>
                                      </a:lnTo>
                                      <a:lnTo>
                                        <a:pt x="38491" y="0"/>
                                      </a:lnTo>
                                      <a:close/>
                                    </a:path>
                                  </a:pathLst>
                                </a:custGeom>
                                <a:solidFill>
                                  <a:srgbClr val="ACB8C9"/>
                                </a:solidFill>
                              </wps:spPr>
                              <wps:bodyPr wrap="square" lIns="0" tIns="0" rIns="0" bIns="0" rtlCol="0">
                                <a:prstTxWarp prst="textNoShape">
                                  <a:avLst/>
                                </a:prstTxWarp>
                                <a:noAutofit/>
                              </wps:bodyPr>
                            </wps:wsp>
                            <wps:wsp>
                              <wps:cNvPr id="152" name="Graphic 152"/>
                              <wps:cNvSpPr/>
                              <wps:spPr>
                                <a:xfrm>
                                  <a:off x="3742" y="3742"/>
                                  <a:ext cx="38735" cy="38735"/>
                                </a:xfrm>
                                <a:custGeom>
                                  <a:avLst/>
                                  <a:gdLst/>
                                  <a:ahLst/>
                                  <a:cxnLst/>
                                  <a:rect l="l" t="t" r="r" b="b"/>
                                  <a:pathLst>
                                    <a:path w="38735" h="38735">
                                      <a:moveTo>
                                        <a:pt x="0" y="38506"/>
                                      </a:moveTo>
                                      <a:lnTo>
                                        <a:pt x="38491" y="38506"/>
                                      </a:lnTo>
                                      <a:lnTo>
                                        <a:pt x="38491" y="0"/>
                                      </a:lnTo>
                                      <a:lnTo>
                                        <a:pt x="0" y="0"/>
                                      </a:lnTo>
                                      <a:lnTo>
                                        <a:pt x="0" y="38506"/>
                                      </a:lnTo>
                                      <a:close/>
                                    </a:path>
                                  </a:pathLst>
                                </a:custGeom>
                                <a:ln w="748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5.807007pt;margin-top:2.581183pt;width:3.65pt;height:3.65pt;mso-position-horizontal-relative:column;mso-position-vertical-relative:paragraph;z-index:15746048" id="docshapegroup144" coordorigin="4316,52" coordsize="73,73">
                      <v:rect style="position:absolute;left:4322;top:57;width:61;height:61" id="docshape145" filled="true" fillcolor="#acb8c9" stroked="false">
                        <v:fill type="solid"/>
                      </v:rect>
                      <v:rect style="position:absolute;left:4322;top:57;width:61;height:61" id="docshape146" filled="false" stroked="true" strokeweight=".589441pt" strokecolor="#ffffff">
                        <v:stroke dashstyle="solid"/>
                      </v:rect>
                      <w10:wrap type="none"/>
                    </v:group>
                  </w:pict>
                </mc:Fallback>
              </mc:AlternateContent>
            </w:r>
            <w:r>
              <w:rPr>
                <w:spacing w:val="-4"/>
                <w:position w:val="1"/>
                <w:sz w:val="12"/>
              </w:rPr>
              <w:t>&gt;50%</w:t>
            </w:r>
            <w:r>
              <w:rPr>
                <w:position w:val="1"/>
                <w:sz w:val="12"/>
              </w:rPr>
              <w:tab/>
              <w:t>(40%,</w:t>
            </w:r>
            <w:r>
              <w:rPr>
                <w:spacing w:val="4"/>
                <w:position w:val="1"/>
                <w:sz w:val="12"/>
              </w:rPr>
              <w:t> </w:t>
            </w:r>
            <w:r>
              <w:rPr>
                <w:spacing w:val="-4"/>
                <w:position w:val="1"/>
                <w:sz w:val="12"/>
              </w:rPr>
              <w:t>50%]</w:t>
            </w:r>
            <w:r>
              <w:rPr>
                <w:position w:val="1"/>
                <w:sz w:val="12"/>
              </w:rPr>
              <w:tab/>
            </w:r>
            <w:r>
              <w:rPr>
                <w:spacing w:val="-4"/>
                <w:position w:val="1"/>
                <w:sz w:val="12"/>
              </w:rPr>
              <w:t>&lt;=40%</w:t>
            </w:r>
            <w:r>
              <w:rPr>
                <w:position w:val="1"/>
                <w:sz w:val="12"/>
              </w:rPr>
              <w:tab/>
            </w:r>
            <w:r>
              <w:rPr>
                <w:spacing w:val="-4"/>
                <w:sz w:val="12"/>
              </w:rPr>
              <w:t>&gt;90%</w:t>
            </w:r>
          </w:p>
          <w:p>
            <w:pPr>
              <w:pStyle w:val="TableParagraph"/>
              <w:tabs>
                <w:tab w:pos="2998" w:val="left" w:leader="none"/>
              </w:tabs>
              <w:spacing w:before="104"/>
              <w:ind w:right="741"/>
              <w:jc w:val="right"/>
              <w:rPr>
                <w:sz w:val="12"/>
              </w:rPr>
            </w:pPr>
            <w:r>
              <w:rPr>
                <w:spacing w:val="-4"/>
                <w:position w:val="1"/>
                <w:sz w:val="12"/>
              </w:rPr>
              <w:t>100%</w:t>
            </w:r>
            <w:r>
              <w:rPr>
                <w:position w:val="1"/>
                <w:sz w:val="12"/>
              </w:rPr>
              <w:tab/>
            </w:r>
            <w:r>
              <w:rPr>
                <w:spacing w:val="-4"/>
                <w:sz w:val="12"/>
              </w:rPr>
              <w:t>100%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3"/>
              <w:rPr>
                <w:sz w:val="12"/>
              </w:rPr>
            </w:pPr>
          </w:p>
          <w:p>
            <w:pPr>
              <w:pStyle w:val="TableParagraph"/>
              <w:tabs>
                <w:tab w:pos="2998" w:val="left" w:leader="none"/>
              </w:tabs>
              <w:ind w:right="741"/>
              <w:jc w:val="right"/>
              <w:rPr>
                <w:sz w:val="12"/>
              </w:rPr>
            </w:pPr>
            <w:r>
              <w:rPr>
                <w:spacing w:val="-5"/>
                <w:position w:val="1"/>
                <w:sz w:val="12"/>
              </w:rPr>
              <w:t>10%</w:t>
            </w:r>
            <w:r>
              <w:rPr>
                <w:position w:val="1"/>
                <w:sz w:val="12"/>
              </w:rPr>
              <w:tab/>
            </w:r>
            <w:r>
              <w:rPr>
                <w:spacing w:val="-5"/>
                <w:sz w:val="12"/>
              </w:rPr>
              <w:t>10%</w:t>
            </w:r>
          </w:p>
          <w:p>
            <w:pPr>
              <w:pStyle w:val="TableParagraph"/>
              <w:rPr>
                <w:sz w:val="12"/>
              </w:rPr>
            </w:pPr>
          </w:p>
          <w:p>
            <w:pPr>
              <w:pStyle w:val="TableParagraph"/>
              <w:rPr>
                <w:sz w:val="12"/>
              </w:rPr>
            </w:pPr>
          </w:p>
          <w:p>
            <w:pPr>
              <w:pStyle w:val="TableParagraph"/>
              <w:rPr>
                <w:sz w:val="12"/>
              </w:rPr>
            </w:pPr>
          </w:p>
          <w:p>
            <w:pPr>
              <w:pStyle w:val="TableParagraph"/>
              <w:spacing w:before="131"/>
              <w:rPr>
                <w:sz w:val="12"/>
              </w:rPr>
            </w:pPr>
          </w:p>
          <w:p>
            <w:pPr>
              <w:pStyle w:val="TableParagraph"/>
              <w:tabs>
                <w:tab w:pos="2996" w:val="left" w:leader="none"/>
              </w:tabs>
              <w:ind w:right="741"/>
              <w:jc w:val="right"/>
              <w:rPr>
                <w:sz w:val="12"/>
              </w:rPr>
            </w:pPr>
            <w:r>
              <w:rPr>
                <w:sz w:val="12"/>
              </w:rPr>
              <mc:AlternateContent>
                <mc:Choice Requires="wps">
                  <w:drawing>
                    <wp:anchor distT="0" distB="0" distL="0" distR="0" allowOverlap="1" layoutInCell="1" locked="0" behindDoc="0" simplePos="0" relativeHeight="15741952">
                      <wp:simplePos x="0" y="0"/>
                      <wp:positionH relativeFrom="column">
                        <wp:posOffset>480948</wp:posOffset>
                      </wp:positionH>
                      <wp:positionV relativeFrom="paragraph">
                        <wp:posOffset>43824</wp:posOffset>
                      </wp:positionV>
                      <wp:extent cx="38735" cy="762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8735" cy="7620"/>
                                <a:chExt cx="38735" cy="7620"/>
                              </a:xfrm>
                            </wpg:grpSpPr>
                            <wps:wsp>
                              <wps:cNvPr id="154" name="Graphic 154"/>
                              <wps:cNvSpPr/>
                              <wps:spPr>
                                <a:xfrm>
                                  <a:off x="0" y="3745"/>
                                  <a:ext cx="38735" cy="1270"/>
                                </a:xfrm>
                                <a:custGeom>
                                  <a:avLst/>
                                  <a:gdLst/>
                                  <a:ahLst/>
                                  <a:cxnLst/>
                                  <a:rect l="l" t="t" r="r" b="b"/>
                                  <a:pathLst>
                                    <a:path w="38735" h="0">
                                      <a:moveTo>
                                        <a:pt x="0" y="0"/>
                                      </a:moveTo>
                                      <a:lnTo>
                                        <a:pt x="38493" y="0"/>
                                      </a:lnTo>
                                    </a:path>
                                  </a:pathLst>
                                </a:custGeom>
                                <a:ln w="7491">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869949pt;margin-top:3.450764pt;width:3.05pt;height:.6pt;mso-position-horizontal-relative:column;mso-position-vertical-relative:paragraph;z-index:15741952" id="docshapegroup147" coordorigin="757,69" coordsize="61,12">
                      <v:line style="position:absolute" from="757,75" to="818,75" stroked="true" strokeweight=".589908pt" strokecolor="#ffffff">
                        <v:stroke dashstyle="solid"/>
                      </v:line>
                      <w10:wrap type="none"/>
                    </v:group>
                  </w:pict>
                </mc:Fallback>
              </mc:AlternateContent>
            </w:r>
            <w:r>
              <w:rPr>
                <w:spacing w:val="-5"/>
                <w:position w:val="1"/>
                <w:sz w:val="12"/>
              </w:rPr>
              <w:t>1%</w:t>
            </w:r>
            <w:r>
              <w:rPr>
                <w:position w:val="1"/>
                <w:sz w:val="12"/>
              </w:rPr>
              <w:tab/>
            </w:r>
            <w:r>
              <w:rPr>
                <w:spacing w:val="-5"/>
                <w:sz w:val="12"/>
              </w:rPr>
              <w:t>1%</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12"/>
              </w:rPr>
            </w:pPr>
          </w:p>
          <w:p>
            <w:pPr>
              <w:pStyle w:val="TableParagraph"/>
              <w:tabs>
                <w:tab w:pos="3491" w:val="left" w:leader="none"/>
              </w:tabs>
              <w:ind w:left="494"/>
              <w:rPr>
                <w:sz w:val="12"/>
              </w:rPr>
            </w:pPr>
            <w:r>
              <w:rPr>
                <w:spacing w:val="-5"/>
                <w:sz w:val="12"/>
              </w:rPr>
              <w:t>0%</w:t>
            </w:r>
            <w:r>
              <w:rPr>
                <w:sz w:val="12"/>
              </w:rPr>
              <w:tab/>
            </w:r>
            <w:r>
              <w:rPr>
                <w:spacing w:val="-5"/>
                <w:sz w:val="12"/>
              </w:rPr>
              <w:t>0%</w:t>
            </w:r>
          </w:p>
          <w:p>
            <w:pPr>
              <w:pStyle w:val="TableParagraph"/>
              <w:tabs>
                <w:tab w:pos="1735" w:val="left" w:leader="none"/>
                <w:tab w:pos="2468" w:val="left" w:leader="none"/>
                <w:tab w:pos="3858" w:val="left" w:leader="none"/>
              </w:tabs>
              <w:spacing w:line="145" w:lineRule="exact"/>
              <w:ind w:left="862"/>
              <w:rPr>
                <w:sz w:val="12"/>
              </w:rPr>
            </w:pPr>
            <w:r>
              <w:rPr>
                <w:position w:val="1"/>
                <w:sz w:val="12"/>
              </w:rPr>
              <w:t>2023-</w:t>
            </w:r>
            <w:r>
              <w:rPr>
                <w:spacing w:val="-4"/>
                <w:position w:val="1"/>
                <w:sz w:val="12"/>
              </w:rPr>
              <w:t>2024</w:t>
            </w:r>
            <w:r>
              <w:rPr>
                <w:position w:val="1"/>
                <w:sz w:val="12"/>
              </w:rPr>
              <w:tab/>
            </w:r>
            <w:r>
              <w:rPr>
                <w:spacing w:val="-4"/>
                <w:position w:val="1"/>
                <w:sz w:val="12"/>
              </w:rPr>
              <w:t>2025</w:t>
            </w:r>
            <w:r>
              <w:rPr>
                <w:position w:val="1"/>
                <w:sz w:val="12"/>
              </w:rPr>
              <w:tab/>
            </w:r>
            <w:r>
              <w:rPr>
                <w:spacing w:val="-4"/>
                <w:position w:val="1"/>
                <w:sz w:val="12"/>
              </w:rPr>
              <w:t>2025</w:t>
            </w:r>
            <w:r>
              <w:rPr>
                <w:position w:val="1"/>
                <w:sz w:val="12"/>
              </w:rPr>
              <w:tab/>
            </w:r>
            <w:r>
              <w:rPr>
                <w:sz w:val="12"/>
              </w:rPr>
              <w:t>2023-</w:t>
            </w:r>
            <w:r>
              <w:rPr>
                <w:spacing w:val="-4"/>
                <w:sz w:val="12"/>
              </w:rPr>
              <w:t>2024</w:t>
            </w:r>
          </w:p>
          <w:p>
            <w:pPr>
              <w:pStyle w:val="TableParagraph"/>
              <w:tabs>
                <w:tab w:pos="1674" w:val="left" w:leader="none"/>
                <w:tab w:pos="2270" w:val="left" w:leader="none"/>
                <w:tab w:pos="3939" w:val="left" w:leader="none"/>
              </w:tabs>
              <w:spacing w:line="145" w:lineRule="exact"/>
              <w:ind w:left="940"/>
              <w:rPr>
                <w:sz w:val="12"/>
              </w:rPr>
            </w:pPr>
            <w:r>
              <w:rPr>
                <w:sz w:val="12"/>
              </w:rPr>
              <mc:AlternateContent>
                <mc:Choice Requires="wps">
                  <w:drawing>
                    <wp:anchor distT="0" distB="0" distL="0" distR="0" allowOverlap="1" layoutInCell="1" locked="0" behindDoc="0" simplePos="0" relativeHeight="15742464">
                      <wp:simplePos x="0" y="0"/>
                      <wp:positionH relativeFrom="column">
                        <wp:posOffset>1834634</wp:posOffset>
                      </wp:positionH>
                      <wp:positionV relativeFrom="paragraph">
                        <wp:posOffset>-671909</wp:posOffset>
                      </wp:positionV>
                      <wp:extent cx="38735" cy="762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38735" cy="7620"/>
                                <a:chExt cx="38735" cy="7620"/>
                              </a:xfrm>
                            </wpg:grpSpPr>
                            <wps:wsp>
                              <wps:cNvPr id="156" name="Graphic 156"/>
                              <wps:cNvSpPr/>
                              <wps:spPr>
                                <a:xfrm>
                                  <a:off x="0" y="3745"/>
                                  <a:ext cx="38735" cy="1270"/>
                                </a:xfrm>
                                <a:custGeom>
                                  <a:avLst/>
                                  <a:gdLst/>
                                  <a:ahLst/>
                                  <a:cxnLst/>
                                  <a:rect l="l" t="t" r="r" b="b"/>
                                  <a:pathLst>
                                    <a:path w="38735" h="0">
                                      <a:moveTo>
                                        <a:pt x="0" y="0"/>
                                      </a:moveTo>
                                      <a:lnTo>
                                        <a:pt x="38493" y="0"/>
                                      </a:lnTo>
                                    </a:path>
                                  </a:pathLst>
                                </a:custGeom>
                                <a:ln w="7491">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459396pt;margin-top:-52.906277pt;width:3.05pt;height:.6pt;mso-position-horizontal-relative:column;mso-position-vertical-relative:paragraph;z-index:15742464" id="docshapegroup148" coordorigin="2889,-1058" coordsize="61,12">
                      <v:line style="position:absolute" from="2889,-1052" to="2950,-1052" stroked="true" strokeweight=".589908pt" strokecolor="#ffffff">
                        <v:stroke dashstyle="solid"/>
                      </v:line>
                      <w10:wrap type="none"/>
                    </v:group>
                  </w:pict>
                </mc:Fallback>
              </mc:AlternateContent>
            </w:r>
            <w:r>
              <w:rPr>
                <w:sz w:val="12"/>
              </w:rPr>
              <mc:AlternateContent>
                <mc:Choice Requires="wps">
                  <w:drawing>
                    <wp:anchor distT="0" distB="0" distL="0" distR="0" allowOverlap="1" layoutInCell="1" locked="0" behindDoc="0" simplePos="0" relativeHeight="15745024">
                      <wp:simplePos x="0" y="0"/>
                      <wp:positionH relativeFrom="column">
                        <wp:posOffset>2385245</wp:posOffset>
                      </wp:positionH>
                      <wp:positionV relativeFrom="paragraph">
                        <wp:posOffset>-666268</wp:posOffset>
                      </wp:positionV>
                      <wp:extent cx="38735" cy="762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38735" cy="7620"/>
                                <a:chExt cx="38735" cy="7620"/>
                              </a:xfrm>
                            </wpg:grpSpPr>
                            <wps:wsp>
                              <wps:cNvPr id="158" name="Graphic 158"/>
                              <wps:cNvSpPr/>
                              <wps:spPr>
                                <a:xfrm>
                                  <a:off x="0" y="3743"/>
                                  <a:ext cx="38735" cy="1270"/>
                                </a:xfrm>
                                <a:custGeom>
                                  <a:avLst/>
                                  <a:gdLst/>
                                  <a:ahLst/>
                                  <a:cxnLst/>
                                  <a:rect l="l" t="t" r="r" b="b"/>
                                  <a:pathLst>
                                    <a:path w="38735" h="0">
                                      <a:moveTo>
                                        <a:pt x="0" y="0"/>
                                      </a:moveTo>
                                      <a:lnTo>
                                        <a:pt x="38491" y="0"/>
                                      </a:lnTo>
                                    </a:path>
                                  </a:pathLst>
                                </a:custGeom>
                                <a:ln w="748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7.814606pt;margin-top:-52.462063pt;width:3.05pt;height:.6pt;mso-position-horizontal-relative:column;mso-position-vertical-relative:paragraph;z-index:15745024" id="docshapegroup149" coordorigin="3756,-1049" coordsize="61,12">
                      <v:line style="position:absolute" from="3756,-1043" to="3817,-1043" stroked="true" strokeweight=".589570pt" strokecolor="#ffffff">
                        <v:stroke dashstyle="solid"/>
                      </v:line>
                      <w10:wrap type="none"/>
                    </v:group>
                  </w:pict>
                </mc:Fallback>
              </mc:AlternateContent>
            </w:r>
            <w:r>
              <w:rPr>
                <w:spacing w:val="-2"/>
                <w:position w:val="1"/>
                <w:sz w:val="12"/>
              </w:rPr>
              <w:t>Σύνoλo</w:t>
            </w:r>
            <w:r>
              <w:rPr>
                <w:position w:val="1"/>
                <w:sz w:val="12"/>
              </w:rPr>
              <w:tab/>
            </w:r>
            <w:r>
              <w:rPr>
                <w:spacing w:val="-2"/>
                <w:position w:val="1"/>
                <w:sz w:val="12"/>
              </w:rPr>
              <w:t>Σύνoλo</w:t>
            </w:r>
            <w:r>
              <w:rPr>
                <w:position w:val="1"/>
                <w:sz w:val="12"/>
              </w:rPr>
              <w:tab/>
              <w:t>ε/o</w:t>
            </w:r>
            <w:r>
              <w:rPr>
                <w:spacing w:val="-4"/>
                <w:position w:val="1"/>
                <w:sz w:val="12"/>
              </w:rPr>
              <w:t> </w:t>
            </w:r>
            <w:r>
              <w:rPr>
                <w:position w:val="1"/>
                <w:sz w:val="12"/>
              </w:rPr>
              <w:t>µε</w:t>
            </w:r>
            <w:r>
              <w:rPr>
                <w:spacing w:val="-2"/>
                <w:position w:val="1"/>
                <w:sz w:val="12"/>
              </w:rPr>
              <w:t> </w:t>
            </w:r>
            <w:r>
              <w:rPr>
                <w:spacing w:val="-4"/>
                <w:position w:val="1"/>
                <w:sz w:val="12"/>
              </w:rPr>
              <w:t>BBMs</w:t>
            </w:r>
            <w:r>
              <w:rPr>
                <w:position w:val="1"/>
                <w:sz w:val="12"/>
              </w:rPr>
              <w:tab/>
            </w:r>
            <w:r>
              <w:rPr>
                <w:spacing w:val="-2"/>
                <w:sz w:val="12"/>
              </w:rPr>
              <w:t>Σύνoλo</w:t>
            </w:r>
          </w:p>
          <w:p>
            <w:pPr>
              <w:pStyle w:val="TableParagraph"/>
              <w:spacing w:before="90"/>
              <w:rPr>
                <w:sz w:val="12"/>
              </w:rPr>
            </w:pPr>
          </w:p>
          <w:p>
            <w:pPr>
              <w:pStyle w:val="TableParagraph"/>
              <w:ind w:left="117"/>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p>
            <w:pPr>
              <w:pStyle w:val="TableParagraph"/>
              <w:spacing w:before="120"/>
              <w:ind w:right="205"/>
              <w:jc w:val="right"/>
              <w:rPr>
                <w:sz w:val="14"/>
              </w:rPr>
            </w:pPr>
            <w:r>
              <w:rPr>
                <w:sz w:val="14"/>
              </w:rPr>
              <w:t>Σημείωση:</w:t>
            </w:r>
            <w:r>
              <w:rPr>
                <w:spacing w:val="-4"/>
                <w:sz w:val="14"/>
              </w:rPr>
              <w:t> </w:t>
            </w:r>
            <w:r>
              <w:rPr>
                <w:sz w:val="14"/>
              </w:rPr>
              <w:t>Έχει</w:t>
            </w:r>
            <w:r>
              <w:rPr>
                <w:spacing w:val="-5"/>
                <w:sz w:val="14"/>
              </w:rPr>
              <w:t> </w:t>
            </w:r>
            <w:r>
              <w:rPr>
                <w:sz w:val="14"/>
              </w:rPr>
              <w:t>γίνει</w:t>
            </w:r>
            <w:r>
              <w:rPr>
                <w:spacing w:val="-5"/>
                <w:sz w:val="14"/>
              </w:rPr>
              <w:t> </w:t>
            </w:r>
            <w:r>
              <w:rPr>
                <w:sz w:val="14"/>
              </w:rPr>
              <w:t>χρήση</w:t>
            </w:r>
            <w:r>
              <w:rPr>
                <w:spacing w:val="-5"/>
                <w:sz w:val="14"/>
              </w:rPr>
              <w:t> </w:t>
            </w:r>
            <w:r>
              <w:rPr>
                <w:sz w:val="14"/>
              </w:rPr>
              <w:t>λογαριθμικής</w:t>
            </w:r>
            <w:r>
              <w:rPr>
                <w:spacing w:val="-3"/>
                <w:sz w:val="14"/>
              </w:rPr>
              <w:t> </w:t>
            </w:r>
            <w:r>
              <w:rPr>
                <w:sz w:val="14"/>
              </w:rPr>
              <w:t>κλίμακας</w:t>
            </w:r>
            <w:r>
              <w:rPr>
                <w:spacing w:val="-6"/>
                <w:sz w:val="14"/>
              </w:rPr>
              <w:t> </w:t>
            </w:r>
            <w:r>
              <w:rPr>
                <w:sz w:val="14"/>
              </w:rPr>
              <w:t>στον</w:t>
            </w:r>
            <w:r>
              <w:rPr>
                <w:spacing w:val="-6"/>
                <w:sz w:val="14"/>
              </w:rPr>
              <w:t> </w:t>
            </w:r>
            <w:r>
              <w:rPr>
                <w:sz w:val="14"/>
              </w:rPr>
              <w:t>κάθετο</w:t>
            </w:r>
            <w:r>
              <w:rPr>
                <w:spacing w:val="-6"/>
                <w:sz w:val="14"/>
              </w:rPr>
              <w:t> </w:t>
            </w:r>
            <w:r>
              <w:rPr>
                <w:spacing w:val="-2"/>
                <w:sz w:val="14"/>
              </w:rPr>
              <w:t>άξονα.</w:t>
            </w:r>
          </w:p>
        </w:tc>
        <w:tc>
          <w:tcPr>
            <w:tcW w:w="720" w:type="dxa"/>
          </w:tcPr>
          <w:p>
            <w:pPr>
              <w:pStyle w:val="TableParagraph"/>
              <w:rPr>
                <w:sz w:val="12"/>
              </w:rPr>
            </w:pPr>
          </w:p>
          <w:p>
            <w:pPr>
              <w:pStyle w:val="TableParagraph"/>
              <w:rPr>
                <w:sz w:val="12"/>
              </w:rPr>
            </w:pPr>
          </w:p>
          <w:p>
            <w:pPr>
              <w:pStyle w:val="TableParagraph"/>
              <w:spacing w:before="52"/>
              <w:rPr>
                <w:sz w:val="12"/>
              </w:rPr>
            </w:pPr>
          </w:p>
          <w:p>
            <w:pPr>
              <w:pStyle w:val="TableParagraph"/>
              <w:ind w:left="18"/>
              <w:rPr>
                <w:sz w:val="12"/>
              </w:rPr>
            </w:pPr>
            <w:r>
              <w:rPr>
                <w:sz w:val="12"/>
              </w:rPr>
              <mc:AlternateContent>
                <mc:Choice Requires="wps">
                  <w:drawing>
                    <wp:anchor distT="0" distB="0" distL="0" distR="0" allowOverlap="1" layoutInCell="1" locked="0" behindDoc="0" simplePos="0" relativeHeight="15746560">
                      <wp:simplePos x="0" y="0"/>
                      <wp:positionH relativeFrom="column">
                        <wp:posOffset>446664</wp:posOffset>
                      </wp:positionH>
                      <wp:positionV relativeFrom="paragraph">
                        <wp:posOffset>26431</wp:posOffset>
                      </wp:positionV>
                      <wp:extent cx="46355" cy="46355"/>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46355" cy="46355"/>
                                <a:chExt cx="46355" cy="46355"/>
                              </a:xfrm>
                            </wpg:grpSpPr>
                            <wps:wsp>
                              <wps:cNvPr id="160" name="Graphic 160"/>
                              <wps:cNvSpPr/>
                              <wps:spPr>
                                <a:xfrm>
                                  <a:off x="3742" y="3742"/>
                                  <a:ext cx="38735" cy="38735"/>
                                </a:xfrm>
                                <a:custGeom>
                                  <a:avLst/>
                                  <a:gdLst/>
                                  <a:ahLst/>
                                  <a:cxnLst/>
                                  <a:rect l="l" t="t" r="r" b="b"/>
                                  <a:pathLst>
                                    <a:path w="38735" h="38735">
                                      <a:moveTo>
                                        <a:pt x="38491" y="0"/>
                                      </a:moveTo>
                                      <a:lnTo>
                                        <a:pt x="0" y="0"/>
                                      </a:lnTo>
                                      <a:lnTo>
                                        <a:pt x="0" y="38506"/>
                                      </a:lnTo>
                                      <a:lnTo>
                                        <a:pt x="38491" y="38506"/>
                                      </a:lnTo>
                                      <a:lnTo>
                                        <a:pt x="38491" y="0"/>
                                      </a:lnTo>
                                      <a:close/>
                                    </a:path>
                                  </a:pathLst>
                                </a:custGeom>
                                <a:solidFill>
                                  <a:srgbClr val="DAE2F3"/>
                                </a:solidFill>
                              </wps:spPr>
                              <wps:bodyPr wrap="square" lIns="0" tIns="0" rIns="0" bIns="0" rtlCol="0">
                                <a:prstTxWarp prst="textNoShape">
                                  <a:avLst/>
                                </a:prstTxWarp>
                                <a:noAutofit/>
                              </wps:bodyPr>
                            </wps:wsp>
                            <wps:wsp>
                              <wps:cNvPr id="161" name="Graphic 161"/>
                              <wps:cNvSpPr/>
                              <wps:spPr>
                                <a:xfrm>
                                  <a:off x="3742" y="3742"/>
                                  <a:ext cx="38735" cy="38735"/>
                                </a:xfrm>
                                <a:custGeom>
                                  <a:avLst/>
                                  <a:gdLst/>
                                  <a:ahLst/>
                                  <a:cxnLst/>
                                  <a:rect l="l" t="t" r="r" b="b"/>
                                  <a:pathLst>
                                    <a:path w="38735" h="38735">
                                      <a:moveTo>
                                        <a:pt x="0" y="38506"/>
                                      </a:moveTo>
                                      <a:lnTo>
                                        <a:pt x="38491" y="38506"/>
                                      </a:lnTo>
                                      <a:lnTo>
                                        <a:pt x="38491" y="0"/>
                                      </a:lnTo>
                                      <a:lnTo>
                                        <a:pt x="0" y="0"/>
                                      </a:lnTo>
                                      <a:lnTo>
                                        <a:pt x="0" y="38506"/>
                                      </a:lnTo>
                                      <a:close/>
                                    </a:path>
                                  </a:pathLst>
                                </a:custGeom>
                                <a:ln w="748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170464pt;margin-top:2.08119pt;width:3.65pt;height:3.65pt;mso-position-horizontal-relative:column;mso-position-vertical-relative:paragraph;z-index:15746560" id="docshapegroup150" coordorigin="703,42" coordsize="73,73">
                      <v:rect style="position:absolute;left:709;top:47;width:61;height:61" id="docshape151" filled="true" fillcolor="#dae2f3" stroked="false">
                        <v:fill type="solid"/>
                      </v:rect>
                      <v:rect style="position:absolute;left:709;top:47;width:61;height:61" id="docshape152" filled="false" stroked="true" strokeweight=".589441pt" strokecolor="#ffffff">
                        <v:stroke dashstyle="solid"/>
                      </v:rect>
                      <w10:wrap type="none"/>
                    </v:group>
                  </w:pict>
                </mc:Fallback>
              </mc:AlternateContent>
            </w:r>
            <w:r>
              <w:rPr>
                <w:sz w:val="12"/>
              </w:rPr>
              <w:t>(80%,</w:t>
            </w:r>
            <w:r>
              <w:rPr>
                <w:spacing w:val="2"/>
                <w:sz w:val="12"/>
              </w:rPr>
              <w:t> </w:t>
            </w:r>
            <w:r>
              <w:rPr>
                <w:spacing w:val="-4"/>
                <w:sz w:val="12"/>
              </w:rPr>
              <w:t>90%]</w:t>
            </w:r>
          </w:p>
        </w:tc>
        <w:tc>
          <w:tcPr>
            <w:tcW w:w="1017" w:type="dxa"/>
          </w:tcPr>
          <w:p>
            <w:pPr>
              <w:pStyle w:val="TableParagraph"/>
              <w:rPr>
                <w:sz w:val="12"/>
              </w:rPr>
            </w:pPr>
          </w:p>
          <w:p>
            <w:pPr>
              <w:pStyle w:val="TableParagraph"/>
              <w:rPr>
                <w:sz w:val="12"/>
              </w:rPr>
            </w:pPr>
          </w:p>
          <w:p>
            <w:pPr>
              <w:pStyle w:val="TableParagraph"/>
              <w:spacing w:before="52"/>
              <w:rPr>
                <w:sz w:val="12"/>
              </w:rPr>
            </w:pPr>
          </w:p>
          <w:p>
            <w:pPr>
              <w:pStyle w:val="TableParagraph"/>
              <w:ind w:left="88"/>
              <w:rPr>
                <w:sz w:val="12"/>
              </w:rPr>
            </w:pPr>
            <w:r>
              <w:rPr>
                <w:spacing w:val="-2"/>
                <w:sz w:val="12"/>
              </w:rPr>
              <w:t>&lt;=80%</w:t>
            </w:r>
          </w:p>
        </w:tc>
        <w:tc>
          <w:tcPr>
            <w:tcW w:w="1456" w:type="dxa"/>
          </w:tcPr>
          <w:p>
            <w:pPr>
              <w:pStyle w:val="TableParagraph"/>
              <w:rPr>
                <w:sz w:val="12"/>
              </w:rPr>
            </w:pPr>
          </w:p>
          <w:p>
            <w:pPr>
              <w:pStyle w:val="TableParagraph"/>
              <w:rPr>
                <w:sz w:val="12"/>
              </w:rPr>
            </w:pPr>
          </w:p>
          <w:p>
            <w:pPr>
              <w:pStyle w:val="TableParagraph"/>
              <w:spacing w:before="40"/>
              <w:rPr>
                <w:sz w:val="12"/>
              </w:rPr>
            </w:pPr>
          </w:p>
          <w:p>
            <w:pPr>
              <w:pStyle w:val="TableParagraph"/>
              <w:ind w:left="421"/>
              <w:rPr>
                <w:sz w:val="12"/>
              </w:rPr>
            </w:pPr>
            <w:r>
              <w:rPr>
                <w:sz w:val="12"/>
              </w:rPr>
              <mc:AlternateContent>
                <mc:Choice Requires="wps">
                  <w:drawing>
                    <wp:anchor distT="0" distB="0" distL="0" distR="0" allowOverlap="1" layoutInCell="1" locked="0" behindDoc="0" simplePos="0" relativeHeight="15747072">
                      <wp:simplePos x="0" y="0"/>
                      <wp:positionH relativeFrom="column">
                        <wp:posOffset>54762</wp:posOffset>
                      </wp:positionH>
                      <wp:positionV relativeFrom="paragraph">
                        <wp:posOffset>-68773</wp:posOffset>
                      </wp:positionV>
                      <wp:extent cx="1362075" cy="214122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1362075" cy="2141220"/>
                                <a:chExt cx="1362075" cy="2141220"/>
                              </a:xfrm>
                            </wpg:grpSpPr>
                            <wps:wsp>
                              <wps:cNvPr id="163" name="Graphic 163"/>
                              <wps:cNvSpPr/>
                              <wps:spPr>
                                <a:xfrm>
                                  <a:off x="334387" y="1863338"/>
                                  <a:ext cx="929005" cy="1270"/>
                                </a:xfrm>
                                <a:custGeom>
                                  <a:avLst/>
                                  <a:gdLst/>
                                  <a:ahLst/>
                                  <a:cxnLst/>
                                  <a:rect l="l" t="t" r="r" b="b"/>
                                  <a:pathLst>
                                    <a:path w="929005" h="0">
                                      <a:moveTo>
                                        <a:pt x="0" y="0"/>
                                      </a:moveTo>
                                      <a:lnTo>
                                        <a:pt x="928428" y="0"/>
                                      </a:lnTo>
                                    </a:path>
                                  </a:pathLst>
                                </a:custGeom>
                                <a:ln w="7430">
                                  <a:solidFill>
                                    <a:srgbClr val="FFFFFF"/>
                                  </a:solidFill>
                                  <a:prstDash val="solid"/>
                                </a:ln>
                              </wps:spPr>
                              <wps:bodyPr wrap="square" lIns="0" tIns="0" rIns="0" bIns="0" rtlCol="0">
                                <a:prstTxWarp prst="textNoShape">
                                  <a:avLst/>
                                </a:prstTxWarp>
                                <a:noAutofit/>
                              </wps:bodyPr>
                            </wps:wsp>
                            <wps:wsp>
                              <wps:cNvPr id="164" name="Graphic 164"/>
                              <wps:cNvSpPr/>
                              <wps:spPr>
                                <a:xfrm>
                                  <a:off x="334387" y="1334766"/>
                                  <a:ext cx="38735" cy="1270"/>
                                </a:xfrm>
                                <a:custGeom>
                                  <a:avLst/>
                                  <a:gdLst/>
                                  <a:ahLst/>
                                  <a:cxnLst/>
                                  <a:rect l="l" t="t" r="r" b="b"/>
                                  <a:pathLst>
                                    <a:path w="38735" h="0">
                                      <a:moveTo>
                                        <a:pt x="0" y="0"/>
                                      </a:moveTo>
                                      <a:lnTo>
                                        <a:pt x="38154" y="0"/>
                                      </a:lnTo>
                                    </a:path>
                                  </a:pathLst>
                                </a:custGeom>
                                <a:ln w="7430">
                                  <a:solidFill>
                                    <a:srgbClr val="FFFFFF"/>
                                  </a:solidFill>
                                  <a:prstDash val="solid"/>
                                </a:ln>
                              </wps:spPr>
                              <wps:bodyPr wrap="square" lIns="0" tIns="0" rIns="0" bIns="0" rtlCol="0">
                                <a:prstTxWarp prst="textNoShape">
                                  <a:avLst/>
                                </a:prstTxWarp>
                                <a:noAutofit/>
                              </wps:bodyPr>
                            </wps:wsp>
                            <wps:wsp>
                              <wps:cNvPr id="165" name="Graphic 165"/>
                              <wps:cNvSpPr/>
                              <wps:spPr>
                                <a:xfrm>
                                  <a:off x="334387" y="806173"/>
                                  <a:ext cx="929005" cy="528955"/>
                                </a:xfrm>
                                <a:custGeom>
                                  <a:avLst/>
                                  <a:gdLst/>
                                  <a:ahLst/>
                                  <a:cxnLst/>
                                  <a:rect l="l" t="t" r="r" b="b"/>
                                  <a:pathLst>
                                    <a:path w="929005" h="528955">
                                      <a:moveTo>
                                        <a:pt x="426053" y="528592"/>
                                      </a:moveTo>
                                      <a:lnTo>
                                        <a:pt x="502363" y="528592"/>
                                      </a:lnTo>
                                    </a:path>
                                    <a:path w="929005" h="528955">
                                      <a:moveTo>
                                        <a:pt x="890273" y="528592"/>
                                      </a:moveTo>
                                      <a:lnTo>
                                        <a:pt x="928428" y="528592"/>
                                      </a:lnTo>
                                    </a:path>
                                    <a:path w="929005" h="528955">
                                      <a:moveTo>
                                        <a:pt x="0" y="0"/>
                                      </a:moveTo>
                                      <a:lnTo>
                                        <a:pt x="38154" y="0"/>
                                      </a:lnTo>
                                    </a:path>
                                    <a:path w="929005" h="528955">
                                      <a:moveTo>
                                        <a:pt x="426053" y="0"/>
                                      </a:moveTo>
                                      <a:lnTo>
                                        <a:pt x="502363" y="0"/>
                                      </a:lnTo>
                                    </a:path>
                                    <a:path w="929005" h="528955">
                                      <a:moveTo>
                                        <a:pt x="890273" y="0"/>
                                      </a:moveTo>
                                      <a:lnTo>
                                        <a:pt x="928428" y="0"/>
                                      </a:lnTo>
                                    </a:path>
                                  </a:pathLst>
                                </a:custGeom>
                                <a:ln w="7430">
                                  <a:solidFill>
                                    <a:srgbClr val="FFFFFF"/>
                                  </a:solidFill>
                                  <a:prstDash val="solid"/>
                                </a:ln>
                              </wps:spPr>
                              <wps:bodyPr wrap="square" lIns="0" tIns="0" rIns="0" bIns="0" rtlCol="0">
                                <a:prstTxWarp prst="textNoShape">
                                  <a:avLst/>
                                </a:prstTxWarp>
                                <a:noAutofit/>
                              </wps:bodyPr>
                            </wps:wsp>
                            <wps:wsp>
                              <wps:cNvPr id="166" name="Graphic 166"/>
                              <wps:cNvSpPr/>
                              <wps:spPr>
                                <a:xfrm>
                                  <a:off x="334386" y="277580"/>
                                  <a:ext cx="929005" cy="1270"/>
                                </a:xfrm>
                                <a:custGeom>
                                  <a:avLst/>
                                  <a:gdLst/>
                                  <a:ahLst/>
                                  <a:cxnLst/>
                                  <a:rect l="l" t="t" r="r" b="b"/>
                                  <a:pathLst>
                                    <a:path w="929005" h="0">
                                      <a:moveTo>
                                        <a:pt x="0" y="0"/>
                                      </a:moveTo>
                                      <a:lnTo>
                                        <a:pt x="928428" y="0"/>
                                      </a:lnTo>
                                    </a:path>
                                  </a:pathLst>
                                </a:custGeom>
                                <a:ln w="7430">
                                  <a:solidFill>
                                    <a:srgbClr val="FFFFFF"/>
                                  </a:solidFill>
                                  <a:prstDash val="solid"/>
                                </a:ln>
                              </wps:spPr>
                              <wps:bodyPr wrap="square" lIns="0" tIns="0" rIns="0" bIns="0" rtlCol="0">
                                <a:prstTxWarp prst="textNoShape">
                                  <a:avLst/>
                                </a:prstTxWarp>
                                <a:noAutofit/>
                              </wps:bodyPr>
                            </wps:wsp>
                            <wps:wsp>
                              <wps:cNvPr id="167" name="Graphic 167"/>
                              <wps:cNvSpPr/>
                              <wps:spPr>
                                <a:xfrm>
                                  <a:off x="156330" y="99260"/>
                                  <a:ext cx="38735" cy="38735"/>
                                </a:xfrm>
                                <a:custGeom>
                                  <a:avLst/>
                                  <a:gdLst/>
                                  <a:ahLst/>
                                  <a:cxnLst/>
                                  <a:rect l="l" t="t" r="r" b="b"/>
                                  <a:pathLst>
                                    <a:path w="38735" h="38735">
                                      <a:moveTo>
                                        <a:pt x="38155" y="0"/>
                                      </a:moveTo>
                                      <a:lnTo>
                                        <a:pt x="0" y="0"/>
                                      </a:lnTo>
                                      <a:lnTo>
                                        <a:pt x="0" y="38211"/>
                                      </a:lnTo>
                                      <a:lnTo>
                                        <a:pt x="38155" y="38211"/>
                                      </a:lnTo>
                                      <a:lnTo>
                                        <a:pt x="38155" y="0"/>
                                      </a:lnTo>
                                      <a:close/>
                                    </a:path>
                                  </a:pathLst>
                                </a:custGeom>
                                <a:solidFill>
                                  <a:srgbClr val="1F3863"/>
                                </a:solidFill>
                              </wps:spPr>
                              <wps:bodyPr wrap="square" lIns="0" tIns="0" rIns="0" bIns="0" rtlCol="0">
                                <a:prstTxWarp prst="textNoShape">
                                  <a:avLst/>
                                </a:prstTxWarp>
                                <a:noAutofit/>
                              </wps:bodyPr>
                            </wps:wsp>
                            <wps:wsp>
                              <wps:cNvPr id="168" name="Graphic 168"/>
                              <wps:cNvSpPr/>
                              <wps:spPr>
                                <a:xfrm>
                                  <a:off x="156330" y="99260"/>
                                  <a:ext cx="38735" cy="38735"/>
                                </a:xfrm>
                                <a:custGeom>
                                  <a:avLst/>
                                  <a:gdLst/>
                                  <a:ahLst/>
                                  <a:cxnLst/>
                                  <a:rect l="l" t="t" r="r" b="b"/>
                                  <a:pathLst>
                                    <a:path w="38735" h="38735">
                                      <a:moveTo>
                                        <a:pt x="0" y="38211"/>
                                      </a:moveTo>
                                      <a:lnTo>
                                        <a:pt x="38155" y="38211"/>
                                      </a:lnTo>
                                      <a:lnTo>
                                        <a:pt x="38155" y="0"/>
                                      </a:lnTo>
                                      <a:lnTo>
                                        <a:pt x="0" y="0"/>
                                      </a:lnTo>
                                      <a:lnTo>
                                        <a:pt x="0" y="38211"/>
                                      </a:lnTo>
                                      <a:close/>
                                    </a:path>
                                  </a:pathLst>
                                </a:custGeom>
                                <a:ln w="7424">
                                  <a:solidFill>
                                    <a:srgbClr val="FFFFFF"/>
                                  </a:solidFill>
                                  <a:prstDash val="solid"/>
                                </a:ln>
                              </wps:spPr>
                              <wps:bodyPr wrap="square" lIns="0" tIns="0" rIns="0" bIns="0" rtlCol="0">
                                <a:prstTxWarp prst="textNoShape">
                                  <a:avLst/>
                                </a:prstTxWarp>
                                <a:noAutofit/>
                              </wps:bodyPr>
                            </wps:wsp>
                            <wps:wsp>
                              <wps:cNvPr id="169" name="Graphic 169"/>
                              <wps:cNvSpPr/>
                              <wps:spPr>
                                <a:xfrm>
                                  <a:off x="525161" y="99260"/>
                                  <a:ext cx="38735" cy="38735"/>
                                </a:xfrm>
                                <a:custGeom>
                                  <a:avLst/>
                                  <a:gdLst/>
                                  <a:ahLst/>
                                  <a:cxnLst/>
                                  <a:rect l="l" t="t" r="r" b="b"/>
                                  <a:pathLst>
                                    <a:path w="38735" h="38735">
                                      <a:moveTo>
                                        <a:pt x="38155" y="0"/>
                                      </a:moveTo>
                                      <a:lnTo>
                                        <a:pt x="0" y="0"/>
                                      </a:lnTo>
                                      <a:lnTo>
                                        <a:pt x="0" y="38211"/>
                                      </a:lnTo>
                                      <a:lnTo>
                                        <a:pt x="38155" y="38211"/>
                                      </a:lnTo>
                                      <a:lnTo>
                                        <a:pt x="38155" y="0"/>
                                      </a:lnTo>
                                      <a:close/>
                                    </a:path>
                                  </a:pathLst>
                                </a:custGeom>
                                <a:solidFill>
                                  <a:srgbClr val="ACB8C9"/>
                                </a:solidFill>
                              </wps:spPr>
                              <wps:bodyPr wrap="square" lIns="0" tIns="0" rIns="0" bIns="0" rtlCol="0">
                                <a:prstTxWarp prst="textNoShape">
                                  <a:avLst/>
                                </a:prstTxWarp>
                                <a:noAutofit/>
                              </wps:bodyPr>
                            </wps:wsp>
                            <wps:wsp>
                              <wps:cNvPr id="170" name="Graphic 170"/>
                              <wps:cNvSpPr/>
                              <wps:spPr>
                                <a:xfrm>
                                  <a:off x="525161" y="99260"/>
                                  <a:ext cx="38735" cy="38735"/>
                                </a:xfrm>
                                <a:custGeom>
                                  <a:avLst/>
                                  <a:gdLst/>
                                  <a:ahLst/>
                                  <a:cxnLst/>
                                  <a:rect l="l" t="t" r="r" b="b"/>
                                  <a:pathLst>
                                    <a:path w="38735" h="38735">
                                      <a:moveTo>
                                        <a:pt x="0" y="38211"/>
                                      </a:moveTo>
                                      <a:lnTo>
                                        <a:pt x="38155" y="38211"/>
                                      </a:lnTo>
                                      <a:lnTo>
                                        <a:pt x="38155" y="0"/>
                                      </a:lnTo>
                                      <a:lnTo>
                                        <a:pt x="0" y="0"/>
                                      </a:lnTo>
                                      <a:lnTo>
                                        <a:pt x="0" y="38211"/>
                                      </a:lnTo>
                                      <a:close/>
                                    </a:path>
                                  </a:pathLst>
                                </a:custGeom>
                                <a:ln w="7424">
                                  <a:solidFill>
                                    <a:srgbClr val="FFFFFF"/>
                                  </a:solidFill>
                                  <a:prstDash val="solid"/>
                                </a:ln>
                              </wps:spPr>
                              <wps:bodyPr wrap="square" lIns="0" tIns="0" rIns="0" bIns="0" rtlCol="0">
                                <a:prstTxWarp prst="textNoShape">
                                  <a:avLst/>
                                </a:prstTxWarp>
                                <a:noAutofit/>
                              </wps:bodyPr>
                            </wps:wsp>
                            <wps:wsp>
                              <wps:cNvPr id="171" name="Graphic 171"/>
                              <wps:cNvSpPr/>
                              <wps:spPr>
                                <a:xfrm>
                                  <a:off x="887624" y="99260"/>
                                  <a:ext cx="38735" cy="38735"/>
                                </a:xfrm>
                                <a:custGeom>
                                  <a:avLst/>
                                  <a:gdLst/>
                                  <a:ahLst/>
                                  <a:cxnLst/>
                                  <a:rect l="l" t="t" r="r" b="b"/>
                                  <a:pathLst>
                                    <a:path w="38735" h="38735">
                                      <a:moveTo>
                                        <a:pt x="38155" y="0"/>
                                      </a:moveTo>
                                      <a:lnTo>
                                        <a:pt x="0" y="0"/>
                                      </a:lnTo>
                                      <a:lnTo>
                                        <a:pt x="0" y="38211"/>
                                      </a:lnTo>
                                      <a:lnTo>
                                        <a:pt x="38155" y="38211"/>
                                      </a:lnTo>
                                      <a:lnTo>
                                        <a:pt x="38155" y="0"/>
                                      </a:lnTo>
                                      <a:close/>
                                    </a:path>
                                  </a:pathLst>
                                </a:custGeom>
                                <a:solidFill>
                                  <a:srgbClr val="DAE2F3"/>
                                </a:solidFill>
                              </wps:spPr>
                              <wps:bodyPr wrap="square" lIns="0" tIns="0" rIns="0" bIns="0" rtlCol="0">
                                <a:prstTxWarp prst="textNoShape">
                                  <a:avLst/>
                                </a:prstTxWarp>
                                <a:noAutofit/>
                              </wps:bodyPr>
                            </wps:wsp>
                            <wps:wsp>
                              <wps:cNvPr id="172" name="Graphic 172"/>
                              <wps:cNvSpPr/>
                              <wps:spPr>
                                <a:xfrm>
                                  <a:off x="887624" y="99260"/>
                                  <a:ext cx="38735" cy="38735"/>
                                </a:xfrm>
                                <a:custGeom>
                                  <a:avLst/>
                                  <a:gdLst/>
                                  <a:ahLst/>
                                  <a:cxnLst/>
                                  <a:rect l="l" t="t" r="r" b="b"/>
                                  <a:pathLst>
                                    <a:path w="38735" h="38735">
                                      <a:moveTo>
                                        <a:pt x="0" y="38211"/>
                                      </a:moveTo>
                                      <a:lnTo>
                                        <a:pt x="38155" y="38211"/>
                                      </a:lnTo>
                                      <a:lnTo>
                                        <a:pt x="38155" y="0"/>
                                      </a:lnTo>
                                      <a:lnTo>
                                        <a:pt x="0" y="0"/>
                                      </a:lnTo>
                                      <a:lnTo>
                                        <a:pt x="0" y="38211"/>
                                      </a:lnTo>
                                      <a:close/>
                                    </a:path>
                                  </a:pathLst>
                                </a:custGeom>
                                <a:ln w="7424">
                                  <a:solidFill>
                                    <a:srgbClr val="FFFFFF"/>
                                  </a:solidFill>
                                  <a:prstDash val="solid"/>
                                </a:ln>
                              </wps:spPr>
                              <wps:bodyPr wrap="square" lIns="0" tIns="0" rIns="0" bIns="0" rtlCol="0">
                                <a:prstTxWarp prst="textNoShape">
                                  <a:avLst/>
                                </a:prstTxWarp>
                                <a:noAutofit/>
                              </wps:bodyPr>
                            </wps:wsp>
                            <wps:wsp>
                              <wps:cNvPr id="173" name="Graphic 173"/>
                              <wps:cNvSpPr/>
                              <wps:spPr>
                                <a:xfrm>
                                  <a:off x="3711" y="3711"/>
                                  <a:ext cx="1355090" cy="2133600"/>
                                </a:xfrm>
                                <a:custGeom>
                                  <a:avLst/>
                                  <a:gdLst/>
                                  <a:ahLst/>
                                  <a:cxnLst/>
                                  <a:rect l="l" t="t" r="r" b="b"/>
                                  <a:pathLst>
                                    <a:path w="1355090" h="2133600">
                                      <a:moveTo>
                                        <a:pt x="0" y="2133477"/>
                                      </a:moveTo>
                                      <a:lnTo>
                                        <a:pt x="1354503" y="2133477"/>
                                      </a:lnTo>
                                      <a:lnTo>
                                        <a:pt x="1354503" y="0"/>
                                      </a:lnTo>
                                      <a:lnTo>
                                        <a:pt x="0" y="0"/>
                                      </a:lnTo>
                                      <a:lnTo>
                                        <a:pt x="0" y="2133477"/>
                                      </a:lnTo>
                                      <a:close/>
                                    </a:path>
                                  </a:pathLst>
                                </a:custGeom>
                                <a:ln w="7422">
                                  <a:solidFill>
                                    <a:srgbClr val="BEBE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12007pt;margin-top:-5.415205pt;width:107.25pt;height:168.6pt;mso-position-horizontal-relative:column;mso-position-vertical-relative:paragraph;z-index:15747072" id="docshapegroup153" coordorigin="86,-108" coordsize="2145,3372">
                      <v:line style="position:absolute" from="613,2826" to="2075,2826" stroked="true" strokeweight=".585041pt" strokecolor="#ffffff">
                        <v:stroke dashstyle="solid"/>
                      </v:line>
                      <v:line style="position:absolute" from="613,1994" to="673,1994" stroked="true" strokeweight=".585059pt" strokecolor="#ffffff">
                        <v:stroke dashstyle="solid"/>
                      </v:line>
                      <v:shape style="position:absolute;left:612;top:1161;width:1463;height:833" id="docshape154" coordorigin="613,1161" coordsize="1463,833" path="m1284,1994l1404,1994m2015,1994l2075,1994m613,1161l673,1161m1284,1161l1404,1161m2015,1161l2075,1161e" filled="false" stroked="true" strokeweight=".585059pt" strokecolor="#ffffff">
                        <v:path arrowok="t"/>
                        <v:stroke dashstyle="solid"/>
                      </v:shape>
                      <v:line style="position:absolute" from="613,329" to="2075,329" stroked="true" strokeweight=".585041pt" strokecolor="#ffffff">
                        <v:stroke dashstyle="solid"/>
                      </v:line>
                      <v:rect style="position:absolute;left:332;top:48;width:61;height:61" id="docshape155" filled="true" fillcolor="#1f3863" stroked="false">
                        <v:fill type="solid"/>
                      </v:rect>
                      <v:rect style="position:absolute;left:332;top:48;width:61;height:61" id="docshape156" filled="false" stroked="true" strokeweight=".584608pt" strokecolor="#ffffff">
                        <v:stroke dashstyle="solid"/>
                      </v:rect>
                      <v:rect style="position:absolute;left:913;top:48;width:61;height:61" id="docshape157" filled="true" fillcolor="#acb8c9" stroked="false">
                        <v:fill type="solid"/>
                      </v:rect>
                      <v:rect style="position:absolute;left:913;top:48;width:61;height:61" id="docshape158" filled="false" stroked="true" strokeweight=".584608pt" strokecolor="#ffffff">
                        <v:stroke dashstyle="solid"/>
                      </v:rect>
                      <v:rect style="position:absolute;left:1484;top:48;width:61;height:61" id="docshape159" filled="true" fillcolor="#dae2f3" stroked="false">
                        <v:fill type="solid"/>
                      </v:rect>
                      <v:rect style="position:absolute;left:1484;top:48;width:61;height:61" id="docshape160" filled="false" stroked="true" strokeweight=".584608pt" strokecolor="#ffffff">
                        <v:stroke dashstyle="solid"/>
                      </v:rect>
                      <v:rect style="position:absolute;left:92;top:-103;width:2134;height:3360" id="docshape161" filled="false" stroked="true" strokeweight=".584424pt" strokecolor="#bebebe">
                        <v:stroke dashstyle="solid"/>
                      </v:rect>
                      <w10:wrap type="none"/>
                    </v:group>
                  </w:pict>
                </mc:Fallback>
              </mc:AlternateContent>
            </w:r>
            <w:r>
              <w:rPr>
                <w:sz w:val="12"/>
              </w:rPr>
              <w:t>&gt;30 έτη</w:t>
            </w:r>
            <w:r>
              <w:rPr>
                <w:spacing w:val="69"/>
                <w:sz w:val="12"/>
              </w:rPr>
              <w:t>  </w:t>
            </w:r>
            <w:r>
              <w:rPr>
                <w:sz w:val="12"/>
              </w:rPr>
              <w:t>(25,</w:t>
            </w:r>
            <w:r>
              <w:rPr>
                <w:spacing w:val="1"/>
                <w:sz w:val="12"/>
              </w:rPr>
              <w:t> </w:t>
            </w:r>
            <w:r>
              <w:rPr>
                <w:spacing w:val="-5"/>
                <w:sz w:val="12"/>
              </w:rPr>
              <w:t>30]</w:t>
            </w:r>
          </w:p>
        </w:tc>
        <w:tc>
          <w:tcPr>
            <w:tcW w:w="942" w:type="dxa"/>
            <w:tcBorders>
              <w:right w:val="double" w:sz="4" w:space="0" w:color="000000"/>
            </w:tcBorders>
          </w:tcPr>
          <w:p>
            <w:pPr>
              <w:pStyle w:val="TableParagraph"/>
              <w:rPr>
                <w:sz w:val="12"/>
              </w:rPr>
            </w:pPr>
          </w:p>
          <w:p>
            <w:pPr>
              <w:pStyle w:val="TableParagraph"/>
              <w:rPr>
                <w:sz w:val="12"/>
              </w:rPr>
            </w:pPr>
          </w:p>
          <w:p>
            <w:pPr>
              <w:pStyle w:val="TableParagraph"/>
              <w:spacing w:before="40"/>
              <w:rPr>
                <w:sz w:val="12"/>
              </w:rPr>
            </w:pPr>
          </w:p>
          <w:p>
            <w:pPr>
              <w:pStyle w:val="TableParagraph"/>
              <w:ind w:left="126"/>
              <w:rPr>
                <w:sz w:val="12"/>
              </w:rPr>
            </w:pPr>
            <w:r>
              <w:rPr>
                <w:sz w:val="12"/>
              </w:rPr>
              <w:t>&lt;=25 </w:t>
            </w:r>
            <w:r>
              <w:rPr>
                <w:spacing w:val="-5"/>
                <w:sz w:val="12"/>
              </w:rPr>
              <w:t>έτη</w:t>
            </w:r>
          </w:p>
        </w:tc>
      </w:tr>
      <w:tr>
        <w:trPr>
          <w:trHeight w:val="456" w:hRule="atLeast"/>
        </w:trPr>
        <w:tc>
          <w:tcPr>
            <w:tcW w:w="108" w:type="dxa"/>
            <w:vMerge/>
            <w:tcBorders>
              <w:top w:val="nil"/>
              <w:left w:val="single" w:sz="4" w:space="0" w:color="000000"/>
              <w:right w:val="single" w:sz="4" w:space="0" w:color="000000"/>
            </w:tcBorders>
            <w:shd w:val="clear" w:color="auto" w:fill="D9D9D9"/>
          </w:tcPr>
          <w:p>
            <w:pPr>
              <w:rPr>
                <w:sz w:val="2"/>
                <w:szCs w:val="2"/>
              </w:rPr>
            </w:pPr>
          </w:p>
        </w:tc>
        <w:tc>
          <w:tcPr>
            <w:tcW w:w="4401" w:type="dxa"/>
            <w:vMerge/>
            <w:tcBorders>
              <w:top w:val="nil"/>
              <w:left w:val="single" w:sz="4" w:space="0" w:color="000000"/>
              <w:bottom w:val="single" w:sz="4" w:space="0" w:color="000000"/>
            </w:tcBorders>
          </w:tcPr>
          <w:p>
            <w:pPr>
              <w:rPr>
                <w:sz w:val="2"/>
                <w:szCs w:val="2"/>
              </w:rPr>
            </w:pPr>
          </w:p>
        </w:tc>
        <w:tc>
          <w:tcPr>
            <w:tcW w:w="720" w:type="dxa"/>
          </w:tcPr>
          <w:p>
            <w:pPr>
              <w:pStyle w:val="TableParagraph"/>
              <w:rPr>
                <w:sz w:val="18"/>
              </w:rPr>
            </w:pPr>
          </w:p>
        </w:tc>
        <w:tc>
          <w:tcPr>
            <w:tcW w:w="1017" w:type="dxa"/>
          </w:tcPr>
          <w:p>
            <w:pPr>
              <w:pStyle w:val="TableParagraph"/>
              <w:rPr>
                <w:sz w:val="18"/>
              </w:rPr>
            </w:pPr>
          </w:p>
        </w:tc>
        <w:tc>
          <w:tcPr>
            <w:tcW w:w="1456" w:type="dxa"/>
          </w:tcPr>
          <w:p>
            <w:pPr>
              <w:pStyle w:val="TableParagraph"/>
              <w:spacing w:before="48"/>
              <w:ind w:left="232"/>
              <w:rPr>
                <w:sz w:val="12"/>
              </w:rPr>
            </w:pPr>
            <w:r>
              <w:rPr>
                <w:spacing w:val="-4"/>
                <w:sz w:val="12"/>
              </w:rPr>
              <w:t>100%</w:t>
            </w:r>
          </w:p>
          <w:p>
            <w:pPr>
              <w:pStyle w:val="TableParagraph"/>
              <w:spacing w:before="2"/>
              <w:ind w:left="873"/>
              <w:rPr>
                <w:sz w:val="12"/>
              </w:rPr>
            </w:pPr>
            <w:r>
              <w:rPr>
                <w:spacing w:val="-5"/>
                <w:sz w:val="12"/>
              </w:rPr>
              <w:t>55%</w:t>
            </w:r>
          </w:p>
        </w:tc>
        <w:tc>
          <w:tcPr>
            <w:tcW w:w="942" w:type="dxa"/>
            <w:tcBorders>
              <w:right w:val="single" w:sz="4" w:space="0" w:color="000000"/>
            </w:tcBorders>
          </w:tcPr>
          <w:p>
            <w:pPr>
              <w:pStyle w:val="TableParagraph"/>
              <w:spacing w:before="20"/>
              <w:rPr>
                <w:sz w:val="12"/>
              </w:rPr>
            </w:pPr>
          </w:p>
          <w:p>
            <w:pPr>
              <w:pStyle w:val="TableParagraph"/>
              <w:ind w:left="154"/>
              <w:rPr>
                <w:sz w:val="12"/>
              </w:rPr>
            </w:pPr>
            <w:r>
              <w:rPr>
                <w:spacing w:val="-5"/>
                <w:sz w:val="12"/>
              </w:rPr>
              <w:t>47%</w:t>
            </w:r>
          </w:p>
        </w:tc>
      </w:tr>
      <w:tr>
        <w:trPr>
          <w:trHeight w:val="387" w:hRule="atLeast"/>
        </w:trPr>
        <w:tc>
          <w:tcPr>
            <w:tcW w:w="108" w:type="dxa"/>
            <w:vMerge/>
            <w:tcBorders>
              <w:top w:val="nil"/>
              <w:left w:val="single" w:sz="4" w:space="0" w:color="000000"/>
              <w:right w:val="single" w:sz="4" w:space="0" w:color="000000"/>
            </w:tcBorders>
            <w:shd w:val="clear" w:color="auto" w:fill="D9D9D9"/>
          </w:tcPr>
          <w:p>
            <w:pPr>
              <w:rPr>
                <w:sz w:val="2"/>
                <w:szCs w:val="2"/>
              </w:rPr>
            </w:pPr>
          </w:p>
        </w:tc>
        <w:tc>
          <w:tcPr>
            <w:tcW w:w="4401" w:type="dxa"/>
            <w:vMerge/>
            <w:tcBorders>
              <w:top w:val="nil"/>
              <w:left w:val="single" w:sz="4" w:space="0" w:color="000000"/>
              <w:bottom w:val="single" w:sz="4" w:space="0" w:color="000000"/>
            </w:tcBorders>
          </w:tcPr>
          <w:p>
            <w:pPr>
              <w:rPr>
                <w:sz w:val="2"/>
                <w:szCs w:val="2"/>
              </w:rPr>
            </w:pPr>
          </w:p>
        </w:tc>
        <w:tc>
          <w:tcPr>
            <w:tcW w:w="720" w:type="dxa"/>
          </w:tcPr>
          <w:p>
            <w:pPr>
              <w:pStyle w:val="TableParagraph"/>
              <w:rPr>
                <w:sz w:val="18"/>
              </w:rPr>
            </w:pPr>
          </w:p>
        </w:tc>
        <w:tc>
          <w:tcPr>
            <w:tcW w:w="1017" w:type="dxa"/>
          </w:tcPr>
          <w:p>
            <w:pPr>
              <w:pStyle w:val="TableParagraph"/>
              <w:rPr>
                <w:sz w:val="18"/>
              </w:rPr>
            </w:pPr>
          </w:p>
        </w:tc>
        <w:tc>
          <w:tcPr>
            <w:tcW w:w="1456" w:type="dxa"/>
          </w:tcPr>
          <w:p>
            <w:pPr>
              <w:pStyle w:val="TableParagraph"/>
              <w:spacing w:before="97"/>
              <w:rPr>
                <w:sz w:val="12"/>
              </w:rPr>
            </w:pPr>
          </w:p>
          <w:p>
            <w:pPr>
              <w:pStyle w:val="TableParagraph"/>
              <w:spacing w:line="132" w:lineRule="exact"/>
              <w:ind w:left="873"/>
              <w:rPr>
                <w:sz w:val="12"/>
              </w:rPr>
            </w:pPr>
            <w:r>
              <w:rPr>
                <w:spacing w:val="-5"/>
                <w:sz w:val="12"/>
              </w:rPr>
              <w:t>39%</w:t>
            </w:r>
          </w:p>
        </w:tc>
        <w:tc>
          <w:tcPr>
            <w:tcW w:w="942" w:type="dxa"/>
            <w:tcBorders>
              <w:right w:val="single" w:sz="4" w:space="0" w:color="000000"/>
            </w:tcBorders>
          </w:tcPr>
          <w:p>
            <w:pPr>
              <w:pStyle w:val="TableParagraph"/>
              <w:spacing w:before="125"/>
              <w:ind w:left="154"/>
              <w:rPr>
                <w:sz w:val="12"/>
              </w:rPr>
            </w:pPr>
            <w:r>
              <w:rPr>
                <w:spacing w:val="-5"/>
                <w:sz w:val="12"/>
              </w:rPr>
              <w:t>44%</w:t>
            </w:r>
          </w:p>
        </w:tc>
      </w:tr>
      <w:tr>
        <w:trPr>
          <w:trHeight w:val="492" w:hRule="atLeast"/>
        </w:trPr>
        <w:tc>
          <w:tcPr>
            <w:tcW w:w="108" w:type="dxa"/>
            <w:vMerge/>
            <w:tcBorders>
              <w:top w:val="nil"/>
              <w:left w:val="single" w:sz="4" w:space="0" w:color="000000"/>
              <w:right w:val="single" w:sz="4" w:space="0" w:color="000000"/>
            </w:tcBorders>
            <w:shd w:val="clear" w:color="auto" w:fill="D9D9D9"/>
          </w:tcPr>
          <w:p>
            <w:pPr>
              <w:rPr>
                <w:sz w:val="2"/>
                <w:szCs w:val="2"/>
              </w:rPr>
            </w:pPr>
          </w:p>
        </w:tc>
        <w:tc>
          <w:tcPr>
            <w:tcW w:w="4401" w:type="dxa"/>
            <w:vMerge/>
            <w:tcBorders>
              <w:top w:val="nil"/>
              <w:left w:val="single" w:sz="4" w:space="0" w:color="000000"/>
              <w:bottom w:val="single" w:sz="4" w:space="0" w:color="000000"/>
            </w:tcBorders>
          </w:tcPr>
          <w:p>
            <w:pPr>
              <w:rPr>
                <w:sz w:val="2"/>
                <w:szCs w:val="2"/>
              </w:rPr>
            </w:pPr>
          </w:p>
        </w:tc>
        <w:tc>
          <w:tcPr>
            <w:tcW w:w="720" w:type="dxa"/>
          </w:tcPr>
          <w:p>
            <w:pPr>
              <w:pStyle w:val="TableParagraph"/>
              <w:rPr>
                <w:sz w:val="18"/>
              </w:rPr>
            </w:pPr>
          </w:p>
        </w:tc>
        <w:tc>
          <w:tcPr>
            <w:tcW w:w="1017" w:type="dxa"/>
          </w:tcPr>
          <w:p>
            <w:pPr>
              <w:pStyle w:val="TableParagraph"/>
              <w:spacing w:before="2"/>
              <w:rPr>
                <w:sz w:val="8"/>
              </w:rPr>
            </w:pPr>
          </w:p>
          <w:p>
            <w:pPr>
              <w:pStyle w:val="TableParagraph"/>
              <w:spacing w:line="20" w:lineRule="exact"/>
              <w:ind w:left="761"/>
              <w:rPr>
                <w:sz w:val="2"/>
              </w:rPr>
            </w:pPr>
            <w:r>
              <w:rPr>
                <w:sz w:val="2"/>
              </w:rPr>
              <mc:AlternateContent>
                <mc:Choice Requires="wps">
                  <w:drawing>
                    <wp:inline distT="0" distB="0" distL="0" distR="0">
                      <wp:extent cx="45085" cy="7620"/>
                      <wp:effectExtent l="9525" t="0" r="2540" b="1905"/>
                      <wp:docPr id="174" name="Group 174"/>
                      <wp:cNvGraphicFramePr>
                        <a:graphicFrameLocks/>
                      </wp:cNvGraphicFramePr>
                      <a:graphic>
                        <a:graphicData uri="http://schemas.microsoft.com/office/word/2010/wordprocessingGroup">
                          <wpg:wgp>
                            <wpg:cNvPr id="174" name="Group 174"/>
                            <wpg:cNvGrpSpPr/>
                            <wpg:grpSpPr>
                              <a:xfrm>
                                <a:off x="0" y="0"/>
                                <a:ext cx="45085" cy="7620"/>
                                <a:chExt cx="45085" cy="7620"/>
                              </a:xfrm>
                            </wpg:grpSpPr>
                            <wps:wsp>
                              <wps:cNvPr id="175" name="Graphic 175"/>
                              <wps:cNvSpPr/>
                              <wps:spPr>
                                <a:xfrm>
                                  <a:off x="0" y="3743"/>
                                  <a:ext cx="45085" cy="1270"/>
                                </a:xfrm>
                                <a:custGeom>
                                  <a:avLst/>
                                  <a:gdLst/>
                                  <a:ahLst/>
                                  <a:cxnLst/>
                                  <a:rect l="l" t="t" r="r" b="b"/>
                                  <a:pathLst>
                                    <a:path w="45085" h="0">
                                      <a:moveTo>
                                        <a:pt x="0" y="0"/>
                                      </a:moveTo>
                                      <a:lnTo>
                                        <a:pt x="44907" y="0"/>
                                      </a:lnTo>
                                    </a:path>
                                  </a:pathLst>
                                </a:custGeom>
                                <a:ln w="7487">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3.55pt;height:.6pt;mso-position-horizontal-relative:char;mso-position-vertical-relative:line" id="docshapegroup162" coordorigin="0,0" coordsize="71,12">
                      <v:line style="position:absolute" from="0,6" to="71,6" stroked="true" strokeweight=".589570pt" strokecolor="#ffffff">
                        <v:stroke dashstyle="solid"/>
                      </v:line>
                    </v:group>
                  </w:pict>
                </mc:Fallback>
              </mc:AlternateContent>
            </w:r>
            <w:r>
              <w:rPr>
                <w:sz w:val="2"/>
              </w:rPr>
            </w:r>
          </w:p>
        </w:tc>
        <w:tc>
          <w:tcPr>
            <w:tcW w:w="1456" w:type="dxa"/>
          </w:tcPr>
          <w:p>
            <w:pPr>
              <w:pStyle w:val="TableParagraph"/>
              <w:spacing w:before="9"/>
              <w:ind w:left="292"/>
              <w:rPr>
                <w:sz w:val="12"/>
              </w:rPr>
            </w:pPr>
            <w:r>
              <w:rPr>
                <w:spacing w:val="-5"/>
                <w:sz w:val="12"/>
              </w:rPr>
              <w:t>10%</w:t>
            </w:r>
          </w:p>
        </w:tc>
        <w:tc>
          <w:tcPr>
            <w:tcW w:w="942" w:type="dxa"/>
            <w:tcBorders>
              <w:right w:val="single" w:sz="4" w:space="0" w:color="000000"/>
            </w:tcBorders>
          </w:tcPr>
          <w:p>
            <w:pPr>
              <w:pStyle w:val="TableParagraph"/>
              <w:rPr>
                <w:sz w:val="18"/>
              </w:rPr>
            </w:pPr>
          </w:p>
        </w:tc>
      </w:tr>
      <w:tr>
        <w:trPr>
          <w:trHeight w:val="874" w:hRule="atLeast"/>
        </w:trPr>
        <w:tc>
          <w:tcPr>
            <w:tcW w:w="108" w:type="dxa"/>
            <w:vMerge/>
            <w:tcBorders>
              <w:top w:val="nil"/>
              <w:left w:val="single" w:sz="4" w:space="0" w:color="000000"/>
              <w:right w:val="single" w:sz="4" w:space="0" w:color="000000"/>
            </w:tcBorders>
            <w:shd w:val="clear" w:color="auto" w:fill="D9D9D9"/>
          </w:tcPr>
          <w:p>
            <w:pPr>
              <w:rPr>
                <w:sz w:val="2"/>
                <w:szCs w:val="2"/>
              </w:rPr>
            </w:pPr>
          </w:p>
        </w:tc>
        <w:tc>
          <w:tcPr>
            <w:tcW w:w="4401" w:type="dxa"/>
            <w:vMerge/>
            <w:tcBorders>
              <w:top w:val="nil"/>
              <w:left w:val="single" w:sz="4" w:space="0" w:color="000000"/>
              <w:bottom w:val="single" w:sz="4" w:space="0" w:color="000000"/>
            </w:tcBorders>
          </w:tcPr>
          <w:p>
            <w:pPr>
              <w:rPr>
                <w:sz w:val="2"/>
                <w:szCs w:val="2"/>
              </w:rPr>
            </w:pPr>
          </w:p>
        </w:tc>
        <w:tc>
          <w:tcPr>
            <w:tcW w:w="720" w:type="dxa"/>
          </w:tcPr>
          <w:p>
            <w:pPr>
              <w:pStyle w:val="TableParagraph"/>
              <w:rPr>
                <w:sz w:val="18"/>
              </w:rPr>
            </w:pPr>
          </w:p>
        </w:tc>
        <w:tc>
          <w:tcPr>
            <w:tcW w:w="1017" w:type="dxa"/>
          </w:tcPr>
          <w:p>
            <w:pPr>
              <w:pStyle w:val="TableParagraph"/>
              <w:rPr>
                <w:sz w:val="18"/>
              </w:rPr>
            </w:pPr>
          </w:p>
        </w:tc>
        <w:tc>
          <w:tcPr>
            <w:tcW w:w="1456" w:type="dxa"/>
          </w:tcPr>
          <w:p>
            <w:pPr>
              <w:pStyle w:val="TableParagraph"/>
              <w:rPr>
                <w:sz w:val="12"/>
              </w:rPr>
            </w:pPr>
          </w:p>
          <w:p>
            <w:pPr>
              <w:pStyle w:val="TableParagraph"/>
              <w:spacing w:before="64"/>
              <w:rPr>
                <w:sz w:val="12"/>
              </w:rPr>
            </w:pPr>
          </w:p>
          <w:p>
            <w:pPr>
              <w:pStyle w:val="TableParagraph"/>
              <w:spacing w:line="119" w:lineRule="exact" w:before="1"/>
              <w:ind w:left="352"/>
              <w:rPr>
                <w:sz w:val="12"/>
              </w:rPr>
            </w:pPr>
            <w:r>
              <w:rPr>
                <w:spacing w:val="-5"/>
                <w:sz w:val="12"/>
              </w:rPr>
              <w:t>1%</w:t>
            </w:r>
          </w:p>
          <w:p>
            <w:pPr>
              <w:pStyle w:val="TableParagraph"/>
              <w:spacing w:line="119" w:lineRule="exact"/>
              <w:ind w:left="849"/>
              <w:rPr>
                <w:b/>
                <w:sz w:val="12"/>
              </w:rPr>
            </w:pPr>
            <w:r>
              <w:rPr>
                <w:b/>
                <w:color w:val="FFFFFF"/>
                <w:spacing w:val="-4"/>
                <w:sz w:val="12"/>
              </w:rPr>
              <w:t>5,9%</w:t>
            </w:r>
          </w:p>
        </w:tc>
        <w:tc>
          <w:tcPr>
            <w:tcW w:w="942" w:type="dxa"/>
            <w:tcBorders>
              <w:right w:val="single" w:sz="4" w:space="0" w:color="000000"/>
            </w:tcBorders>
          </w:tcPr>
          <w:p>
            <w:pPr>
              <w:pStyle w:val="TableParagraph"/>
              <w:rPr>
                <w:sz w:val="12"/>
              </w:rPr>
            </w:pPr>
          </w:p>
          <w:p>
            <w:pPr>
              <w:pStyle w:val="TableParagraph"/>
              <w:spacing w:before="84"/>
              <w:rPr>
                <w:sz w:val="12"/>
              </w:rPr>
            </w:pPr>
          </w:p>
          <w:p>
            <w:pPr>
              <w:pStyle w:val="TableParagraph"/>
              <w:spacing w:before="1"/>
              <w:ind w:left="128"/>
              <w:rPr>
                <w:b/>
                <w:sz w:val="12"/>
              </w:rPr>
            </w:pPr>
            <w:r>
              <w:rPr>
                <w:b/>
                <w:color w:val="FFFFFF"/>
                <w:spacing w:val="-4"/>
                <w:sz w:val="12"/>
              </w:rPr>
              <w:t>9,3%</w:t>
            </w:r>
          </w:p>
        </w:tc>
      </w:tr>
      <w:tr>
        <w:trPr>
          <w:trHeight w:val="427" w:hRule="atLeast"/>
        </w:trPr>
        <w:tc>
          <w:tcPr>
            <w:tcW w:w="108" w:type="dxa"/>
            <w:vMerge/>
            <w:tcBorders>
              <w:top w:val="nil"/>
              <w:left w:val="single" w:sz="4" w:space="0" w:color="000000"/>
              <w:right w:val="single" w:sz="4" w:space="0" w:color="000000"/>
            </w:tcBorders>
            <w:shd w:val="clear" w:color="auto" w:fill="D9D9D9"/>
          </w:tcPr>
          <w:p>
            <w:pPr>
              <w:rPr>
                <w:sz w:val="2"/>
                <w:szCs w:val="2"/>
              </w:rPr>
            </w:pPr>
          </w:p>
        </w:tc>
        <w:tc>
          <w:tcPr>
            <w:tcW w:w="4401" w:type="dxa"/>
            <w:vMerge/>
            <w:tcBorders>
              <w:top w:val="nil"/>
              <w:left w:val="single" w:sz="4" w:space="0" w:color="000000"/>
              <w:bottom w:val="single" w:sz="4" w:space="0" w:color="000000"/>
            </w:tcBorders>
          </w:tcPr>
          <w:p>
            <w:pPr>
              <w:rPr>
                <w:sz w:val="2"/>
                <w:szCs w:val="2"/>
              </w:rPr>
            </w:pPr>
          </w:p>
        </w:tc>
        <w:tc>
          <w:tcPr>
            <w:tcW w:w="720" w:type="dxa"/>
          </w:tcPr>
          <w:p>
            <w:pPr>
              <w:pStyle w:val="TableParagraph"/>
              <w:rPr>
                <w:sz w:val="18"/>
              </w:rPr>
            </w:pPr>
          </w:p>
        </w:tc>
        <w:tc>
          <w:tcPr>
            <w:tcW w:w="1017" w:type="dxa"/>
          </w:tcPr>
          <w:p>
            <w:pPr>
              <w:pStyle w:val="TableParagraph"/>
              <w:rPr>
                <w:sz w:val="18"/>
              </w:rPr>
            </w:pPr>
          </w:p>
        </w:tc>
        <w:tc>
          <w:tcPr>
            <w:tcW w:w="1456" w:type="dxa"/>
          </w:tcPr>
          <w:p>
            <w:pPr>
              <w:pStyle w:val="TableParagraph"/>
              <w:rPr>
                <w:sz w:val="12"/>
              </w:rPr>
            </w:pPr>
          </w:p>
          <w:p>
            <w:pPr>
              <w:pStyle w:val="TableParagraph"/>
              <w:spacing w:before="14"/>
              <w:rPr>
                <w:sz w:val="12"/>
              </w:rPr>
            </w:pPr>
          </w:p>
          <w:p>
            <w:pPr>
              <w:pStyle w:val="TableParagraph"/>
              <w:spacing w:line="117" w:lineRule="exact"/>
              <w:ind w:left="352"/>
              <w:rPr>
                <w:sz w:val="12"/>
              </w:rPr>
            </w:pPr>
            <w:r>
              <w:rPr>
                <w:spacing w:val="-5"/>
                <w:sz w:val="12"/>
              </w:rPr>
              <w:t>0%</w:t>
            </w:r>
          </w:p>
        </w:tc>
        <w:tc>
          <w:tcPr>
            <w:tcW w:w="942" w:type="dxa"/>
            <w:tcBorders>
              <w:right w:val="single" w:sz="4" w:space="0" w:color="000000"/>
            </w:tcBorders>
          </w:tcPr>
          <w:p>
            <w:pPr>
              <w:pStyle w:val="TableParagraph"/>
              <w:rPr>
                <w:sz w:val="18"/>
              </w:rPr>
            </w:pPr>
          </w:p>
        </w:tc>
      </w:tr>
      <w:tr>
        <w:trPr>
          <w:trHeight w:val="1028" w:hRule="atLeast"/>
        </w:trPr>
        <w:tc>
          <w:tcPr>
            <w:tcW w:w="108" w:type="dxa"/>
            <w:vMerge/>
            <w:tcBorders>
              <w:top w:val="nil"/>
              <w:left w:val="single" w:sz="4" w:space="0" w:color="000000"/>
              <w:right w:val="single" w:sz="4" w:space="0" w:color="000000"/>
            </w:tcBorders>
            <w:shd w:val="clear" w:color="auto" w:fill="D9D9D9"/>
          </w:tcPr>
          <w:p>
            <w:pPr>
              <w:rPr>
                <w:sz w:val="2"/>
                <w:szCs w:val="2"/>
              </w:rPr>
            </w:pPr>
          </w:p>
        </w:tc>
        <w:tc>
          <w:tcPr>
            <w:tcW w:w="4401" w:type="dxa"/>
            <w:vMerge/>
            <w:tcBorders>
              <w:top w:val="nil"/>
              <w:left w:val="single" w:sz="4" w:space="0" w:color="000000"/>
              <w:bottom w:val="single" w:sz="4" w:space="0" w:color="000000"/>
            </w:tcBorders>
          </w:tcPr>
          <w:p>
            <w:pPr>
              <w:rPr>
                <w:sz w:val="2"/>
                <w:szCs w:val="2"/>
              </w:rPr>
            </w:pPr>
          </w:p>
        </w:tc>
        <w:tc>
          <w:tcPr>
            <w:tcW w:w="720" w:type="dxa"/>
            <w:tcBorders>
              <w:bottom w:val="single" w:sz="4" w:space="0" w:color="000000"/>
            </w:tcBorders>
          </w:tcPr>
          <w:p>
            <w:pPr>
              <w:pStyle w:val="TableParagraph"/>
              <w:spacing w:before="17"/>
              <w:ind w:left="337"/>
              <w:rPr>
                <w:sz w:val="12"/>
              </w:rPr>
            </w:pPr>
            <w:r>
              <w:rPr>
                <w:spacing w:val="-4"/>
                <w:sz w:val="12"/>
              </w:rPr>
              <w:t>2025</w:t>
            </w:r>
          </w:p>
          <w:p>
            <w:pPr>
              <w:pStyle w:val="TableParagraph"/>
              <w:spacing w:before="4"/>
              <w:ind w:left="275"/>
              <w:rPr>
                <w:sz w:val="12"/>
              </w:rPr>
            </w:pPr>
            <w:r>
              <w:rPr>
                <w:spacing w:val="-2"/>
                <w:sz w:val="12"/>
              </w:rPr>
              <w:t>Σύνoλo</w:t>
            </w:r>
          </w:p>
        </w:tc>
        <w:tc>
          <w:tcPr>
            <w:tcW w:w="1017" w:type="dxa"/>
            <w:tcBorders>
              <w:bottom w:val="single" w:sz="4" w:space="0" w:color="000000"/>
            </w:tcBorders>
          </w:tcPr>
          <w:p>
            <w:pPr>
              <w:pStyle w:val="TableParagraph"/>
              <w:spacing w:before="17"/>
              <w:ind w:right="73"/>
              <w:jc w:val="center"/>
              <w:rPr>
                <w:sz w:val="12"/>
              </w:rPr>
            </w:pPr>
            <w:r>
              <w:rPr>
                <w:spacing w:val="-4"/>
                <w:sz w:val="12"/>
              </w:rPr>
              <w:t>2025</w:t>
            </w:r>
          </w:p>
          <w:p>
            <w:pPr>
              <w:pStyle w:val="TableParagraph"/>
              <w:spacing w:before="4"/>
              <w:ind w:left="1" w:right="73"/>
              <w:jc w:val="center"/>
              <w:rPr>
                <w:sz w:val="12"/>
              </w:rPr>
            </w:pPr>
            <w:r>
              <w:rPr>
                <w:sz w:val="12"/>
              </w:rPr>
              <w:t>ε/o</w:t>
            </w:r>
            <w:r>
              <w:rPr>
                <w:spacing w:val="-5"/>
                <w:sz w:val="12"/>
              </w:rPr>
              <w:t> </w:t>
            </w:r>
            <w:r>
              <w:rPr>
                <w:sz w:val="12"/>
              </w:rPr>
              <w:t>µε</w:t>
            </w:r>
            <w:r>
              <w:rPr>
                <w:spacing w:val="1"/>
                <w:sz w:val="12"/>
              </w:rPr>
              <w:t> </w:t>
            </w:r>
            <w:r>
              <w:rPr>
                <w:spacing w:val="-4"/>
                <w:sz w:val="12"/>
              </w:rPr>
              <w:t>BBMs</w:t>
            </w:r>
          </w:p>
        </w:tc>
        <w:tc>
          <w:tcPr>
            <w:tcW w:w="1456" w:type="dxa"/>
            <w:tcBorders>
              <w:bottom w:val="single" w:sz="4" w:space="0" w:color="000000"/>
            </w:tcBorders>
          </w:tcPr>
          <w:p>
            <w:pPr>
              <w:pStyle w:val="TableParagraph"/>
              <w:spacing w:line="132" w:lineRule="exact"/>
              <w:ind w:left="723"/>
              <w:rPr>
                <w:sz w:val="12"/>
              </w:rPr>
            </w:pPr>
            <w:r>
              <w:rPr>
                <w:sz w:val="12"/>
              </w:rPr>
              <w:t>2023-</w:t>
            </w:r>
            <w:r>
              <w:rPr>
                <w:spacing w:val="-4"/>
                <w:sz w:val="12"/>
              </w:rPr>
              <w:t>2024</w:t>
            </w:r>
          </w:p>
          <w:p>
            <w:pPr>
              <w:pStyle w:val="TableParagraph"/>
              <w:spacing w:before="2"/>
              <w:ind w:left="803"/>
              <w:rPr>
                <w:sz w:val="12"/>
              </w:rPr>
            </w:pPr>
            <w:r>
              <w:rPr>
                <w:spacing w:val="-2"/>
                <w:sz w:val="12"/>
              </w:rPr>
              <w:t>Σύνoλo</w:t>
            </w:r>
          </w:p>
        </w:tc>
        <w:tc>
          <w:tcPr>
            <w:tcW w:w="942" w:type="dxa"/>
            <w:tcBorders>
              <w:bottom w:val="single" w:sz="4" w:space="0" w:color="000000"/>
              <w:right w:val="double" w:sz="4" w:space="0" w:color="000000"/>
            </w:tcBorders>
          </w:tcPr>
          <w:p>
            <w:pPr>
              <w:pStyle w:val="TableParagraph"/>
              <w:spacing w:line="132" w:lineRule="exact"/>
              <w:ind w:left="144"/>
              <w:rPr>
                <w:sz w:val="12"/>
              </w:rPr>
            </w:pPr>
            <w:r>
              <w:rPr>
                <w:spacing w:val="-4"/>
                <w:sz w:val="12"/>
              </w:rPr>
              <w:t>2025</w:t>
            </w:r>
          </w:p>
          <w:p>
            <w:pPr>
              <w:pStyle w:val="TableParagraph"/>
              <w:spacing w:before="2"/>
              <w:ind w:left="82"/>
              <w:rPr>
                <w:sz w:val="12"/>
              </w:rPr>
            </w:pPr>
            <w:r>
              <w:rPr>
                <w:spacing w:val="-2"/>
                <w:sz w:val="12"/>
              </w:rPr>
              <w:t>Σύνoλo</w:t>
            </w:r>
          </w:p>
        </w:tc>
      </w:tr>
      <w:tr>
        <w:trPr>
          <w:trHeight w:val="5736" w:hRule="atLeast"/>
        </w:trPr>
        <w:tc>
          <w:tcPr>
            <w:tcW w:w="8644" w:type="dxa"/>
            <w:gridSpan w:val="6"/>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85" w:lineRule="auto" w:before="94"/>
              <w:ind w:left="107" w:right="93"/>
              <w:jc w:val="both"/>
              <w:rPr>
                <w:sz w:val="22"/>
              </w:rPr>
            </w:pPr>
            <w:r>
              <w:rPr>
                <w:sz w:val="22"/>
              </w:rPr>
              <w:t>Συμπερασματικά,</w:t>
            </w:r>
            <w:r>
              <w:rPr>
                <w:spacing w:val="-6"/>
                <w:sz w:val="22"/>
              </w:rPr>
              <w:t> </w:t>
            </w:r>
            <w:r>
              <w:rPr>
                <w:sz w:val="22"/>
              </w:rPr>
              <w:t>σε</w:t>
            </w:r>
            <w:r>
              <w:rPr>
                <w:spacing w:val="-4"/>
                <w:sz w:val="22"/>
              </w:rPr>
              <w:t> </w:t>
            </w:r>
            <w:r>
              <w:rPr>
                <w:sz w:val="22"/>
              </w:rPr>
              <w:t>επίπεδο</w:t>
            </w:r>
            <w:r>
              <w:rPr>
                <w:spacing w:val="-4"/>
                <w:sz w:val="22"/>
              </w:rPr>
              <w:t> </w:t>
            </w:r>
            <w:r>
              <w:rPr>
                <w:sz w:val="22"/>
              </w:rPr>
              <w:t>τραπεζικού</w:t>
            </w:r>
            <w:r>
              <w:rPr>
                <w:spacing w:val="-3"/>
                <w:sz w:val="22"/>
              </w:rPr>
              <w:t> </w:t>
            </w:r>
            <w:r>
              <w:rPr>
                <w:sz w:val="22"/>
              </w:rPr>
              <w:t>τομέα</w:t>
            </w:r>
            <w:r>
              <w:rPr>
                <w:spacing w:val="-4"/>
                <w:sz w:val="22"/>
              </w:rPr>
              <w:t> </w:t>
            </w:r>
            <w:r>
              <w:rPr>
                <w:sz w:val="22"/>
              </w:rPr>
              <w:t>διαπιστώνεται,</w:t>
            </w:r>
            <w:r>
              <w:rPr>
                <w:spacing w:val="-6"/>
                <w:sz w:val="22"/>
              </w:rPr>
              <w:t> </w:t>
            </w:r>
            <w:r>
              <w:rPr>
                <w:sz w:val="22"/>
              </w:rPr>
              <w:t>αφενός,</w:t>
            </w:r>
            <w:r>
              <w:rPr>
                <w:spacing w:val="-4"/>
                <w:sz w:val="22"/>
              </w:rPr>
              <w:t> </w:t>
            </w:r>
            <w:r>
              <w:rPr>
                <w:sz w:val="22"/>
              </w:rPr>
              <w:t>συμμόρφωση</w:t>
            </w:r>
            <w:r>
              <w:rPr>
                <w:spacing w:val="-4"/>
                <w:sz w:val="22"/>
              </w:rPr>
              <w:t> </w:t>
            </w:r>
            <w:r>
              <w:rPr>
                <w:sz w:val="22"/>
              </w:rPr>
              <w:t>με</w:t>
            </w:r>
            <w:r>
              <w:rPr>
                <w:spacing w:val="-5"/>
                <w:sz w:val="22"/>
              </w:rPr>
              <w:t> </w:t>
            </w:r>
            <w:r>
              <w:rPr>
                <w:sz w:val="22"/>
              </w:rPr>
              <w:t>τα</w:t>
            </w:r>
            <w:r>
              <w:rPr>
                <w:spacing w:val="-4"/>
                <w:sz w:val="22"/>
              </w:rPr>
              <w:t> </w:t>
            </w:r>
            <w:r>
              <w:rPr>
                <w:sz w:val="22"/>
              </w:rPr>
              <w:t>μα-κροπροληπτικά</w:t>
            </w:r>
            <w:r>
              <w:rPr>
                <w:spacing w:val="-2"/>
                <w:sz w:val="22"/>
              </w:rPr>
              <w:t> </w:t>
            </w:r>
            <w:r>
              <w:rPr>
                <w:sz w:val="22"/>
              </w:rPr>
              <w:t>μέτρα</w:t>
            </w:r>
            <w:r>
              <w:rPr>
                <w:spacing w:val="-1"/>
                <w:sz w:val="22"/>
              </w:rPr>
              <w:t> </w:t>
            </w:r>
            <w:r>
              <w:rPr>
                <w:sz w:val="22"/>
              </w:rPr>
              <w:t>για</w:t>
            </w:r>
            <w:r>
              <w:rPr>
                <w:spacing w:val="-1"/>
                <w:sz w:val="22"/>
              </w:rPr>
              <w:t> </w:t>
            </w:r>
            <w:r>
              <w:rPr>
                <w:sz w:val="22"/>
              </w:rPr>
              <w:t>τη</w:t>
            </w:r>
            <w:r>
              <w:rPr>
                <w:spacing w:val="-1"/>
                <w:sz w:val="22"/>
              </w:rPr>
              <w:t> </w:t>
            </w:r>
            <w:r>
              <w:rPr>
                <w:sz w:val="22"/>
              </w:rPr>
              <w:t>δανειακή</w:t>
            </w:r>
            <w:r>
              <w:rPr>
                <w:spacing w:val="-1"/>
                <w:sz w:val="22"/>
              </w:rPr>
              <w:t> </w:t>
            </w:r>
            <w:r>
              <w:rPr>
                <w:sz w:val="22"/>
              </w:rPr>
              <w:t>επιβάρυνση</w:t>
            </w:r>
            <w:r>
              <w:rPr>
                <w:spacing w:val="-1"/>
                <w:sz w:val="22"/>
              </w:rPr>
              <w:t> </w:t>
            </w:r>
            <w:r>
              <w:rPr>
                <w:sz w:val="22"/>
              </w:rPr>
              <w:t>που εφαρμόζονται σε επίπεδο</w:t>
            </w:r>
            <w:r>
              <w:rPr>
                <w:spacing w:val="-4"/>
                <w:sz w:val="22"/>
              </w:rPr>
              <w:t> </w:t>
            </w:r>
            <w:r>
              <w:rPr>
                <w:sz w:val="22"/>
              </w:rPr>
              <w:t>δανειολήπτη, με περιορισμένη χρήση των ευχερειών που παρέχει το πλαίσιο, και αφετέρου ικανοποιητικός ρυθμός αύξησης των νέων εκταμιεύσεων. Tο προφίλ πιστωτικού κινδύνου των νέων δανείων για οικιστικά ακίνητα</w:t>
            </w:r>
            <w:r>
              <w:rPr>
                <w:spacing w:val="-1"/>
                <w:sz w:val="22"/>
              </w:rPr>
              <w:t> </w:t>
            </w:r>
            <w:r>
              <w:rPr>
                <w:sz w:val="22"/>
              </w:rPr>
              <w:t>παραμένει σε γενικές</w:t>
            </w:r>
            <w:r>
              <w:rPr>
                <w:spacing w:val="-1"/>
                <w:sz w:val="22"/>
              </w:rPr>
              <w:t> </w:t>
            </w:r>
            <w:r>
              <w:rPr>
                <w:sz w:val="22"/>
              </w:rPr>
              <w:t>γραμμές</w:t>
            </w:r>
            <w:r>
              <w:rPr>
                <w:spacing w:val="-1"/>
                <w:sz w:val="22"/>
              </w:rPr>
              <w:t> </w:t>
            </w:r>
            <w:r>
              <w:rPr>
                <w:sz w:val="22"/>
              </w:rPr>
              <w:t>συντηρητικό και τα</w:t>
            </w:r>
            <w:r>
              <w:rPr>
                <w:spacing w:val="-1"/>
                <w:sz w:val="22"/>
              </w:rPr>
              <w:t> </w:t>
            </w:r>
            <w:r>
              <w:rPr>
                <w:sz w:val="22"/>
              </w:rPr>
              <w:t>εφαρμοζόμενα</w:t>
            </w:r>
            <w:r>
              <w:rPr>
                <w:spacing w:val="-1"/>
                <w:sz w:val="22"/>
              </w:rPr>
              <w:t> </w:t>
            </w:r>
            <w:r>
              <w:rPr>
                <w:sz w:val="22"/>
              </w:rPr>
              <w:t>πιστο-δοτικά κριτήρια συνετά, εξέλιξη στην οποία έχουν συμβάλει τα μακροπροληπτικά μέτρα.</w:t>
            </w:r>
          </w:p>
          <w:p>
            <w:pPr>
              <w:pStyle w:val="TableParagraph"/>
              <w:spacing w:line="285" w:lineRule="auto" w:before="54"/>
              <w:ind w:left="107" w:right="94"/>
              <w:jc w:val="both"/>
              <w:rPr>
                <w:sz w:val="22"/>
              </w:rPr>
            </w:pPr>
            <w:r>
              <w:rPr>
                <w:sz w:val="22"/>
              </w:rPr>
              <w:t>Η</w:t>
            </w:r>
            <w:r>
              <w:rPr>
                <w:spacing w:val="-3"/>
                <w:sz w:val="22"/>
              </w:rPr>
              <w:t> </w:t>
            </w:r>
            <w:r>
              <w:rPr>
                <w:sz w:val="22"/>
              </w:rPr>
              <w:t>Τράπεζα</w:t>
            </w:r>
            <w:r>
              <w:rPr>
                <w:spacing w:val="-3"/>
                <w:sz w:val="22"/>
              </w:rPr>
              <w:t> </w:t>
            </w:r>
            <w:r>
              <w:rPr>
                <w:sz w:val="22"/>
              </w:rPr>
              <w:t>της</w:t>
            </w:r>
            <w:r>
              <w:rPr>
                <w:spacing w:val="-4"/>
                <w:sz w:val="22"/>
              </w:rPr>
              <w:t> </w:t>
            </w:r>
            <w:r>
              <w:rPr>
                <w:sz w:val="22"/>
              </w:rPr>
              <w:t>Ελλάδος</w:t>
            </w:r>
            <w:r>
              <w:rPr>
                <w:spacing w:val="-3"/>
                <w:sz w:val="22"/>
              </w:rPr>
              <w:t> </w:t>
            </w:r>
            <w:r>
              <w:rPr>
                <w:sz w:val="22"/>
              </w:rPr>
              <w:t>θα</w:t>
            </w:r>
            <w:r>
              <w:rPr>
                <w:spacing w:val="-3"/>
                <w:sz w:val="22"/>
              </w:rPr>
              <w:t> </w:t>
            </w:r>
            <w:r>
              <w:rPr>
                <w:sz w:val="22"/>
              </w:rPr>
              <w:t>εξακολουθήσει</w:t>
            </w:r>
            <w:r>
              <w:rPr>
                <w:spacing w:val="-2"/>
                <w:sz w:val="22"/>
              </w:rPr>
              <w:t> </w:t>
            </w:r>
            <w:r>
              <w:rPr>
                <w:sz w:val="22"/>
              </w:rPr>
              <w:t>να</w:t>
            </w:r>
            <w:r>
              <w:rPr>
                <w:spacing w:val="-2"/>
                <w:sz w:val="22"/>
              </w:rPr>
              <w:t> </w:t>
            </w:r>
            <w:r>
              <w:rPr>
                <w:sz w:val="22"/>
              </w:rPr>
              <w:t>παρακολουθεί</w:t>
            </w:r>
            <w:r>
              <w:rPr>
                <w:spacing w:val="-4"/>
                <w:sz w:val="22"/>
              </w:rPr>
              <w:t> </w:t>
            </w:r>
            <w:r>
              <w:rPr>
                <w:sz w:val="22"/>
              </w:rPr>
              <w:t>σε</w:t>
            </w:r>
            <w:r>
              <w:rPr>
                <w:spacing w:val="-4"/>
                <w:sz w:val="22"/>
              </w:rPr>
              <w:t> </w:t>
            </w:r>
            <w:r>
              <w:rPr>
                <w:sz w:val="22"/>
              </w:rPr>
              <w:t>τακτική</w:t>
            </w:r>
            <w:r>
              <w:rPr>
                <w:spacing w:val="-2"/>
                <w:sz w:val="22"/>
              </w:rPr>
              <w:t> </w:t>
            </w:r>
            <w:r>
              <w:rPr>
                <w:sz w:val="22"/>
              </w:rPr>
              <w:t>βάση</w:t>
            </w:r>
            <w:r>
              <w:rPr>
                <w:spacing w:val="-2"/>
                <w:sz w:val="22"/>
              </w:rPr>
              <w:t> </w:t>
            </w:r>
            <w:r>
              <w:rPr>
                <w:sz w:val="22"/>
              </w:rPr>
              <w:t>τη</w:t>
            </w:r>
            <w:r>
              <w:rPr>
                <w:spacing w:val="-5"/>
                <w:sz w:val="22"/>
              </w:rPr>
              <w:t> </w:t>
            </w:r>
            <w:r>
              <w:rPr>
                <w:sz w:val="22"/>
              </w:rPr>
              <w:t>συμμόρφωση των πιστωτικών</w:t>
            </w:r>
            <w:r>
              <w:rPr>
                <w:spacing w:val="-2"/>
                <w:sz w:val="22"/>
              </w:rPr>
              <w:t> </w:t>
            </w:r>
            <w:r>
              <w:rPr>
                <w:sz w:val="22"/>
              </w:rPr>
              <w:t>ιδρυμάτων</w:t>
            </w:r>
            <w:r>
              <w:rPr>
                <w:spacing w:val="-2"/>
                <w:sz w:val="22"/>
              </w:rPr>
              <w:t> </w:t>
            </w:r>
            <w:r>
              <w:rPr>
                <w:sz w:val="22"/>
              </w:rPr>
              <w:t>με τα</w:t>
            </w:r>
            <w:r>
              <w:rPr>
                <w:spacing w:val="-2"/>
                <w:sz w:val="22"/>
              </w:rPr>
              <w:t> </w:t>
            </w:r>
            <w:r>
              <w:rPr>
                <w:sz w:val="22"/>
              </w:rPr>
              <w:t>μακροπροληπτικά</w:t>
            </w:r>
            <w:r>
              <w:rPr>
                <w:spacing w:val="-2"/>
                <w:sz w:val="22"/>
              </w:rPr>
              <w:t> </w:t>
            </w:r>
            <w:r>
              <w:rPr>
                <w:sz w:val="22"/>
              </w:rPr>
              <w:t>μέτρα</w:t>
            </w:r>
            <w:r>
              <w:rPr>
                <w:spacing w:val="-1"/>
                <w:sz w:val="22"/>
              </w:rPr>
              <w:t> </w:t>
            </w:r>
            <w:r>
              <w:rPr>
                <w:sz w:val="22"/>
              </w:rPr>
              <w:t>που έχουν θεσπιστεί, καθώς</w:t>
            </w:r>
            <w:r>
              <w:rPr>
                <w:spacing w:val="-2"/>
                <w:sz w:val="22"/>
              </w:rPr>
              <w:t> </w:t>
            </w:r>
            <w:r>
              <w:rPr>
                <w:sz w:val="22"/>
              </w:rPr>
              <w:t>και</w:t>
            </w:r>
            <w:r>
              <w:rPr>
                <w:spacing w:val="-1"/>
                <w:sz w:val="22"/>
              </w:rPr>
              <w:t> </w:t>
            </w:r>
            <w:r>
              <w:rPr>
                <w:sz w:val="22"/>
              </w:rPr>
              <w:t>την αποτελεσματικότητα των μέτρων αυτών. Επίσης, θα αξιολογεί τη σκοπιμότητα στοχευμένων παρεμβάσεων</w:t>
            </w:r>
            <w:r>
              <w:rPr>
                <w:spacing w:val="-10"/>
                <w:sz w:val="22"/>
              </w:rPr>
              <w:t> </w:t>
            </w:r>
            <w:r>
              <w:rPr>
                <w:sz w:val="22"/>
              </w:rPr>
              <w:t>για</w:t>
            </w:r>
            <w:r>
              <w:rPr>
                <w:spacing w:val="-10"/>
                <w:sz w:val="22"/>
              </w:rPr>
              <w:t> </w:t>
            </w:r>
            <w:r>
              <w:rPr>
                <w:sz w:val="22"/>
              </w:rPr>
              <w:t>την</w:t>
            </w:r>
            <w:r>
              <w:rPr>
                <w:spacing w:val="-10"/>
                <w:sz w:val="22"/>
              </w:rPr>
              <w:t> </w:t>
            </w:r>
            <w:r>
              <w:rPr>
                <w:sz w:val="22"/>
              </w:rPr>
              <w:t>ενίσχυση</w:t>
            </w:r>
            <w:r>
              <w:rPr>
                <w:spacing w:val="-11"/>
                <w:sz w:val="22"/>
              </w:rPr>
              <w:t> </w:t>
            </w:r>
            <w:r>
              <w:rPr>
                <w:sz w:val="22"/>
              </w:rPr>
              <w:t>της</w:t>
            </w:r>
            <w:r>
              <w:rPr>
                <w:spacing w:val="-9"/>
                <w:sz w:val="22"/>
              </w:rPr>
              <w:t> </w:t>
            </w:r>
            <w:r>
              <w:rPr>
                <w:sz w:val="22"/>
              </w:rPr>
              <w:t>αποτελεσματικότητάς</w:t>
            </w:r>
            <w:r>
              <w:rPr>
                <w:spacing w:val="-10"/>
                <w:sz w:val="22"/>
              </w:rPr>
              <w:t> </w:t>
            </w:r>
            <w:r>
              <w:rPr>
                <w:sz w:val="22"/>
              </w:rPr>
              <w:t>τους,</w:t>
            </w:r>
            <w:r>
              <w:rPr>
                <w:spacing w:val="-8"/>
                <w:sz w:val="22"/>
              </w:rPr>
              <w:t> </w:t>
            </w:r>
            <w:r>
              <w:rPr>
                <w:sz w:val="22"/>
              </w:rPr>
              <w:t>όπως</w:t>
            </w:r>
            <w:r>
              <w:rPr>
                <w:spacing w:val="-9"/>
                <w:sz w:val="22"/>
              </w:rPr>
              <w:t> </w:t>
            </w:r>
            <w:r>
              <w:rPr>
                <w:sz w:val="22"/>
              </w:rPr>
              <w:t>για</w:t>
            </w:r>
            <w:r>
              <w:rPr>
                <w:spacing w:val="-8"/>
                <w:sz w:val="22"/>
              </w:rPr>
              <w:t> </w:t>
            </w:r>
            <w:r>
              <w:rPr>
                <w:sz w:val="22"/>
              </w:rPr>
              <w:t>παράδειγμα</w:t>
            </w:r>
            <w:r>
              <w:rPr>
                <w:spacing w:val="-9"/>
                <w:sz w:val="22"/>
              </w:rPr>
              <w:t> </w:t>
            </w:r>
            <w:r>
              <w:rPr>
                <w:sz w:val="22"/>
              </w:rPr>
              <w:t>η</w:t>
            </w:r>
            <w:r>
              <w:rPr>
                <w:spacing w:val="-8"/>
                <w:sz w:val="22"/>
              </w:rPr>
              <w:t> </w:t>
            </w:r>
            <w:r>
              <w:rPr>
                <w:sz w:val="22"/>
              </w:rPr>
              <w:t>θέσπιση ορίου στη διάρκεια κατά την έγκριση.</w:t>
            </w:r>
          </w:p>
          <w:p>
            <w:pPr>
              <w:pStyle w:val="TableParagraph"/>
              <w:spacing w:before="99" w:after="1"/>
              <w:rPr>
                <w:sz w:val="20"/>
              </w:rPr>
            </w:pPr>
          </w:p>
          <w:p>
            <w:pPr>
              <w:pStyle w:val="TableParagraph"/>
              <w:spacing w:line="20" w:lineRule="exact"/>
              <w:ind w:left="136"/>
              <w:rPr>
                <w:sz w:val="2"/>
              </w:rPr>
            </w:pPr>
            <w:r>
              <w:rPr>
                <w:sz w:val="2"/>
              </w:rPr>
              <mc:AlternateContent>
                <mc:Choice Requires="wps">
                  <w:drawing>
                    <wp:inline distT="0" distB="0" distL="0" distR="0">
                      <wp:extent cx="1844675" cy="9525"/>
                      <wp:effectExtent l="9525" t="0" r="3175" b="0"/>
                      <wp:docPr id="176" name="Group 176"/>
                      <wp:cNvGraphicFramePr>
                        <a:graphicFrameLocks/>
                      </wp:cNvGraphicFramePr>
                      <a:graphic>
                        <a:graphicData uri="http://schemas.microsoft.com/office/word/2010/wordprocessingGroup">
                          <wpg:wgp>
                            <wpg:cNvPr id="176" name="Group 176"/>
                            <wpg:cNvGrpSpPr/>
                            <wpg:grpSpPr>
                              <a:xfrm>
                                <a:off x="0" y="0"/>
                                <a:ext cx="1844675" cy="9525"/>
                                <a:chExt cx="1844675" cy="9525"/>
                              </a:xfrm>
                            </wpg:grpSpPr>
                            <wps:wsp>
                              <wps:cNvPr id="177" name="Graphic 177"/>
                              <wps:cNvSpPr/>
                              <wps:spPr>
                                <a:xfrm>
                                  <a:off x="0" y="4762"/>
                                  <a:ext cx="1844675" cy="1270"/>
                                </a:xfrm>
                                <a:custGeom>
                                  <a:avLst/>
                                  <a:gdLst/>
                                  <a:ahLst/>
                                  <a:cxnLst/>
                                  <a:rect l="l" t="t" r="r" b="b"/>
                                  <a:pathLst>
                                    <a:path w="1844675" h="0">
                                      <a:moveTo>
                                        <a:pt x="0" y="0"/>
                                      </a:moveTo>
                                      <a:lnTo>
                                        <a:pt x="1844611"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25pt;height:.75pt;mso-position-horizontal-relative:char;mso-position-vertical-relative:line" id="docshapegroup163" coordorigin="0,0" coordsize="2905,15">
                      <v:line style="position:absolute" from="0,8" to="2905,8" stroked="true" strokeweight=".75pt" strokecolor="#000000">
                        <v:stroke dashstyle="solid"/>
                      </v:line>
                    </v:group>
                  </w:pict>
                </mc:Fallback>
              </mc:AlternateContent>
            </w:r>
            <w:r>
              <w:rPr>
                <w:sz w:val="2"/>
              </w:rPr>
            </w:r>
          </w:p>
          <w:p>
            <w:pPr>
              <w:pStyle w:val="TableParagraph"/>
              <w:spacing w:before="33"/>
              <w:ind w:left="107"/>
              <w:jc w:val="both"/>
              <w:rPr>
                <w:sz w:val="16"/>
              </w:rPr>
            </w:pPr>
            <w:r>
              <w:rPr>
                <w:sz w:val="16"/>
                <w:vertAlign w:val="superscript"/>
              </w:rPr>
              <w:t>i</w:t>
            </w:r>
            <w:r>
              <w:rPr>
                <w:spacing w:val="-4"/>
                <w:sz w:val="16"/>
                <w:vertAlign w:val="baseline"/>
              </w:rPr>
              <w:t> </w:t>
            </w:r>
            <w:r>
              <w:rPr>
                <w:sz w:val="16"/>
                <w:vertAlign w:val="baseline"/>
              </w:rPr>
              <w:t>Βλ.</w:t>
            </w:r>
            <w:r>
              <w:rPr>
                <w:spacing w:val="-5"/>
                <w:sz w:val="16"/>
                <w:vertAlign w:val="baseline"/>
              </w:rPr>
              <w:t> </w:t>
            </w:r>
            <w:r>
              <w:rPr>
                <w:sz w:val="16"/>
                <w:vertAlign w:val="baseline"/>
              </w:rPr>
              <w:t>Ενότητα</w:t>
            </w:r>
            <w:r>
              <w:rPr>
                <w:spacing w:val="-4"/>
                <w:sz w:val="16"/>
                <w:vertAlign w:val="baseline"/>
              </w:rPr>
              <w:t> </w:t>
            </w:r>
            <w:r>
              <w:rPr>
                <w:sz w:val="16"/>
                <w:vertAlign w:val="baseline"/>
              </w:rPr>
              <w:t>IV</w:t>
            </w:r>
            <w:r>
              <w:rPr>
                <w:spacing w:val="-5"/>
                <w:sz w:val="16"/>
                <w:vertAlign w:val="baseline"/>
              </w:rPr>
              <w:t> </w:t>
            </w:r>
            <w:r>
              <w:rPr>
                <w:sz w:val="16"/>
                <w:vertAlign w:val="baseline"/>
              </w:rPr>
              <w:t>Μακροπροληπτική</w:t>
            </w:r>
            <w:r>
              <w:rPr>
                <w:spacing w:val="-6"/>
                <w:sz w:val="16"/>
                <w:vertAlign w:val="baseline"/>
              </w:rPr>
              <w:t> </w:t>
            </w:r>
            <w:r>
              <w:rPr>
                <w:sz w:val="16"/>
                <w:vertAlign w:val="baseline"/>
              </w:rPr>
              <w:t>πολιτική</w:t>
            </w:r>
            <w:r>
              <w:rPr>
                <w:spacing w:val="-5"/>
                <w:sz w:val="16"/>
                <w:vertAlign w:val="baseline"/>
              </w:rPr>
              <w:t> </w:t>
            </w:r>
            <w:r>
              <w:rPr>
                <w:sz w:val="16"/>
                <w:vertAlign w:val="baseline"/>
              </w:rPr>
              <w:t>στην</w:t>
            </w:r>
            <w:r>
              <w:rPr>
                <w:spacing w:val="-7"/>
                <w:sz w:val="16"/>
                <w:vertAlign w:val="baseline"/>
              </w:rPr>
              <w:t> </w:t>
            </w:r>
            <w:r>
              <w:rPr>
                <w:sz w:val="16"/>
                <w:vertAlign w:val="baseline"/>
              </w:rPr>
              <w:t>παρούσα</w:t>
            </w:r>
            <w:r>
              <w:rPr>
                <w:spacing w:val="-7"/>
                <w:sz w:val="16"/>
                <w:vertAlign w:val="baseline"/>
              </w:rPr>
              <w:t> </w:t>
            </w:r>
            <w:r>
              <w:rPr>
                <w:sz w:val="16"/>
                <w:vertAlign w:val="baseline"/>
              </w:rPr>
              <w:t>Έκθεση</w:t>
            </w:r>
            <w:r>
              <w:rPr>
                <w:spacing w:val="-1"/>
                <w:sz w:val="16"/>
                <w:vertAlign w:val="baseline"/>
              </w:rPr>
              <w:t> </w:t>
            </w:r>
            <w:r>
              <w:rPr>
                <w:sz w:val="16"/>
                <w:vertAlign w:val="baseline"/>
              </w:rPr>
              <w:t>Χρηματοπιστωτικής</w:t>
            </w:r>
            <w:r>
              <w:rPr>
                <w:spacing w:val="-5"/>
                <w:sz w:val="16"/>
                <w:vertAlign w:val="baseline"/>
              </w:rPr>
              <w:t> </w:t>
            </w:r>
            <w:r>
              <w:rPr>
                <w:spacing w:val="-2"/>
                <w:sz w:val="16"/>
                <w:vertAlign w:val="baseline"/>
              </w:rPr>
              <w:t>Σταθερότητας.</w:t>
            </w:r>
          </w:p>
          <w:p>
            <w:pPr>
              <w:pStyle w:val="TableParagraph"/>
              <w:spacing w:before="58"/>
              <w:ind w:left="107" w:right="96"/>
              <w:jc w:val="both"/>
              <w:rPr>
                <w:sz w:val="16"/>
              </w:rPr>
            </w:pPr>
            <w:r>
              <w:rPr>
                <w:sz w:val="16"/>
                <w:vertAlign w:val="superscript"/>
              </w:rPr>
              <w:t>ii</w:t>
            </w:r>
            <w:r>
              <w:rPr>
                <w:spacing w:val="-7"/>
                <w:sz w:val="16"/>
                <w:vertAlign w:val="baseline"/>
              </w:rPr>
              <w:t> </w:t>
            </w:r>
            <w:hyperlink r:id="rId28">
              <w:r>
                <w:rPr>
                  <w:color w:val="0000FF"/>
                  <w:sz w:val="16"/>
                  <w:u w:val="single" w:color="0000FF"/>
                  <w:vertAlign w:val="baseline"/>
                </w:rPr>
                <w:t>Πράξη</w:t>
              </w:r>
              <w:r>
                <w:rPr>
                  <w:color w:val="0000FF"/>
                  <w:spacing w:val="-8"/>
                  <w:sz w:val="16"/>
                  <w:u w:val="single" w:color="0000FF"/>
                  <w:vertAlign w:val="baseline"/>
                </w:rPr>
                <w:t> </w:t>
              </w:r>
              <w:r>
                <w:rPr>
                  <w:color w:val="0000FF"/>
                  <w:sz w:val="16"/>
                  <w:u w:val="single" w:color="0000FF"/>
                  <w:vertAlign w:val="baseline"/>
                </w:rPr>
                <w:t>Εκτελεστικής</w:t>
              </w:r>
              <w:r>
                <w:rPr>
                  <w:color w:val="0000FF"/>
                  <w:spacing w:val="-7"/>
                  <w:sz w:val="16"/>
                  <w:u w:val="single" w:color="0000FF"/>
                  <w:vertAlign w:val="baseline"/>
                </w:rPr>
                <w:t> </w:t>
              </w:r>
              <w:r>
                <w:rPr>
                  <w:color w:val="0000FF"/>
                  <w:sz w:val="16"/>
                  <w:u w:val="single" w:color="0000FF"/>
                  <w:vertAlign w:val="baseline"/>
                </w:rPr>
                <w:t>Επιτροπής</w:t>
              </w:r>
              <w:r>
                <w:rPr>
                  <w:color w:val="0000FF"/>
                  <w:spacing w:val="-9"/>
                  <w:sz w:val="16"/>
                  <w:u w:val="single" w:color="0000FF"/>
                  <w:vertAlign w:val="baseline"/>
                </w:rPr>
                <w:t> </w:t>
              </w:r>
              <w:r>
                <w:rPr>
                  <w:color w:val="0000FF"/>
                  <w:sz w:val="16"/>
                  <w:u w:val="single" w:color="0000FF"/>
                  <w:vertAlign w:val="baseline"/>
                </w:rPr>
                <w:t>231/3/15.07.2024</w:t>
              </w:r>
            </w:hyperlink>
            <w:r>
              <w:rPr>
                <w:color w:val="0000FF"/>
                <w:spacing w:val="-4"/>
                <w:sz w:val="16"/>
                <w:vertAlign w:val="baseline"/>
              </w:rPr>
              <w:t> </w:t>
            </w:r>
            <w:r>
              <w:rPr>
                <w:sz w:val="16"/>
                <w:vertAlign w:val="baseline"/>
              </w:rPr>
              <w:t>“Υιοθέτηση</w:t>
            </w:r>
            <w:r>
              <w:rPr>
                <w:spacing w:val="-8"/>
                <w:sz w:val="16"/>
                <w:vertAlign w:val="baseline"/>
              </w:rPr>
              <w:t> </w:t>
            </w:r>
            <w:r>
              <w:rPr>
                <w:sz w:val="16"/>
                <w:vertAlign w:val="baseline"/>
              </w:rPr>
              <w:t>της</w:t>
            </w:r>
            <w:r>
              <w:rPr>
                <w:spacing w:val="-7"/>
                <w:sz w:val="16"/>
                <w:vertAlign w:val="baseline"/>
              </w:rPr>
              <w:t> </w:t>
            </w:r>
            <w:r>
              <w:rPr>
                <w:sz w:val="16"/>
                <w:vertAlign w:val="baseline"/>
              </w:rPr>
              <w:t>Σύστασης</w:t>
            </w:r>
            <w:r>
              <w:rPr>
                <w:spacing w:val="-7"/>
                <w:sz w:val="16"/>
                <w:vertAlign w:val="baseline"/>
              </w:rPr>
              <w:t> </w:t>
            </w:r>
            <w:r>
              <w:rPr>
                <w:sz w:val="16"/>
                <w:vertAlign w:val="baseline"/>
              </w:rPr>
              <w:t>του</w:t>
            </w:r>
            <w:r>
              <w:rPr>
                <w:spacing w:val="-8"/>
                <w:sz w:val="16"/>
                <w:vertAlign w:val="baseline"/>
              </w:rPr>
              <w:t> </w:t>
            </w:r>
            <w:r>
              <w:rPr>
                <w:sz w:val="16"/>
                <w:vertAlign w:val="baseline"/>
              </w:rPr>
              <w:t>Ευρωπαϊκού</w:t>
            </w:r>
            <w:r>
              <w:rPr>
                <w:spacing w:val="-10"/>
                <w:sz w:val="16"/>
                <w:vertAlign w:val="baseline"/>
              </w:rPr>
              <w:t> </w:t>
            </w:r>
            <w:r>
              <w:rPr>
                <w:sz w:val="16"/>
                <w:vertAlign w:val="baseline"/>
              </w:rPr>
              <w:t>Συμβουλίου</w:t>
            </w:r>
            <w:r>
              <w:rPr>
                <w:spacing w:val="-8"/>
                <w:sz w:val="16"/>
                <w:vertAlign w:val="baseline"/>
              </w:rPr>
              <w:t> </w:t>
            </w:r>
            <w:r>
              <w:rPr>
                <w:sz w:val="16"/>
                <w:vertAlign w:val="baseline"/>
              </w:rPr>
              <w:t>Συστημικού</w:t>
            </w:r>
            <w:r>
              <w:rPr>
                <w:spacing w:val="-10"/>
                <w:sz w:val="16"/>
                <w:vertAlign w:val="baseline"/>
              </w:rPr>
              <w:t> </w:t>
            </w:r>
            <w:r>
              <w:rPr>
                <w:sz w:val="16"/>
                <w:vertAlign w:val="baseline"/>
              </w:rPr>
              <w:t>Κινδύνου</w:t>
            </w:r>
            <w:r>
              <w:rPr>
                <w:spacing w:val="40"/>
                <w:sz w:val="16"/>
                <w:vertAlign w:val="baseline"/>
              </w:rPr>
              <w:t> </w:t>
            </w:r>
            <w:r>
              <w:rPr>
                <w:sz w:val="16"/>
                <w:vertAlign w:val="baseline"/>
              </w:rPr>
              <w:t>της</w:t>
            </w:r>
            <w:r>
              <w:rPr>
                <w:spacing w:val="-2"/>
                <w:sz w:val="16"/>
                <w:vertAlign w:val="baseline"/>
              </w:rPr>
              <w:t> </w:t>
            </w:r>
            <w:r>
              <w:rPr>
                <w:sz w:val="16"/>
                <w:vertAlign w:val="baseline"/>
              </w:rPr>
              <w:t>31ης</w:t>
            </w:r>
            <w:r>
              <w:rPr>
                <w:spacing w:val="-2"/>
                <w:sz w:val="16"/>
                <w:vertAlign w:val="baseline"/>
              </w:rPr>
              <w:t> </w:t>
            </w:r>
            <w:r>
              <w:rPr>
                <w:sz w:val="16"/>
                <w:vertAlign w:val="baseline"/>
              </w:rPr>
              <w:t>Οκτωβρίου</w:t>
            </w:r>
            <w:r>
              <w:rPr>
                <w:spacing w:val="-4"/>
                <w:sz w:val="16"/>
                <w:vertAlign w:val="baseline"/>
              </w:rPr>
              <w:t> </w:t>
            </w:r>
            <w:r>
              <w:rPr>
                <w:sz w:val="16"/>
                <w:vertAlign w:val="baseline"/>
              </w:rPr>
              <w:t>2016</w:t>
            </w:r>
            <w:r>
              <w:rPr>
                <w:spacing w:val="-2"/>
                <w:sz w:val="16"/>
                <w:vertAlign w:val="baseline"/>
              </w:rPr>
              <w:t> </w:t>
            </w:r>
            <w:r>
              <w:rPr>
                <w:sz w:val="16"/>
                <w:vertAlign w:val="baseline"/>
              </w:rPr>
              <w:t>σχετικά</w:t>
            </w:r>
            <w:r>
              <w:rPr>
                <w:spacing w:val="-3"/>
                <w:sz w:val="16"/>
                <w:vertAlign w:val="baseline"/>
              </w:rPr>
              <w:t> </w:t>
            </w:r>
            <w:r>
              <w:rPr>
                <w:sz w:val="16"/>
                <w:vertAlign w:val="baseline"/>
              </w:rPr>
              <w:t>με</w:t>
            </w:r>
            <w:r>
              <w:rPr>
                <w:spacing w:val="-6"/>
                <w:sz w:val="16"/>
                <w:vertAlign w:val="baseline"/>
              </w:rPr>
              <w:t> </w:t>
            </w:r>
            <w:r>
              <w:rPr>
                <w:sz w:val="16"/>
                <w:vertAlign w:val="baseline"/>
              </w:rPr>
              <w:t>την</w:t>
            </w:r>
            <w:r>
              <w:rPr>
                <w:spacing w:val="-4"/>
                <w:sz w:val="16"/>
                <w:vertAlign w:val="baseline"/>
              </w:rPr>
              <w:t> </w:t>
            </w:r>
            <w:r>
              <w:rPr>
                <w:sz w:val="16"/>
                <w:vertAlign w:val="baseline"/>
              </w:rPr>
              <w:t>κάλυψη</w:t>
            </w:r>
            <w:r>
              <w:rPr>
                <w:spacing w:val="-3"/>
                <w:sz w:val="16"/>
                <w:vertAlign w:val="baseline"/>
              </w:rPr>
              <w:t> </w:t>
            </w:r>
            <w:r>
              <w:rPr>
                <w:sz w:val="16"/>
                <w:vertAlign w:val="baseline"/>
              </w:rPr>
              <w:t>κενών</w:t>
            </w:r>
            <w:r>
              <w:rPr>
                <w:spacing w:val="-4"/>
                <w:sz w:val="16"/>
                <w:vertAlign w:val="baseline"/>
              </w:rPr>
              <w:t> </w:t>
            </w:r>
            <w:r>
              <w:rPr>
                <w:sz w:val="16"/>
                <w:vertAlign w:val="baseline"/>
              </w:rPr>
              <w:t>στα</w:t>
            </w:r>
            <w:r>
              <w:rPr>
                <w:spacing w:val="-4"/>
                <w:sz w:val="16"/>
                <w:vertAlign w:val="baseline"/>
              </w:rPr>
              <w:t> </w:t>
            </w:r>
            <w:r>
              <w:rPr>
                <w:sz w:val="16"/>
                <w:vertAlign w:val="baseline"/>
              </w:rPr>
              <w:t>στοιχεία</w:t>
            </w:r>
            <w:r>
              <w:rPr>
                <w:spacing w:val="-4"/>
                <w:sz w:val="16"/>
                <w:vertAlign w:val="baseline"/>
              </w:rPr>
              <w:t> </w:t>
            </w:r>
            <w:r>
              <w:rPr>
                <w:sz w:val="16"/>
                <w:vertAlign w:val="baseline"/>
              </w:rPr>
              <w:t>που</w:t>
            </w:r>
            <w:r>
              <w:rPr>
                <w:spacing w:val="-4"/>
                <w:sz w:val="16"/>
                <w:vertAlign w:val="baseline"/>
              </w:rPr>
              <w:t> </w:t>
            </w:r>
            <w:r>
              <w:rPr>
                <w:sz w:val="16"/>
                <w:vertAlign w:val="baseline"/>
              </w:rPr>
              <w:t>αφορούν</w:t>
            </w:r>
            <w:r>
              <w:rPr>
                <w:spacing w:val="-4"/>
                <w:sz w:val="16"/>
                <w:vertAlign w:val="baseline"/>
              </w:rPr>
              <w:t> </w:t>
            </w:r>
            <w:r>
              <w:rPr>
                <w:sz w:val="16"/>
                <w:vertAlign w:val="baseline"/>
              </w:rPr>
              <w:t>ακίνητα</w:t>
            </w:r>
            <w:r>
              <w:rPr>
                <w:spacing w:val="-3"/>
                <w:sz w:val="16"/>
                <w:vertAlign w:val="baseline"/>
              </w:rPr>
              <w:t> </w:t>
            </w:r>
            <w:r>
              <w:rPr>
                <w:sz w:val="16"/>
                <w:vertAlign w:val="baseline"/>
              </w:rPr>
              <w:t>(ΕΣΣΚ/2016/14),</w:t>
            </w:r>
            <w:r>
              <w:rPr>
                <w:spacing w:val="-5"/>
                <w:sz w:val="16"/>
                <w:vertAlign w:val="baseline"/>
              </w:rPr>
              <w:t> </w:t>
            </w:r>
            <w:r>
              <w:rPr>
                <w:sz w:val="16"/>
                <w:vertAlign w:val="baseline"/>
              </w:rPr>
              <w:t>όπως</w:t>
            </w:r>
            <w:r>
              <w:rPr>
                <w:spacing w:val="-2"/>
                <w:sz w:val="16"/>
                <w:vertAlign w:val="baseline"/>
              </w:rPr>
              <w:t> </w:t>
            </w:r>
            <w:r>
              <w:rPr>
                <w:sz w:val="16"/>
                <w:vertAlign w:val="baseline"/>
              </w:rPr>
              <w:t>έχει</w:t>
            </w:r>
            <w:r>
              <w:rPr>
                <w:spacing w:val="-3"/>
                <w:sz w:val="16"/>
                <w:vertAlign w:val="baseline"/>
              </w:rPr>
              <w:t> </w:t>
            </w:r>
            <w:r>
              <w:rPr>
                <w:sz w:val="16"/>
                <w:vertAlign w:val="baseline"/>
              </w:rPr>
              <w:t>τροποποι-ηθεί</w:t>
            </w:r>
            <w:r>
              <w:rPr>
                <w:spacing w:val="-1"/>
                <w:sz w:val="16"/>
                <w:vertAlign w:val="baseline"/>
              </w:rPr>
              <w:t> </w:t>
            </w:r>
            <w:r>
              <w:rPr>
                <w:sz w:val="16"/>
                <w:vertAlign w:val="baseline"/>
              </w:rPr>
              <w:t>με</w:t>
            </w:r>
            <w:r>
              <w:rPr>
                <w:spacing w:val="-3"/>
                <w:sz w:val="16"/>
                <w:vertAlign w:val="baseline"/>
              </w:rPr>
              <w:t> </w:t>
            </w:r>
            <w:r>
              <w:rPr>
                <w:sz w:val="16"/>
                <w:vertAlign w:val="baseline"/>
              </w:rPr>
              <w:t>τη</w:t>
            </w:r>
            <w:r>
              <w:rPr>
                <w:spacing w:val="-3"/>
                <w:sz w:val="16"/>
                <w:vertAlign w:val="baseline"/>
              </w:rPr>
              <w:t> </w:t>
            </w:r>
            <w:r>
              <w:rPr>
                <w:sz w:val="16"/>
                <w:vertAlign w:val="baseline"/>
              </w:rPr>
              <w:t>Σύσταση</w:t>
            </w:r>
            <w:r>
              <w:rPr>
                <w:spacing w:val="-3"/>
                <w:sz w:val="16"/>
                <w:vertAlign w:val="baseline"/>
              </w:rPr>
              <w:t> </w:t>
            </w:r>
            <w:r>
              <w:rPr>
                <w:sz w:val="16"/>
                <w:vertAlign w:val="baseline"/>
              </w:rPr>
              <w:t>του</w:t>
            </w:r>
            <w:r>
              <w:rPr>
                <w:spacing w:val="-4"/>
                <w:sz w:val="16"/>
                <w:vertAlign w:val="baseline"/>
              </w:rPr>
              <w:t> </w:t>
            </w:r>
            <w:r>
              <w:rPr>
                <w:sz w:val="16"/>
                <w:vertAlign w:val="baseline"/>
              </w:rPr>
              <w:t>Ευρωπαϊκού</w:t>
            </w:r>
            <w:r>
              <w:rPr>
                <w:spacing w:val="-4"/>
                <w:sz w:val="16"/>
                <w:vertAlign w:val="baseline"/>
              </w:rPr>
              <w:t> </w:t>
            </w:r>
            <w:r>
              <w:rPr>
                <w:sz w:val="16"/>
                <w:vertAlign w:val="baseline"/>
              </w:rPr>
              <w:t>Συμβουλίου</w:t>
            </w:r>
            <w:r>
              <w:rPr>
                <w:spacing w:val="-1"/>
                <w:sz w:val="16"/>
                <w:vertAlign w:val="baseline"/>
              </w:rPr>
              <w:t> </w:t>
            </w:r>
            <w:r>
              <w:rPr>
                <w:sz w:val="16"/>
                <w:vertAlign w:val="baseline"/>
              </w:rPr>
              <w:t>Συστημικού</w:t>
            </w:r>
            <w:r>
              <w:rPr>
                <w:spacing w:val="-6"/>
                <w:sz w:val="16"/>
                <w:vertAlign w:val="baseline"/>
              </w:rPr>
              <w:t> </w:t>
            </w:r>
            <w:r>
              <w:rPr>
                <w:sz w:val="16"/>
                <w:vertAlign w:val="baseline"/>
              </w:rPr>
              <w:t>Κινδύνου</w:t>
            </w:r>
            <w:r>
              <w:rPr>
                <w:spacing w:val="-4"/>
                <w:sz w:val="16"/>
                <w:vertAlign w:val="baseline"/>
              </w:rPr>
              <w:t> </w:t>
            </w:r>
            <w:r>
              <w:rPr>
                <w:sz w:val="16"/>
                <w:vertAlign w:val="baseline"/>
              </w:rPr>
              <w:t>της</w:t>
            </w:r>
            <w:r>
              <w:rPr>
                <w:spacing w:val="-2"/>
                <w:sz w:val="16"/>
                <w:vertAlign w:val="baseline"/>
              </w:rPr>
              <w:t> </w:t>
            </w:r>
            <w:r>
              <w:rPr>
                <w:sz w:val="16"/>
                <w:vertAlign w:val="baseline"/>
              </w:rPr>
              <w:t>21ης</w:t>
            </w:r>
            <w:r>
              <w:rPr>
                <w:spacing w:val="-5"/>
                <w:sz w:val="16"/>
                <w:vertAlign w:val="baseline"/>
              </w:rPr>
              <w:t> </w:t>
            </w:r>
            <w:r>
              <w:rPr>
                <w:sz w:val="16"/>
                <w:vertAlign w:val="baseline"/>
              </w:rPr>
              <w:t>Μαρτίου</w:t>
            </w:r>
            <w:r>
              <w:rPr>
                <w:spacing w:val="-4"/>
                <w:sz w:val="16"/>
                <w:vertAlign w:val="baseline"/>
              </w:rPr>
              <w:t> </w:t>
            </w:r>
            <w:r>
              <w:rPr>
                <w:sz w:val="16"/>
                <w:vertAlign w:val="baseline"/>
              </w:rPr>
              <w:t>2019</w:t>
            </w:r>
            <w:r>
              <w:rPr>
                <w:spacing w:val="-2"/>
                <w:sz w:val="16"/>
                <w:vertAlign w:val="baseline"/>
              </w:rPr>
              <w:t> </w:t>
            </w:r>
            <w:r>
              <w:rPr>
                <w:sz w:val="16"/>
                <w:vertAlign w:val="baseline"/>
              </w:rPr>
              <w:t>(ΕΣΣΚ/2019/3)</w:t>
            </w:r>
            <w:r>
              <w:rPr>
                <w:spacing w:val="-4"/>
                <w:sz w:val="16"/>
                <w:vertAlign w:val="baseline"/>
              </w:rPr>
              <w:t> </w:t>
            </w:r>
            <w:r>
              <w:rPr>
                <w:sz w:val="16"/>
                <w:vertAlign w:val="baseline"/>
              </w:rPr>
              <w:t>–</w:t>
            </w:r>
            <w:r>
              <w:rPr>
                <w:spacing w:val="-2"/>
                <w:sz w:val="16"/>
                <w:vertAlign w:val="baseline"/>
              </w:rPr>
              <w:t> </w:t>
            </w:r>
            <w:r>
              <w:rPr>
                <w:sz w:val="16"/>
                <w:vertAlign w:val="baseline"/>
              </w:rPr>
              <w:t>Κατάργηση</w:t>
            </w:r>
            <w:r>
              <w:rPr>
                <w:spacing w:val="-4"/>
                <w:sz w:val="16"/>
                <w:vertAlign w:val="baseline"/>
              </w:rPr>
              <w:t> </w:t>
            </w:r>
            <w:r>
              <w:rPr>
                <w:sz w:val="16"/>
                <w:vertAlign w:val="baseline"/>
              </w:rPr>
              <w:t>της</w:t>
            </w:r>
            <w:r>
              <w:rPr>
                <w:spacing w:val="40"/>
                <w:sz w:val="16"/>
                <w:vertAlign w:val="baseline"/>
              </w:rPr>
              <w:t> </w:t>
            </w:r>
            <w:r>
              <w:rPr>
                <w:sz w:val="16"/>
                <w:vertAlign w:val="baseline"/>
              </w:rPr>
              <w:t>Πράξης Εκτελεστικής Επιτροπής 175/1/29.07.2020 (ΦΕΚ Β΄ 3561/28.08.2020)”.</w:t>
            </w:r>
          </w:p>
          <w:p>
            <w:pPr>
              <w:pStyle w:val="TableParagraph"/>
              <w:spacing w:before="61"/>
              <w:ind w:left="107" w:right="98"/>
              <w:jc w:val="both"/>
              <w:rPr>
                <w:sz w:val="16"/>
              </w:rPr>
            </w:pPr>
            <w:r>
              <w:rPr>
                <w:sz w:val="16"/>
                <w:vertAlign w:val="superscript"/>
              </w:rPr>
              <w:t>iii</w:t>
            </w:r>
            <w:r>
              <w:rPr>
                <w:sz w:val="16"/>
                <w:vertAlign w:val="baseline"/>
              </w:rPr>
              <w:t> Σύμφωνα</w:t>
            </w:r>
            <w:r>
              <w:rPr>
                <w:spacing w:val="-1"/>
                <w:sz w:val="16"/>
                <w:vertAlign w:val="baseline"/>
              </w:rPr>
              <w:t> </w:t>
            </w:r>
            <w:r>
              <w:rPr>
                <w:sz w:val="16"/>
                <w:vertAlign w:val="baseline"/>
              </w:rPr>
              <w:t>με την</w:t>
            </w:r>
            <w:r>
              <w:rPr>
                <w:spacing w:val="-1"/>
                <w:sz w:val="16"/>
                <w:vertAlign w:val="baseline"/>
              </w:rPr>
              <w:t> </w:t>
            </w:r>
            <w:r>
              <w:rPr>
                <w:sz w:val="16"/>
                <w:vertAlign w:val="baseline"/>
              </w:rPr>
              <w:t>ΠΕΕ 227/1/2024, ποσοστό έως 10% επί</w:t>
            </w:r>
            <w:r>
              <w:rPr>
                <w:spacing w:val="-1"/>
                <w:sz w:val="16"/>
                <w:vertAlign w:val="baseline"/>
              </w:rPr>
              <w:t> </w:t>
            </w:r>
            <w:r>
              <w:rPr>
                <w:sz w:val="16"/>
                <w:vertAlign w:val="baseline"/>
              </w:rPr>
              <w:t>του συνολικού</w:t>
            </w:r>
            <w:r>
              <w:rPr>
                <w:spacing w:val="-4"/>
                <w:sz w:val="16"/>
                <w:vertAlign w:val="baseline"/>
              </w:rPr>
              <w:t> </w:t>
            </w:r>
            <w:r>
              <w:rPr>
                <w:sz w:val="16"/>
                <w:vertAlign w:val="baseline"/>
              </w:rPr>
              <w:t>αριθμού</w:t>
            </w:r>
            <w:r>
              <w:rPr>
                <w:spacing w:val="-1"/>
                <w:sz w:val="16"/>
                <w:vertAlign w:val="baseline"/>
              </w:rPr>
              <w:t> </w:t>
            </w:r>
            <w:r>
              <w:rPr>
                <w:sz w:val="16"/>
                <w:vertAlign w:val="baseline"/>
              </w:rPr>
              <w:t>των</w:t>
            </w:r>
            <w:r>
              <w:rPr>
                <w:spacing w:val="-1"/>
                <w:sz w:val="16"/>
                <w:vertAlign w:val="baseline"/>
              </w:rPr>
              <w:t> </w:t>
            </w:r>
            <w:r>
              <w:rPr>
                <w:sz w:val="16"/>
                <w:vertAlign w:val="baseline"/>
              </w:rPr>
              <w:t>δανείων</w:t>
            </w:r>
            <w:r>
              <w:rPr>
                <w:spacing w:val="-1"/>
                <w:sz w:val="16"/>
                <w:vertAlign w:val="baseline"/>
              </w:rPr>
              <w:t> </w:t>
            </w:r>
            <w:r>
              <w:rPr>
                <w:sz w:val="16"/>
                <w:vertAlign w:val="baseline"/>
              </w:rPr>
              <w:t>και</w:t>
            </w:r>
            <w:r>
              <w:rPr>
                <w:spacing w:val="-1"/>
                <w:sz w:val="16"/>
                <w:vertAlign w:val="baseline"/>
              </w:rPr>
              <w:t> </w:t>
            </w:r>
            <w:r>
              <w:rPr>
                <w:sz w:val="16"/>
                <w:vertAlign w:val="baseline"/>
              </w:rPr>
              <w:t>λοιπών</w:t>
            </w:r>
            <w:r>
              <w:rPr>
                <w:spacing w:val="-1"/>
                <w:sz w:val="16"/>
                <w:vertAlign w:val="baseline"/>
              </w:rPr>
              <w:t> </w:t>
            </w:r>
            <w:r>
              <w:rPr>
                <w:sz w:val="16"/>
                <w:vertAlign w:val="baseline"/>
              </w:rPr>
              <w:t>πιστώσεων που εγκρί-νονται</w:t>
            </w:r>
            <w:r>
              <w:rPr>
                <w:spacing w:val="-10"/>
                <w:sz w:val="16"/>
                <w:vertAlign w:val="baseline"/>
              </w:rPr>
              <w:t> </w:t>
            </w:r>
            <w:r>
              <w:rPr>
                <w:sz w:val="16"/>
                <w:vertAlign w:val="baseline"/>
              </w:rPr>
              <w:t>και</w:t>
            </w:r>
            <w:r>
              <w:rPr>
                <w:spacing w:val="-9"/>
                <w:sz w:val="16"/>
                <w:vertAlign w:val="baseline"/>
              </w:rPr>
              <w:t> </w:t>
            </w:r>
            <w:r>
              <w:rPr>
                <w:sz w:val="16"/>
                <w:vertAlign w:val="baseline"/>
              </w:rPr>
              <w:t>έχουν</w:t>
            </w:r>
            <w:r>
              <w:rPr>
                <w:spacing w:val="-8"/>
                <w:sz w:val="16"/>
                <w:vertAlign w:val="baseline"/>
              </w:rPr>
              <w:t> </w:t>
            </w:r>
            <w:r>
              <w:rPr>
                <w:sz w:val="16"/>
                <w:vertAlign w:val="baseline"/>
              </w:rPr>
              <w:t>έστω</w:t>
            </w:r>
            <w:r>
              <w:rPr>
                <w:spacing w:val="-9"/>
                <w:sz w:val="16"/>
                <w:vertAlign w:val="baseline"/>
              </w:rPr>
              <w:t> </w:t>
            </w:r>
            <w:r>
              <w:rPr>
                <w:sz w:val="16"/>
                <w:vertAlign w:val="baseline"/>
              </w:rPr>
              <w:t>εν</w:t>
            </w:r>
            <w:r>
              <w:rPr>
                <w:spacing w:val="-7"/>
                <w:sz w:val="16"/>
                <w:vertAlign w:val="baseline"/>
              </w:rPr>
              <w:t> </w:t>
            </w:r>
            <w:r>
              <w:rPr>
                <w:sz w:val="16"/>
                <w:vertAlign w:val="baseline"/>
              </w:rPr>
              <w:t>μέρει</w:t>
            </w:r>
            <w:r>
              <w:rPr>
                <w:spacing w:val="-9"/>
                <w:sz w:val="16"/>
                <w:vertAlign w:val="baseline"/>
              </w:rPr>
              <w:t> </w:t>
            </w:r>
            <w:r>
              <w:rPr>
                <w:sz w:val="16"/>
                <w:vertAlign w:val="baseline"/>
              </w:rPr>
              <w:t>εκταμιευθεί</w:t>
            </w:r>
            <w:r>
              <w:rPr>
                <w:spacing w:val="-6"/>
                <w:sz w:val="16"/>
                <w:vertAlign w:val="baseline"/>
              </w:rPr>
              <w:t> </w:t>
            </w:r>
            <w:r>
              <w:rPr>
                <w:sz w:val="16"/>
                <w:vertAlign w:val="baseline"/>
              </w:rPr>
              <w:t>εντός</w:t>
            </w:r>
            <w:r>
              <w:rPr>
                <w:spacing w:val="-8"/>
                <w:sz w:val="16"/>
                <w:vertAlign w:val="baseline"/>
              </w:rPr>
              <w:t> </w:t>
            </w:r>
            <w:r>
              <w:rPr>
                <w:sz w:val="16"/>
                <w:vertAlign w:val="baseline"/>
              </w:rPr>
              <w:t>του</w:t>
            </w:r>
            <w:r>
              <w:rPr>
                <w:spacing w:val="-9"/>
                <w:sz w:val="16"/>
                <w:vertAlign w:val="baseline"/>
              </w:rPr>
              <w:t> </w:t>
            </w:r>
            <w:r>
              <w:rPr>
                <w:sz w:val="16"/>
                <w:vertAlign w:val="baseline"/>
              </w:rPr>
              <w:t>εκάστοτε</w:t>
            </w:r>
            <w:r>
              <w:rPr>
                <w:spacing w:val="-9"/>
                <w:sz w:val="16"/>
                <w:vertAlign w:val="baseline"/>
              </w:rPr>
              <w:t> </w:t>
            </w:r>
            <w:r>
              <w:rPr>
                <w:sz w:val="16"/>
                <w:vertAlign w:val="baseline"/>
              </w:rPr>
              <w:t>ημερολογιακού</w:t>
            </w:r>
            <w:r>
              <w:rPr>
                <w:spacing w:val="-9"/>
                <w:sz w:val="16"/>
                <w:vertAlign w:val="baseline"/>
              </w:rPr>
              <w:t> </w:t>
            </w:r>
            <w:r>
              <w:rPr>
                <w:sz w:val="16"/>
                <w:vertAlign w:val="baseline"/>
              </w:rPr>
              <w:t>τριμήνου</w:t>
            </w:r>
            <w:r>
              <w:rPr>
                <w:spacing w:val="-9"/>
                <w:sz w:val="16"/>
                <w:vertAlign w:val="baseline"/>
              </w:rPr>
              <w:t> </w:t>
            </w:r>
            <w:r>
              <w:rPr>
                <w:sz w:val="16"/>
                <w:vertAlign w:val="baseline"/>
              </w:rPr>
              <w:t>σε</w:t>
            </w:r>
            <w:r>
              <w:rPr>
                <w:spacing w:val="-7"/>
                <w:sz w:val="16"/>
                <w:vertAlign w:val="baseline"/>
              </w:rPr>
              <w:t> </w:t>
            </w:r>
            <w:r>
              <w:rPr>
                <w:sz w:val="16"/>
                <w:vertAlign w:val="baseline"/>
              </w:rPr>
              <w:t>επίπεδο</w:t>
            </w:r>
            <w:r>
              <w:rPr>
                <w:spacing w:val="-8"/>
                <w:sz w:val="16"/>
                <w:vertAlign w:val="baseline"/>
              </w:rPr>
              <w:t> </w:t>
            </w:r>
            <w:r>
              <w:rPr>
                <w:sz w:val="16"/>
                <w:vertAlign w:val="baseline"/>
              </w:rPr>
              <w:t>ιδρύματος</w:t>
            </w:r>
            <w:r>
              <w:rPr>
                <w:spacing w:val="-8"/>
                <w:sz w:val="16"/>
                <w:vertAlign w:val="baseline"/>
              </w:rPr>
              <w:t> </w:t>
            </w:r>
            <w:r>
              <w:rPr>
                <w:sz w:val="16"/>
                <w:vertAlign w:val="baseline"/>
              </w:rPr>
              <w:t>ή</w:t>
            </w:r>
            <w:r>
              <w:rPr>
                <w:spacing w:val="-10"/>
                <w:sz w:val="16"/>
                <w:vertAlign w:val="baseline"/>
              </w:rPr>
              <w:t> </w:t>
            </w:r>
            <w:r>
              <w:rPr>
                <w:sz w:val="16"/>
                <w:vertAlign w:val="baseline"/>
              </w:rPr>
              <w:t>οντότητας</w:t>
            </w:r>
            <w:r>
              <w:rPr>
                <w:spacing w:val="-8"/>
                <w:sz w:val="16"/>
                <w:vertAlign w:val="baseline"/>
              </w:rPr>
              <w:t> </w:t>
            </w:r>
            <w:r>
              <w:rPr>
                <w:sz w:val="16"/>
                <w:vertAlign w:val="baseline"/>
              </w:rPr>
              <w:t>δύναται</w:t>
            </w:r>
            <w:r>
              <w:rPr>
                <w:spacing w:val="40"/>
                <w:sz w:val="16"/>
                <w:vertAlign w:val="baseline"/>
              </w:rPr>
              <w:t> </w:t>
            </w:r>
            <w:r>
              <w:rPr>
                <w:sz w:val="16"/>
                <w:vertAlign w:val="baseline"/>
              </w:rPr>
              <w:t>να υπερβαίνει τα ανώτατα επιτρεπόμενα όρια LTV-O και DSTI-O.</w:t>
            </w:r>
          </w:p>
          <w:p>
            <w:pPr>
              <w:pStyle w:val="TableParagraph"/>
              <w:spacing w:before="60"/>
              <w:ind w:left="107"/>
              <w:jc w:val="both"/>
              <w:rPr>
                <w:sz w:val="16"/>
              </w:rPr>
            </w:pPr>
            <w:r>
              <w:rPr>
                <w:sz w:val="16"/>
                <w:vertAlign w:val="superscript"/>
              </w:rPr>
              <w:t>iv</w:t>
            </w:r>
            <w:r>
              <w:rPr>
                <w:spacing w:val="-4"/>
                <w:sz w:val="16"/>
                <w:vertAlign w:val="baseline"/>
              </w:rPr>
              <w:t> </w:t>
            </w:r>
            <w:r>
              <w:rPr>
                <w:sz w:val="16"/>
                <w:vertAlign w:val="baseline"/>
              </w:rPr>
              <w:t>Βλ.</w:t>
            </w:r>
            <w:r>
              <w:rPr>
                <w:spacing w:val="-5"/>
                <w:sz w:val="16"/>
                <w:vertAlign w:val="baseline"/>
              </w:rPr>
              <w:t> </w:t>
            </w:r>
            <w:r>
              <w:rPr>
                <w:sz w:val="16"/>
                <w:vertAlign w:val="baseline"/>
              </w:rPr>
              <w:t>Τράπεζα</w:t>
            </w:r>
            <w:r>
              <w:rPr>
                <w:spacing w:val="-4"/>
                <w:sz w:val="16"/>
                <w:vertAlign w:val="baseline"/>
              </w:rPr>
              <w:t> </w:t>
            </w:r>
            <w:r>
              <w:rPr>
                <w:sz w:val="16"/>
                <w:vertAlign w:val="baseline"/>
              </w:rPr>
              <w:t>της</w:t>
            </w:r>
            <w:r>
              <w:rPr>
                <w:spacing w:val="-4"/>
                <w:sz w:val="16"/>
                <w:vertAlign w:val="baseline"/>
              </w:rPr>
              <w:t> </w:t>
            </w:r>
            <w:r>
              <w:rPr>
                <w:sz w:val="16"/>
                <w:vertAlign w:val="baseline"/>
              </w:rPr>
              <w:t>Ελλάδος</w:t>
            </w:r>
            <w:r>
              <w:rPr>
                <w:spacing w:val="-3"/>
                <w:sz w:val="16"/>
                <w:vertAlign w:val="baseline"/>
              </w:rPr>
              <w:t> </w:t>
            </w:r>
            <w:r>
              <w:rPr>
                <w:sz w:val="16"/>
                <w:vertAlign w:val="baseline"/>
              </w:rPr>
              <w:t>(2026),</w:t>
            </w:r>
            <w:r>
              <w:rPr>
                <w:spacing w:val="-3"/>
                <w:sz w:val="16"/>
                <w:vertAlign w:val="baseline"/>
              </w:rPr>
              <w:t> </w:t>
            </w:r>
            <w:r>
              <w:rPr>
                <w:i/>
                <w:sz w:val="16"/>
                <w:vertAlign w:val="baseline"/>
              </w:rPr>
              <w:t>Έκθεση</w:t>
            </w:r>
            <w:r>
              <w:rPr>
                <w:i/>
                <w:spacing w:val="-3"/>
                <w:sz w:val="16"/>
                <w:vertAlign w:val="baseline"/>
              </w:rPr>
              <w:t> </w:t>
            </w:r>
            <w:r>
              <w:rPr>
                <w:i/>
                <w:sz w:val="16"/>
                <w:vertAlign w:val="baseline"/>
              </w:rPr>
              <w:t>του</w:t>
            </w:r>
            <w:r>
              <w:rPr>
                <w:i/>
                <w:spacing w:val="-3"/>
                <w:sz w:val="16"/>
                <w:vertAlign w:val="baseline"/>
              </w:rPr>
              <w:t> </w:t>
            </w:r>
            <w:r>
              <w:rPr>
                <w:i/>
                <w:sz w:val="16"/>
                <w:vertAlign w:val="baseline"/>
              </w:rPr>
              <w:t>Διοικητή</w:t>
            </w:r>
            <w:r>
              <w:rPr>
                <w:i/>
                <w:spacing w:val="-6"/>
                <w:sz w:val="16"/>
                <w:vertAlign w:val="baseline"/>
              </w:rPr>
              <w:t> </w:t>
            </w:r>
            <w:r>
              <w:rPr>
                <w:i/>
                <w:sz w:val="16"/>
                <w:vertAlign w:val="baseline"/>
              </w:rPr>
              <w:t>για</w:t>
            </w:r>
            <w:r>
              <w:rPr>
                <w:i/>
                <w:spacing w:val="-4"/>
                <w:sz w:val="16"/>
                <w:vertAlign w:val="baseline"/>
              </w:rPr>
              <w:t> </w:t>
            </w:r>
            <w:r>
              <w:rPr>
                <w:i/>
                <w:sz w:val="16"/>
                <w:vertAlign w:val="baseline"/>
              </w:rPr>
              <w:t>το</w:t>
            </w:r>
            <w:r>
              <w:rPr>
                <w:i/>
                <w:spacing w:val="-2"/>
                <w:sz w:val="16"/>
                <w:vertAlign w:val="baseline"/>
              </w:rPr>
              <w:t> </w:t>
            </w:r>
            <w:r>
              <w:rPr>
                <w:i/>
                <w:sz w:val="16"/>
                <w:vertAlign w:val="baseline"/>
              </w:rPr>
              <w:t>έτος</w:t>
            </w:r>
            <w:r>
              <w:rPr>
                <w:i/>
                <w:spacing w:val="-6"/>
                <w:sz w:val="16"/>
                <w:vertAlign w:val="baseline"/>
              </w:rPr>
              <w:t> </w:t>
            </w:r>
            <w:r>
              <w:rPr>
                <w:i/>
                <w:sz w:val="16"/>
                <w:vertAlign w:val="baseline"/>
              </w:rPr>
              <w:t>2025</w:t>
            </w:r>
            <w:r>
              <w:rPr>
                <w:sz w:val="16"/>
                <w:vertAlign w:val="baseline"/>
              </w:rPr>
              <w:t>,</w:t>
            </w:r>
            <w:r>
              <w:rPr>
                <w:spacing w:val="-5"/>
                <w:sz w:val="16"/>
                <w:vertAlign w:val="baseline"/>
              </w:rPr>
              <w:t> </w:t>
            </w:r>
            <w:r>
              <w:rPr>
                <w:sz w:val="16"/>
                <w:vertAlign w:val="baseline"/>
              </w:rPr>
              <w:t>Ειδικό</w:t>
            </w:r>
            <w:r>
              <w:rPr>
                <w:spacing w:val="-3"/>
                <w:sz w:val="16"/>
                <w:vertAlign w:val="baseline"/>
              </w:rPr>
              <w:t> </w:t>
            </w:r>
            <w:r>
              <w:rPr>
                <w:sz w:val="16"/>
                <w:vertAlign w:val="baseline"/>
              </w:rPr>
              <w:t>Θέμα</w:t>
            </w:r>
            <w:r>
              <w:rPr>
                <w:spacing w:val="-5"/>
                <w:sz w:val="16"/>
                <w:vertAlign w:val="baseline"/>
              </w:rPr>
              <w:t> </w:t>
            </w:r>
            <w:r>
              <w:rPr>
                <w:sz w:val="16"/>
                <w:vertAlign w:val="baseline"/>
              </w:rPr>
              <w:t>1</w:t>
            </w:r>
            <w:r>
              <w:rPr>
                <w:spacing w:val="-4"/>
                <w:sz w:val="16"/>
                <w:vertAlign w:val="baseline"/>
              </w:rPr>
              <w:t> </w:t>
            </w:r>
            <w:r>
              <w:rPr>
                <w:sz w:val="16"/>
                <w:vertAlign w:val="baseline"/>
              </w:rPr>
              <w:t>Κεφαλαίου</w:t>
            </w:r>
            <w:r>
              <w:rPr>
                <w:spacing w:val="-2"/>
                <w:sz w:val="16"/>
                <w:vertAlign w:val="baseline"/>
              </w:rPr>
              <w:t> </w:t>
            </w:r>
            <w:r>
              <w:rPr>
                <w:sz w:val="16"/>
                <w:vertAlign w:val="baseline"/>
              </w:rPr>
              <w:t>IV,</w:t>
            </w:r>
            <w:r>
              <w:rPr>
                <w:spacing w:val="-3"/>
                <w:sz w:val="16"/>
                <w:vertAlign w:val="baseline"/>
              </w:rPr>
              <w:t> </w:t>
            </w:r>
            <w:r>
              <w:rPr>
                <w:spacing w:val="-2"/>
                <w:sz w:val="16"/>
                <w:vertAlign w:val="baseline"/>
              </w:rPr>
              <w:t>Απρίλιος.</w:t>
            </w:r>
          </w:p>
        </w:tc>
      </w:tr>
    </w:tbl>
    <w:p>
      <w:pPr>
        <w:rPr>
          <w:sz w:val="2"/>
          <w:szCs w:val="2"/>
        </w:rPr>
      </w:pPr>
      <w:r>
        <w:rPr>
          <w:sz w:val="2"/>
          <w:szCs w:val="2"/>
        </w:rPr>
        <mc:AlternateContent>
          <mc:Choice Requires="wps">
            <w:drawing>
              <wp:anchor distT="0" distB="0" distL="0" distR="0" allowOverlap="1" layoutInCell="1" locked="0" behindDoc="0" simplePos="0" relativeHeight="15740928">
                <wp:simplePos x="0" y="0"/>
                <wp:positionH relativeFrom="page">
                  <wp:posOffset>1511173</wp:posOffset>
                </wp:positionH>
                <wp:positionV relativeFrom="page">
                  <wp:posOffset>3810782</wp:posOffset>
                </wp:positionV>
                <wp:extent cx="1398905" cy="158115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398905" cy="1581150"/>
                        </a:xfrm>
                        <a:prstGeom prst="rect">
                          <a:avLst/>
                        </a:prstGeom>
                      </wps:spPr>
                      <wps:txbx>
                        <w:txbxContent>
                          <w:tbl>
                            <w:tblPr>
                              <w:tblW w:w="0" w:type="auto"/>
                              <w:jc w:val="left"/>
                              <w:tblInd w:w="6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606"/>
                              <w:gridCol w:w="131"/>
                              <w:gridCol w:w="596"/>
                              <w:gridCol w:w="131"/>
                              <w:gridCol w:w="606"/>
                            </w:tblGrid>
                            <w:tr>
                              <w:trPr>
                                <w:trHeight w:val="505" w:hRule="exact"/>
                              </w:trPr>
                              <w:tc>
                                <w:tcPr>
                                  <w:tcW w:w="606" w:type="dxa"/>
                                  <w:shd w:val="clear" w:color="auto" w:fill="DAE2F3"/>
                                </w:tcPr>
                                <w:p>
                                  <w:pPr>
                                    <w:pStyle w:val="TableParagraph"/>
                                    <w:spacing w:before="51"/>
                                    <w:rPr>
                                      <w:sz w:val="12"/>
                                    </w:rPr>
                                  </w:pPr>
                                </w:p>
                                <w:p>
                                  <w:pPr>
                                    <w:pStyle w:val="TableParagraph"/>
                                    <w:ind w:left="7"/>
                                    <w:jc w:val="center"/>
                                    <w:rPr>
                                      <w:sz w:val="12"/>
                                    </w:rPr>
                                  </w:pPr>
                                  <w:r>
                                    <w:rPr>
                                      <w:spacing w:val="-5"/>
                                      <w:sz w:val="12"/>
                                    </w:rPr>
                                    <w:t>78%</w:t>
                                  </w:r>
                                </w:p>
                              </w:tc>
                              <w:tc>
                                <w:tcPr>
                                  <w:tcW w:w="131" w:type="dxa"/>
                                  <w:vMerge w:val="restart"/>
                                  <w:shd w:val="clear" w:color="auto" w:fill="D9D9D9"/>
                                </w:tcPr>
                                <w:p>
                                  <w:pPr>
                                    <w:pStyle w:val="TableParagraph"/>
                                    <w:rPr>
                                      <w:sz w:val="18"/>
                                    </w:rPr>
                                  </w:pPr>
                                </w:p>
                              </w:tc>
                              <w:tc>
                                <w:tcPr>
                                  <w:tcW w:w="596" w:type="dxa"/>
                                  <w:shd w:val="clear" w:color="auto" w:fill="DAE2F3"/>
                                </w:tcPr>
                                <w:p>
                                  <w:pPr>
                                    <w:pStyle w:val="TableParagraph"/>
                                    <w:spacing w:before="31"/>
                                    <w:rPr>
                                      <w:sz w:val="12"/>
                                    </w:rPr>
                                  </w:pPr>
                                </w:p>
                                <w:p>
                                  <w:pPr>
                                    <w:pStyle w:val="TableParagraph"/>
                                    <w:ind w:left="182"/>
                                    <w:rPr>
                                      <w:sz w:val="12"/>
                                    </w:rPr>
                                  </w:pPr>
                                  <w:r>
                                    <w:rPr>
                                      <w:spacing w:val="-5"/>
                                      <w:sz w:val="12"/>
                                    </w:rPr>
                                    <w:t>75%</w:t>
                                  </w:r>
                                </w:p>
                              </w:tc>
                              <w:tc>
                                <w:tcPr>
                                  <w:tcW w:w="131" w:type="dxa"/>
                                  <w:vMerge w:val="restart"/>
                                  <w:shd w:val="clear" w:color="auto" w:fill="D9D9D9"/>
                                </w:tcPr>
                                <w:p>
                                  <w:pPr>
                                    <w:pStyle w:val="TableParagraph"/>
                                    <w:rPr>
                                      <w:sz w:val="18"/>
                                    </w:rPr>
                                  </w:pPr>
                                </w:p>
                              </w:tc>
                              <w:tc>
                                <w:tcPr>
                                  <w:tcW w:w="606" w:type="dxa"/>
                                  <w:shd w:val="clear" w:color="auto" w:fill="DAE2F3"/>
                                </w:tcPr>
                                <w:p>
                                  <w:pPr>
                                    <w:pStyle w:val="TableParagraph"/>
                                    <w:spacing w:before="41"/>
                                    <w:rPr>
                                      <w:sz w:val="12"/>
                                    </w:rPr>
                                  </w:pPr>
                                </w:p>
                                <w:p>
                                  <w:pPr>
                                    <w:pStyle w:val="TableParagraph"/>
                                    <w:ind w:left="188"/>
                                    <w:rPr>
                                      <w:sz w:val="12"/>
                                    </w:rPr>
                                  </w:pPr>
                                  <w:r>
                                    <w:rPr>
                                      <w:spacing w:val="-5"/>
                                      <w:sz w:val="12"/>
                                    </w:rPr>
                                    <w:t>75%</w:t>
                                  </w:r>
                                </w:p>
                              </w:tc>
                            </w:tr>
                            <w:tr>
                              <w:trPr>
                                <w:trHeight w:val="293" w:hRule="exact"/>
                              </w:trPr>
                              <w:tc>
                                <w:tcPr>
                                  <w:tcW w:w="606" w:type="dxa"/>
                                  <w:shd w:val="clear" w:color="auto" w:fill="ACB8C9"/>
                                </w:tcPr>
                                <w:p>
                                  <w:pPr>
                                    <w:pStyle w:val="TableParagraph"/>
                                    <w:spacing w:before="78"/>
                                    <w:ind w:left="7"/>
                                    <w:jc w:val="center"/>
                                    <w:rPr>
                                      <w:sz w:val="12"/>
                                    </w:rPr>
                                  </w:pPr>
                                  <w:r>
                                    <w:rPr>
                                      <w:spacing w:val="-5"/>
                                      <w:sz w:val="12"/>
                                    </w:rPr>
                                    <w:t>12%</w:t>
                                  </w:r>
                                </w:p>
                              </w:tc>
                              <w:tc>
                                <w:tcPr>
                                  <w:tcW w:w="131" w:type="dxa"/>
                                  <w:vMerge/>
                                  <w:tcBorders>
                                    <w:top w:val="nil"/>
                                  </w:tcBorders>
                                  <w:shd w:val="clear" w:color="auto" w:fill="D9D9D9"/>
                                </w:tcPr>
                                <w:p>
                                  <w:pPr>
                                    <w:rPr>
                                      <w:sz w:val="2"/>
                                      <w:szCs w:val="2"/>
                                    </w:rPr>
                                  </w:pPr>
                                </w:p>
                              </w:tc>
                              <w:tc>
                                <w:tcPr>
                                  <w:tcW w:w="596" w:type="dxa"/>
                                  <w:vMerge w:val="restart"/>
                                  <w:shd w:val="clear" w:color="auto" w:fill="ACB8C9"/>
                                </w:tcPr>
                                <w:p>
                                  <w:pPr>
                                    <w:pStyle w:val="TableParagraph"/>
                                    <w:spacing w:before="129"/>
                                    <w:ind w:left="182"/>
                                    <w:rPr>
                                      <w:sz w:val="12"/>
                                    </w:rPr>
                                  </w:pPr>
                                  <w:r>
                                    <w:rPr>
                                      <w:spacing w:val="-5"/>
                                      <w:sz w:val="12"/>
                                    </w:rPr>
                                    <w:t>17%</w:t>
                                  </w:r>
                                </w:p>
                              </w:tc>
                              <w:tc>
                                <w:tcPr>
                                  <w:tcW w:w="131" w:type="dxa"/>
                                  <w:vMerge/>
                                  <w:tcBorders>
                                    <w:top w:val="nil"/>
                                  </w:tcBorders>
                                  <w:shd w:val="clear" w:color="auto" w:fill="D9D9D9"/>
                                </w:tcPr>
                                <w:p>
                                  <w:pPr>
                                    <w:rPr>
                                      <w:sz w:val="2"/>
                                      <w:szCs w:val="2"/>
                                    </w:rPr>
                                  </w:pPr>
                                </w:p>
                              </w:tc>
                              <w:tc>
                                <w:tcPr>
                                  <w:tcW w:w="606" w:type="dxa"/>
                                  <w:vMerge w:val="restart"/>
                                  <w:shd w:val="clear" w:color="auto" w:fill="ACB8C9"/>
                                </w:tcPr>
                                <w:p>
                                  <w:pPr>
                                    <w:pStyle w:val="TableParagraph"/>
                                    <w:spacing w:before="1"/>
                                    <w:rPr>
                                      <w:sz w:val="12"/>
                                    </w:rPr>
                                  </w:pPr>
                                </w:p>
                                <w:p>
                                  <w:pPr>
                                    <w:pStyle w:val="TableParagraph"/>
                                    <w:ind w:left="188"/>
                                    <w:rPr>
                                      <w:sz w:val="12"/>
                                    </w:rPr>
                                  </w:pPr>
                                  <w:r>
                                    <w:rPr>
                                      <w:spacing w:val="-5"/>
                                      <w:sz w:val="12"/>
                                    </w:rPr>
                                    <w:t>18%</w:t>
                                  </w:r>
                                </w:p>
                              </w:tc>
                            </w:tr>
                            <w:tr>
                              <w:trPr>
                                <w:trHeight w:val="131" w:hRule="exact"/>
                              </w:trPr>
                              <w:tc>
                                <w:tcPr>
                                  <w:tcW w:w="606" w:type="dxa"/>
                                  <w:vMerge w:val="restart"/>
                                  <w:shd w:val="clear" w:color="auto" w:fill="1F3863"/>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0"/>
                                    <w:rPr>
                                      <w:sz w:val="12"/>
                                    </w:rPr>
                                  </w:pPr>
                                </w:p>
                                <w:p>
                                  <w:pPr>
                                    <w:pStyle w:val="TableParagraph"/>
                                    <w:ind w:left="131"/>
                                    <w:rPr>
                                      <w:b/>
                                      <w:sz w:val="12"/>
                                    </w:rPr>
                                  </w:pPr>
                                  <w:r>
                                    <w:rPr>
                                      <w:b/>
                                      <w:color w:val="FFFFFF"/>
                                      <w:spacing w:val="-2"/>
                                      <w:sz w:val="12"/>
                                    </w:rPr>
                                    <w:t>10,5%</w:t>
                                  </w:r>
                                </w:p>
                              </w:tc>
                              <w:tc>
                                <w:tcPr>
                                  <w:tcW w:w="131" w:type="dxa"/>
                                  <w:vMerge w:val="restart"/>
                                  <w:shd w:val="clear" w:color="auto" w:fill="D9D9D9"/>
                                </w:tcPr>
                                <w:p>
                                  <w:pPr>
                                    <w:pStyle w:val="TableParagraph"/>
                                    <w:rPr>
                                      <w:sz w:val="18"/>
                                    </w:rPr>
                                  </w:pPr>
                                </w:p>
                              </w:tc>
                              <w:tc>
                                <w:tcPr>
                                  <w:tcW w:w="596" w:type="dxa"/>
                                  <w:vMerge/>
                                  <w:tcBorders>
                                    <w:top w:val="nil"/>
                                  </w:tcBorders>
                                  <w:shd w:val="clear" w:color="auto" w:fill="ACB8C9"/>
                                </w:tcPr>
                                <w:p>
                                  <w:pPr>
                                    <w:rPr>
                                      <w:sz w:val="2"/>
                                      <w:szCs w:val="2"/>
                                    </w:rPr>
                                  </w:pPr>
                                </w:p>
                              </w:tc>
                              <w:tc>
                                <w:tcPr>
                                  <w:tcW w:w="131" w:type="dxa"/>
                                  <w:vMerge w:val="restart"/>
                                  <w:shd w:val="clear" w:color="auto" w:fill="D9D9D9"/>
                                </w:tcPr>
                                <w:p>
                                  <w:pPr>
                                    <w:pStyle w:val="TableParagraph"/>
                                    <w:rPr>
                                      <w:sz w:val="18"/>
                                    </w:rPr>
                                  </w:pPr>
                                </w:p>
                              </w:tc>
                              <w:tc>
                                <w:tcPr>
                                  <w:tcW w:w="606" w:type="dxa"/>
                                  <w:vMerge/>
                                  <w:tcBorders>
                                    <w:top w:val="nil"/>
                                  </w:tcBorders>
                                  <w:shd w:val="clear" w:color="auto" w:fill="ACB8C9"/>
                                </w:tcPr>
                                <w:p>
                                  <w:pPr>
                                    <w:rPr>
                                      <w:sz w:val="2"/>
                                      <w:szCs w:val="2"/>
                                    </w:rPr>
                                  </w:pPr>
                                </w:p>
                              </w:tc>
                            </w:tr>
                            <w:tr>
                              <w:trPr>
                                <w:trHeight w:val="717" w:hRule="exact"/>
                              </w:trPr>
                              <w:tc>
                                <w:tcPr>
                                  <w:tcW w:w="606" w:type="dxa"/>
                                  <w:vMerge/>
                                  <w:tcBorders>
                                    <w:top w:val="nil"/>
                                  </w:tcBorders>
                                  <w:shd w:val="clear" w:color="auto" w:fill="1F3863"/>
                                </w:tcPr>
                                <w:p>
                                  <w:pPr>
                                    <w:rPr>
                                      <w:sz w:val="2"/>
                                      <w:szCs w:val="2"/>
                                    </w:rPr>
                                  </w:pPr>
                                </w:p>
                              </w:tc>
                              <w:tc>
                                <w:tcPr>
                                  <w:tcW w:w="131" w:type="dxa"/>
                                  <w:vMerge/>
                                  <w:tcBorders>
                                    <w:top w:val="nil"/>
                                  </w:tcBorders>
                                  <w:shd w:val="clear" w:color="auto" w:fill="D9D9D9"/>
                                </w:tcPr>
                                <w:p>
                                  <w:pPr>
                                    <w:rPr>
                                      <w:sz w:val="2"/>
                                      <w:szCs w:val="2"/>
                                    </w:rPr>
                                  </w:pPr>
                                </w:p>
                              </w:tc>
                              <w:tc>
                                <w:tcPr>
                                  <w:tcW w:w="596" w:type="dxa"/>
                                  <w:vMerge w:val="restart"/>
                                  <w:shd w:val="clear" w:color="auto" w:fill="1F3863"/>
                                </w:tcPr>
                                <w:p>
                                  <w:pPr>
                                    <w:pStyle w:val="TableParagraph"/>
                                    <w:rPr>
                                      <w:sz w:val="12"/>
                                    </w:rPr>
                                  </w:pPr>
                                </w:p>
                                <w:p>
                                  <w:pPr>
                                    <w:pStyle w:val="TableParagraph"/>
                                    <w:rPr>
                                      <w:sz w:val="12"/>
                                    </w:rPr>
                                  </w:pPr>
                                </w:p>
                                <w:p>
                                  <w:pPr>
                                    <w:pStyle w:val="TableParagraph"/>
                                    <w:rPr>
                                      <w:sz w:val="12"/>
                                    </w:rPr>
                                  </w:pPr>
                                </w:p>
                                <w:p>
                                  <w:pPr>
                                    <w:pStyle w:val="TableParagraph"/>
                                    <w:spacing w:before="137"/>
                                    <w:rPr>
                                      <w:sz w:val="12"/>
                                    </w:rPr>
                                  </w:pPr>
                                </w:p>
                                <w:p>
                                  <w:pPr>
                                    <w:pStyle w:val="TableParagraph"/>
                                    <w:ind w:left="158"/>
                                    <w:rPr>
                                      <w:b/>
                                      <w:sz w:val="12"/>
                                    </w:rPr>
                                  </w:pPr>
                                  <w:r>
                                    <w:rPr>
                                      <w:b/>
                                      <w:color w:val="FFFFFF"/>
                                      <w:spacing w:val="-4"/>
                                      <w:sz w:val="12"/>
                                    </w:rPr>
                                    <w:t>7,8%</w:t>
                                  </w:r>
                                </w:p>
                              </w:tc>
                              <w:tc>
                                <w:tcPr>
                                  <w:tcW w:w="131" w:type="dxa"/>
                                  <w:vMerge/>
                                  <w:tcBorders>
                                    <w:top w:val="nil"/>
                                  </w:tcBorders>
                                  <w:shd w:val="clear" w:color="auto" w:fill="D9D9D9"/>
                                </w:tcPr>
                                <w:p>
                                  <w:pPr>
                                    <w:rPr>
                                      <w:sz w:val="2"/>
                                      <w:szCs w:val="2"/>
                                    </w:rPr>
                                  </w:pPr>
                                </w:p>
                              </w:tc>
                              <w:tc>
                                <w:tcPr>
                                  <w:tcW w:w="606" w:type="dxa"/>
                                  <w:vMerge w:val="restart"/>
                                  <w:shd w:val="clear" w:color="auto" w:fill="1F3863"/>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9"/>
                                    <w:rPr>
                                      <w:sz w:val="12"/>
                                    </w:rPr>
                                  </w:pPr>
                                </w:p>
                                <w:p>
                                  <w:pPr>
                                    <w:pStyle w:val="TableParagraph"/>
                                    <w:ind w:left="162"/>
                                    <w:rPr>
                                      <w:b/>
                                      <w:sz w:val="12"/>
                                    </w:rPr>
                                  </w:pPr>
                                  <w:r>
                                    <w:rPr>
                                      <w:b/>
                                      <w:color w:val="FFFFFF"/>
                                      <w:spacing w:val="-4"/>
                                      <w:sz w:val="12"/>
                                    </w:rPr>
                                    <w:t>6,7%</w:t>
                                  </w:r>
                                </w:p>
                              </w:tc>
                            </w:tr>
                            <w:tr>
                              <w:trPr>
                                <w:trHeight w:val="829" w:hRule="exact"/>
                              </w:trPr>
                              <w:tc>
                                <w:tcPr>
                                  <w:tcW w:w="606" w:type="dxa"/>
                                  <w:vMerge/>
                                  <w:tcBorders>
                                    <w:top w:val="nil"/>
                                  </w:tcBorders>
                                  <w:shd w:val="clear" w:color="auto" w:fill="1F3863"/>
                                </w:tcPr>
                                <w:p>
                                  <w:pPr>
                                    <w:rPr>
                                      <w:sz w:val="2"/>
                                      <w:szCs w:val="2"/>
                                    </w:rPr>
                                  </w:pPr>
                                </w:p>
                              </w:tc>
                              <w:tc>
                                <w:tcPr>
                                  <w:tcW w:w="131" w:type="dxa"/>
                                  <w:shd w:val="clear" w:color="auto" w:fill="D9D9D9"/>
                                </w:tcPr>
                                <w:p>
                                  <w:pPr>
                                    <w:pStyle w:val="TableParagraph"/>
                                    <w:rPr>
                                      <w:sz w:val="18"/>
                                    </w:rPr>
                                  </w:pPr>
                                </w:p>
                              </w:tc>
                              <w:tc>
                                <w:tcPr>
                                  <w:tcW w:w="596" w:type="dxa"/>
                                  <w:vMerge/>
                                  <w:tcBorders>
                                    <w:top w:val="nil"/>
                                  </w:tcBorders>
                                  <w:shd w:val="clear" w:color="auto" w:fill="1F3863"/>
                                </w:tcPr>
                                <w:p>
                                  <w:pPr>
                                    <w:rPr>
                                      <w:sz w:val="2"/>
                                      <w:szCs w:val="2"/>
                                    </w:rPr>
                                  </w:pPr>
                                </w:p>
                              </w:tc>
                              <w:tc>
                                <w:tcPr>
                                  <w:tcW w:w="131" w:type="dxa"/>
                                  <w:shd w:val="clear" w:color="auto" w:fill="D9D9D9"/>
                                </w:tcPr>
                                <w:p>
                                  <w:pPr>
                                    <w:pStyle w:val="TableParagraph"/>
                                    <w:rPr>
                                      <w:sz w:val="18"/>
                                    </w:rPr>
                                  </w:pPr>
                                </w:p>
                              </w:tc>
                              <w:tc>
                                <w:tcPr>
                                  <w:tcW w:w="606" w:type="dxa"/>
                                  <w:vMerge/>
                                  <w:tcBorders>
                                    <w:top w:val="nil"/>
                                  </w:tcBorders>
                                  <w:shd w:val="clear" w:color="auto" w:fill="1F3863"/>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118.990051pt;margin-top:300.061615pt;width:110.15pt;height:124.5pt;mso-position-horizontal-relative:page;mso-position-vertical-relative:page;z-index:15740928" type="#_x0000_t202" id="docshape164" filled="false" stroked="false">
                <v:textbox inset="0,0,0,0">
                  <w:txbxContent>
                    <w:tbl>
                      <w:tblPr>
                        <w:tblW w:w="0" w:type="auto"/>
                        <w:jc w:val="left"/>
                        <w:tblInd w:w="6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606"/>
                        <w:gridCol w:w="131"/>
                        <w:gridCol w:w="596"/>
                        <w:gridCol w:w="131"/>
                        <w:gridCol w:w="606"/>
                      </w:tblGrid>
                      <w:tr>
                        <w:trPr>
                          <w:trHeight w:val="505" w:hRule="exact"/>
                        </w:trPr>
                        <w:tc>
                          <w:tcPr>
                            <w:tcW w:w="606" w:type="dxa"/>
                            <w:shd w:val="clear" w:color="auto" w:fill="DAE2F3"/>
                          </w:tcPr>
                          <w:p>
                            <w:pPr>
                              <w:pStyle w:val="TableParagraph"/>
                              <w:spacing w:before="51"/>
                              <w:rPr>
                                <w:sz w:val="12"/>
                              </w:rPr>
                            </w:pPr>
                          </w:p>
                          <w:p>
                            <w:pPr>
                              <w:pStyle w:val="TableParagraph"/>
                              <w:ind w:left="7"/>
                              <w:jc w:val="center"/>
                              <w:rPr>
                                <w:sz w:val="12"/>
                              </w:rPr>
                            </w:pPr>
                            <w:r>
                              <w:rPr>
                                <w:spacing w:val="-5"/>
                                <w:sz w:val="12"/>
                              </w:rPr>
                              <w:t>78%</w:t>
                            </w:r>
                          </w:p>
                        </w:tc>
                        <w:tc>
                          <w:tcPr>
                            <w:tcW w:w="131" w:type="dxa"/>
                            <w:vMerge w:val="restart"/>
                            <w:shd w:val="clear" w:color="auto" w:fill="D9D9D9"/>
                          </w:tcPr>
                          <w:p>
                            <w:pPr>
                              <w:pStyle w:val="TableParagraph"/>
                              <w:rPr>
                                <w:sz w:val="18"/>
                              </w:rPr>
                            </w:pPr>
                          </w:p>
                        </w:tc>
                        <w:tc>
                          <w:tcPr>
                            <w:tcW w:w="596" w:type="dxa"/>
                            <w:shd w:val="clear" w:color="auto" w:fill="DAE2F3"/>
                          </w:tcPr>
                          <w:p>
                            <w:pPr>
                              <w:pStyle w:val="TableParagraph"/>
                              <w:spacing w:before="31"/>
                              <w:rPr>
                                <w:sz w:val="12"/>
                              </w:rPr>
                            </w:pPr>
                          </w:p>
                          <w:p>
                            <w:pPr>
                              <w:pStyle w:val="TableParagraph"/>
                              <w:ind w:left="182"/>
                              <w:rPr>
                                <w:sz w:val="12"/>
                              </w:rPr>
                            </w:pPr>
                            <w:r>
                              <w:rPr>
                                <w:spacing w:val="-5"/>
                                <w:sz w:val="12"/>
                              </w:rPr>
                              <w:t>75%</w:t>
                            </w:r>
                          </w:p>
                        </w:tc>
                        <w:tc>
                          <w:tcPr>
                            <w:tcW w:w="131" w:type="dxa"/>
                            <w:vMerge w:val="restart"/>
                            <w:shd w:val="clear" w:color="auto" w:fill="D9D9D9"/>
                          </w:tcPr>
                          <w:p>
                            <w:pPr>
                              <w:pStyle w:val="TableParagraph"/>
                              <w:rPr>
                                <w:sz w:val="18"/>
                              </w:rPr>
                            </w:pPr>
                          </w:p>
                        </w:tc>
                        <w:tc>
                          <w:tcPr>
                            <w:tcW w:w="606" w:type="dxa"/>
                            <w:shd w:val="clear" w:color="auto" w:fill="DAE2F3"/>
                          </w:tcPr>
                          <w:p>
                            <w:pPr>
                              <w:pStyle w:val="TableParagraph"/>
                              <w:spacing w:before="41"/>
                              <w:rPr>
                                <w:sz w:val="12"/>
                              </w:rPr>
                            </w:pPr>
                          </w:p>
                          <w:p>
                            <w:pPr>
                              <w:pStyle w:val="TableParagraph"/>
                              <w:ind w:left="188"/>
                              <w:rPr>
                                <w:sz w:val="12"/>
                              </w:rPr>
                            </w:pPr>
                            <w:r>
                              <w:rPr>
                                <w:spacing w:val="-5"/>
                                <w:sz w:val="12"/>
                              </w:rPr>
                              <w:t>75%</w:t>
                            </w:r>
                          </w:p>
                        </w:tc>
                      </w:tr>
                      <w:tr>
                        <w:trPr>
                          <w:trHeight w:val="293" w:hRule="exact"/>
                        </w:trPr>
                        <w:tc>
                          <w:tcPr>
                            <w:tcW w:w="606" w:type="dxa"/>
                            <w:shd w:val="clear" w:color="auto" w:fill="ACB8C9"/>
                          </w:tcPr>
                          <w:p>
                            <w:pPr>
                              <w:pStyle w:val="TableParagraph"/>
                              <w:spacing w:before="78"/>
                              <w:ind w:left="7"/>
                              <w:jc w:val="center"/>
                              <w:rPr>
                                <w:sz w:val="12"/>
                              </w:rPr>
                            </w:pPr>
                            <w:r>
                              <w:rPr>
                                <w:spacing w:val="-5"/>
                                <w:sz w:val="12"/>
                              </w:rPr>
                              <w:t>12%</w:t>
                            </w:r>
                          </w:p>
                        </w:tc>
                        <w:tc>
                          <w:tcPr>
                            <w:tcW w:w="131" w:type="dxa"/>
                            <w:vMerge/>
                            <w:tcBorders>
                              <w:top w:val="nil"/>
                            </w:tcBorders>
                            <w:shd w:val="clear" w:color="auto" w:fill="D9D9D9"/>
                          </w:tcPr>
                          <w:p>
                            <w:pPr>
                              <w:rPr>
                                <w:sz w:val="2"/>
                                <w:szCs w:val="2"/>
                              </w:rPr>
                            </w:pPr>
                          </w:p>
                        </w:tc>
                        <w:tc>
                          <w:tcPr>
                            <w:tcW w:w="596" w:type="dxa"/>
                            <w:vMerge w:val="restart"/>
                            <w:shd w:val="clear" w:color="auto" w:fill="ACB8C9"/>
                          </w:tcPr>
                          <w:p>
                            <w:pPr>
                              <w:pStyle w:val="TableParagraph"/>
                              <w:spacing w:before="129"/>
                              <w:ind w:left="182"/>
                              <w:rPr>
                                <w:sz w:val="12"/>
                              </w:rPr>
                            </w:pPr>
                            <w:r>
                              <w:rPr>
                                <w:spacing w:val="-5"/>
                                <w:sz w:val="12"/>
                              </w:rPr>
                              <w:t>17%</w:t>
                            </w:r>
                          </w:p>
                        </w:tc>
                        <w:tc>
                          <w:tcPr>
                            <w:tcW w:w="131" w:type="dxa"/>
                            <w:vMerge/>
                            <w:tcBorders>
                              <w:top w:val="nil"/>
                            </w:tcBorders>
                            <w:shd w:val="clear" w:color="auto" w:fill="D9D9D9"/>
                          </w:tcPr>
                          <w:p>
                            <w:pPr>
                              <w:rPr>
                                <w:sz w:val="2"/>
                                <w:szCs w:val="2"/>
                              </w:rPr>
                            </w:pPr>
                          </w:p>
                        </w:tc>
                        <w:tc>
                          <w:tcPr>
                            <w:tcW w:w="606" w:type="dxa"/>
                            <w:vMerge w:val="restart"/>
                            <w:shd w:val="clear" w:color="auto" w:fill="ACB8C9"/>
                          </w:tcPr>
                          <w:p>
                            <w:pPr>
                              <w:pStyle w:val="TableParagraph"/>
                              <w:spacing w:before="1"/>
                              <w:rPr>
                                <w:sz w:val="12"/>
                              </w:rPr>
                            </w:pPr>
                          </w:p>
                          <w:p>
                            <w:pPr>
                              <w:pStyle w:val="TableParagraph"/>
                              <w:ind w:left="188"/>
                              <w:rPr>
                                <w:sz w:val="12"/>
                              </w:rPr>
                            </w:pPr>
                            <w:r>
                              <w:rPr>
                                <w:spacing w:val="-5"/>
                                <w:sz w:val="12"/>
                              </w:rPr>
                              <w:t>18%</w:t>
                            </w:r>
                          </w:p>
                        </w:tc>
                      </w:tr>
                      <w:tr>
                        <w:trPr>
                          <w:trHeight w:val="131" w:hRule="exact"/>
                        </w:trPr>
                        <w:tc>
                          <w:tcPr>
                            <w:tcW w:w="606" w:type="dxa"/>
                            <w:vMerge w:val="restart"/>
                            <w:shd w:val="clear" w:color="auto" w:fill="1F3863"/>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0"/>
                              <w:rPr>
                                <w:sz w:val="12"/>
                              </w:rPr>
                            </w:pPr>
                          </w:p>
                          <w:p>
                            <w:pPr>
                              <w:pStyle w:val="TableParagraph"/>
                              <w:ind w:left="131"/>
                              <w:rPr>
                                <w:b/>
                                <w:sz w:val="12"/>
                              </w:rPr>
                            </w:pPr>
                            <w:r>
                              <w:rPr>
                                <w:b/>
                                <w:color w:val="FFFFFF"/>
                                <w:spacing w:val="-2"/>
                                <w:sz w:val="12"/>
                              </w:rPr>
                              <w:t>10,5%</w:t>
                            </w:r>
                          </w:p>
                        </w:tc>
                        <w:tc>
                          <w:tcPr>
                            <w:tcW w:w="131" w:type="dxa"/>
                            <w:vMerge w:val="restart"/>
                            <w:shd w:val="clear" w:color="auto" w:fill="D9D9D9"/>
                          </w:tcPr>
                          <w:p>
                            <w:pPr>
                              <w:pStyle w:val="TableParagraph"/>
                              <w:rPr>
                                <w:sz w:val="18"/>
                              </w:rPr>
                            </w:pPr>
                          </w:p>
                        </w:tc>
                        <w:tc>
                          <w:tcPr>
                            <w:tcW w:w="596" w:type="dxa"/>
                            <w:vMerge/>
                            <w:tcBorders>
                              <w:top w:val="nil"/>
                            </w:tcBorders>
                            <w:shd w:val="clear" w:color="auto" w:fill="ACB8C9"/>
                          </w:tcPr>
                          <w:p>
                            <w:pPr>
                              <w:rPr>
                                <w:sz w:val="2"/>
                                <w:szCs w:val="2"/>
                              </w:rPr>
                            </w:pPr>
                          </w:p>
                        </w:tc>
                        <w:tc>
                          <w:tcPr>
                            <w:tcW w:w="131" w:type="dxa"/>
                            <w:vMerge w:val="restart"/>
                            <w:shd w:val="clear" w:color="auto" w:fill="D9D9D9"/>
                          </w:tcPr>
                          <w:p>
                            <w:pPr>
                              <w:pStyle w:val="TableParagraph"/>
                              <w:rPr>
                                <w:sz w:val="18"/>
                              </w:rPr>
                            </w:pPr>
                          </w:p>
                        </w:tc>
                        <w:tc>
                          <w:tcPr>
                            <w:tcW w:w="606" w:type="dxa"/>
                            <w:vMerge/>
                            <w:tcBorders>
                              <w:top w:val="nil"/>
                            </w:tcBorders>
                            <w:shd w:val="clear" w:color="auto" w:fill="ACB8C9"/>
                          </w:tcPr>
                          <w:p>
                            <w:pPr>
                              <w:rPr>
                                <w:sz w:val="2"/>
                                <w:szCs w:val="2"/>
                              </w:rPr>
                            </w:pPr>
                          </w:p>
                        </w:tc>
                      </w:tr>
                      <w:tr>
                        <w:trPr>
                          <w:trHeight w:val="717" w:hRule="exact"/>
                        </w:trPr>
                        <w:tc>
                          <w:tcPr>
                            <w:tcW w:w="606" w:type="dxa"/>
                            <w:vMerge/>
                            <w:tcBorders>
                              <w:top w:val="nil"/>
                            </w:tcBorders>
                            <w:shd w:val="clear" w:color="auto" w:fill="1F3863"/>
                          </w:tcPr>
                          <w:p>
                            <w:pPr>
                              <w:rPr>
                                <w:sz w:val="2"/>
                                <w:szCs w:val="2"/>
                              </w:rPr>
                            </w:pPr>
                          </w:p>
                        </w:tc>
                        <w:tc>
                          <w:tcPr>
                            <w:tcW w:w="131" w:type="dxa"/>
                            <w:vMerge/>
                            <w:tcBorders>
                              <w:top w:val="nil"/>
                            </w:tcBorders>
                            <w:shd w:val="clear" w:color="auto" w:fill="D9D9D9"/>
                          </w:tcPr>
                          <w:p>
                            <w:pPr>
                              <w:rPr>
                                <w:sz w:val="2"/>
                                <w:szCs w:val="2"/>
                              </w:rPr>
                            </w:pPr>
                          </w:p>
                        </w:tc>
                        <w:tc>
                          <w:tcPr>
                            <w:tcW w:w="596" w:type="dxa"/>
                            <w:vMerge w:val="restart"/>
                            <w:shd w:val="clear" w:color="auto" w:fill="1F3863"/>
                          </w:tcPr>
                          <w:p>
                            <w:pPr>
                              <w:pStyle w:val="TableParagraph"/>
                              <w:rPr>
                                <w:sz w:val="12"/>
                              </w:rPr>
                            </w:pPr>
                          </w:p>
                          <w:p>
                            <w:pPr>
                              <w:pStyle w:val="TableParagraph"/>
                              <w:rPr>
                                <w:sz w:val="12"/>
                              </w:rPr>
                            </w:pPr>
                          </w:p>
                          <w:p>
                            <w:pPr>
                              <w:pStyle w:val="TableParagraph"/>
                              <w:rPr>
                                <w:sz w:val="12"/>
                              </w:rPr>
                            </w:pPr>
                          </w:p>
                          <w:p>
                            <w:pPr>
                              <w:pStyle w:val="TableParagraph"/>
                              <w:spacing w:before="137"/>
                              <w:rPr>
                                <w:sz w:val="12"/>
                              </w:rPr>
                            </w:pPr>
                          </w:p>
                          <w:p>
                            <w:pPr>
                              <w:pStyle w:val="TableParagraph"/>
                              <w:ind w:left="158"/>
                              <w:rPr>
                                <w:b/>
                                <w:sz w:val="12"/>
                              </w:rPr>
                            </w:pPr>
                            <w:r>
                              <w:rPr>
                                <w:b/>
                                <w:color w:val="FFFFFF"/>
                                <w:spacing w:val="-4"/>
                                <w:sz w:val="12"/>
                              </w:rPr>
                              <w:t>7,8%</w:t>
                            </w:r>
                          </w:p>
                        </w:tc>
                        <w:tc>
                          <w:tcPr>
                            <w:tcW w:w="131" w:type="dxa"/>
                            <w:vMerge/>
                            <w:tcBorders>
                              <w:top w:val="nil"/>
                            </w:tcBorders>
                            <w:shd w:val="clear" w:color="auto" w:fill="D9D9D9"/>
                          </w:tcPr>
                          <w:p>
                            <w:pPr>
                              <w:rPr>
                                <w:sz w:val="2"/>
                                <w:szCs w:val="2"/>
                              </w:rPr>
                            </w:pPr>
                          </w:p>
                        </w:tc>
                        <w:tc>
                          <w:tcPr>
                            <w:tcW w:w="606" w:type="dxa"/>
                            <w:vMerge w:val="restart"/>
                            <w:shd w:val="clear" w:color="auto" w:fill="1F3863"/>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9"/>
                              <w:rPr>
                                <w:sz w:val="12"/>
                              </w:rPr>
                            </w:pPr>
                          </w:p>
                          <w:p>
                            <w:pPr>
                              <w:pStyle w:val="TableParagraph"/>
                              <w:ind w:left="162"/>
                              <w:rPr>
                                <w:b/>
                                <w:sz w:val="12"/>
                              </w:rPr>
                            </w:pPr>
                            <w:r>
                              <w:rPr>
                                <w:b/>
                                <w:color w:val="FFFFFF"/>
                                <w:spacing w:val="-4"/>
                                <w:sz w:val="12"/>
                              </w:rPr>
                              <w:t>6,7%</w:t>
                            </w:r>
                          </w:p>
                        </w:tc>
                      </w:tr>
                      <w:tr>
                        <w:trPr>
                          <w:trHeight w:val="829" w:hRule="exact"/>
                        </w:trPr>
                        <w:tc>
                          <w:tcPr>
                            <w:tcW w:w="606" w:type="dxa"/>
                            <w:vMerge/>
                            <w:tcBorders>
                              <w:top w:val="nil"/>
                            </w:tcBorders>
                            <w:shd w:val="clear" w:color="auto" w:fill="1F3863"/>
                          </w:tcPr>
                          <w:p>
                            <w:pPr>
                              <w:rPr>
                                <w:sz w:val="2"/>
                                <w:szCs w:val="2"/>
                              </w:rPr>
                            </w:pPr>
                          </w:p>
                        </w:tc>
                        <w:tc>
                          <w:tcPr>
                            <w:tcW w:w="131" w:type="dxa"/>
                            <w:shd w:val="clear" w:color="auto" w:fill="D9D9D9"/>
                          </w:tcPr>
                          <w:p>
                            <w:pPr>
                              <w:pStyle w:val="TableParagraph"/>
                              <w:rPr>
                                <w:sz w:val="18"/>
                              </w:rPr>
                            </w:pPr>
                          </w:p>
                        </w:tc>
                        <w:tc>
                          <w:tcPr>
                            <w:tcW w:w="596" w:type="dxa"/>
                            <w:vMerge/>
                            <w:tcBorders>
                              <w:top w:val="nil"/>
                            </w:tcBorders>
                            <w:shd w:val="clear" w:color="auto" w:fill="1F3863"/>
                          </w:tcPr>
                          <w:p>
                            <w:pPr>
                              <w:rPr>
                                <w:sz w:val="2"/>
                                <w:szCs w:val="2"/>
                              </w:rPr>
                            </w:pPr>
                          </w:p>
                        </w:tc>
                        <w:tc>
                          <w:tcPr>
                            <w:tcW w:w="131" w:type="dxa"/>
                            <w:shd w:val="clear" w:color="auto" w:fill="D9D9D9"/>
                          </w:tcPr>
                          <w:p>
                            <w:pPr>
                              <w:pStyle w:val="TableParagraph"/>
                              <w:rPr>
                                <w:sz w:val="18"/>
                              </w:rPr>
                            </w:pPr>
                          </w:p>
                        </w:tc>
                        <w:tc>
                          <w:tcPr>
                            <w:tcW w:w="606" w:type="dxa"/>
                            <w:vMerge/>
                            <w:tcBorders>
                              <w:top w:val="nil"/>
                            </w:tcBorders>
                            <w:shd w:val="clear" w:color="auto" w:fill="1F3863"/>
                          </w:tcPr>
                          <w:p>
                            <w:pPr>
                              <w:rPr>
                                <w:sz w:val="2"/>
                                <w:szCs w:val="2"/>
                              </w:rPr>
                            </w:pPr>
                          </w:p>
                        </w:tc>
                      </w:tr>
                    </w:tbl>
                    <w:p>
                      <w:pPr>
                        <w:pStyle w:val="BodyText"/>
                      </w:pPr>
                    </w:p>
                  </w:txbxContent>
                </v:textbox>
                <w10:wrap type="none"/>
              </v:shape>
            </w:pict>
          </mc:Fallback>
        </mc:AlternateContent>
      </w:r>
      <w:r>
        <w:rPr>
          <w:sz w:val="2"/>
          <w:szCs w:val="2"/>
        </w:rPr>
        <mc:AlternateContent>
          <mc:Choice Requires="wps">
            <w:drawing>
              <wp:anchor distT="0" distB="0" distL="0" distR="0" allowOverlap="1" layoutInCell="1" locked="0" behindDoc="0" simplePos="0" relativeHeight="15741440">
                <wp:simplePos x="0" y="0"/>
                <wp:positionH relativeFrom="page">
                  <wp:posOffset>3415471</wp:posOffset>
                </wp:positionH>
                <wp:positionV relativeFrom="page">
                  <wp:posOffset>3817030</wp:posOffset>
                </wp:positionV>
                <wp:extent cx="1392555" cy="159194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392555" cy="1591945"/>
                        </a:xfrm>
                        <a:prstGeom prst="rect">
                          <a:avLst/>
                        </a:prstGeom>
                      </wps:spPr>
                      <wps:txbx>
                        <w:txbxContent>
                          <w:tbl>
                            <w:tblPr>
                              <w:tblW w:w="0" w:type="auto"/>
                              <w:jc w:val="left"/>
                              <w:tblInd w:w="6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606"/>
                              <w:gridCol w:w="131"/>
                              <w:gridCol w:w="596"/>
                              <w:gridCol w:w="131"/>
                              <w:gridCol w:w="596"/>
                            </w:tblGrid>
                            <w:tr>
                              <w:trPr>
                                <w:trHeight w:val="515" w:hRule="exact"/>
                              </w:trPr>
                              <w:tc>
                                <w:tcPr>
                                  <w:tcW w:w="606" w:type="dxa"/>
                                  <w:vMerge w:val="restart"/>
                                  <w:shd w:val="clear" w:color="auto" w:fill="DAE2F3"/>
                                </w:tcPr>
                                <w:p>
                                  <w:pPr>
                                    <w:pStyle w:val="TableParagraph"/>
                                    <w:rPr>
                                      <w:sz w:val="12"/>
                                    </w:rPr>
                                  </w:pPr>
                                </w:p>
                                <w:p>
                                  <w:pPr>
                                    <w:pStyle w:val="TableParagraph"/>
                                    <w:spacing w:before="55"/>
                                    <w:rPr>
                                      <w:sz w:val="12"/>
                                    </w:rPr>
                                  </w:pPr>
                                </w:p>
                                <w:p>
                                  <w:pPr>
                                    <w:pStyle w:val="TableParagraph"/>
                                    <w:ind w:left="188"/>
                                    <w:rPr>
                                      <w:sz w:val="12"/>
                                    </w:rPr>
                                  </w:pPr>
                                  <w:r>
                                    <w:rPr>
                                      <w:spacing w:val="-5"/>
                                      <w:sz w:val="12"/>
                                    </w:rPr>
                                    <w:t>90%</w:t>
                                  </w:r>
                                </w:p>
                              </w:tc>
                              <w:tc>
                                <w:tcPr>
                                  <w:tcW w:w="131" w:type="dxa"/>
                                  <w:vMerge w:val="restart"/>
                                  <w:shd w:val="clear" w:color="auto" w:fill="D9D9D9"/>
                                </w:tcPr>
                                <w:p>
                                  <w:pPr>
                                    <w:pStyle w:val="TableParagraph"/>
                                    <w:rPr>
                                      <w:sz w:val="18"/>
                                    </w:rPr>
                                  </w:pPr>
                                </w:p>
                              </w:tc>
                              <w:tc>
                                <w:tcPr>
                                  <w:tcW w:w="596" w:type="dxa"/>
                                  <w:shd w:val="clear" w:color="auto" w:fill="DAE2F3"/>
                                </w:tcPr>
                                <w:p>
                                  <w:pPr>
                                    <w:pStyle w:val="TableParagraph"/>
                                    <w:spacing w:before="39"/>
                                    <w:rPr>
                                      <w:sz w:val="12"/>
                                    </w:rPr>
                                  </w:pPr>
                                </w:p>
                                <w:p>
                                  <w:pPr>
                                    <w:pStyle w:val="TableParagraph"/>
                                    <w:ind w:left="31" w:right="24"/>
                                    <w:jc w:val="center"/>
                                    <w:rPr>
                                      <w:sz w:val="12"/>
                                    </w:rPr>
                                  </w:pPr>
                                  <w:r>
                                    <w:rPr>
                                      <w:spacing w:val="-5"/>
                                      <w:sz w:val="12"/>
                                    </w:rPr>
                                    <w:t>76%</w:t>
                                  </w:r>
                                </w:p>
                              </w:tc>
                              <w:tc>
                                <w:tcPr>
                                  <w:tcW w:w="131" w:type="dxa"/>
                                  <w:vMerge w:val="restart"/>
                                  <w:shd w:val="clear" w:color="auto" w:fill="D9D9D9"/>
                                </w:tcPr>
                                <w:p>
                                  <w:pPr>
                                    <w:pStyle w:val="TableParagraph"/>
                                    <w:rPr>
                                      <w:sz w:val="18"/>
                                    </w:rPr>
                                  </w:pPr>
                                </w:p>
                              </w:tc>
                              <w:tc>
                                <w:tcPr>
                                  <w:tcW w:w="596" w:type="dxa"/>
                                  <w:vMerge w:val="restart"/>
                                  <w:shd w:val="clear" w:color="auto" w:fill="DAE2F3"/>
                                </w:tcPr>
                                <w:p>
                                  <w:pPr>
                                    <w:pStyle w:val="TableParagraph"/>
                                    <w:spacing w:before="112"/>
                                    <w:rPr>
                                      <w:sz w:val="12"/>
                                    </w:rPr>
                                  </w:pPr>
                                </w:p>
                                <w:p>
                                  <w:pPr>
                                    <w:pStyle w:val="TableParagraph"/>
                                    <w:ind w:left="186"/>
                                    <w:rPr>
                                      <w:sz w:val="12"/>
                                    </w:rPr>
                                  </w:pPr>
                                  <w:r>
                                    <w:rPr>
                                      <w:spacing w:val="-5"/>
                                      <w:sz w:val="12"/>
                                    </w:rPr>
                                    <w:t>84%</w:t>
                                  </w:r>
                                </w:p>
                              </w:tc>
                            </w:tr>
                            <w:tr>
                              <w:trPr>
                                <w:trHeight w:val="131" w:hRule="exact"/>
                              </w:trPr>
                              <w:tc>
                                <w:tcPr>
                                  <w:tcW w:w="606" w:type="dxa"/>
                                  <w:vMerge/>
                                  <w:tcBorders>
                                    <w:top w:val="nil"/>
                                  </w:tcBorders>
                                  <w:shd w:val="clear" w:color="auto" w:fill="DAE2F3"/>
                                </w:tcPr>
                                <w:p>
                                  <w:pPr>
                                    <w:rPr>
                                      <w:sz w:val="2"/>
                                      <w:szCs w:val="2"/>
                                    </w:rPr>
                                  </w:pPr>
                                </w:p>
                              </w:tc>
                              <w:tc>
                                <w:tcPr>
                                  <w:tcW w:w="131" w:type="dxa"/>
                                  <w:vMerge/>
                                  <w:tcBorders>
                                    <w:top w:val="nil"/>
                                  </w:tcBorders>
                                  <w:shd w:val="clear" w:color="auto" w:fill="D9D9D9"/>
                                </w:tcPr>
                                <w:p>
                                  <w:pPr>
                                    <w:rPr>
                                      <w:sz w:val="2"/>
                                      <w:szCs w:val="2"/>
                                    </w:rPr>
                                  </w:pPr>
                                </w:p>
                              </w:tc>
                              <w:tc>
                                <w:tcPr>
                                  <w:tcW w:w="596" w:type="dxa"/>
                                  <w:vMerge w:val="restart"/>
                                  <w:shd w:val="clear" w:color="auto" w:fill="ACB8C9"/>
                                </w:tcPr>
                                <w:p>
                                  <w:pPr>
                                    <w:pStyle w:val="TableParagraph"/>
                                    <w:rPr>
                                      <w:sz w:val="12"/>
                                    </w:rPr>
                                  </w:pPr>
                                </w:p>
                                <w:p>
                                  <w:pPr>
                                    <w:pStyle w:val="TableParagraph"/>
                                    <w:rPr>
                                      <w:sz w:val="12"/>
                                    </w:rPr>
                                  </w:pPr>
                                </w:p>
                                <w:p>
                                  <w:pPr>
                                    <w:pStyle w:val="TableParagraph"/>
                                    <w:rPr>
                                      <w:sz w:val="12"/>
                                    </w:rPr>
                                  </w:pPr>
                                </w:p>
                                <w:p>
                                  <w:pPr>
                                    <w:pStyle w:val="TableParagraph"/>
                                    <w:spacing w:before="13"/>
                                    <w:rPr>
                                      <w:sz w:val="12"/>
                                    </w:rPr>
                                  </w:pPr>
                                </w:p>
                                <w:p>
                                  <w:pPr>
                                    <w:pStyle w:val="TableParagraph"/>
                                    <w:ind w:left="182"/>
                                    <w:rPr>
                                      <w:sz w:val="12"/>
                                    </w:rPr>
                                  </w:pPr>
                                  <w:r>
                                    <w:rPr>
                                      <w:spacing w:val="-5"/>
                                      <w:sz w:val="12"/>
                                    </w:rPr>
                                    <w:t>23%</w:t>
                                  </w:r>
                                </w:p>
                              </w:tc>
                              <w:tc>
                                <w:tcPr>
                                  <w:tcW w:w="131" w:type="dxa"/>
                                  <w:vMerge/>
                                  <w:tcBorders>
                                    <w:top w:val="nil"/>
                                  </w:tcBorders>
                                  <w:shd w:val="clear" w:color="auto" w:fill="D9D9D9"/>
                                </w:tcPr>
                                <w:p>
                                  <w:pPr>
                                    <w:rPr>
                                      <w:sz w:val="2"/>
                                      <w:szCs w:val="2"/>
                                    </w:rPr>
                                  </w:pPr>
                                </w:p>
                              </w:tc>
                              <w:tc>
                                <w:tcPr>
                                  <w:tcW w:w="596" w:type="dxa"/>
                                  <w:vMerge/>
                                  <w:tcBorders>
                                    <w:top w:val="nil"/>
                                  </w:tcBorders>
                                  <w:shd w:val="clear" w:color="auto" w:fill="DAE2F3"/>
                                </w:tcPr>
                                <w:p>
                                  <w:pPr>
                                    <w:rPr>
                                      <w:sz w:val="2"/>
                                      <w:szCs w:val="2"/>
                                    </w:rPr>
                                  </w:pPr>
                                </w:p>
                              </w:tc>
                            </w:tr>
                            <w:tr>
                              <w:trPr>
                                <w:trHeight w:val="171" w:hRule="exact"/>
                              </w:trPr>
                              <w:tc>
                                <w:tcPr>
                                  <w:tcW w:w="606" w:type="dxa"/>
                                  <w:vMerge/>
                                  <w:tcBorders>
                                    <w:top w:val="nil"/>
                                  </w:tcBorders>
                                  <w:shd w:val="clear" w:color="auto" w:fill="DAE2F3"/>
                                </w:tcPr>
                                <w:p>
                                  <w:pPr>
                                    <w:rPr>
                                      <w:sz w:val="2"/>
                                      <w:szCs w:val="2"/>
                                    </w:rPr>
                                  </w:pPr>
                                </w:p>
                              </w:tc>
                              <w:tc>
                                <w:tcPr>
                                  <w:tcW w:w="131" w:type="dxa"/>
                                  <w:vMerge/>
                                  <w:tcBorders>
                                    <w:top w:val="nil"/>
                                  </w:tcBorders>
                                  <w:shd w:val="clear" w:color="auto" w:fill="D9D9D9"/>
                                </w:tcPr>
                                <w:p>
                                  <w:pPr>
                                    <w:rPr>
                                      <w:sz w:val="2"/>
                                      <w:szCs w:val="2"/>
                                    </w:rPr>
                                  </w:pPr>
                                </w:p>
                              </w:tc>
                              <w:tc>
                                <w:tcPr>
                                  <w:tcW w:w="596" w:type="dxa"/>
                                  <w:vMerge/>
                                  <w:tcBorders>
                                    <w:top w:val="nil"/>
                                  </w:tcBorders>
                                  <w:shd w:val="clear" w:color="auto" w:fill="ACB8C9"/>
                                </w:tcPr>
                                <w:p>
                                  <w:pPr>
                                    <w:rPr>
                                      <w:sz w:val="2"/>
                                      <w:szCs w:val="2"/>
                                    </w:rPr>
                                  </w:pPr>
                                </w:p>
                              </w:tc>
                              <w:tc>
                                <w:tcPr>
                                  <w:tcW w:w="131" w:type="dxa"/>
                                  <w:vMerge/>
                                  <w:tcBorders>
                                    <w:top w:val="nil"/>
                                  </w:tcBorders>
                                  <w:shd w:val="clear" w:color="auto" w:fill="D9D9D9"/>
                                </w:tcPr>
                                <w:p>
                                  <w:pPr>
                                    <w:rPr>
                                      <w:sz w:val="2"/>
                                      <w:szCs w:val="2"/>
                                    </w:rPr>
                                  </w:pPr>
                                </w:p>
                              </w:tc>
                              <w:tc>
                                <w:tcPr>
                                  <w:tcW w:w="596" w:type="dxa"/>
                                  <w:vMerge w:val="restart"/>
                                  <w:shd w:val="clear" w:color="auto" w:fill="ACB8C9"/>
                                </w:tcPr>
                                <w:p>
                                  <w:pPr>
                                    <w:pStyle w:val="TableParagraph"/>
                                    <w:rPr>
                                      <w:sz w:val="12"/>
                                    </w:rPr>
                                  </w:pPr>
                                </w:p>
                                <w:p>
                                  <w:pPr>
                                    <w:pStyle w:val="TableParagraph"/>
                                    <w:rPr>
                                      <w:sz w:val="12"/>
                                    </w:rPr>
                                  </w:pPr>
                                </w:p>
                                <w:p>
                                  <w:pPr>
                                    <w:pStyle w:val="TableParagraph"/>
                                    <w:spacing w:before="10"/>
                                    <w:rPr>
                                      <w:sz w:val="12"/>
                                    </w:rPr>
                                  </w:pPr>
                                </w:p>
                                <w:p>
                                  <w:pPr>
                                    <w:pStyle w:val="TableParagraph"/>
                                    <w:ind w:left="186"/>
                                    <w:rPr>
                                      <w:sz w:val="12"/>
                                    </w:rPr>
                                  </w:pPr>
                                  <w:r>
                                    <w:rPr>
                                      <w:spacing w:val="-5"/>
                                      <w:sz w:val="12"/>
                                    </w:rPr>
                                    <w:t>15%</w:t>
                                  </w:r>
                                </w:p>
                              </w:tc>
                            </w:tr>
                            <w:tr>
                              <w:trPr>
                                <w:trHeight w:val="656" w:hRule="exact"/>
                              </w:trPr>
                              <w:tc>
                                <w:tcPr>
                                  <w:tcW w:w="606" w:type="dxa"/>
                                  <w:shd w:val="clear" w:color="auto" w:fill="ACB8C9"/>
                                </w:tcPr>
                                <w:p>
                                  <w:pPr>
                                    <w:pStyle w:val="TableParagraph"/>
                                    <w:spacing w:before="114"/>
                                    <w:rPr>
                                      <w:sz w:val="12"/>
                                    </w:rPr>
                                  </w:pPr>
                                </w:p>
                                <w:p>
                                  <w:pPr>
                                    <w:pStyle w:val="TableParagraph"/>
                                    <w:ind w:left="7"/>
                                    <w:jc w:val="center"/>
                                    <w:rPr>
                                      <w:sz w:val="12"/>
                                    </w:rPr>
                                  </w:pPr>
                                  <w:r>
                                    <w:rPr>
                                      <w:spacing w:val="-5"/>
                                      <w:sz w:val="12"/>
                                    </w:rPr>
                                    <w:t>9%</w:t>
                                  </w:r>
                                </w:p>
                              </w:tc>
                              <w:tc>
                                <w:tcPr>
                                  <w:tcW w:w="131" w:type="dxa"/>
                                  <w:vMerge w:val="restart"/>
                                  <w:shd w:val="clear" w:color="auto" w:fill="D9D9D9"/>
                                </w:tcPr>
                                <w:p>
                                  <w:pPr>
                                    <w:pStyle w:val="TableParagraph"/>
                                    <w:rPr>
                                      <w:sz w:val="18"/>
                                    </w:rPr>
                                  </w:pPr>
                                </w:p>
                              </w:tc>
                              <w:tc>
                                <w:tcPr>
                                  <w:tcW w:w="596" w:type="dxa"/>
                                  <w:vMerge/>
                                  <w:tcBorders>
                                    <w:top w:val="nil"/>
                                  </w:tcBorders>
                                  <w:shd w:val="clear" w:color="auto" w:fill="ACB8C9"/>
                                </w:tcPr>
                                <w:p>
                                  <w:pPr>
                                    <w:rPr>
                                      <w:sz w:val="2"/>
                                      <w:szCs w:val="2"/>
                                    </w:rPr>
                                  </w:pPr>
                                </w:p>
                              </w:tc>
                              <w:tc>
                                <w:tcPr>
                                  <w:tcW w:w="131" w:type="dxa"/>
                                  <w:vMerge w:val="restart"/>
                                  <w:shd w:val="clear" w:color="auto" w:fill="D9D9D9"/>
                                </w:tcPr>
                                <w:p>
                                  <w:pPr>
                                    <w:pStyle w:val="TableParagraph"/>
                                    <w:rPr>
                                      <w:sz w:val="18"/>
                                    </w:rPr>
                                  </w:pPr>
                                </w:p>
                              </w:tc>
                              <w:tc>
                                <w:tcPr>
                                  <w:tcW w:w="596" w:type="dxa"/>
                                  <w:vMerge/>
                                  <w:tcBorders>
                                    <w:top w:val="nil"/>
                                  </w:tcBorders>
                                  <w:shd w:val="clear" w:color="auto" w:fill="ACB8C9"/>
                                </w:tcPr>
                                <w:p>
                                  <w:pPr>
                                    <w:rPr>
                                      <w:sz w:val="2"/>
                                      <w:szCs w:val="2"/>
                                    </w:rPr>
                                  </w:pPr>
                                </w:p>
                              </w:tc>
                            </w:tr>
                            <w:tr>
                              <w:trPr>
                                <w:trHeight w:val="171" w:hRule="exact"/>
                              </w:trPr>
                              <w:tc>
                                <w:tcPr>
                                  <w:tcW w:w="606" w:type="dxa"/>
                                  <w:vMerge w:val="restart"/>
                                  <w:shd w:val="clear" w:color="auto" w:fill="1F3863"/>
                                </w:tcPr>
                                <w:p>
                                  <w:pPr>
                                    <w:pStyle w:val="TableParagraph"/>
                                    <w:rPr>
                                      <w:sz w:val="12"/>
                                    </w:rPr>
                                  </w:pPr>
                                </w:p>
                                <w:p>
                                  <w:pPr>
                                    <w:pStyle w:val="TableParagraph"/>
                                    <w:rPr>
                                      <w:sz w:val="12"/>
                                    </w:rPr>
                                  </w:pPr>
                                </w:p>
                                <w:p>
                                  <w:pPr>
                                    <w:pStyle w:val="TableParagraph"/>
                                    <w:spacing w:before="20"/>
                                    <w:rPr>
                                      <w:sz w:val="12"/>
                                    </w:rPr>
                                  </w:pPr>
                                </w:p>
                                <w:p>
                                  <w:pPr>
                                    <w:pStyle w:val="TableParagraph"/>
                                    <w:ind w:left="162"/>
                                    <w:rPr>
                                      <w:b/>
                                      <w:sz w:val="12"/>
                                    </w:rPr>
                                  </w:pPr>
                                  <w:r>
                                    <w:rPr>
                                      <w:b/>
                                      <w:color w:val="FFFFFF"/>
                                      <w:spacing w:val="-4"/>
                                      <w:sz w:val="12"/>
                                    </w:rPr>
                                    <w:t>1,7%</w:t>
                                  </w:r>
                                </w:p>
                              </w:tc>
                              <w:tc>
                                <w:tcPr>
                                  <w:tcW w:w="131" w:type="dxa"/>
                                  <w:vMerge/>
                                  <w:tcBorders>
                                    <w:top w:val="nil"/>
                                  </w:tcBorders>
                                  <w:shd w:val="clear" w:color="auto" w:fill="D9D9D9"/>
                                </w:tcPr>
                                <w:p>
                                  <w:pPr>
                                    <w:rPr>
                                      <w:sz w:val="2"/>
                                      <w:szCs w:val="2"/>
                                    </w:rPr>
                                  </w:pPr>
                                </w:p>
                              </w:tc>
                              <w:tc>
                                <w:tcPr>
                                  <w:tcW w:w="596" w:type="dxa"/>
                                  <w:vMerge/>
                                  <w:tcBorders>
                                    <w:top w:val="nil"/>
                                  </w:tcBorders>
                                  <w:shd w:val="clear" w:color="auto" w:fill="ACB8C9"/>
                                </w:tcPr>
                                <w:p>
                                  <w:pPr>
                                    <w:rPr>
                                      <w:sz w:val="2"/>
                                      <w:szCs w:val="2"/>
                                    </w:rPr>
                                  </w:pPr>
                                </w:p>
                              </w:tc>
                              <w:tc>
                                <w:tcPr>
                                  <w:tcW w:w="131" w:type="dxa"/>
                                  <w:vMerge/>
                                  <w:tcBorders>
                                    <w:top w:val="nil"/>
                                  </w:tcBorders>
                                  <w:shd w:val="clear" w:color="auto" w:fill="D9D9D9"/>
                                </w:tcPr>
                                <w:p>
                                  <w:pPr>
                                    <w:rPr>
                                      <w:sz w:val="2"/>
                                      <w:szCs w:val="2"/>
                                    </w:rPr>
                                  </w:pPr>
                                </w:p>
                              </w:tc>
                              <w:tc>
                                <w:tcPr>
                                  <w:tcW w:w="596" w:type="dxa"/>
                                  <w:vMerge/>
                                  <w:tcBorders>
                                    <w:top w:val="nil"/>
                                  </w:tcBorders>
                                  <w:shd w:val="clear" w:color="auto" w:fill="ACB8C9"/>
                                </w:tcPr>
                                <w:p>
                                  <w:pPr>
                                    <w:rPr>
                                      <w:sz w:val="2"/>
                                      <w:szCs w:val="2"/>
                                    </w:rPr>
                                  </w:pPr>
                                </w:p>
                              </w:tc>
                            </w:tr>
                            <w:tr>
                              <w:trPr>
                                <w:trHeight w:val="141" w:hRule="exact"/>
                              </w:trPr>
                              <w:tc>
                                <w:tcPr>
                                  <w:tcW w:w="606" w:type="dxa"/>
                                  <w:vMerge/>
                                  <w:tcBorders>
                                    <w:top w:val="nil"/>
                                  </w:tcBorders>
                                  <w:shd w:val="clear" w:color="auto" w:fill="1F3863"/>
                                </w:tcPr>
                                <w:p>
                                  <w:pPr>
                                    <w:rPr>
                                      <w:sz w:val="2"/>
                                      <w:szCs w:val="2"/>
                                    </w:rPr>
                                  </w:pPr>
                                </w:p>
                              </w:tc>
                              <w:tc>
                                <w:tcPr>
                                  <w:tcW w:w="131" w:type="dxa"/>
                                  <w:vMerge w:val="restart"/>
                                  <w:shd w:val="clear" w:color="auto" w:fill="D9D9D9"/>
                                </w:tcPr>
                                <w:p>
                                  <w:pPr>
                                    <w:pStyle w:val="TableParagraph"/>
                                    <w:rPr>
                                      <w:sz w:val="18"/>
                                    </w:rPr>
                                  </w:pPr>
                                </w:p>
                              </w:tc>
                              <w:tc>
                                <w:tcPr>
                                  <w:tcW w:w="596" w:type="dxa"/>
                                  <w:vMerge/>
                                  <w:tcBorders>
                                    <w:top w:val="nil"/>
                                  </w:tcBorders>
                                  <w:shd w:val="clear" w:color="auto" w:fill="ACB8C9"/>
                                </w:tcPr>
                                <w:p>
                                  <w:pPr>
                                    <w:rPr>
                                      <w:sz w:val="2"/>
                                      <w:szCs w:val="2"/>
                                    </w:rPr>
                                  </w:pPr>
                                </w:p>
                              </w:tc>
                              <w:tc>
                                <w:tcPr>
                                  <w:tcW w:w="131" w:type="dxa"/>
                                  <w:vMerge w:val="restart"/>
                                  <w:shd w:val="clear" w:color="auto" w:fill="D9D9D9"/>
                                </w:tcPr>
                                <w:p>
                                  <w:pPr>
                                    <w:pStyle w:val="TableParagraph"/>
                                    <w:rPr>
                                      <w:sz w:val="18"/>
                                    </w:rPr>
                                  </w:pPr>
                                </w:p>
                              </w:tc>
                              <w:tc>
                                <w:tcPr>
                                  <w:tcW w:w="596" w:type="dxa"/>
                                  <w:vMerge w:val="restart"/>
                                  <w:shd w:val="clear" w:color="auto" w:fill="1F3863"/>
                                </w:tcPr>
                                <w:p>
                                  <w:pPr>
                                    <w:pStyle w:val="TableParagraph"/>
                                    <w:rPr>
                                      <w:sz w:val="12"/>
                                    </w:rPr>
                                  </w:pPr>
                                </w:p>
                                <w:p>
                                  <w:pPr>
                                    <w:pStyle w:val="TableParagraph"/>
                                    <w:spacing w:before="79"/>
                                    <w:rPr>
                                      <w:sz w:val="12"/>
                                    </w:rPr>
                                  </w:pPr>
                                </w:p>
                                <w:p>
                                  <w:pPr>
                                    <w:pStyle w:val="TableParagraph"/>
                                    <w:ind w:left="160"/>
                                    <w:rPr>
                                      <w:b/>
                                      <w:sz w:val="12"/>
                                    </w:rPr>
                                  </w:pPr>
                                  <w:r>
                                    <w:rPr>
                                      <w:b/>
                                      <w:color w:val="FFFFFF"/>
                                      <w:spacing w:val="-4"/>
                                      <w:sz w:val="12"/>
                                    </w:rPr>
                                    <w:t>1,0%</w:t>
                                  </w:r>
                                </w:p>
                              </w:tc>
                            </w:tr>
                            <w:tr>
                              <w:trPr>
                                <w:trHeight w:val="707" w:hRule="exact"/>
                              </w:trPr>
                              <w:tc>
                                <w:tcPr>
                                  <w:tcW w:w="606" w:type="dxa"/>
                                  <w:vMerge/>
                                  <w:tcBorders>
                                    <w:top w:val="nil"/>
                                  </w:tcBorders>
                                  <w:shd w:val="clear" w:color="auto" w:fill="1F3863"/>
                                </w:tcPr>
                                <w:p>
                                  <w:pPr>
                                    <w:rPr>
                                      <w:sz w:val="2"/>
                                      <w:szCs w:val="2"/>
                                    </w:rPr>
                                  </w:pPr>
                                </w:p>
                              </w:tc>
                              <w:tc>
                                <w:tcPr>
                                  <w:tcW w:w="131" w:type="dxa"/>
                                  <w:vMerge/>
                                  <w:tcBorders>
                                    <w:top w:val="nil"/>
                                  </w:tcBorders>
                                  <w:shd w:val="clear" w:color="auto" w:fill="D9D9D9"/>
                                </w:tcPr>
                                <w:p>
                                  <w:pPr>
                                    <w:rPr>
                                      <w:sz w:val="2"/>
                                      <w:szCs w:val="2"/>
                                    </w:rPr>
                                  </w:pPr>
                                </w:p>
                              </w:tc>
                              <w:tc>
                                <w:tcPr>
                                  <w:tcW w:w="596" w:type="dxa"/>
                                  <w:shd w:val="clear" w:color="auto" w:fill="1F3863"/>
                                </w:tcPr>
                                <w:p>
                                  <w:pPr>
                                    <w:pStyle w:val="TableParagraph"/>
                                    <w:rPr>
                                      <w:sz w:val="12"/>
                                    </w:rPr>
                                  </w:pPr>
                                </w:p>
                                <w:p>
                                  <w:pPr>
                                    <w:pStyle w:val="TableParagraph"/>
                                    <w:spacing w:before="8"/>
                                    <w:rPr>
                                      <w:sz w:val="12"/>
                                    </w:rPr>
                                  </w:pPr>
                                </w:p>
                                <w:p>
                                  <w:pPr>
                                    <w:pStyle w:val="TableParagraph"/>
                                    <w:ind w:left="27" w:right="24"/>
                                    <w:jc w:val="center"/>
                                    <w:rPr>
                                      <w:b/>
                                      <w:sz w:val="12"/>
                                    </w:rPr>
                                  </w:pPr>
                                  <w:r>
                                    <w:rPr>
                                      <w:b/>
                                      <w:color w:val="FFFFFF"/>
                                      <w:spacing w:val="-4"/>
                                      <w:sz w:val="12"/>
                                    </w:rPr>
                                    <w:t>0,7%</w:t>
                                  </w:r>
                                </w:p>
                              </w:tc>
                              <w:tc>
                                <w:tcPr>
                                  <w:tcW w:w="131" w:type="dxa"/>
                                  <w:vMerge/>
                                  <w:tcBorders>
                                    <w:top w:val="nil"/>
                                  </w:tcBorders>
                                  <w:shd w:val="clear" w:color="auto" w:fill="D9D9D9"/>
                                </w:tcPr>
                                <w:p>
                                  <w:pPr>
                                    <w:rPr>
                                      <w:sz w:val="2"/>
                                      <w:szCs w:val="2"/>
                                    </w:rPr>
                                  </w:pPr>
                                </w:p>
                              </w:tc>
                              <w:tc>
                                <w:tcPr>
                                  <w:tcW w:w="596" w:type="dxa"/>
                                  <w:vMerge/>
                                  <w:tcBorders>
                                    <w:top w:val="nil"/>
                                  </w:tcBorders>
                                  <w:shd w:val="clear" w:color="auto" w:fill="1F3863"/>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68.934753pt;margin-top:300.553558pt;width:109.65pt;height:125.35pt;mso-position-horizontal-relative:page;mso-position-vertical-relative:page;z-index:15741440" type="#_x0000_t202" id="docshape165" filled="false" stroked="false">
                <v:textbox inset="0,0,0,0">
                  <w:txbxContent>
                    <w:tbl>
                      <w:tblPr>
                        <w:tblW w:w="0" w:type="auto"/>
                        <w:jc w:val="left"/>
                        <w:tblInd w:w="6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606"/>
                        <w:gridCol w:w="131"/>
                        <w:gridCol w:w="596"/>
                        <w:gridCol w:w="131"/>
                        <w:gridCol w:w="596"/>
                      </w:tblGrid>
                      <w:tr>
                        <w:trPr>
                          <w:trHeight w:val="515" w:hRule="exact"/>
                        </w:trPr>
                        <w:tc>
                          <w:tcPr>
                            <w:tcW w:w="606" w:type="dxa"/>
                            <w:vMerge w:val="restart"/>
                            <w:shd w:val="clear" w:color="auto" w:fill="DAE2F3"/>
                          </w:tcPr>
                          <w:p>
                            <w:pPr>
                              <w:pStyle w:val="TableParagraph"/>
                              <w:rPr>
                                <w:sz w:val="12"/>
                              </w:rPr>
                            </w:pPr>
                          </w:p>
                          <w:p>
                            <w:pPr>
                              <w:pStyle w:val="TableParagraph"/>
                              <w:spacing w:before="55"/>
                              <w:rPr>
                                <w:sz w:val="12"/>
                              </w:rPr>
                            </w:pPr>
                          </w:p>
                          <w:p>
                            <w:pPr>
                              <w:pStyle w:val="TableParagraph"/>
                              <w:ind w:left="188"/>
                              <w:rPr>
                                <w:sz w:val="12"/>
                              </w:rPr>
                            </w:pPr>
                            <w:r>
                              <w:rPr>
                                <w:spacing w:val="-5"/>
                                <w:sz w:val="12"/>
                              </w:rPr>
                              <w:t>90%</w:t>
                            </w:r>
                          </w:p>
                        </w:tc>
                        <w:tc>
                          <w:tcPr>
                            <w:tcW w:w="131" w:type="dxa"/>
                            <w:vMerge w:val="restart"/>
                            <w:shd w:val="clear" w:color="auto" w:fill="D9D9D9"/>
                          </w:tcPr>
                          <w:p>
                            <w:pPr>
                              <w:pStyle w:val="TableParagraph"/>
                              <w:rPr>
                                <w:sz w:val="18"/>
                              </w:rPr>
                            </w:pPr>
                          </w:p>
                        </w:tc>
                        <w:tc>
                          <w:tcPr>
                            <w:tcW w:w="596" w:type="dxa"/>
                            <w:shd w:val="clear" w:color="auto" w:fill="DAE2F3"/>
                          </w:tcPr>
                          <w:p>
                            <w:pPr>
                              <w:pStyle w:val="TableParagraph"/>
                              <w:spacing w:before="39"/>
                              <w:rPr>
                                <w:sz w:val="12"/>
                              </w:rPr>
                            </w:pPr>
                          </w:p>
                          <w:p>
                            <w:pPr>
                              <w:pStyle w:val="TableParagraph"/>
                              <w:ind w:left="31" w:right="24"/>
                              <w:jc w:val="center"/>
                              <w:rPr>
                                <w:sz w:val="12"/>
                              </w:rPr>
                            </w:pPr>
                            <w:r>
                              <w:rPr>
                                <w:spacing w:val="-5"/>
                                <w:sz w:val="12"/>
                              </w:rPr>
                              <w:t>76%</w:t>
                            </w:r>
                          </w:p>
                        </w:tc>
                        <w:tc>
                          <w:tcPr>
                            <w:tcW w:w="131" w:type="dxa"/>
                            <w:vMerge w:val="restart"/>
                            <w:shd w:val="clear" w:color="auto" w:fill="D9D9D9"/>
                          </w:tcPr>
                          <w:p>
                            <w:pPr>
                              <w:pStyle w:val="TableParagraph"/>
                              <w:rPr>
                                <w:sz w:val="18"/>
                              </w:rPr>
                            </w:pPr>
                          </w:p>
                        </w:tc>
                        <w:tc>
                          <w:tcPr>
                            <w:tcW w:w="596" w:type="dxa"/>
                            <w:vMerge w:val="restart"/>
                            <w:shd w:val="clear" w:color="auto" w:fill="DAE2F3"/>
                          </w:tcPr>
                          <w:p>
                            <w:pPr>
                              <w:pStyle w:val="TableParagraph"/>
                              <w:spacing w:before="112"/>
                              <w:rPr>
                                <w:sz w:val="12"/>
                              </w:rPr>
                            </w:pPr>
                          </w:p>
                          <w:p>
                            <w:pPr>
                              <w:pStyle w:val="TableParagraph"/>
                              <w:ind w:left="186"/>
                              <w:rPr>
                                <w:sz w:val="12"/>
                              </w:rPr>
                            </w:pPr>
                            <w:r>
                              <w:rPr>
                                <w:spacing w:val="-5"/>
                                <w:sz w:val="12"/>
                              </w:rPr>
                              <w:t>84%</w:t>
                            </w:r>
                          </w:p>
                        </w:tc>
                      </w:tr>
                      <w:tr>
                        <w:trPr>
                          <w:trHeight w:val="131" w:hRule="exact"/>
                        </w:trPr>
                        <w:tc>
                          <w:tcPr>
                            <w:tcW w:w="606" w:type="dxa"/>
                            <w:vMerge/>
                            <w:tcBorders>
                              <w:top w:val="nil"/>
                            </w:tcBorders>
                            <w:shd w:val="clear" w:color="auto" w:fill="DAE2F3"/>
                          </w:tcPr>
                          <w:p>
                            <w:pPr>
                              <w:rPr>
                                <w:sz w:val="2"/>
                                <w:szCs w:val="2"/>
                              </w:rPr>
                            </w:pPr>
                          </w:p>
                        </w:tc>
                        <w:tc>
                          <w:tcPr>
                            <w:tcW w:w="131" w:type="dxa"/>
                            <w:vMerge/>
                            <w:tcBorders>
                              <w:top w:val="nil"/>
                            </w:tcBorders>
                            <w:shd w:val="clear" w:color="auto" w:fill="D9D9D9"/>
                          </w:tcPr>
                          <w:p>
                            <w:pPr>
                              <w:rPr>
                                <w:sz w:val="2"/>
                                <w:szCs w:val="2"/>
                              </w:rPr>
                            </w:pPr>
                          </w:p>
                        </w:tc>
                        <w:tc>
                          <w:tcPr>
                            <w:tcW w:w="596" w:type="dxa"/>
                            <w:vMerge w:val="restart"/>
                            <w:shd w:val="clear" w:color="auto" w:fill="ACB8C9"/>
                          </w:tcPr>
                          <w:p>
                            <w:pPr>
                              <w:pStyle w:val="TableParagraph"/>
                              <w:rPr>
                                <w:sz w:val="12"/>
                              </w:rPr>
                            </w:pPr>
                          </w:p>
                          <w:p>
                            <w:pPr>
                              <w:pStyle w:val="TableParagraph"/>
                              <w:rPr>
                                <w:sz w:val="12"/>
                              </w:rPr>
                            </w:pPr>
                          </w:p>
                          <w:p>
                            <w:pPr>
                              <w:pStyle w:val="TableParagraph"/>
                              <w:rPr>
                                <w:sz w:val="12"/>
                              </w:rPr>
                            </w:pPr>
                          </w:p>
                          <w:p>
                            <w:pPr>
                              <w:pStyle w:val="TableParagraph"/>
                              <w:spacing w:before="13"/>
                              <w:rPr>
                                <w:sz w:val="12"/>
                              </w:rPr>
                            </w:pPr>
                          </w:p>
                          <w:p>
                            <w:pPr>
                              <w:pStyle w:val="TableParagraph"/>
                              <w:ind w:left="182"/>
                              <w:rPr>
                                <w:sz w:val="12"/>
                              </w:rPr>
                            </w:pPr>
                            <w:r>
                              <w:rPr>
                                <w:spacing w:val="-5"/>
                                <w:sz w:val="12"/>
                              </w:rPr>
                              <w:t>23%</w:t>
                            </w:r>
                          </w:p>
                        </w:tc>
                        <w:tc>
                          <w:tcPr>
                            <w:tcW w:w="131" w:type="dxa"/>
                            <w:vMerge/>
                            <w:tcBorders>
                              <w:top w:val="nil"/>
                            </w:tcBorders>
                            <w:shd w:val="clear" w:color="auto" w:fill="D9D9D9"/>
                          </w:tcPr>
                          <w:p>
                            <w:pPr>
                              <w:rPr>
                                <w:sz w:val="2"/>
                                <w:szCs w:val="2"/>
                              </w:rPr>
                            </w:pPr>
                          </w:p>
                        </w:tc>
                        <w:tc>
                          <w:tcPr>
                            <w:tcW w:w="596" w:type="dxa"/>
                            <w:vMerge/>
                            <w:tcBorders>
                              <w:top w:val="nil"/>
                            </w:tcBorders>
                            <w:shd w:val="clear" w:color="auto" w:fill="DAE2F3"/>
                          </w:tcPr>
                          <w:p>
                            <w:pPr>
                              <w:rPr>
                                <w:sz w:val="2"/>
                                <w:szCs w:val="2"/>
                              </w:rPr>
                            </w:pPr>
                          </w:p>
                        </w:tc>
                      </w:tr>
                      <w:tr>
                        <w:trPr>
                          <w:trHeight w:val="171" w:hRule="exact"/>
                        </w:trPr>
                        <w:tc>
                          <w:tcPr>
                            <w:tcW w:w="606" w:type="dxa"/>
                            <w:vMerge/>
                            <w:tcBorders>
                              <w:top w:val="nil"/>
                            </w:tcBorders>
                            <w:shd w:val="clear" w:color="auto" w:fill="DAE2F3"/>
                          </w:tcPr>
                          <w:p>
                            <w:pPr>
                              <w:rPr>
                                <w:sz w:val="2"/>
                                <w:szCs w:val="2"/>
                              </w:rPr>
                            </w:pPr>
                          </w:p>
                        </w:tc>
                        <w:tc>
                          <w:tcPr>
                            <w:tcW w:w="131" w:type="dxa"/>
                            <w:vMerge/>
                            <w:tcBorders>
                              <w:top w:val="nil"/>
                            </w:tcBorders>
                            <w:shd w:val="clear" w:color="auto" w:fill="D9D9D9"/>
                          </w:tcPr>
                          <w:p>
                            <w:pPr>
                              <w:rPr>
                                <w:sz w:val="2"/>
                                <w:szCs w:val="2"/>
                              </w:rPr>
                            </w:pPr>
                          </w:p>
                        </w:tc>
                        <w:tc>
                          <w:tcPr>
                            <w:tcW w:w="596" w:type="dxa"/>
                            <w:vMerge/>
                            <w:tcBorders>
                              <w:top w:val="nil"/>
                            </w:tcBorders>
                            <w:shd w:val="clear" w:color="auto" w:fill="ACB8C9"/>
                          </w:tcPr>
                          <w:p>
                            <w:pPr>
                              <w:rPr>
                                <w:sz w:val="2"/>
                                <w:szCs w:val="2"/>
                              </w:rPr>
                            </w:pPr>
                          </w:p>
                        </w:tc>
                        <w:tc>
                          <w:tcPr>
                            <w:tcW w:w="131" w:type="dxa"/>
                            <w:vMerge/>
                            <w:tcBorders>
                              <w:top w:val="nil"/>
                            </w:tcBorders>
                            <w:shd w:val="clear" w:color="auto" w:fill="D9D9D9"/>
                          </w:tcPr>
                          <w:p>
                            <w:pPr>
                              <w:rPr>
                                <w:sz w:val="2"/>
                                <w:szCs w:val="2"/>
                              </w:rPr>
                            </w:pPr>
                          </w:p>
                        </w:tc>
                        <w:tc>
                          <w:tcPr>
                            <w:tcW w:w="596" w:type="dxa"/>
                            <w:vMerge w:val="restart"/>
                            <w:shd w:val="clear" w:color="auto" w:fill="ACB8C9"/>
                          </w:tcPr>
                          <w:p>
                            <w:pPr>
                              <w:pStyle w:val="TableParagraph"/>
                              <w:rPr>
                                <w:sz w:val="12"/>
                              </w:rPr>
                            </w:pPr>
                          </w:p>
                          <w:p>
                            <w:pPr>
                              <w:pStyle w:val="TableParagraph"/>
                              <w:rPr>
                                <w:sz w:val="12"/>
                              </w:rPr>
                            </w:pPr>
                          </w:p>
                          <w:p>
                            <w:pPr>
                              <w:pStyle w:val="TableParagraph"/>
                              <w:spacing w:before="10"/>
                              <w:rPr>
                                <w:sz w:val="12"/>
                              </w:rPr>
                            </w:pPr>
                          </w:p>
                          <w:p>
                            <w:pPr>
                              <w:pStyle w:val="TableParagraph"/>
                              <w:ind w:left="186"/>
                              <w:rPr>
                                <w:sz w:val="12"/>
                              </w:rPr>
                            </w:pPr>
                            <w:r>
                              <w:rPr>
                                <w:spacing w:val="-5"/>
                                <w:sz w:val="12"/>
                              </w:rPr>
                              <w:t>15%</w:t>
                            </w:r>
                          </w:p>
                        </w:tc>
                      </w:tr>
                      <w:tr>
                        <w:trPr>
                          <w:trHeight w:val="656" w:hRule="exact"/>
                        </w:trPr>
                        <w:tc>
                          <w:tcPr>
                            <w:tcW w:w="606" w:type="dxa"/>
                            <w:shd w:val="clear" w:color="auto" w:fill="ACB8C9"/>
                          </w:tcPr>
                          <w:p>
                            <w:pPr>
                              <w:pStyle w:val="TableParagraph"/>
                              <w:spacing w:before="114"/>
                              <w:rPr>
                                <w:sz w:val="12"/>
                              </w:rPr>
                            </w:pPr>
                          </w:p>
                          <w:p>
                            <w:pPr>
                              <w:pStyle w:val="TableParagraph"/>
                              <w:ind w:left="7"/>
                              <w:jc w:val="center"/>
                              <w:rPr>
                                <w:sz w:val="12"/>
                              </w:rPr>
                            </w:pPr>
                            <w:r>
                              <w:rPr>
                                <w:spacing w:val="-5"/>
                                <w:sz w:val="12"/>
                              </w:rPr>
                              <w:t>9%</w:t>
                            </w:r>
                          </w:p>
                        </w:tc>
                        <w:tc>
                          <w:tcPr>
                            <w:tcW w:w="131" w:type="dxa"/>
                            <w:vMerge w:val="restart"/>
                            <w:shd w:val="clear" w:color="auto" w:fill="D9D9D9"/>
                          </w:tcPr>
                          <w:p>
                            <w:pPr>
                              <w:pStyle w:val="TableParagraph"/>
                              <w:rPr>
                                <w:sz w:val="18"/>
                              </w:rPr>
                            </w:pPr>
                          </w:p>
                        </w:tc>
                        <w:tc>
                          <w:tcPr>
                            <w:tcW w:w="596" w:type="dxa"/>
                            <w:vMerge/>
                            <w:tcBorders>
                              <w:top w:val="nil"/>
                            </w:tcBorders>
                            <w:shd w:val="clear" w:color="auto" w:fill="ACB8C9"/>
                          </w:tcPr>
                          <w:p>
                            <w:pPr>
                              <w:rPr>
                                <w:sz w:val="2"/>
                                <w:szCs w:val="2"/>
                              </w:rPr>
                            </w:pPr>
                          </w:p>
                        </w:tc>
                        <w:tc>
                          <w:tcPr>
                            <w:tcW w:w="131" w:type="dxa"/>
                            <w:vMerge w:val="restart"/>
                            <w:shd w:val="clear" w:color="auto" w:fill="D9D9D9"/>
                          </w:tcPr>
                          <w:p>
                            <w:pPr>
                              <w:pStyle w:val="TableParagraph"/>
                              <w:rPr>
                                <w:sz w:val="18"/>
                              </w:rPr>
                            </w:pPr>
                          </w:p>
                        </w:tc>
                        <w:tc>
                          <w:tcPr>
                            <w:tcW w:w="596" w:type="dxa"/>
                            <w:vMerge/>
                            <w:tcBorders>
                              <w:top w:val="nil"/>
                            </w:tcBorders>
                            <w:shd w:val="clear" w:color="auto" w:fill="ACB8C9"/>
                          </w:tcPr>
                          <w:p>
                            <w:pPr>
                              <w:rPr>
                                <w:sz w:val="2"/>
                                <w:szCs w:val="2"/>
                              </w:rPr>
                            </w:pPr>
                          </w:p>
                        </w:tc>
                      </w:tr>
                      <w:tr>
                        <w:trPr>
                          <w:trHeight w:val="171" w:hRule="exact"/>
                        </w:trPr>
                        <w:tc>
                          <w:tcPr>
                            <w:tcW w:w="606" w:type="dxa"/>
                            <w:vMerge w:val="restart"/>
                            <w:shd w:val="clear" w:color="auto" w:fill="1F3863"/>
                          </w:tcPr>
                          <w:p>
                            <w:pPr>
                              <w:pStyle w:val="TableParagraph"/>
                              <w:rPr>
                                <w:sz w:val="12"/>
                              </w:rPr>
                            </w:pPr>
                          </w:p>
                          <w:p>
                            <w:pPr>
                              <w:pStyle w:val="TableParagraph"/>
                              <w:rPr>
                                <w:sz w:val="12"/>
                              </w:rPr>
                            </w:pPr>
                          </w:p>
                          <w:p>
                            <w:pPr>
                              <w:pStyle w:val="TableParagraph"/>
                              <w:spacing w:before="20"/>
                              <w:rPr>
                                <w:sz w:val="12"/>
                              </w:rPr>
                            </w:pPr>
                          </w:p>
                          <w:p>
                            <w:pPr>
                              <w:pStyle w:val="TableParagraph"/>
                              <w:ind w:left="162"/>
                              <w:rPr>
                                <w:b/>
                                <w:sz w:val="12"/>
                              </w:rPr>
                            </w:pPr>
                            <w:r>
                              <w:rPr>
                                <w:b/>
                                <w:color w:val="FFFFFF"/>
                                <w:spacing w:val="-4"/>
                                <w:sz w:val="12"/>
                              </w:rPr>
                              <w:t>1,7%</w:t>
                            </w:r>
                          </w:p>
                        </w:tc>
                        <w:tc>
                          <w:tcPr>
                            <w:tcW w:w="131" w:type="dxa"/>
                            <w:vMerge/>
                            <w:tcBorders>
                              <w:top w:val="nil"/>
                            </w:tcBorders>
                            <w:shd w:val="clear" w:color="auto" w:fill="D9D9D9"/>
                          </w:tcPr>
                          <w:p>
                            <w:pPr>
                              <w:rPr>
                                <w:sz w:val="2"/>
                                <w:szCs w:val="2"/>
                              </w:rPr>
                            </w:pPr>
                          </w:p>
                        </w:tc>
                        <w:tc>
                          <w:tcPr>
                            <w:tcW w:w="596" w:type="dxa"/>
                            <w:vMerge/>
                            <w:tcBorders>
                              <w:top w:val="nil"/>
                            </w:tcBorders>
                            <w:shd w:val="clear" w:color="auto" w:fill="ACB8C9"/>
                          </w:tcPr>
                          <w:p>
                            <w:pPr>
                              <w:rPr>
                                <w:sz w:val="2"/>
                                <w:szCs w:val="2"/>
                              </w:rPr>
                            </w:pPr>
                          </w:p>
                        </w:tc>
                        <w:tc>
                          <w:tcPr>
                            <w:tcW w:w="131" w:type="dxa"/>
                            <w:vMerge/>
                            <w:tcBorders>
                              <w:top w:val="nil"/>
                            </w:tcBorders>
                            <w:shd w:val="clear" w:color="auto" w:fill="D9D9D9"/>
                          </w:tcPr>
                          <w:p>
                            <w:pPr>
                              <w:rPr>
                                <w:sz w:val="2"/>
                                <w:szCs w:val="2"/>
                              </w:rPr>
                            </w:pPr>
                          </w:p>
                        </w:tc>
                        <w:tc>
                          <w:tcPr>
                            <w:tcW w:w="596" w:type="dxa"/>
                            <w:vMerge/>
                            <w:tcBorders>
                              <w:top w:val="nil"/>
                            </w:tcBorders>
                            <w:shd w:val="clear" w:color="auto" w:fill="ACB8C9"/>
                          </w:tcPr>
                          <w:p>
                            <w:pPr>
                              <w:rPr>
                                <w:sz w:val="2"/>
                                <w:szCs w:val="2"/>
                              </w:rPr>
                            </w:pPr>
                          </w:p>
                        </w:tc>
                      </w:tr>
                      <w:tr>
                        <w:trPr>
                          <w:trHeight w:val="141" w:hRule="exact"/>
                        </w:trPr>
                        <w:tc>
                          <w:tcPr>
                            <w:tcW w:w="606" w:type="dxa"/>
                            <w:vMerge/>
                            <w:tcBorders>
                              <w:top w:val="nil"/>
                            </w:tcBorders>
                            <w:shd w:val="clear" w:color="auto" w:fill="1F3863"/>
                          </w:tcPr>
                          <w:p>
                            <w:pPr>
                              <w:rPr>
                                <w:sz w:val="2"/>
                                <w:szCs w:val="2"/>
                              </w:rPr>
                            </w:pPr>
                          </w:p>
                        </w:tc>
                        <w:tc>
                          <w:tcPr>
                            <w:tcW w:w="131" w:type="dxa"/>
                            <w:vMerge w:val="restart"/>
                            <w:shd w:val="clear" w:color="auto" w:fill="D9D9D9"/>
                          </w:tcPr>
                          <w:p>
                            <w:pPr>
                              <w:pStyle w:val="TableParagraph"/>
                              <w:rPr>
                                <w:sz w:val="18"/>
                              </w:rPr>
                            </w:pPr>
                          </w:p>
                        </w:tc>
                        <w:tc>
                          <w:tcPr>
                            <w:tcW w:w="596" w:type="dxa"/>
                            <w:vMerge/>
                            <w:tcBorders>
                              <w:top w:val="nil"/>
                            </w:tcBorders>
                            <w:shd w:val="clear" w:color="auto" w:fill="ACB8C9"/>
                          </w:tcPr>
                          <w:p>
                            <w:pPr>
                              <w:rPr>
                                <w:sz w:val="2"/>
                                <w:szCs w:val="2"/>
                              </w:rPr>
                            </w:pPr>
                          </w:p>
                        </w:tc>
                        <w:tc>
                          <w:tcPr>
                            <w:tcW w:w="131" w:type="dxa"/>
                            <w:vMerge w:val="restart"/>
                            <w:shd w:val="clear" w:color="auto" w:fill="D9D9D9"/>
                          </w:tcPr>
                          <w:p>
                            <w:pPr>
                              <w:pStyle w:val="TableParagraph"/>
                              <w:rPr>
                                <w:sz w:val="18"/>
                              </w:rPr>
                            </w:pPr>
                          </w:p>
                        </w:tc>
                        <w:tc>
                          <w:tcPr>
                            <w:tcW w:w="596" w:type="dxa"/>
                            <w:vMerge w:val="restart"/>
                            <w:shd w:val="clear" w:color="auto" w:fill="1F3863"/>
                          </w:tcPr>
                          <w:p>
                            <w:pPr>
                              <w:pStyle w:val="TableParagraph"/>
                              <w:rPr>
                                <w:sz w:val="12"/>
                              </w:rPr>
                            </w:pPr>
                          </w:p>
                          <w:p>
                            <w:pPr>
                              <w:pStyle w:val="TableParagraph"/>
                              <w:spacing w:before="79"/>
                              <w:rPr>
                                <w:sz w:val="12"/>
                              </w:rPr>
                            </w:pPr>
                          </w:p>
                          <w:p>
                            <w:pPr>
                              <w:pStyle w:val="TableParagraph"/>
                              <w:ind w:left="160"/>
                              <w:rPr>
                                <w:b/>
                                <w:sz w:val="12"/>
                              </w:rPr>
                            </w:pPr>
                            <w:r>
                              <w:rPr>
                                <w:b/>
                                <w:color w:val="FFFFFF"/>
                                <w:spacing w:val="-4"/>
                                <w:sz w:val="12"/>
                              </w:rPr>
                              <w:t>1,0%</w:t>
                            </w:r>
                          </w:p>
                        </w:tc>
                      </w:tr>
                      <w:tr>
                        <w:trPr>
                          <w:trHeight w:val="707" w:hRule="exact"/>
                        </w:trPr>
                        <w:tc>
                          <w:tcPr>
                            <w:tcW w:w="606" w:type="dxa"/>
                            <w:vMerge/>
                            <w:tcBorders>
                              <w:top w:val="nil"/>
                            </w:tcBorders>
                            <w:shd w:val="clear" w:color="auto" w:fill="1F3863"/>
                          </w:tcPr>
                          <w:p>
                            <w:pPr>
                              <w:rPr>
                                <w:sz w:val="2"/>
                                <w:szCs w:val="2"/>
                              </w:rPr>
                            </w:pPr>
                          </w:p>
                        </w:tc>
                        <w:tc>
                          <w:tcPr>
                            <w:tcW w:w="131" w:type="dxa"/>
                            <w:vMerge/>
                            <w:tcBorders>
                              <w:top w:val="nil"/>
                            </w:tcBorders>
                            <w:shd w:val="clear" w:color="auto" w:fill="D9D9D9"/>
                          </w:tcPr>
                          <w:p>
                            <w:pPr>
                              <w:rPr>
                                <w:sz w:val="2"/>
                                <w:szCs w:val="2"/>
                              </w:rPr>
                            </w:pPr>
                          </w:p>
                        </w:tc>
                        <w:tc>
                          <w:tcPr>
                            <w:tcW w:w="596" w:type="dxa"/>
                            <w:shd w:val="clear" w:color="auto" w:fill="1F3863"/>
                          </w:tcPr>
                          <w:p>
                            <w:pPr>
                              <w:pStyle w:val="TableParagraph"/>
                              <w:rPr>
                                <w:sz w:val="12"/>
                              </w:rPr>
                            </w:pPr>
                          </w:p>
                          <w:p>
                            <w:pPr>
                              <w:pStyle w:val="TableParagraph"/>
                              <w:spacing w:before="8"/>
                              <w:rPr>
                                <w:sz w:val="12"/>
                              </w:rPr>
                            </w:pPr>
                          </w:p>
                          <w:p>
                            <w:pPr>
                              <w:pStyle w:val="TableParagraph"/>
                              <w:ind w:left="27" w:right="24"/>
                              <w:jc w:val="center"/>
                              <w:rPr>
                                <w:b/>
                                <w:sz w:val="12"/>
                              </w:rPr>
                            </w:pPr>
                            <w:r>
                              <w:rPr>
                                <w:b/>
                                <w:color w:val="FFFFFF"/>
                                <w:spacing w:val="-4"/>
                                <w:sz w:val="12"/>
                              </w:rPr>
                              <w:t>0,7%</w:t>
                            </w:r>
                          </w:p>
                        </w:tc>
                        <w:tc>
                          <w:tcPr>
                            <w:tcW w:w="131" w:type="dxa"/>
                            <w:vMerge/>
                            <w:tcBorders>
                              <w:top w:val="nil"/>
                            </w:tcBorders>
                            <w:shd w:val="clear" w:color="auto" w:fill="D9D9D9"/>
                          </w:tcPr>
                          <w:p>
                            <w:pPr>
                              <w:rPr>
                                <w:sz w:val="2"/>
                                <w:szCs w:val="2"/>
                              </w:rPr>
                            </w:pPr>
                          </w:p>
                        </w:tc>
                        <w:tc>
                          <w:tcPr>
                            <w:tcW w:w="596" w:type="dxa"/>
                            <w:vMerge/>
                            <w:tcBorders>
                              <w:top w:val="nil"/>
                            </w:tcBorders>
                            <w:shd w:val="clear" w:color="auto" w:fill="1F3863"/>
                          </w:tcPr>
                          <w:p>
                            <w:pPr>
                              <w:rPr>
                                <w:sz w:val="2"/>
                                <w:szCs w:val="2"/>
                              </w:rPr>
                            </w:pPr>
                          </w:p>
                        </w:tc>
                      </w:tr>
                    </w:tbl>
                    <w:p>
                      <w:pPr>
                        <w:pStyle w:val="BodyText"/>
                      </w:pPr>
                    </w:p>
                  </w:txbxContent>
                </v:textbox>
                <w10:wrap type="none"/>
              </v:shape>
            </w:pict>
          </mc:Fallback>
        </mc:AlternateContent>
      </w:r>
    </w:p>
    <w:p>
      <w:pPr>
        <w:spacing w:after="0"/>
        <w:rPr>
          <w:sz w:val="2"/>
          <w:szCs w:val="2"/>
        </w:rPr>
        <w:sectPr>
          <w:pgSz w:w="11910" w:h="16850"/>
          <w:pgMar w:header="0" w:footer="1108" w:top="1860" w:bottom="1360" w:left="1417" w:right="850"/>
        </w:sectPr>
      </w:pPr>
    </w:p>
    <w:p>
      <w:pPr>
        <w:pStyle w:val="Heading3"/>
        <w:numPr>
          <w:ilvl w:val="2"/>
          <w:numId w:val="2"/>
        </w:numPr>
        <w:tabs>
          <w:tab w:pos="738" w:val="left" w:leader="none"/>
        </w:tabs>
        <w:spacing w:line="240" w:lineRule="auto" w:before="70" w:after="0"/>
        <w:ind w:left="738" w:right="1173" w:hanging="567"/>
        <w:jc w:val="left"/>
        <w:rPr>
          <w:color w:val="1F487C"/>
        </w:rPr>
      </w:pPr>
      <w:bookmarkStart w:name="_bookmark29" w:id="30"/>
      <w:bookmarkEnd w:id="30"/>
      <w:r>
        <w:rPr>
          <w:b w:val="0"/>
        </w:rPr>
      </w:r>
      <w:r>
        <w:rPr>
          <w:color w:val="1F487C"/>
        </w:rPr>
        <w:t>ΣΥΝΔΥΑΣΤΙΚΗ</w:t>
      </w:r>
      <w:r>
        <w:rPr>
          <w:color w:val="1F487C"/>
          <w:spacing w:val="-9"/>
        </w:rPr>
        <w:t> </w:t>
      </w:r>
      <w:r>
        <w:rPr>
          <w:color w:val="1F487C"/>
        </w:rPr>
        <w:t>ΑΞΙΟΛΟΓΗΣΗ</w:t>
      </w:r>
      <w:r>
        <w:rPr>
          <w:color w:val="1F487C"/>
          <w:spacing w:val="-9"/>
        </w:rPr>
        <w:t> </w:t>
      </w:r>
      <w:r>
        <w:rPr>
          <w:color w:val="1F487C"/>
        </w:rPr>
        <w:t>ΧΡΗΜΑΤΟΟΙΚΟΝΟΜΙΚΗΣ</w:t>
      </w:r>
      <w:r>
        <w:rPr>
          <w:color w:val="1F487C"/>
          <w:spacing w:val="-12"/>
        </w:rPr>
        <w:t> </w:t>
      </w:r>
      <w:r>
        <w:rPr>
          <w:color w:val="1F487C"/>
        </w:rPr>
        <w:t>ΚΑΤΑΣΤΑΣΗΣ </w:t>
      </w:r>
      <w:r>
        <w:rPr>
          <w:color w:val="1F487C"/>
          <w:spacing w:val="-2"/>
        </w:rPr>
        <w:t>ΝΟΙΚΟΚΥΡΙΩΝ</w:t>
      </w:r>
    </w:p>
    <w:p>
      <w:pPr>
        <w:pStyle w:val="BodyText"/>
        <w:spacing w:line="285" w:lineRule="auto" w:before="94"/>
        <w:ind w:left="172" w:right="953"/>
        <w:jc w:val="both"/>
      </w:pPr>
      <w:r>
        <w:rPr/>
        <w:t>Σύμφωνα</w:t>
      </w:r>
      <w:r>
        <w:rPr>
          <w:spacing w:val="-11"/>
        </w:rPr>
        <w:t> </w:t>
      </w:r>
      <w:r>
        <w:rPr/>
        <w:t>με</w:t>
      </w:r>
      <w:r>
        <w:rPr>
          <w:spacing w:val="-7"/>
        </w:rPr>
        <w:t> </w:t>
      </w:r>
      <w:r>
        <w:rPr/>
        <w:t>τα</w:t>
      </w:r>
      <w:r>
        <w:rPr>
          <w:spacing w:val="-9"/>
        </w:rPr>
        <w:t> </w:t>
      </w:r>
      <w:r>
        <w:rPr/>
        <w:t>πειραματικά</w:t>
      </w:r>
      <w:hyperlink w:history="true" w:anchor="_bookmark30">
        <w:r>
          <w:rPr>
            <w:position w:val="6"/>
            <w:sz w:val="10"/>
          </w:rPr>
          <w:t>20</w:t>
        </w:r>
      </w:hyperlink>
      <w:r>
        <w:rPr>
          <w:spacing w:val="22"/>
          <w:position w:val="6"/>
          <w:sz w:val="10"/>
        </w:rPr>
        <w:t> </w:t>
      </w:r>
      <w:r>
        <w:rPr/>
        <w:t>στοιχεία</w:t>
      </w:r>
      <w:r>
        <w:rPr>
          <w:spacing w:val="-8"/>
        </w:rPr>
        <w:t> </w:t>
      </w:r>
      <w:r>
        <w:rPr/>
        <w:t>λογαριασμών</w:t>
      </w:r>
      <w:r>
        <w:rPr>
          <w:spacing w:val="-7"/>
        </w:rPr>
        <w:t> </w:t>
      </w:r>
      <w:r>
        <w:rPr/>
        <w:t>κατανομής</w:t>
      </w:r>
      <w:r>
        <w:rPr>
          <w:spacing w:val="-10"/>
        </w:rPr>
        <w:t> </w:t>
      </w:r>
      <w:r>
        <w:rPr/>
        <w:t>πλούτου</w:t>
      </w:r>
      <w:r>
        <w:rPr>
          <w:spacing w:val="-7"/>
        </w:rPr>
        <w:t> </w:t>
      </w:r>
      <w:r>
        <w:rPr/>
        <w:t>που</w:t>
      </w:r>
      <w:r>
        <w:rPr>
          <w:spacing w:val="-7"/>
        </w:rPr>
        <w:t> </w:t>
      </w:r>
      <w:r>
        <w:rPr/>
        <w:t>καταρτίζονται</w:t>
      </w:r>
      <w:r>
        <w:rPr>
          <w:spacing w:val="-8"/>
        </w:rPr>
        <w:t> </w:t>
      </w:r>
      <w:r>
        <w:rPr/>
        <w:t>από το Ευρωπαϊκό Σύστημα Κεντρικών Τραπεζών (ΕΣΚΤ)</w:t>
      </w:r>
      <w:hyperlink w:history="true" w:anchor="_bookmark31">
        <w:r>
          <w:rPr/>
          <w:t>,</w:t>
        </w:r>
        <w:r>
          <w:rPr>
            <w:position w:val="6"/>
            <w:sz w:val="10"/>
          </w:rPr>
          <w:t>21</w:t>
        </w:r>
      </w:hyperlink>
      <w:r>
        <w:rPr>
          <w:spacing w:val="37"/>
          <w:position w:val="6"/>
          <w:sz w:val="10"/>
        </w:rPr>
        <w:t> </w:t>
      </w:r>
      <w:r>
        <w:rPr/>
        <w:t>ο προσαρμοσμένος καθαρός πλούτος</w:t>
      </w:r>
      <w:hyperlink w:history="true" w:anchor="_bookmark32">
        <w:r>
          <w:rPr>
            <w:position w:val="6"/>
            <w:sz w:val="10"/>
          </w:rPr>
          <w:t>22</w:t>
        </w:r>
      </w:hyperlink>
      <w:r>
        <w:rPr>
          <w:spacing w:val="40"/>
          <w:position w:val="6"/>
          <w:sz w:val="10"/>
        </w:rPr>
        <w:t> </w:t>
      </w:r>
      <w:r>
        <w:rPr/>
        <w:t>ανά κάτοικο στην Ελλάδα για το γ΄ τρίμηνο του 2025 ανήλθε σε 93 χιλ. ευρώ, αυξημένος κατά 10,4%</w:t>
      </w:r>
      <w:r>
        <w:rPr>
          <w:spacing w:val="-2"/>
        </w:rPr>
        <w:t> </w:t>
      </w:r>
      <w:r>
        <w:rPr/>
        <w:t>έναντι</w:t>
      </w:r>
      <w:r>
        <w:rPr>
          <w:spacing w:val="-2"/>
        </w:rPr>
        <w:t> </w:t>
      </w:r>
      <w:r>
        <w:rPr/>
        <w:t>του</w:t>
      </w:r>
      <w:r>
        <w:rPr>
          <w:spacing w:val="-1"/>
        </w:rPr>
        <w:t> </w:t>
      </w:r>
      <w:r>
        <w:rPr/>
        <w:t>γ΄</w:t>
      </w:r>
      <w:r>
        <w:rPr>
          <w:spacing w:val="-2"/>
        </w:rPr>
        <w:t> </w:t>
      </w:r>
      <w:r>
        <w:rPr/>
        <w:t>τριμήνου</w:t>
      </w:r>
      <w:r>
        <w:rPr>
          <w:spacing w:val="-1"/>
        </w:rPr>
        <w:t> </w:t>
      </w:r>
      <w:r>
        <w:rPr/>
        <w:t>του</w:t>
      </w:r>
      <w:r>
        <w:rPr>
          <w:spacing w:val="-1"/>
        </w:rPr>
        <w:t> </w:t>
      </w:r>
      <w:r>
        <w:rPr/>
        <w:t>2024</w:t>
      </w:r>
      <w:r>
        <w:rPr>
          <w:spacing w:val="-2"/>
        </w:rPr>
        <w:t> </w:t>
      </w:r>
      <w:r>
        <w:rPr/>
        <w:t>(84,3</w:t>
      </w:r>
      <w:r>
        <w:rPr>
          <w:spacing w:val="-2"/>
        </w:rPr>
        <w:t> </w:t>
      </w:r>
      <w:r>
        <w:rPr/>
        <w:t>χιλ.</w:t>
      </w:r>
      <w:r>
        <w:rPr>
          <w:spacing w:val="-2"/>
        </w:rPr>
        <w:t> </w:t>
      </w:r>
      <w:r>
        <w:rPr/>
        <w:t>ευρώ).</w:t>
      </w:r>
      <w:r>
        <w:rPr>
          <w:spacing w:val="-2"/>
        </w:rPr>
        <w:t> </w:t>
      </w:r>
      <w:r>
        <w:rPr/>
        <w:t>Η</w:t>
      </w:r>
      <w:r>
        <w:rPr>
          <w:spacing w:val="-3"/>
        </w:rPr>
        <w:t> </w:t>
      </w:r>
      <w:r>
        <w:rPr/>
        <w:t>αύξηση</w:t>
      </w:r>
      <w:r>
        <w:rPr>
          <w:spacing w:val="-1"/>
        </w:rPr>
        <w:t> </w:t>
      </w:r>
      <w:r>
        <w:rPr/>
        <w:t>του</w:t>
      </w:r>
      <w:r>
        <w:rPr>
          <w:spacing w:val="-1"/>
        </w:rPr>
        <w:t> </w:t>
      </w:r>
      <w:r>
        <w:rPr/>
        <w:t>προσαρμοσμένου</w:t>
      </w:r>
      <w:r>
        <w:rPr>
          <w:spacing w:val="-1"/>
        </w:rPr>
        <w:t> </w:t>
      </w:r>
      <w:r>
        <w:rPr/>
        <w:t>καθα-ρού</w:t>
      </w:r>
      <w:r>
        <w:rPr>
          <w:spacing w:val="-6"/>
        </w:rPr>
        <w:t> </w:t>
      </w:r>
      <w:r>
        <w:rPr/>
        <w:t>πλούτου</w:t>
      </w:r>
      <w:r>
        <w:rPr>
          <w:spacing w:val="-6"/>
        </w:rPr>
        <w:t> </w:t>
      </w:r>
      <w:r>
        <w:rPr/>
        <w:t>προήλθε</w:t>
      </w:r>
      <w:r>
        <w:rPr>
          <w:spacing w:val="-6"/>
        </w:rPr>
        <w:t> </w:t>
      </w:r>
      <w:r>
        <w:rPr/>
        <w:t>κατά</w:t>
      </w:r>
      <w:r>
        <w:rPr>
          <w:spacing w:val="-10"/>
        </w:rPr>
        <w:t> </w:t>
      </w:r>
      <w:r>
        <w:rPr/>
        <w:t>κύριο</w:t>
      </w:r>
      <w:r>
        <w:rPr>
          <w:spacing w:val="-10"/>
        </w:rPr>
        <w:t> </w:t>
      </w:r>
      <w:r>
        <w:rPr/>
        <w:t>λόγο</w:t>
      </w:r>
      <w:r>
        <w:rPr>
          <w:spacing w:val="-7"/>
        </w:rPr>
        <w:t> </w:t>
      </w:r>
      <w:r>
        <w:rPr/>
        <w:t>από</w:t>
      </w:r>
      <w:r>
        <w:rPr>
          <w:spacing w:val="-7"/>
        </w:rPr>
        <w:t> </w:t>
      </w:r>
      <w:r>
        <w:rPr/>
        <w:t>την</w:t>
      </w:r>
      <w:r>
        <w:rPr>
          <w:spacing w:val="-4"/>
        </w:rPr>
        <w:t> </w:t>
      </w:r>
      <w:r>
        <w:rPr/>
        <w:t>άνοδο</w:t>
      </w:r>
      <w:r>
        <w:rPr>
          <w:spacing w:val="-10"/>
        </w:rPr>
        <w:t> </w:t>
      </w:r>
      <w:r>
        <w:rPr/>
        <w:t>της</w:t>
      </w:r>
      <w:r>
        <w:rPr>
          <w:spacing w:val="-8"/>
        </w:rPr>
        <w:t> </w:t>
      </w:r>
      <w:r>
        <w:rPr/>
        <w:t>αξίας</w:t>
      </w:r>
      <w:r>
        <w:rPr>
          <w:spacing w:val="-8"/>
        </w:rPr>
        <w:t> </w:t>
      </w:r>
      <w:r>
        <w:rPr/>
        <w:t>των</w:t>
      </w:r>
      <w:r>
        <w:rPr>
          <w:spacing w:val="-6"/>
        </w:rPr>
        <w:t> </w:t>
      </w:r>
      <w:r>
        <w:rPr/>
        <w:t>κατοικιών</w:t>
      </w:r>
      <w:r>
        <w:rPr>
          <w:spacing w:val="-8"/>
        </w:rPr>
        <w:t> </w:t>
      </w:r>
      <w:r>
        <w:rPr/>
        <w:t>των</w:t>
      </w:r>
      <w:r>
        <w:rPr>
          <w:spacing w:val="-9"/>
        </w:rPr>
        <w:t> </w:t>
      </w:r>
      <w:r>
        <w:rPr/>
        <w:t>νοικοκυριών κατά την εξεταζόμενη περίοδο. Άλλωστε, η σημαντικότερη συμβολή στο συνολικό καθαρό επί-πεδο πλούτου προέρχεται από την αξία της κατοικίας (59,1% των προσαρμοσμένων περιουσια-κών</w:t>
      </w:r>
      <w:r>
        <w:rPr>
          <w:spacing w:val="-10"/>
        </w:rPr>
        <w:t> </w:t>
      </w:r>
      <w:r>
        <w:rPr/>
        <w:t>στοιχείων</w:t>
      </w:r>
      <w:r>
        <w:rPr>
          <w:spacing w:val="-7"/>
        </w:rPr>
        <w:t> </w:t>
      </w:r>
      <w:r>
        <w:rPr/>
        <w:t>ανά</w:t>
      </w:r>
      <w:r>
        <w:rPr>
          <w:spacing w:val="-9"/>
        </w:rPr>
        <w:t> </w:t>
      </w:r>
      <w:r>
        <w:rPr/>
        <w:t>κάτοικο).</w:t>
      </w:r>
      <w:r>
        <w:rPr>
          <w:spacing w:val="-8"/>
        </w:rPr>
        <w:t> </w:t>
      </w:r>
      <w:r>
        <w:rPr/>
        <w:t>Ο</w:t>
      </w:r>
      <w:r>
        <w:rPr>
          <w:spacing w:val="-9"/>
        </w:rPr>
        <w:t> </w:t>
      </w:r>
      <w:r>
        <w:rPr/>
        <w:t>προσαρμοσμένος</w:t>
      </w:r>
      <w:r>
        <w:rPr>
          <w:spacing w:val="-9"/>
        </w:rPr>
        <w:t> </w:t>
      </w:r>
      <w:r>
        <w:rPr/>
        <w:t>δείκτης</w:t>
      </w:r>
      <w:r>
        <w:rPr>
          <w:spacing w:val="-9"/>
        </w:rPr>
        <w:t> </w:t>
      </w:r>
      <w:r>
        <w:rPr/>
        <w:t>χρέους</w:t>
      </w:r>
      <w:r>
        <w:rPr>
          <w:spacing w:val="-9"/>
        </w:rPr>
        <w:t> </w:t>
      </w:r>
      <w:r>
        <w:rPr/>
        <w:t>προς</w:t>
      </w:r>
      <w:r>
        <w:rPr>
          <w:spacing w:val="-9"/>
        </w:rPr>
        <w:t> </w:t>
      </w:r>
      <w:r>
        <w:rPr/>
        <w:t>περιουσιακά</w:t>
      </w:r>
      <w:r>
        <w:rPr>
          <w:spacing w:val="-9"/>
        </w:rPr>
        <w:t> </w:t>
      </w:r>
      <w:r>
        <w:rPr/>
        <w:t>στοιχεία</w:t>
      </w:r>
      <w:r>
        <w:rPr>
          <w:spacing w:val="-2"/>
        </w:rPr>
        <w:t> </w:t>
      </w:r>
      <w:r>
        <w:rPr/>
        <w:t>δια-μορφώθηκε</w:t>
      </w:r>
      <w:r>
        <w:rPr>
          <w:spacing w:val="-4"/>
        </w:rPr>
        <w:t> </w:t>
      </w:r>
      <w:r>
        <w:rPr/>
        <w:t>σε</w:t>
      </w:r>
      <w:r>
        <w:rPr>
          <w:spacing w:val="-1"/>
        </w:rPr>
        <w:t> </w:t>
      </w:r>
      <w:r>
        <w:rPr/>
        <w:t>8,65%</w:t>
      </w:r>
      <w:r>
        <w:rPr>
          <w:spacing w:val="-2"/>
        </w:rPr>
        <w:t> </w:t>
      </w:r>
      <w:r>
        <w:rPr/>
        <w:t>για</w:t>
      </w:r>
      <w:r>
        <w:rPr>
          <w:spacing w:val="-2"/>
        </w:rPr>
        <w:t> </w:t>
      </w:r>
      <w:r>
        <w:rPr/>
        <w:t>το γ΄ τρίμηνο</w:t>
      </w:r>
      <w:r>
        <w:rPr>
          <w:spacing w:val="-3"/>
        </w:rPr>
        <w:t> </w:t>
      </w:r>
      <w:r>
        <w:rPr/>
        <w:t>του</w:t>
      </w:r>
      <w:r>
        <w:rPr>
          <w:spacing w:val="-1"/>
        </w:rPr>
        <w:t> </w:t>
      </w:r>
      <w:r>
        <w:rPr/>
        <w:t>2025,</w:t>
      </w:r>
      <w:r>
        <w:rPr>
          <w:spacing w:val="-2"/>
        </w:rPr>
        <w:t> </w:t>
      </w:r>
      <w:r>
        <w:rPr/>
        <w:t>καταγράφοντας</w:t>
      </w:r>
      <w:r>
        <w:rPr>
          <w:spacing w:val="-2"/>
        </w:rPr>
        <w:t> </w:t>
      </w:r>
      <w:r>
        <w:rPr/>
        <w:t>βελτίωση</w:t>
      </w:r>
      <w:r>
        <w:rPr>
          <w:spacing w:val="-3"/>
        </w:rPr>
        <w:t> </w:t>
      </w:r>
      <w:r>
        <w:rPr/>
        <w:t>κατά 62 μ.β.</w:t>
      </w:r>
      <w:r>
        <w:rPr>
          <w:spacing w:val="-2"/>
        </w:rPr>
        <w:t> </w:t>
      </w:r>
      <w:r>
        <w:rPr/>
        <w:t>έναντι της αντίστοιχης περιόδου του 2024 (γ΄ τρίμηνο 2024: 9,27%) και παραμένοντας σε χαμηλότερο επίπεδο από τον μέσο όρο των χωρών της ζώνης του ευρώ (γ΄ τρίμηνο 2025: 10,4%).</w:t>
      </w:r>
    </w:p>
    <w:p>
      <w:pPr>
        <w:pStyle w:val="BodyText"/>
        <w:spacing w:line="285" w:lineRule="auto" w:before="49"/>
        <w:ind w:left="172" w:right="957"/>
        <w:jc w:val="both"/>
      </w:pPr>
      <w:r>
        <w:rPr/>
        <w:t>Λαμβάνοντας υπόψη τους παραπάνω παράγοντες κινδύνου, η χρηματοοικονομική κατάσταση των</w:t>
      </w:r>
      <w:r>
        <w:rPr>
          <w:spacing w:val="-2"/>
        </w:rPr>
        <w:t> </w:t>
      </w:r>
      <w:r>
        <w:rPr/>
        <w:t>νοικοκυριών</w:t>
      </w:r>
      <w:r>
        <w:rPr>
          <w:spacing w:val="-1"/>
        </w:rPr>
        <w:t> </w:t>
      </w:r>
      <w:r>
        <w:rPr/>
        <w:t>δεν</w:t>
      </w:r>
      <w:r>
        <w:rPr>
          <w:spacing w:val="-1"/>
        </w:rPr>
        <w:t> </w:t>
      </w:r>
      <w:r>
        <w:rPr/>
        <w:t>εγείρει ανησυχίες</w:t>
      </w:r>
      <w:r>
        <w:rPr>
          <w:spacing w:val="-1"/>
        </w:rPr>
        <w:t> </w:t>
      </w:r>
      <w:r>
        <w:rPr/>
        <w:t>για</w:t>
      </w:r>
      <w:r>
        <w:rPr>
          <w:spacing w:val="-1"/>
        </w:rPr>
        <w:t> </w:t>
      </w:r>
      <w:r>
        <w:rPr/>
        <w:t>τη</w:t>
      </w:r>
      <w:r>
        <w:rPr>
          <w:spacing w:val="-1"/>
        </w:rPr>
        <w:t> </w:t>
      </w:r>
      <w:r>
        <w:rPr/>
        <w:t>διαφύλαξη</w:t>
      </w:r>
      <w:r>
        <w:rPr>
          <w:spacing w:val="-2"/>
        </w:rPr>
        <w:t> </w:t>
      </w:r>
      <w:r>
        <w:rPr/>
        <w:t>της</w:t>
      </w:r>
      <w:r>
        <w:rPr>
          <w:spacing w:val="-2"/>
        </w:rPr>
        <w:t> </w:t>
      </w:r>
      <w:r>
        <w:rPr/>
        <w:t>χρηματοπιστωτικής</w:t>
      </w:r>
      <w:r>
        <w:rPr>
          <w:spacing w:val="-2"/>
        </w:rPr>
        <w:t> </w:t>
      </w:r>
      <w:r>
        <w:rPr/>
        <w:t>σταθερότητας σε βραχυπρόθεσμο ορίζοντα.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9"/>
        <w:rPr>
          <w:sz w:val="20"/>
        </w:rPr>
      </w:pPr>
      <w:r>
        <w:rPr>
          <w:sz w:val="20"/>
        </w:rPr>
        <mc:AlternateContent>
          <mc:Choice Requires="wps">
            <w:drawing>
              <wp:anchor distT="0" distB="0" distL="0" distR="0" allowOverlap="1" layoutInCell="1" locked="0" behindDoc="1" simplePos="0" relativeHeight="487606784">
                <wp:simplePos x="0" y="0"/>
                <wp:positionH relativeFrom="page">
                  <wp:posOffset>1009192</wp:posOffset>
                </wp:positionH>
                <wp:positionV relativeFrom="paragraph">
                  <wp:posOffset>250066</wp:posOffset>
                </wp:positionV>
                <wp:extent cx="1829435" cy="7620"/>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9.690302pt;width:144.020pt;height:.60004pt;mso-position-horizontal-relative:page;mso-position-vertical-relative:paragraph;z-index:-15709696;mso-wrap-distance-left:0;mso-wrap-distance-right:0" id="docshape166" filled="true" fillcolor="#000000" stroked="false">
                <v:fill type="solid"/>
                <w10:wrap type="topAndBottom"/>
              </v:rect>
            </w:pict>
          </mc:Fallback>
        </mc:AlternateContent>
      </w:r>
    </w:p>
    <w:p>
      <w:pPr>
        <w:spacing w:before="165"/>
        <w:ind w:left="172" w:right="956" w:firstLine="0"/>
        <w:jc w:val="both"/>
        <w:rPr>
          <w:sz w:val="16"/>
        </w:rPr>
      </w:pPr>
      <w:bookmarkStart w:name="_bookmark30" w:id="31"/>
      <w:bookmarkEnd w:id="31"/>
      <w:r>
        <w:rPr/>
      </w:r>
      <w:r>
        <w:rPr>
          <w:sz w:val="16"/>
          <w:vertAlign w:val="superscript"/>
        </w:rPr>
        <w:t>20</w:t>
      </w:r>
      <w:r>
        <w:rPr>
          <w:spacing w:val="-2"/>
          <w:sz w:val="16"/>
          <w:vertAlign w:val="baseline"/>
        </w:rPr>
        <w:t> </w:t>
      </w:r>
      <w:r>
        <w:rPr>
          <w:sz w:val="16"/>
          <w:vertAlign w:val="baseline"/>
        </w:rPr>
        <w:t>Τα</w:t>
      </w:r>
      <w:r>
        <w:rPr>
          <w:spacing w:val="-4"/>
          <w:sz w:val="16"/>
          <w:vertAlign w:val="baseline"/>
        </w:rPr>
        <w:t> </w:t>
      </w:r>
      <w:r>
        <w:rPr>
          <w:sz w:val="16"/>
          <w:vertAlign w:val="baseline"/>
        </w:rPr>
        <w:t>πειραματικά</w:t>
      </w:r>
      <w:r>
        <w:rPr>
          <w:spacing w:val="-4"/>
          <w:sz w:val="16"/>
          <w:vertAlign w:val="baseline"/>
        </w:rPr>
        <w:t> </w:t>
      </w:r>
      <w:r>
        <w:rPr>
          <w:sz w:val="16"/>
          <w:vertAlign w:val="baseline"/>
        </w:rPr>
        <w:t>δεδομένα</w:t>
      </w:r>
      <w:r>
        <w:rPr>
          <w:spacing w:val="-5"/>
          <w:sz w:val="16"/>
          <w:vertAlign w:val="baseline"/>
        </w:rPr>
        <w:t> </w:t>
      </w:r>
      <w:r>
        <w:rPr>
          <w:sz w:val="16"/>
          <w:vertAlign w:val="baseline"/>
        </w:rPr>
        <w:t>είναι</w:t>
      </w:r>
      <w:r>
        <w:rPr>
          <w:spacing w:val="-5"/>
          <w:sz w:val="16"/>
          <w:vertAlign w:val="baseline"/>
        </w:rPr>
        <w:t> </w:t>
      </w:r>
      <w:r>
        <w:rPr>
          <w:sz w:val="16"/>
          <w:vertAlign w:val="baseline"/>
        </w:rPr>
        <w:t>οικονομικά</w:t>
      </w:r>
      <w:r>
        <w:rPr>
          <w:spacing w:val="-5"/>
          <w:sz w:val="16"/>
          <w:vertAlign w:val="baseline"/>
        </w:rPr>
        <w:t> </w:t>
      </w:r>
      <w:r>
        <w:rPr>
          <w:sz w:val="16"/>
          <w:vertAlign w:val="baseline"/>
        </w:rPr>
        <w:t>και</w:t>
      </w:r>
      <w:r>
        <w:rPr>
          <w:spacing w:val="-4"/>
          <w:sz w:val="16"/>
          <w:vertAlign w:val="baseline"/>
        </w:rPr>
        <w:t> </w:t>
      </w:r>
      <w:r>
        <w:rPr>
          <w:sz w:val="16"/>
          <w:vertAlign w:val="baseline"/>
        </w:rPr>
        <w:t>χρηματοοικονομικά</w:t>
      </w:r>
      <w:r>
        <w:rPr>
          <w:spacing w:val="-4"/>
          <w:sz w:val="16"/>
          <w:vertAlign w:val="baseline"/>
        </w:rPr>
        <w:t> </w:t>
      </w:r>
      <w:r>
        <w:rPr>
          <w:sz w:val="16"/>
          <w:vertAlign w:val="baseline"/>
        </w:rPr>
        <w:t>δεδομένα που</w:t>
      </w:r>
      <w:r>
        <w:rPr>
          <w:spacing w:val="-2"/>
          <w:sz w:val="16"/>
          <w:vertAlign w:val="baseline"/>
        </w:rPr>
        <w:t> </w:t>
      </w:r>
      <w:r>
        <w:rPr>
          <w:sz w:val="16"/>
          <w:vertAlign w:val="baseline"/>
        </w:rPr>
        <w:t>συλλέγονται</w:t>
      </w:r>
      <w:r>
        <w:rPr>
          <w:spacing w:val="-4"/>
          <w:sz w:val="16"/>
          <w:vertAlign w:val="baseline"/>
        </w:rPr>
        <w:t> </w:t>
      </w:r>
      <w:r>
        <w:rPr>
          <w:sz w:val="16"/>
          <w:vertAlign w:val="baseline"/>
        </w:rPr>
        <w:t>και</w:t>
      </w:r>
      <w:r>
        <w:rPr>
          <w:spacing w:val="-5"/>
          <w:sz w:val="16"/>
          <w:vertAlign w:val="baseline"/>
        </w:rPr>
        <w:t> </w:t>
      </w:r>
      <w:r>
        <w:rPr>
          <w:sz w:val="16"/>
          <w:vertAlign w:val="baseline"/>
        </w:rPr>
        <w:t>καταρτίζονται</w:t>
      </w:r>
      <w:r>
        <w:rPr>
          <w:spacing w:val="-2"/>
          <w:sz w:val="16"/>
          <w:vertAlign w:val="baseline"/>
        </w:rPr>
        <w:t> </w:t>
      </w:r>
      <w:r>
        <w:rPr>
          <w:sz w:val="16"/>
          <w:vertAlign w:val="baseline"/>
        </w:rPr>
        <w:t>από</w:t>
      </w:r>
      <w:r>
        <w:rPr>
          <w:spacing w:val="-1"/>
          <w:sz w:val="16"/>
          <w:vertAlign w:val="baseline"/>
        </w:rPr>
        <w:t> </w:t>
      </w:r>
      <w:r>
        <w:rPr>
          <w:sz w:val="16"/>
          <w:vertAlign w:val="baseline"/>
        </w:rPr>
        <w:t>την</w:t>
      </w:r>
      <w:r>
        <w:rPr>
          <w:spacing w:val="-2"/>
          <w:sz w:val="16"/>
          <w:vertAlign w:val="baseline"/>
        </w:rPr>
        <w:t> </w:t>
      </w:r>
      <w:r>
        <w:rPr>
          <w:sz w:val="16"/>
          <w:vertAlign w:val="baseline"/>
        </w:rPr>
        <w:t>ΕΚΤ,</w:t>
      </w:r>
      <w:r>
        <w:rPr>
          <w:spacing w:val="-4"/>
          <w:sz w:val="16"/>
          <w:vertAlign w:val="baseline"/>
        </w:rPr>
        <w:t> </w:t>
      </w:r>
      <w:r>
        <w:rPr>
          <w:sz w:val="16"/>
          <w:vertAlign w:val="baseline"/>
        </w:rPr>
        <w:t>η</w:t>
      </w:r>
      <w:r>
        <w:rPr>
          <w:spacing w:val="40"/>
          <w:sz w:val="16"/>
          <w:vertAlign w:val="baseline"/>
        </w:rPr>
        <w:t> </w:t>
      </w:r>
      <w:r>
        <w:rPr>
          <w:sz w:val="16"/>
          <w:vertAlign w:val="baseline"/>
        </w:rPr>
        <w:t>ποιότητα</w:t>
      </w:r>
      <w:r>
        <w:rPr>
          <w:spacing w:val="-1"/>
          <w:sz w:val="16"/>
          <w:vertAlign w:val="baseline"/>
        </w:rPr>
        <w:t> </w:t>
      </w:r>
      <w:r>
        <w:rPr>
          <w:sz w:val="16"/>
          <w:vertAlign w:val="baseline"/>
        </w:rPr>
        <w:t>των</w:t>
      </w:r>
      <w:r>
        <w:rPr>
          <w:spacing w:val="-2"/>
          <w:sz w:val="16"/>
          <w:vertAlign w:val="baseline"/>
        </w:rPr>
        <w:t> </w:t>
      </w:r>
      <w:r>
        <w:rPr>
          <w:sz w:val="16"/>
          <w:vertAlign w:val="baseline"/>
        </w:rPr>
        <w:t>οποίων</w:t>
      </w:r>
      <w:r>
        <w:rPr>
          <w:spacing w:val="-2"/>
          <w:sz w:val="16"/>
          <w:vertAlign w:val="baseline"/>
        </w:rPr>
        <w:t> </w:t>
      </w:r>
      <w:r>
        <w:rPr>
          <w:sz w:val="16"/>
          <w:vertAlign w:val="baseline"/>
        </w:rPr>
        <w:t>δεν είναι εφάμιλλη</w:t>
      </w:r>
      <w:r>
        <w:rPr>
          <w:spacing w:val="-1"/>
          <w:sz w:val="16"/>
          <w:vertAlign w:val="baseline"/>
        </w:rPr>
        <w:t> </w:t>
      </w:r>
      <w:r>
        <w:rPr>
          <w:sz w:val="16"/>
          <w:vertAlign w:val="baseline"/>
        </w:rPr>
        <w:t>των άλλων στατιστικών</w:t>
      </w:r>
      <w:r>
        <w:rPr>
          <w:spacing w:val="-2"/>
          <w:sz w:val="16"/>
          <w:vertAlign w:val="baseline"/>
        </w:rPr>
        <w:t> </w:t>
      </w:r>
      <w:r>
        <w:rPr>
          <w:sz w:val="16"/>
          <w:vertAlign w:val="baseline"/>
        </w:rPr>
        <w:t>της ΕΚΤ, ωστόσο θεωρούνται</w:t>
      </w:r>
      <w:r>
        <w:rPr>
          <w:spacing w:val="-1"/>
          <w:sz w:val="16"/>
          <w:vertAlign w:val="baseline"/>
        </w:rPr>
        <w:t> </w:t>
      </w:r>
      <w:r>
        <w:rPr>
          <w:sz w:val="16"/>
          <w:vertAlign w:val="baseline"/>
        </w:rPr>
        <w:t>επαρκώς αξιόπιστα ώστε να</w:t>
      </w:r>
      <w:r>
        <w:rPr>
          <w:spacing w:val="-1"/>
          <w:sz w:val="16"/>
          <w:vertAlign w:val="baseline"/>
        </w:rPr>
        <w:t> </w:t>
      </w:r>
      <w:r>
        <w:rPr>
          <w:sz w:val="16"/>
          <w:vertAlign w:val="baseline"/>
        </w:rPr>
        <w:t>χρησι-μοποιηθούν για σκοπούς νομισματικής πολιτικής και για τα υπόλοιπα καθήκοντα του ΕΣΚΤ.</w:t>
      </w:r>
    </w:p>
    <w:p>
      <w:pPr>
        <w:spacing w:before="21"/>
        <w:ind w:left="172" w:right="0" w:firstLine="0"/>
        <w:jc w:val="both"/>
        <w:rPr>
          <w:sz w:val="16"/>
        </w:rPr>
      </w:pPr>
      <w:bookmarkStart w:name="_bookmark31" w:id="32"/>
      <w:bookmarkEnd w:id="32"/>
      <w:r>
        <w:rPr/>
      </w:r>
      <w:r>
        <w:rPr>
          <w:sz w:val="16"/>
          <w:vertAlign w:val="superscript"/>
        </w:rPr>
        <w:t>21</w:t>
      </w:r>
      <w:r>
        <w:rPr>
          <w:spacing w:val="-6"/>
          <w:sz w:val="16"/>
          <w:vertAlign w:val="baseline"/>
        </w:rPr>
        <w:t> </w:t>
      </w:r>
      <w:r>
        <w:rPr>
          <w:sz w:val="16"/>
          <w:vertAlign w:val="baseline"/>
        </w:rPr>
        <w:t>Βλ.</w:t>
      </w:r>
      <w:r>
        <w:rPr>
          <w:spacing w:val="-5"/>
          <w:sz w:val="16"/>
          <w:vertAlign w:val="baseline"/>
        </w:rPr>
        <w:t> </w:t>
      </w:r>
      <w:hyperlink r:id="rId29">
        <w:r>
          <w:rPr>
            <w:color w:val="0000FF"/>
            <w:sz w:val="16"/>
            <w:u w:val="single" w:color="0000FF"/>
            <w:vertAlign w:val="baseline"/>
          </w:rPr>
          <w:t>Distributional</w:t>
        </w:r>
        <w:r>
          <w:rPr>
            <w:color w:val="0000FF"/>
            <w:spacing w:val="-4"/>
            <w:sz w:val="16"/>
            <w:u w:val="single" w:color="0000FF"/>
            <w:vertAlign w:val="baseline"/>
          </w:rPr>
          <w:t> </w:t>
        </w:r>
        <w:r>
          <w:rPr>
            <w:color w:val="0000FF"/>
            <w:sz w:val="16"/>
            <w:u w:val="single" w:color="0000FF"/>
            <w:vertAlign w:val="baseline"/>
          </w:rPr>
          <w:t>Wealth</w:t>
        </w:r>
        <w:r>
          <w:rPr>
            <w:color w:val="0000FF"/>
            <w:spacing w:val="-3"/>
            <w:sz w:val="16"/>
            <w:u w:val="single" w:color="0000FF"/>
            <w:vertAlign w:val="baseline"/>
          </w:rPr>
          <w:t> </w:t>
        </w:r>
        <w:r>
          <w:rPr>
            <w:color w:val="0000FF"/>
            <w:spacing w:val="-2"/>
            <w:sz w:val="16"/>
            <w:u w:val="single" w:color="0000FF"/>
            <w:vertAlign w:val="baseline"/>
          </w:rPr>
          <w:t>Accounts</w:t>
        </w:r>
        <w:r>
          <w:rPr>
            <w:spacing w:val="-2"/>
            <w:sz w:val="16"/>
            <w:vertAlign w:val="baseline"/>
          </w:rPr>
          <w:t>.</w:t>
        </w:r>
      </w:hyperlink>
    </w:p>
    <w:p>
      <w:pPr>
        <w:spacing w:before="20"/>
        <w:ind w:left="172" w:right="963" w:firstLine="0"/>
        <w:jc w:val="both"/>
        <w:rPr>
          <w:sz w:val="16"/>
        </w:rPr>
      </w:pPr>
      <w:bookmarkStart w:name="_bookmark32" w:id="33"/>
      <w:bookmarkEnd w:id="33"/>
      <w:r>
        <w:rPr/>
      </w:r>
      <w:r>
        <w:rPr>
          <w:sz w:val="16"/>
          <w:vertAlign w:val="superscript"/>
        </w:rPr>
        <w:t>22</w:t>
      </w:r>
      <w:r>
        <w:rPr>
          <w:spacing w:val="-2"/>
          <w:sz w:val="16"/>
          <w:vertAlign w:val="baseline"/>
        </w:rPr>
        <w:t> </w:t>
      </w:r>
      <w:r>
        <w:rPr>
          <w:sz w:val="16"/>
          <w:vertAlign w:val="baseline"/>
        </w:rPr>
        <w:t>O</w:t>
      </w:r>
      <w:r>
        <w:rPr>
          <w:spacing w:val="-3"/>
          <w:sz w:val="16"/>
          <w:vertAlign w:val="baseline"/>
        </w:rPr>
        <w:t> </w:t>
      </w:r>
      <w:r>
        <w:rPr>
          <w:sz w:val="16"/>
          <w:vertAlign w:val="baseline"/>
        </w:rPr>
        <w:t>καθαρός</w:t>
      </w:r>
      <w:r>
        <w:rPr>
          <w:spacing w:val="-1"/>
          <w:sz w:val="16"/>
          <w:vertAlign w:val="baseline"/>
        </w:rPr>
        <w:t> </w:t>
      </w:r>
      <w:r>
        <w:rPr>
          <w:sz w:val="16"/>
          <w:vertAlign w:val="baseline"/>
        </w:rPr>
        <w:t>πλούτος</w:t>
      </w:r>
      <w:r>
        <w:rPr>
          <w:spacing w:val="-3"/>
          <w:sz w:val="16"/>
          <w:vertAlign w:val="baseline"/>
        </w:rPr>
        <w:t> </w:t>
      </w:r>
      <w:r>
        <w:rPr>
          <w:sz w:val="16"/>
          <w:vertAlign w:val="baseline"/>
        </w:rPr>
        <w:t>ανά</w:t>
      </w:r>
      <w:r>
        <w:rPr>
          <w:spacing w:val="-4"/>
          <w:sz w:val="16"/>
          <w:vertAlign w:val="baseline"/>
        </w:rPr>
        <w:t> </w:t>
      </w:r>
      <w:r>
        <w:rPr>
          <w:sz w:val="16"/>
          <w:vertAlign w:val="baseline"/>
        </w:rPr>
        <w:t>κάτοικο</w:t>
      </w:r>
      <w:r>
        <w:rPr>
          <w:spacing w:val="-1"/>
          <w:sz w:val="16"/>
          <w:vertAlign w:val="baseline"/>
        </w:rPr>
        <w:t> </w:t>
      </w:r>
      <w:r>
        <w:rPr>
          <w:sz w:val="16"/>
          <w:vertAlign w:val="baseline"/>
        </w:rPr>
        <w:t>είναι</w:t>
      </w:r>
      <w:r>
        <w:rPr>
          <w:spacing w:val="-2"/>
          <w:sz w:val="16"/>
          <w:vertAlign w:val="baseline"/>
        </w:rPr>
        <w:t> </w:t>
      </w:r>
      <w:r>
        <w:rPr>
          <w:sz w:val="16"/>
          <w:vertAlign w:val="baseline"/>
        </w:rPr>
        <w:t>η</w:t>
      </w:r>
      <w:r>
        <w:rPr>
          <w:spacing w:val="-4"/>
          <w:sz w:val="16"/>
          <w:vertAlign w:val="baseline"/>
        </w:rPr>
        <w:t> </w:t>
      </w:r>
      <w:r>
        <w:rPr>
          <w:sz w:val="16"/>
          <w:vertAlign w:val="baseline"/>
        </w:rPr>
        <w:t>διαφορά</w:t>
      </w:r>
      <w:r>
        <w:rPr>
          <w:spacing w:val="-5"/>
          <w:sz w:val="16"/>
          <w:vertAlign w:val="baseline"/>
        </w:rPr>
        <w:t> </w:t>
      </w:r>
      <w:r>
        <w:rPr>
          <w:sz w:val="16"/>
          <w:vertAlign w:val="baseline"/>
        </w:rPr>
        <w:t>μεταξύ</w:t>
      </w:r>
      <w:r>
        <w:rPr>
          <w:spacing w:val="-5"/>
          <w:sz w:val="16"/>
          <w:vertAlign w:val="baseline"/>
        </w:rPr>
        <w:t> </w:t>
      </w:r>
      <w:r>
        <w:rPr>
          <w:sz w:val="16"/>
          <w:vertAlign w:val="baseline"/>
        </w:rPr>
        <w:t>του</w:t>
      </w:r>
      <w:r>
        <w:rPr>
          <w:spacing w:val="-2"/>
          <w:sz w:val="16"/>
          <w:vertAlign w:val="baseline"/>
        </w:rPr>
        <w:t> </w:t>
      </w:r>
      <w:r>
        <w:rPr>
          <w:sz w:val="16"/>
          <w:vertAlign w:val="baseline"/>
        </w:rPr>
        <w:t>συνόλου</w:t>
      </w:r>
      <w:r>
        <w:rPr>
          <w:spacing w:val="-5"/>
          <w:sz w:val="16"/>
          <w:vertAlign w:val="baseline"/>
        </w:rPr>
        <w:t> </w:t>
      </w:r>
      <w:r>
        <w:rPr>
          <w:sz w:val="16"/>
          <w:vertAlign w:val="baseline"/>
        </w:rPr>
        <w:t>των</w:t>
      </w:r>
      <w:r>
        <w:rPr>
          <w:spacing w:val="-7"/>
          <w:sz w:val="16"/>
          <w:vertAlign w:val="baseline"/>
        </w:rPr>
        <w:t> </w:t>
      </w:r>
      <w:r>
        <w:rPr>
          <w:sz w:val="16"/>
          <w:vertAlign w:val="baseline"/>
        </w:rPr>
        <w:t>περιουσιακών</w:t>
      </w:r>
      <w:r>
        <w:rPr>
          <w:spacing w:val="-5"/>
          <w:sz w:val="16"/>
          <w:vertAlign w:val="baseline"/>
        </w:rPr>
        <w:t> </w:t>
      </w:r>
      <w:r>
        <w:rPr>
          <w:sz w:val="16"/>
          <w:vertAlign w:val="baseline"/>
        </w:rPr>
        <w:t>του</w:t>
      </w:r>
      <w:r>
        <w:rPr>
          <w:spacing w:val="-2"/>
          <w:sz w:val="16"/>
          <w:vertAlign w:val="baseline"/>
        </w:rPr>
        <w:t> </w:t>
      </w:r>
      <w:r>
        <w:rPr>
          <w:sz w:val="16"/>
          <w:vertAlign w:val="baseline"/>
        </w:rPr>
        <w:t>στοιχείων</w:t>
      </w:r>
      <w:r>
        <w:rPr>
          <w:spacing w:val="-2"/>
          <w:sz w:val="16"/>
          <w:vertAlign w:val="baseline"/>
        </w:rPr>
        <w:t> </w:t>
      </w:r>
      <w:r>
        <w:rPr>
          <w:sz w:val="16"/>
          <w:vertAlign w:val="baseline"/>
        </w:rPr>
        <w:t>(χρηματοοικονομικών</w:t>
      </w:r>
      <w:r>
        <w:rPr>
          <w:spacing w:val="-5"/>
          <w:sz w:val="16"/>
          <w:vertAlign w:val="baseline"/>
        </w:rPr>
        <w:t> </w:t>
      </w:r>
      <w:r>
        <w:rPr>
          <w:sz w:val="16"/>
          <w:vertAlign w:val="baseline"/>
        </w:rPr>
        <w:t>και</w:t>
      </w:r>
      <w:r>
        <w:rPr>
          <w:spacing w:val="40"/>
          <w:sz w:val="16"/>
          <w:vertAlign w:val="baseline"/>
        </w:rPr>
        <w:t> </w:t>
      </w:r>
      <w:r>
        <w:rPr>
          <w:sz w:val="16"/>
          <w:vertAlign w:val="baseline"/>
        </w:rPr>
        <w:t>μη χρηματοοικονομικών) και του συνόλου του χρέους του.</w:t>
      </w:r>
    </w:p>
    <w:p>
      <w:pPr>
        <w:spacing w:after="0"/>
        <w:jc w:val="both"/>
        <w:rPr>
          <w:sz w:val="16"/>
        </w:rPr>
        <w:sectPr>
          <w:pgSz w:w="11910" w:h="16850"/>
          <w:pgMar w:header="0" w:footer="1108" w:top="1800" w:bottom="1360" w:left="1417" w:right="850"/>
        </w:sectPr>
      </w:pPr>
    </w:p>
    <w:p>
      <w:pPr>
        <w:pStyle w:val="Heading2"/>
        <w:numPr>
          <w:ilvl w:val="1"/>
          <w:numId w:val="2"/>
        </w:numPr>
        <w:tabs>
          <w:tab w:pos="568" w:val="left" w:leader="none"/>
        </w:tabs>
        <w:spacing w:line="240" w:lineRule="auto" w:before="70" w:after="0"/>
        <w:ind w:left="568" w:right="0" w:hanging="396"/>
        <w:jc w:val="left"/>
        <w:rPr>
          <w:color w:val="1F487C"/>
        </w:rPr>
      </w:pPr>
      <w:bookmarkStart w:name="_bookmark33" w:id="34"/>
      <w:bookmarkEnd w:id="34"/>
      <w:r>
        <w:rPr>
          <w:b w:val="0"/>
        </w:rPr>
      </w:r>
      <w:r>
        <w:rPr>
          <w:color w:val="1F487C"/>
        </w:rPr>
        <w:t>ΧΡΗΜΑΤΟΟΙΚΟΝΟΜΙΚΗ</w:t>
      </w:r>
      <w:r>
        <w:rPr>
          <w:color w:val="1F487C"/>
          <w:spacing w:val="-4"/>
        </w:rPr>
        <w:t> </w:t>
      </w:r>
      <w:r>
        <w:rPr>
          <w:color w:val="1F487C"/>
        </w:rPr>
        <w:t>ΚΑΤΑΣΤΑΣΗ</w:t>
      </w:r>
      <w:r>
        <w:rPr>
          <w:color w:val="1F487C"/>
          <w:spacing w:val="-3"/>
        </w:rPr>
        <w:t> </w:t>
      </w:r>
      <w:r>
        <w:rPr>
          <w:color w:val="1F487C"/>
          <w:spacing w:val="-2"/>
        </w:rPr>
        <w:t>ΕΠΙΧΕΙΡΗΣΕΩΝ</w:t>
      </w:r>
    </w:p>
    <w:p>
      <w:pPr>
        <w:pStyle w:val="Heading3"/>
        <w:numPr>
          <w:ilvl w:val="2"/>
          <w:numId w:val="2"/>
        </w:numPr>
        <w:tabs>
          <w:tab w:pos="738" w:val="left" w:leader="none"/>
        </w:tabs>
        <w:spacing w:line="240" w:lineRule="auto" w:before="242" w:after="0"/>
        <w:ind w:left="738" w:right="0" w:hanging="566"/>
        <w:jc w:val="left"/>
        <w:rPr>
          <w:color w:val="1F487C"/>
        </w:rPr>
      </w:pPr>
      <w:bookmarkStart w:name="_bookmark34" w:id="35"/>
      <w:bookmarkEnd w:id="35"/>
      <w:r>
        <w:rPr>
          <w:b w:val="0"/>
        </w:rPr>
      </w:r>
      <w:r>
        <w:rPr>
          <w:color w:val="1F487C"/>
          <w:spacing w:val="-2"/>
        </w:rPr>
        <w:t>ΧΡΗΜΑΤΟΟΙΚΟΝΟΜΙΚΑ</w:t>
      </w:r>
      <w:r>
        <w:rPr>
          <w:color w:val="1F487C"/>
          <w:spacing w:val="14"/>
        </w:rPr>
        <w:t> </w:t>
      </w:r>
      <w:r>
        <w:rPr>
          <w:color w:val="1F487C"/>
          <w:spacing w:val="-2"/>
        </w:rPr>
        <w:t>ΣΤΟΙΧΕΙΑ</w:t>
      </w:r>
    </w:p>
    <w:p>
      <w:pPr>
        <w:pStyle w:val="BodyText"/>
        <w:spacing w:line="285" w:lineRule="auto" w:before="153"/>
        <w:ind w:left="172" w:right="5348"/>
        <w:jc w:val="both"/>
      </w:pPr>
      <w:r>
        <w:rPr/>
        <mc:AlternateContent>
          <mc:Choice Requires="wps">
            <w:drawing>
              <wp:anchor distT="0" distB="0" distL="0" distR="0" allowOverlap="1" layoutInCell="1" locked="0" behindDoc="0" simplePos="0" relativeHeight="15749120">
                <wp:simplePos x="0" y="0"/>
                <wp:positionH relativeFrom="page">
                  <wp:posOffset>3735959</wp:posOffset>
                </wp:positionH>
                <wp:positionV relativeFrom="paragraph">
                  <wp:posOffset>218595</wp:posOffset>
                </wp:positionV>
                <wp:extent cx="2665095" cy="46990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665095" cy="469900"/>
                        </a:xfrm>
                        <a:prstGeom prst="rect">
                          <a:avLst/>
                        </a:prstGeom>
                        <a:solidFill>
                          <a:srgbClr val="1F487C"/>
                        </a:solidFill>
                      </wps:spPr>
                      <wps:txbx>
                        <w:txbxContent>
                          <w:p>
                            <w:pPr>
                              <w:spacing w:before="60"/>
                              <w:ind w:left="112" w:right="29" w:firstLine="0"/>
                              <w:jc w:val="both"/>
                              <w:rPr>
                                <w:b/>
                                <w:color w:val="000000"/>
                                <w:sz w:val="18"/>
                              </w:rPr>
                            </w:pPr>
                            <w:r>
                              <w:rPr>
                                <w:b/>
                                <w:color w:val="FFFFFF"/>
                                <w:sz w:val="18"/>
                              </w:rPr>
                              <w:t>Δ</w:t>
                            </w:r>
                            <w:r>
                              <w:rPr>
                                <w:b/>
                                <w:smallCaps/>
                                <w:color w:val="FFFFFF"/>
                                <w:sz w:val="18"/>
                              </w:rPr>
                              <w:t>ι</w:t>
                            </w:r>
                            <w:r>
                              <w:rPr>
                                <w:b/>
                                <w:smallCaps w:val="0"/>
                                <w:color w:val="FFFFFF"/>
                                <w:sz w:val="18"/>
                              </w:rPr>
                              <w:t>άγραμμα ΙΙ.4 Εξέλ</w:t>
                            </w:r>
                            <w:r>
                              <w:rPr>
                                <w:b/>
                                <w:smallCaps/>
                                <w:color w:val="FFFFFF"/>
                                <w:sz w:val="18"/>
                              </w:rPr>
                              <w:t>ι</w:t>
                            </w:r>
                            <w:r>
                              <w:rPr>
                                <w:b/>
                                <w:smallCaps w:val="0"/>
                                <w:color w:val="FFFFFF"/>
                                <w:sz w:val="18"/>
                              </w:rPr>
                              <w:t>ξη κύκλου εργασ</w:t>
                            </w:r>
                            <w:r>
                              <w:rPr>
                                <w:b/>
                                <w:smallCaps/>
                                <w:color w:val="FFFFFF"/>
                                <w:sz w:val="18"/>
                              </w:rPr>
                              <w:t>ι</w:t>
                            </w:r>
                            <w:r>
                              <w:rPr>
                                <w:b/>
                                <w:smallCaps w:val="0"/>
                                <w:color w:val="FFFFFF"/>
                                <w:sz w:val="18"/>
                              </w:rPr>
                              <w:t>ών γ</w:t>
                            </w:r>
                            <w:r>
                              <w:rPr>
                                <w:b/>
                                <w:smallCaps/>
                                <w:color w:val="FFFFFF"/>
                                <w:sz w:val="18"/>
                              </w:rPr>
                              <w:t>ι</w:t>
                            </w:r>
                            <w:r>
                              <w:rPr>
                                <w:b/>
                                <w:smallCaps w:val="0"/>
                                <w:color w:val="FFFFFF"/>
                                <w:sz w:val="18"/>
                              </w:rPr>
                              <w:t>α το σύ-νολο</w:t>
                            </w:r>
                            <w:r>
                              <w:rPr>
                                <w:b/>
                                <w:smallCaps w:val="0"/>
                                <w:color w:val="FFFFFF"/>
                                <w:spacing w:val="-8"/>
                                <w:sz w:val="18"/>
                              </w:rPr>
                              <w:t> </w:t>
                            </w:r>
                            <w:r>
                              <w:rPr>
                                <w:b/>
                                <w:smallCaps w:val="0"/>
                                <w:color w:val="FFFFFF"/>
                                <w:sz w:val="18"/>
                              </w:rPr>
                              <w:t>των</w:t>
                            </w:r>
                            <w:r>
                              <w:rPr>
                                <w:b/>
                                <w:smallCaps w:val="0"/>
                                <w:color w:val="FFFFFF"/>
                                <w:spacing w:val="-8"/>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w:t>
                            </w:r>
                            <w:r>
                              <w:rPr>
                                <w:b/>
                                <w:smallCaps w:val="0"/>
                                <w:color w:val="FFFFFF"/>
                                <w:spacing w:val="-10"/>
                                <w:sz w:val="18"/>
                              </w:rPr>
                              <w:t> </w:t>
                            </w:r>
                            <w:r>
                              <w:rPr>
                                <w:b/>
                                <w:smallCaps w:val="0"/>
                                <w:color w:val="FFFFFF"/>
                                <w:sz w:val="18"/>
                              </w:rPr>
                              <w:t>κα</w:t>
                            </w:r>
                            <w:r>
                              <w:rPr>
                                <w:b/>
                                <w:smallCaps/>
                                <w:color w:val="FFFFFF"/>
                                <w:sz w:val="18"/>
                              </w:rPr>
                              <w:t>ι</w:t>
                            </w:r>
                            <w:r>
                              <w:rPr>
                                <w:b/>
                                <w:smallCaps w:val="0"/>
                                <w:color w:val="FFFFFF"/>
                                <w:spacing w:val="-9"/>
                                <w:sz w:val="18"/>
                              </w:rPr>
                              <w:t> </w:t>
                            </w:r>
                            <w:r>
                              <w:rPr>
                                <w:b/>
                                <w:smallCaps w:val="0"/>
                                <w:color w:val="FFFFFF"/>
                                <w:sz w:val="18"/>
                              </w:rPr>
                              <w:t>των</w:t>
                            </w:r>
                            <w:r>
                              <w:rPr>
                                <w:b/>
                                <w:smallCaps w:val="0"/>
                                <w:color w:val="FFFFFF"/>
                                <w:spacing w:val="-10"/>
                                <w:sz w:val="18"/>
                              </w:rPr>
                              <w:t> </w:t>
                            </w:r>
                            <w:r>
                              <w:rPr>
                                <w:b/>
                                <w:smallCaps w:val="0"/>
                                <w:color w:val="FFFFFF"/>
                                <w:sz w:val="18"/>
                              </w:rPr>
                              <w:t>δραστηρ</w:t>
                            </w:r>
                            <w:r>
                              <w:rPr>
                                <w:b/>
                                <w:smallCaps/>
                                <w:color w:val="FFFFFF"/>
                                <w:sz w:val="18"/>
                              </w:rPr>
                              <w:t>ιο</w:t>
                            </w:r>
                            <w:r>
                              <w:rPr>
                                <w:b/>
                                <w:smallCaps w:val="0"/>
                                <w:color w:val="FFFFFF"/>
                                <w:sz w:val="18"/>
                              </w:rPr>
                              <w:t>τήτων</w:t>
                            </w:r>
                            <w:r>
                              <w:rPr>
                                <w:b/>
                                <w:smallCaps w:val="0"/>
                                <w:color w:val="FFFFFF"/>
                                <w:spacing w:val="-10"/>
                                <w:sz w:val="18"/>
                              </w:rPr>
                              <w:t> </w:t>
                            </w:r>
                            <w:r>
                              <w:rPr>
                                <w:b/>
                                <w:smallCaps w:val="0"/>
                                <w:color w:val="FFFFFF"/>
                                <w:sz w:val="18"/>
                              </w:rPr>
                              <w:t>της </w:t>
                            </w:r>
                            <w:r>
                              <w:rPr>
                                <w:b/>
                                <w:smallCaps w:val="0"/>
                                <w:color w:val="FFFFFF"/>
                                <w:spacing w:val="-2"/>
                                <w:sz w:val="18"/>
                              </w:rPr>
                              <w:t>ο</w:t>
                            </w:r>
                            <w:r>
                              <w:rPr>
                                <w:b/>
                                <w:smallCaps/>
                                <w:color w:val="FFFFFF"/>
                                <w:spacing w:val="-2"/>
                                <w:sz w:val="18"/>
                              </w:rPr>
                              <w:t>ι</w:t>
                            </w:r>
                            <w:r>
                              <w:rPr>
                                <w:b/>
                                <w:smallCaps w:val="0"/>
                                <w:color w:val="FFFFFF"/>
                                <w:spacing w:val="-2"/>
                                <w:sz w:val="18"/>
                              </w:rPr>
                              <w:t>κονομίας</w:t>
                            </w:r>
                          </w:p>
                        </w:txbxContent>
                      </wps:txbx>
                      <wps:bodyPr wrap="square" lIns="0" tIns="0" rIns="0" bIns="0" rtlCol="0">
                        <a:noAutofit/>
                      </wps:bodyPr>
                    </wps:wsp>
                  </a:graphicData>
                </a:graphic>
              </wp:anchor>
            </w:drawing>
          </mc:Choice>
          <mc:Fallback>
            <w:pict>
              <v:shape style="position:absolute;margin-left:294.170013pt;margin-top:17.212246pt;width:209.85pt;height:37pt;mso-position-horizontal-relative:page;mso-position-vertical-relative:paragraph;z-index:15749120" type="#_x0000_t202" id="docshape167" filled="true" fillcolor="#1f487c" stroked="false">
                <v:textbox inset="0,0,0,0">
                  <w:txbxContent>
                    <w:p>
                      <w:pPr>
                        <w:spacing w:before="60"/>
                        <w:ind w:left="112" w:right="29" w:firstLine="0"/>
                        <w:jc w:val="both"/>
                        <w:rPr>
                          <w:b/>
                          <w:color w:val="000000"/>
                          <w:sz w:val="18"/>
                        </w:rPr>
                      </w:pPr>
                      <w:r>
                        <w:rPr>
                          <w:b/>
                          <w:color w:val="FFFFFF"/>
                          <w:sz w:val="18"/>
                        </w:rPr>
                        <w:t>Δ</w:t>
                      </w:r>
                      <w:r>
                        <w:rPr>
                          <w:b/>
                          <w:smallCaps/>
                          <w:color w:val="FFFFFF"/>
                          <w:sz w:val="18"/>
                        </w:rPr>
                        <w:t>ι</w:t>
                      </w:r>
                      <w:r>
                        <w:rPr>
                          <w:b/>
                          <w:smallCaps w:val="0"/>
                          <w:color w:val="FFFFFF"/>
                          <w:sz w:val="18"/>
                        </w:rPr>
                        <w:t>άγραμμα ΙΙ.4 Εξέλ</w:t>
                      </w:r>
                      <w:r>
                        <w:rPr>
                          <w:b/>
                          <w:smallCaps/>
                          <w:color w:val="FFFFFF"/>
                          <w:sz w:val="18"/>
                        </w:rPr>
                        <w:t>ι</w:t>
                      </w:r>
                      <w:r>
                        <w:rPr>
                          <w:b/>
                          <w:smallCaps w:val="0"/>
                          <w:color w:val="FFFFFF"/>
                          <w:sz w:val="18"/>
                        </w:rPr>
                        <w:t>ξη κύκλου εργασ</w:t>
                      </w:r>
                      <w:r>
                        <w:rPr>
                          <w:b/>
                          <w:smallCaps/>
                          <w:color w:val="FFFFFF"/>
                          <w:sz w:val="18"/>
                        </w:rPr>
                        <w:t>ι</w:t>
                      </w:r>
                      <w:r>
                        <w:rPr>
                          <w:b/>
                          <w:smallCaps w:val="0"/>
                          <w:color w:val="FFFFFF"/>
                          <w:sz w:val="18"/>
                        </w:rPr>
                        <w:t>ών γ</w:t>
                      </w:r>
                      <w:r>
                        <w:rPr>
                          <w:b/>
                          <w:smallCaps/>
                          <w:color w:val="FFFFFF"/>
                          <w:sz w:val="18"/>
                        </w:rPr>
                        <w:t>ι</w:t>
                      </w:r>
                      <w:r>
                        <w:rPr>
                          <w:b/>
                          <w:smallCaps w:val="0"/>
                          <w:color w:val="FFFFFF"/>
                          <w:sz w:val="18"/>
                        </w:rPr>
                        <w:t>α το σύ-νολο</w:t>
                      </w:r>
                      <w:r>
                        <w:rPr>
                          <w:b/>
                          <w:smallCaps w:val="0"/>
                          <w:color w:val="FFFFFF"/>
                          <w:spacing w:val="-8"/>
                          <w:sz w:val="18"/>
                        </w:rPr>
                        <w:t> </w:t>
                      </w:r>
                      <w:r>
                        <w:rPr>
                          <w:b/>
                          <w:smallCaps w:val="0"/>
                          <w:color w:val="FFFFFF"/>
                          <w:sz w:val="18"/>
                        </w:rPr>
                        <w:t>των</w:t>
                      </w:r>
                      <w:r>
                        <w:rPr>
                          <w:b/>
                          <w:smallCaps w:val="0"/>
                          <w:color w:val="FFFFFF"/>
                          <w:spacing w:val="-8"/>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w:t>
                      </w:r>
                      <w:r>
                        <w:rPr>
                          <w:b/>
                          <w:smallCaps w:val="0"/>
                          <w:color w:val="FFFFFF"/>
                          <w:spacing w:val="-10"/>
                          <w:sz w:val="18"/>
                        </w:rPr>
                        <w:t> </w:t>
                      </w:r>
                      <w:r>
                        <w:rPr>
                          <w:b/>
                          <w:smallCaps w:val="0"/>
                          <w:color w:val="FFFFFF"/>
                          <w:sz w:val="18"/>
                        </w:rPr>
                        <w:t>κα</w:t>
                      </w:r>
                      <w:r>
                        <w:rPr>
                          <w:b/>
                          <w:smallCaps/>
                          <w:color w:val="FFFFFF"/>
                          <w:sz w:val="18"/>
                        </w:rPr>
                        <w:t>ι</w:t>
                      </w:r>
                      <w:r>
                        <w:rPr>
                          <w:b/>
                          <w:smallCaps w:val="0"/>
                          <w:color w:val="FFFFFF"/>
                          <w:spacing w:val="-9"/>
                          <w:sz w:val="18"/>
                        </w:rPr>
                        <w:t> </w:t>
                      </w:r>
                      <w:r>
                        <w:rPr>
                          <w:b/>
                          <w:smallCaps w:val="0"/>
                          <w:color w:val="FFFFFF"/>
                          <w:sz w:val="18"/>
                        </w:rPr>
                        <w:t>των</w:t>
                      </w:r>
                      <w:r>
                        <w:rPr>
                          <w:b/>
                          <w:smallCaps w:val="0"/>
                          <w:color w:val="FFFFFF"/>
                          <w:spacing w:val="-10"/>
                          <w:sz w:val="18"/>
                        </w:rPr>
                        <w:t> </w:t>
                      </w:r>
                      <w:r>
                        <w:rPr>
                          <w:b/>
                          <w:smallCaps w:val="0"/>
                          <w:color w:val="FFFFFF"/>
                          <w:sz w:val="18"/>
                        </w:rPr>
                        <w:t>δραστηρ</w:t>
                      </w:r>
                      <w:r>
                        <w:rPr>
                          <w:b/>
                          <w:smallCaps/>
                          <w:color w:val="FFFFFF"/>
                          <w:sz w:val="18"/>
                        </w:rPr>
                        <w:t>ιο</w:t>
                      </w:r>
                      <w:r>
                        <w:rPr>
                          <w:b/>
                          <w:smallCaps w:val="0"/>
                          <w:color w:val="FFFFFF"/>
                          <w:sz w:val="18"/>
                        </w:rPr>
                        <w:t>τήτων</w:t>
                      </w:r>
                      <w:r>
                        <w:rPr>
                          <w:b/>
                          <w:smallCaps w:val="0"/>
                          <w:color w:val="FFFFFF"/>
                          <w:spacing w:val="-10"/>
                          <w:sz w:val="18"/>
                        </w:rPr>
                        <w:t> </w:t>
                      </w:r>
                      <w:r>
                        <w:rPr>
                          <w:b/>
                          <w:smallCaps w:val="0"/>
                          <w:color w:val="FFFFFF"/>
                          <w:sz w:val="18"/>
                        </w:rPr>
                        <w:t>της </w:t>
                      </w:r>
                      <w:r>
                        <w:rPr>
                          <w:b/>
                          <w:smallCaps w:val="0"/>
                          <w:color w:val="FFFFFF"/>
                          <w:spacing w:val="-2"/>
                          <w:sz w:val="18"/>
                        </w:rPr>
                        <w:t>ο</w:t>
                      </w:r>
                      <w:r>
                        <w:rPr>
                          <w:b/>
                          <w:smallCaps/>
                          <w:color w:val="FFFFFF"/>
                          <w:spacing w:val="-2"/>
                          <w:sz w:val="18"/>
                        </w:rPr>
                        <w:t>ι</w:t>
                      </w:r>
                      <w:r>
                        <w:rPr>
                          <w:b/>
                          <w:smallCaps w:val="0"/>
                          <w:color w:val="FFFFFF"/>
                          <w:spacing w:val="-2"/>
                          <w:sz w:val="18"/>
                        </w:rPr>
                        <w:t>κονομίας</w:t>
                      </w:r>
                    </w:p>
                  </w:txbxContent>
                </v:textbox>
                <v:fill type="solid"/>
                <w10:wrap type="none"/>
              </v:shape>
            </w:pict>
          </mc:Fallback>
        </mc:AlternateContent>
      </w:r>
      <w:r>
        <w:rPr/>
        <w:t>Το</w:t>
      </w:r>
      <w:r>
        <w:rPr>
          <w:spacing w:val="-14"/>
        </w:rPr>
        <w:t> </w:t>
      </w:r>
      <w:r>
        <w:rPr/>
        <w:t>2025</w:t>
      </w:r>
      <w:r>
        <w:rPr>
          <w:spacing w:val="-14"/>
        </w:rPr>
        <w:t> </w:t>
      </w:r>
      <w:r>
        <w:rPr/>
        <w:t>οι</w:t>
      </w:r>
      <w:r>
        <w:rPr>
          <w:spacing w:val="-14"/>
        </w:rPr>
        <w:t> </w:t>
      </w:r>
      <w:r>
        <w:rPr/>
        <w:t>ελληνικές</w:t>
      </w:r>
      <w:r>
        <w:rPr>
          <w:spacing w:val="-13"/>
        </w:rPr>
        <w:t> </w:t>
      </w:r>
      <w:r>
        <w:rPr/>
        <w:t>επιχειρήσεις</w:t>
      </w:r>
      <w:r>
        <w:rPr>
          <w:spacing w:val="-14"/>
        </w:rPr>
        <w:t> </w:t>
      </w:r>
      <w:r>
        <w:rPr/>
        <w:t>κατέγραψαν αυξημένα έσοδα σε σχέση με το 2024. Σύμ-φωνα</w:t>
      </w:r>
      <w:r>
        <w:rPr>
          <w:spacing w:val="-1"/>
        </w:rPr>
        <w:t> </w:t>
      </w:r>
      <w:r>
        <w:rPr/>
        <w:t>με</w:t>
      </w:r>
      <w:r>
        <w:rPr>
          <w:spacing w:val="5"/>
        </w:rPr>
        <w:t> </w:t>
      </w:r>
      <w:r>
        <w:rPr/>
        <w:t>τα</w:t>
      </w:r>
      <w:r>
        <w:rPr>
          <w:spacing w:val="3"/>
        </w:rPr>
        <w:t> </w:t>
      </w:r>
      <w:r>
        <w:rPr/>
        <w:t>στοιχεία</w:t>
      </w:r>
      <w:r>
        <w:rPr>
          <w:spacing w:val="5"/>
        </w:rPr>
        <w:t> </w:t>
      </w:r>
      <w:r>
        <w:rPr/>
        <w:t>της</w:t>
      </w:r>
      <w:r>
        <w:rPr>
          <w:spacing w:val="3"/>
        </w:rPr>
        <w:t> </w:t>
      </w:r>
      <w:r>
        <w:rPr/>
        <w:t>ΕΛΣΤΑΤ</w:t>
      </w:r>
      <w:hyperlink w:history="true" w:anchor="_bookmark36">
        <w:r>
          <w:rPr/>
          <w:t>,</w:t>
        </w:r>
        <w:r>
          <w:rPr>
            <w:position w:val="6"/>
            <w:sz w:val="10"/>
          </w:rPr>
          <w:t>23</w:t>
        </w:r>
      </w:hyperlink>
      <w:r>
        <w:rPr>
          <w:spacing w:val="35"/>
          <w:position w:val="6"/>
          <w:sz w:val="10"/>
        </w:rPr>
        <w:t> </w:t>
      </w:r>
      <w:r>
        <w:rPr/>
        <w:t>ο</w:t>
      </w:r>
      <w:r>
        <w:rPr>
          <w:spacing w:val="5"/>
        </w:rPr>
        <w:t> </w:t>
      </w:r>
      <w:r>
        <w:rPr>
          <w:spacing w:val="-2"/>
        </w:rPr>
        <w:t>κύκλος</w:t>
      </w:r>
    </w:p>
    <w:p>
      <w:pPr>
        <w:pStyle w:val="BodyText"/>
        <w:spacing w:after="0" w:line="285" w:lineRule="auto"/>
        <w:jc w:val="both"/>
        <w:sectPr>
          <w:pgSz w:w="11910" w:h="16850"/>
          <w:pgMar w:header="0" w:footer="1108" w:top="1800" w:bottom="1360" w:left="1417" w:right="850"/>
        </w:sectPr>
      </w:pPr>
    </w:p>
    <w:p>
      <w:pPr>
        <w:pStyle w:val="BodyText"/>
        <w:spacing w:line="285" w:lineRule="auto"/>
        <w:ind w:left="172"/>
        <w:jc w:val="both"/>
      </w:pPr>
      <w:r>
        <w:rPr/>
        <w:t>εργασιών των επιχειρήσεων ανήλθε σε 492,1 δισεκ. ευρώ, αυξημένος κατά 1,6% σε σχέση με το 2024 (Διάγραμμα ΙΙ.4).</w:t>
      </w:r>
    </w:p>
    <w:p>
      <w:pPr>
        <w:pStyle w:val="BodyText"/>
        <w:spacing w:line="285" w:lineRule="auto" w:before="54"/>
        <w:ind w:left="172"/>
        <w:jc w:val="both"/>
      </w:pPr>
      <w:r>
        <w:rPr/>
        <w:t>Η</w:t>
      </w:r>
      <w:r>
        <w:rPr>
          <w:spacing w:val="-8"/>
        </w:rPr>
        <w:t> </w:t>
      </w:r>
      <w:r>
        <w:rPr/>
        <w:t>μεγαλύτερη</w:t>
      </w:r>
      <w:r>
        <w:rPr>
          <w:spacing w:val="-10"/>
        </w:rPr>
        <w:t> </w:t>
      </w:r>
      <w:r>
        <w:rPr/>
        <w:t>ποσοστιαία</w:t>
      </w:r>
      <w:r>
        <w:rPr>
          <w:spacing w:val="-9"/>
        </w:rPr>
        <w:t> </w:t>
      </w:r>
      <w:r>
        <w:rPr/>
        <w:t>αύξηση</w:t>
      </w:r>
      <w:r>
        <w:rPr>
          <w:spacing w:val="-10"/>
        </w:rPr>
        <w:t> </w:t>
      </w:r>
      <w:r>
        <w:rPr/>
        <w:t>του</w:t>
      </w:r>
      <w:r>
        <w:rPr>
          <w:spacing w:val="-6"/>
        </w:rPr>
        <w:t> </w:t>
      </w:r>
      <w:r>
        <w:rPr/>
        <w:t>κύκλου εργασιών σε σχέση με το 2024 καταγράφηκε στις επιχειρήσεις του τομέα “Ορυχεία και λα-τομεία” (11,2%), και ακολούθησαν οι επιχει-ρήσεις</w:t>
      </w:r>
      <w:r>
        <w:rPr>
          <w:spacing w:val="-4"/>
        </w:rPr>
        <w:t> </w:t>
      </w:r>
      <w:r>
        <w:rPr/>
        <w:t>του</w:t>
      </w:r>
      <w:r>
        <w:rPr>
          <w:spacing w:val="-2"/>
        </w:rPr>
        <w:t> </w:t>
      </w:r>
      <w:r>
        <w:rPr/>
        <w:t>τομέα</w:t>
      </w:r>
      <w:r>
        <w:rPr>
          <w:spacing w:val="-4"/>
        </w:rPr>
        <w:t> </w:t>
      </w:r>
      <w:r>
        <w:rPr/>
        <w:t>“Εκπαίδευση”</w:t>
      </w:r>
      <w:r>
        <w:rPr>
          <w:spacing w:val="-3"/>
        </w:rPr>
        <w:t> </w:t>
      </w:r>
      <w:r>
        <w:rPr/>
        <w:t>(8,9%).</w:t>
      </w:r>
      <w:r>
        <w:rPr>
          <w:spacing w:val="-3"/>
        </w:rPr>
        <w:t> </w:t>
      </w:r>
      <w:r>
        <w:rPr/>
        <w:t>Αντί-θετα, μείωση κατά 11,6% παρουσίασε ο κύ-κλος εργασιών των επιχειρήσεων του τομέα “Δημόσια Διοίκηση και Άμυνα, Υποχρεωτική Κοινωνική</w:t>
      </w:r>
      <w:r>
        <w:rPr>
          <w:spacing w:val="30"/>
        </w:rPr>
        <w:t> </w:t>
      </w:r>
      <w:r>
        <w:rPr/>
        <w:t>Ασφάλιση”.</w:t>
      </w:r>
      <w:r>
        <w:rPr>
          <w:spacing w:val="31"/>
        </w:rPr>
        <w:t> </w:t>
      </w:r>
      <w:r>
        <w:rPr/>
        <w:t>Επισημαίνεται</w:t>
      </w:r>
      <w:r>
        <w:rPr>
          <w:spacing w:val="30"/>
        </w:rPr>
        <w:t> </w:t>
      </w:r>
      <w:r>
        <w:rPr/>
        <w:t>ότι</w:t>
      </w:r>
      <w:r>
        <w:rPr>
          <w:spacing w:val="30"/>
        </w:rPr>
        <w:t> </w:t>
      </w:r>
      <w:r>
        <w:rPr>
          <w:spacing w:val="-5"/>
        </w:rPr>
        <w:t>οι</w:t>
      </w:r>
    </w:p>
    <w:p>
      <w:pPr>
        <w:spacing w:before="146"/>
        <w:ind w:left="172" w:right="0" w:firstLine="0"/>
        <w:jc w:val="left"/>
        <w:rPr>
          <w:sz w:val="14"/>
        </w:rPr>
      </w:pPr>
      <w:r>
        <w:rPr/>
        <w:br w:type="column"/>
      </w:r>
      <w:r>
        <w:rPr>
          <w:color w:val="1F487C"/>
          <w:sz w:val="14"/>
        </w:rPr>
        <w:t>(δισεκ.</w:t>
      </w:r>
      <w:r>
        <w:rPr>
          <w:color w:val="1F487C"/>
          <w:spacing w:val="-5"/>
          <w:sz w:val="14"/>
        </w:rPr>
        <w:t> </w:t>
      </w:r>
      <w:r>
        <w:rPr>
          <w:color w:val="1F487C"/>
          <w:spacing w:val="-2"/>
          <w:sz w:val="14"/>
        </w:rPr>
        <w:t>ευρώ)</w:t>
      </w:r>
    </w:p>
    <w:p>
      <w:pPr>
        <w:pStyle w:val="BodyText"/>
        <w:spacing w:before="5"/>
        <w:rPr>
          <w:sz w:val="5"/>
        </w:rPr>
      </w:pPr>
    </w:p>
    <w:p>
      <w:pPr>
        <w:spacing w:line="240" w:lineRule="auto"/>
        <w:ind w:left="113" w:right="0" w:firstLine="0"/>
        <w:rPr>
          <w:sz w:val="20"/>
        </w:rPr>
      </w:pPr>
      <w:r>
        <w:rPr>
          <w:sz w:val="20"/>
        </w:rPr>
        <mc:AlternateContent>
          <mc:Choice Requires="wps">
            <w:drawing>
              <wp:inline distT="0" distB="0" distL="0" distR="0">
                <wp:extent cx="2665730" cy="2044700"/>
                <wp:effectExtent l="0" t="0" r="0" b="3175"/>
                <wp:docPr id="182" name="Group 182"/>
                <wp:cNvGraphicFramePr>
                  <a:graphicFrameLocks/>
                </wp:cNvGraphicFramePr>
                <a:graphic>
                  <a:graphicData uri="http://schemas.microsoft.com/office/word/2010/wordprocessingGroup">
                    <wpg:wgp>
                      <wpg:cNvPr id="182" name="Group 182"/>
                      <wpg:cNvGrpSpPr/>
                      <wpg:grpSpPr>
                        <a:xfrm>
                          <a:off x="0" y="0"/>
                          <a:ext cx="2665730" cy="2044700"/>
                          <a:chExt cx="2665730" cy="2044700"/>
                        </a:xfrm>
                      </wpg:grpSpPr>
                      <wps:wsp>
                        <wps:cNvPr id="183" name="Graphic 183"/>
                        <wps:cNvSpPr/>
                        <wps:spPr>
                          <a:xfrm>
                            <a:off x="635" y="393"/>
                            <a:ext cx="2665095" cy="2044064"/>
                          </a:xfrm>
                          <a:custGeom>
                            <a:avLst/>
                            <a:gdLst/>
                            <a:ahLst/>
                            <a:cxnLst/>
                            <a:rect l="l" t="t" r="r" b="b"/>
                            <a:pathLst>
                              <a:path w="2665095" h="2044064">
                                <a:moveTo>
                                  <a:pt x="2664587" y="0"/>
                                </a:moveTo>
                                <a:lnTo>
                                  <a:pt x="0" y="0"/>
                                </a:lnTo>
                                <a:lnTo>
                                  <a:pt x="0" y="1547114"/>
                                </a:lnTo>
                                <a:lnTo>
                                  <a:pt x="0" y="2043925"/>
                                </a:lnTo>
                                <a:lnTo>
                                  <a:pt x="2664587" y="2043925"/>
                                </a:lnTo>
                                <a:lnTo>
                                  <a:pt x="2664587" y="1547114"/>
                                </a:lnTo>
                                <a:lnTo>
                                  <a:pt x="2664587" y="0"/>
                                </a:lnTo>
                                <a:close/>
                              </a:path>
                            </a:pathLst>
                          </a:custGeom>
                          <a:solidFill>
                            <a:srgbClr val="D9D9D9"/>
                          </a:solidFill>
                        </wps:spPr>
                        <wps:bodyPr wrap="square" lIns="0" tIns="0" rIns="0" bIns="0" rtlCol="0">
                          <a:prstTxWarp prst="textNoShape">
                            <a:avLst/>
                          </a:prstTxWarp>
                          <a:noAutofit/>
                        </wps:bodyPr>
                      </wps:wsp>
                      <pic:pic>
                        <pic:nvPicPr>
                          <pic:cNvPr id="184" name="Image 184"/>
                          <pic:cNvPicPr/>
                        </pic:nvPicPr>
                        <pic:blipFill>
                          <a:blip r:embed="rId30" cstate="print"/>
                          <a:stretch>
                            <a:fillRect/>
                          </a:stretch>
                        </pic:blipFill>
                        <pic:spPr>
                          <a:xfrm>
                            <a:off x="0" y="0"/>
                            <a:ext cx="2640583" cy="1546732"/>
                          </a:xfrm>
                          <a:prstGeom prst="rect">
                            <a:avLst/>
                          </a:prstGeom>
                        </pic:spPr>
                      </pic:pic>
                      <wps:wsp>
                        <wps:cNvPr id="185" name="Textbox 185"/>
                        <wps:cNvSpPr txBox="1"/>
                        <wps:spPr>
                          <a:xfrm>
                            <a:off x="635" y="380"/>
                            <a:ext cx="2665095" cy="2044064"/>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0"/>
                                <w:rPr>
                                  <w:sz w:val="14"/>
                                </w:rPr>
                              </w:pPr>
                            </w:p>
                            <w:p>
                              <w:pPr>
                                <w:spacing w:before="0"/>
                                <w:ind w:left="112" w:right="0" w:firstLine="0"/>
                                <w:jc w:val="left"/>
                                <w:rPr>
                                  <w:sz w:val="14"/>
                                </w:rPr>
                              </w:pPr>
                              <w:r>
                                <w:rPr>
                                  <w:sz w:val="14"/>
                                </w:rPr>
                                <w:t>Πηγή:</w:t>
                              </w:r>
                              <w:r>
                                <w:rPr>
                                  <w:spacing w:val="-6"/>
                                  <w:sz w:val="14"/>
                                </w:rPr>
                                <w:t> </w:t>
                              </w:r>
                              <w:r>
                                <w:rPr>
                                  <w:spacing w:val="-2"/>
                                  <w:sz w:val="14"/>
                                </w:rPr>
                                <w:t>ΕΛΣΤΑΤ.</w:t>
                              </w:r>
                            </w:p>
                            <w:p>
                              <w:pPr>
                                <w:spacing w:before="120"/>
                                <w:ind w:left="112" w:right="96" w:firstLine="0"/>
                                <w:jc w:val="left"/>
                                <w:rPr>
                                  <w:sz w:val="14"/>
                                </w:rPr>
                              </w:pPr>
                              <w:r>
                                <w:rPr>
                                  <w:sz w:val="14"/>
                                </w:rPr>
                                <w:t>Σημείωση:</w:t>
                              </w:r>
                              <w:r>
                                <w:rPr>
                                  <w:spacing w:val="-6"/>
                                  <w:sz w:val="14"/>
                                </w:rPr>
                                <w:t> </w:t>
                              </w:r>
                              <w:r>
                                <w:rPr>
                                  <w:sz w:val="14"/>
                                </w:rPr>
                                <w:t>Στη</w:t>
                              </w:r>
                              <w:r>
                                <w:rPr>
                                  <w:spacing w:val="-6"/>
                                  <w:sz w:val="14"/>
                                </w:rPr>
                                <w:t> </w:t>
                              </w:r>
                              <w:r>
                                <w:rPr>
                                  <w:sz w:val="14"/>
                                </w:rPr>
                                <w:t>γραμμή</w:t>
                              </w:r>
                              <w:r>
                                <w:rPr>
                                  <w:spacing w:val="-6"/>
                                  <w:sz w:val="14"/>
                                </w:rPr>
                                <w:t> </w:t>
                              </w:r>
                              <w:r>
                                <w:rPr>
                                  <w:sz w:val="14"/>
                                </w:rPr>
                                <w:t>εμφανίζονται</w:t>
                              </w:r>
                              <w:r>
                                <w:rPr>
                                  <w:spacing w:val="-5"/>
                                  <w:sz w:val="14"/>
                                </w:rPr>
                                <w:t> </w:t>
                              </w:r>
                              <w:r>
                                <w:rPr>
                                  <w:sz w:val="14"/>
                                </w:rPr>
                                <w:t>τα</w:t>
                              </w:r>
                              <w:r>
                                <w:rPr>
                                  <w:spacing w:val="-6"/>
                                  <w:sz w:val="14"/>
                                </w:rPr>
                                <w:t> </w:t>
                              </w:r>
                              <w:r>
                                <w:rPr>
                                  <w:sz w:val="14"/>
                                </w:rPr>
                                <w:t>στοιχεία</w:t>
                              </w:r>
                              <w:r>
                                <w:rPr>
                                  <w:spacing w:val="-6"/>
                                  <w:sz w:val="14"/>
                                </w:rPr>
                                <w:t> </w:t>
                              </w:r>
                              <w:r>
                                <w:rPr>
                                  <w:sz w:val="14"/>
                                </w:rPr>
                                <w:t>σε</w:t>
                              </w:r>
                              <w:r>
                                <w:rPr>
                                  <w:spacing w:val="-6"/>
                                  <w:sz w:val="14"/>
                                </w:rPr>
                                <w:t> </w:t>
                              </w:r>
                              <w:r>
                                <w:rPr>
                                  <w:sz w:val="14"/>
                                </w:rPr>
                                <w:t>τριμηνιαία</w:t>
                              </w:r>
                              <w:r>
                                <w:rPr>
                                  <w:spacing w:val="-6"/>
                                  <w:sz w:val="14"/>
                                </w:rPr>
                                <w:t> </w:t>
                              </w:r>
                              <w:r>
                                <w:rPr>
                                  <w:sz w:val="14"/>
                                </w:rPr>
                                <w:t>συχνό-τητα και στις ράβδους σε εξαμηνιαία συχνότητα.</w:t>
                              </w:r>
                            </w:p>
                          </w:txbxContent>
                        </wps:txbx>
                        <wps:bodyPr wrap="square" lIns="0" tIns="0" rIns="0" bIns="0" rtlCol="0">
                          <a:noAutofit/>
                        </wps:bodyPr>
                      </wps:wsp>
                    </wpg:wgp>
                  </a:graphicData>
                </a:graphic>
              </wp:inline>
            </w:drawing>
          </mc:Choice>
          <mc:Fallback>
            <w:pict>
              <v:group style="width:209.9pt;height:161pt;mso-position-horizontal-relative:char;mso-position-vertical-relative:line" id="docshapegroup168" coordorigin="0,0" coordsize="4198,3220">
                <v:shape style="position:absolute;left:1;top:0;width:4197;height:3219" id="docshape169" coordorigin="1,1" coordsize="4197,3219" path="m4197,1l1,1,1,2437,1,3219,4197,3219,4197,2437,4197,1xe" filled="true" fillcolor="#d9d9d9" stroked="false">
                  <v:path arrowok="t"/>
                  <v:fill type="solid"/>
                </v:shape>
                <v:shape style="position:absolute;left:0;top:0;width:4159;height:2436" type="#_x0000_t75" id="docshape170" stroked="false">
                  <v:imagedata r:id="rId30" o:title=""/>
                </v:shape>
                <v:shape style="position:absolute;left:1;top:0;width:4197;height:3219" type="#_x0000_t202" id="docshape171"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0"/>
                          <w:rPr>
                            <w:sz w:val="14"/>
                          </w:rPr>
                        </w:pPr>
                      </w:p>
                      <w:p>
                        <w:pPr>
                          <w:spacing w:before="0"/>
                          <w:ind w:left="112" w:right="0" w:firstLine="0"/>
                          <w:jc w:val="left"/>
                          <w:rPr>
                            <w:sz w:val="14"/>
                          </w:rPr>
                        </w:pPr>
                        <w:r>
                          <w:rPr>
                            <w:sz w:val="14"/>
                          </w:rPr>
                          <w:t>Πηγή:</w:t>
                        </w:r>
                        <w:r>
                          <w:rPr>
                            <w:spacing w:val="-6"/>
                            <w:sz w:val="14"/>
                          </w:rPr>
                          <w:t> </w:t>
                        </w:r>
                        <w:r>
                          <w:rPr>
                            <w:spacing w:val="-2"/>
                            <w:sz w:val="14"/>
                          </w:rPr>
                          <w:t>ΕΛΣΤΑΤ.</w:t>
                        </w:r>
                      </w:p>
                      <w:p>
                        <w:pPr>
                          <w:spacing w:before="120"/>
                          <w:ind w:left="112" w:right="96" w:firstLine="0"/>
                          <w:jc w:val="left"/>
                          <w:rPr>
                            <w:sz w:val="14"/>
                          </w:rPr>
                        </w:pPr>
                        <w:r>
                          <w:rPr>
                            <w:sz w:val="14"/>
                          </w:rPr>
                          <w:t>Σημείωση:</w:t>
                        </w:r>
                        <w:r>
                          <w:rPr>
                            <w:spacing w:val="-6"/>
                            <w:sz w:val="14"/>
                          </w:rPr>
                          <w:t> </w:t>
                        </w:r>
                        <w:r>
                          <w:rPr>
                            <w:sz w:val="14"/>
                          </w:rPr>
                          <w:t>Στη</w:t>
                        </w:r>
                        <w:r>
                          <w:rPr>
                            <w:spacing w:val="-6"/>
                            <w:sz w:val="14"/>
                          </w:rPr>
                          <w:t> </w:t>
                        </w:r>
                        <w:r>
                          <w:rPr>
                            <w:sz w:val="14"/>
                          </w:rPr>
                          <w:t>γραμμή</w:t>
                        </w:r>
                        <w:r>
                          <w:rPr>
                            <w:spacing w:val="-6"/>
                            <w:sz w:val="14"/>
                          </w:rPr>
                          <w:t> </w:t>
                        </w:r>
                        <w:r>
                          <w:rPr>
                            <w:sz w:val="14"/>
                          </w:rPr>
                          <w:t>εμφανίζονται</w:t>
                        </w:r>
                        <w:r>
                          <w:rPr>
                            <w:spacing w:val="-5"/>
                            <w:sz w:val="14"/>
                          </w:rPr>
                          <w:t> </w:t>
                        </w:r>
                        <w:r>
                          <w:rPr>
                            <w:sz w:val="14"/>
                          </w:rPr>
                          <w:t>τα</w:t>
                        </w:r>
                        <w:r>
                          <w:rPr>
                            <w:spacing w:val="-6"/>
                            <w:sz w:val="14"/>
                          </w:rPr>
                          <w:t> </w:t>
                        </w:r>
                        <w:r>
                          <w:rPr>
                            <w:sz w:val="14"/>
                          </w:rPr>
                          <w:t>στοιχεία</w:t>
                        </w:r>
                        <w:r>
                          <w:rPr>
                            <w:spacing w:val="-6"/>
                            <w:sz w:val="14"/>
                          </w:rPr>
                          <w:t> </w:t>
                        </w:r>
                        <w:r>
                          <w:rPr>
                            <w:sz w:val="14"/>
                          </w:rPr>
                          <w:t>σε</w:t>
                        </w:r>
                        <w:r>
                          <w:rPr>
                            <w:spacing w:val="-6"/>
                            <w:sz w:val="14"/>
                          </w:rPr>
                          <w:t> </w:t>
                        </w:r>
                        <w:r>
                          <w:rPr>
                            <w:sz w:val="14"/>
                          </w:rPr>
                          <w:t>τριμηνιαία</w:t>
                        </w:r>
                        <w:r>
                          <w:rPr>
                            <w:spacing w:val="-6"/>
                            <w:sz w:val="14"/>
                          </w:rPr>
                          <w:t> </w:t>
                        </w:r>
                        <w:r>
                          <w:rPr>
                            <w:sz w:val="14"/>
                          </w:rPr>
                          <w:t>συχνό-τητα και στις ράβδους σε εξαμηνιαία συχνότητα.</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290" w:space="61"/>
            <w:col w:w="5292"/>
          </w:cols>
        </w:sectPr>
      </w:pPr>
    </w:p>
    <w:p>
      <w:pPr>
        <w:pStyle w:val="BodyText"/>
        <w:spacing w:line="285" w:lineRule="auto"/>
        <w:ind w:left="172" w:right="962"/>
        <w:jc w:val="both"/>
      </w:pPr>
      <w:r>
        <w:rPr/>
        <w:t>δύο μεγαλύτεροι τομείς</w:t>
      </w:r>
      <w:r>
        <w:rPr>
          <w:spacing w:val="-1"/>
        </w:rPr>
        <w:t> </w:t>
      </w:r>
      <w:r>
        <w:rPr/>
        <w:t>ως</w:t>
      </w:r>
      <w:r>
        <w:rPr>
          <w:spacing w:val="-1"/>
        </w:rPr>
        <w:t> </w:t>
      </w:r>
      <w:r>
        <w:rPr/>
        <w:t>προς τη συμμετοχή τους στον συνολικό κύκλο εργασιών των επιχει-ρήσεων, ήτοι οι τομείς “Χονδρικό και Λιανικό Εμπόριο, Επισκευή Μηχανοκίνητων Οχημάτων και Μοτοσυκλετών” (37%) και “Μεταποίηση” (20%), κατέγραψαν αύξηση 1% και 1,7% αντί-</w:t>
      </w:r>
      <w:r>
        <w:rPr>
          <w:spacing w:val="-2"/>
        </w:rPr>
        <w:t>στοιχα</w:t>
      </w:r>
    </w:p>
    <w:p>
      <w:pPr>
        <w:pStyle w:val="BodyText"/>
        <w:spacing w:line="285" w:lineRule="auto" w:before="47"/>
        <w:ind w:left="172" w:right="954"/>
        <w:jc w:val="both"/>
      </w:pPr>
      <w:r>
        <w:rPr/>
        <w:t>Το 2025 η κερδοφορία των ελληνικών μη χρηματοπιστωτικών επιχειρήσεων, σε όρους</w:t>
      </w:r>
      <w:r>
        <w:rPr>
          <w:spacing w:val="-1"/>
        </w:rPr>
        <w:t> </w:t>
      </w:r>
      <w:r>
        <w:rPr/>
        <w:t>λειτουρ-γικού</w:t>
      </w:r>
      <w:r>
        <w:rPr>
          <w:spacing w:val="-11"/>
        </w:rPr>
        <w:t> </w:t>
      </w:r>
      <w:r>
        <w:rPr/>
        <w:t>αποτελέσματος,</w:t>
      </w:r>
      <w:r>
        <w:rPr>
          <w:spacing w:val="-12"/>
        </w:rPr>
        <w:t> </w:t>
      </w:r>
      <w:r>
        <w:rPr/>
        <w:t>βελτιώθηκε</w:t>
      </w:r>
      <w:r>
        <w:rPr>
          <w:spacing w:val="-11"/>
        </w:rPr>
        <w:t> </w:t>
      </w:r>
      <w:r>
        <w:rPr/>
        <w:t>σε</w:t>
      </w:r>
      <w:r>
        <w:rPr>
          <w:spacing w:val="-11"/>
        </w:rPr>
        <w:t> </w:t>
      </w:r>
      <w:r>
        <w:rPr/>
        <w:t>σχέση</w:t>
      </w:r>
      <w:r>
        <w:rPr>
          <w:spacing w:val="-12"/>
        </w:rPr>
        <w:t> </w:t>
      </w:r>
      <w:r>
        <w:rPr/>
        <w:t>με</w:t>
      </w:r>
      <w:r>
        <w:rPr>
          <w:spacing w:val="-11"/>
        </w:rPr>
        <w:t> </w:t>
      </w:r>
      <w:r>
        <w:rPr/>
        <w:t>το</w:t>
      </w:r>
      <w:r>
        <w:rPr>
          <w:spacing w:val="-10"/>
        </w:rPr>
        <w:t> </w:t>
      </w:r>
      <w:r>
        <w:rPr/>
        <w:t>2024.</w:t>
      </w:r>
      <w:r>
        <w:rPr>
          <w:spacing w:val="-12"/>
        </w:rPr>
        <w:t> </w:t>
      </w:r>
      <w:r>
        <w:rPr/>
        <w:t>Συγκεκριμένα,</w:t>
      </w:r>
      <w:r>
        <w:rPr>
          <w:spacing w:val="-12"/>
        </w:rPr>
        <w:t> </w:t>
      </w:r>
      <w:r>
        <w:rPr/>
        <w:t>σύμφωνα</w:t>
      </w:r>
      <w:r>
        <w:rPr>
          <w:spacing w:val="-12"/>
        </w:rPr>
        <w:t> </w:t>
      </w:r>
      <w:r>
        <w:rPr/>
        <w:t>με</w:t>
      </w:r>
      <w:r>
        <w:rPr>
          <w:spacing w:val="-11"/>
        </w:rPr>
        <w:t> </w:t>
      </w:r>
      <w:r>
        <w:rPr/>
        <w:t>στοιχεία</w:t>
      </w:r>
      <w:r>
        <w:rPr>
          <w:spacing w:val="-12"/>
        </w:rPr>
        <w:t> </w:t>
      </w:r>
      <w:r>
        <w:rPr/>
        <w:t>της ΕΛΣΤΑΤ,</w:t>
      </w:r>
      <w:hyperlink w:history="true" w:anchor="_bookmark37">
        <w:r>
          <w:rPr>
            <w:position w:val="6"/>
            <w:sz w:val="10"/>
          </w:rPr>
          <w:t>24</w:t>
        </w:r>
      </w:hyperlink>
      <w:r>
        <w:rPr>
          <w:spacing w:val="-3"/>
          <w:position w:val="6"/>
          <w:sz w:val="10"/>
        </w:rPr>
        <w:t> </w:t>
      </w:r>
      <w:r>
        <w:rPr/>
        <w:t>το</w:t>
      </w:r>
      <w:r>
        <w:rPr>
          <w:spacing w:val="-14"/>
        </w:rPr>
        <w:t> </w:t>
      </w:r>
      <w:r>
        <w:rPr/>
        <w:t>ακαθάριστο</w:t>
      </w:r>
      <w:r>
        <w:rPr>
          <w:spacing w:val="-13"/>
        </w:rPr>
        <w:t> </w:t>
      </w:r>
      <w:r>
        <w:rPr/>
        <w:t>λειτουργικό</w:t>
      </w:r>
      <w:r>
        <w:rPr>
          <w:spacing w:val="-14"/>
        </w:rPr>
        <w:t> </w:t>
      </w:r>
      <w:r>
        <w:rPr/>
        <w:t>πλεόνασμα</w:t>
      </w:r>
      <w:r>
        <w:rPr>
          <w:spacing w:val="-14"/>
        </w:rPr>
        <w:t> </w:t>
      </w:r>
      <w:r>
        <w:rPr/>
        <w:t>των</w:t>
      </w:r>
      <w:r>
        <w:rPr>
          <w:spacing w:val="-14"/>
        </w:rPr>
        <w:t> </w:t>
      </w:r>
      <w:r>
        <w:rPr/>
        <w:t>μη</w:t>
      </w:r>
      <w:r>
        <w:rPr>
          <w:spacing w:val="-13"/>
        </w:rPr>
        <w:t> </w:t>
      </w:r>
      <w:r>
        <w:rPr/>
        <w:t>χρηματοπιστωτικών</w:t>
      </w:r>
      <w:r>
        <w:rPr>
          <w:spacing w:val="-14"/>
        </w:rPr>
        <w:t> </w:t>
      </w:r>
      <w:r>
        <w:rPr/>
        <w:t>επιχειρήσεων</w:t>
      </w:r>
      <w:r>
        <w:rPr>
          <w:spacing w:val="-14"/>
        </w:rPr>
        <w:t> </w:t>
      </w:r>
      <w:r>
        <w:rPr/>
        <w:t>αυ-ξήθηκε</w:t>
      </w:r>
      <w:r>
        <w:rPr>
          <w:spacing w:val="-11"/>
        </w:rPr>
        <w:t> </w:t>
      </w:r>
      <w:r>
        <w:rPr/>
        <w:t>κατά</w:t>
      </w:r>
      <w:r>
        <w:rPr>
          <w:spacing w:val="-13"/>
        </w:rPr>
        <w:t> </w:t>
      </w:r>
      <w:r>
        <w:rPr/>
        <w:t>6,6%</w:t>
      </w:r>
      <w:r>
        <w:rPr>
          <w:spacing w:val="-11"/>
        </w:rPr>
        <w:t> </w:t>
      </w:r>
      <w:r>
        <w:rPr/>
        <w:t>το</w:t>
      </w:r>
      <w:r>
        <w:rPr>
          <w:spacing w:val="-12"/>
        </w:rPr>
        <w:t> </w:t>
      </w:r>
      <w:r>
        <w:rPr/>
        <w:t>2025</w:t>
      </w:r>
      <w:r>
        <w:rPr>
          <w:spacing w:val="-14"/>
        </w:rPr>
        <w:t> </w:t>
      </w:r>
      <w:r>
        <w:rPr/>
        <w:t>(έναντι</w:t>
      </w:r>
      <w:r>
        <w:rPr>
          <w:spacing w:val="-11"/>
        </w:rPr>
        <w:t> </w:t>
      </w:r>
      <w:r>
        <w:rPr/>
        <w:t>αύξησης</w:t>
      </w:r>
      <w:r>
        <w:rPr>
          <w:spacing w:val="-13"/>
        </w:rPr>
        <w:t> </w:t>
      </w:r>
      <w:r>
        <w:rPr/>
        <w:t>κατά</w:t>
      </w:r>
      <w:r>
        <w:rPr>
          <w:spacing w:val="-13"/>
        </w:rPr>
        <w:t> </w:t>
      </w:r>
      <w:r>
        <w:rPr/>
        <w:t>2,2%</w:t>
      </w:r>
      <w:r>
        <w:rPr>
          <w:spacing w:val="-13"/>
        </w:rPr>
        <w:t> </w:t>
      </w:r>
      <w:r>
        <w:rPr/>
        <w:t>το</w:t>
      </w:r>
      <w:r>
        <w:rPr>
          <w:spacing w:val="-12"/>
        </w:rPr>
        <w:t> </w:t>
      </w:r>
      <w:r>
        <w:rPr/>
        <w:t>2024).</w:t>
      </w:r>
      <w:r>
        <w:rPr>
          <w:spacing w:val="-11"/>
        </w:rPr>
        <w:t> </w:t>
      </w:r>
      <w:r>
        <w:rPr/>
        <w:t>Αντίστοιχα,</w:t>
      </w:r>
      <w:r>
        <w:rPr>
          <w:spacing w:val="-12"/>
        </w:rPr>
        <w:t> </w:t>
      </w:r>
      <w:r>
        <w:rPr/>
        <w:t>το</w:t>
      </w:r>
      <w:r>
        <w:rPr>
          <w:spacing w:val="-12"/>
        </w:rPr>
        <w:t> </w:t>
      </w:r>
      <w:r>
        <w:rPr/>
        <w:t>καθαρό</w:t>
      </w:r>
      <w:r>
        <w:rPr>
          <w:spacing w:val="-12"/>
        </w:rPr>
        <w:t> </w:t>
      </w:r>
      <w:r>
        <w:rPr/>
        <w:t>λειτουρ-γικό πλεόνασμα αυξήθηκε κατά 9,0% το 2025 (έναντι οριακής αύξησης κατά 0,2% το 2024). Κατά</w:t>
      </w:r>
      <w:r>
        <w:rPr>
          <w:spacing w:val="-6"/>
        </w:rPr>
        <w:t> </w:t>
      </w:r>
      <w:r>
        <w:rPr/>
        <w:t>συνέπεια,</w:t>
      </w:r>
      <w:r>
        <w:rPr>
          <w:spacing w:val="-5"/>
        </w:rPr>
        <w:t> </w:t>
      </w:r>
      <w:r>
        <w:rPr/>
        <w:t>η</w:t>
      </w:r>
      <w:r>
        <w:rPr>
          <w:spacing w:val="-5"/>
        </w:rPr>
        <w:t> </w:t>
      </w:r>
      <w:r>
        <w:rPr/>
        <w:t>απόδοση</w:t>
      </w:r>
      <w:r>
        <w:rPr>
          <w:spacing w:val="-6"/>
        </w:rPr>
        <w:t> </w:t>
      </w:r>
      <w:r>
        <w:rPr/>
        <w:t>του</w:t>
      </w:r>
      <w:r>
        <w:rPr>
          <w:spacing w:val="-6"/>
        </w:rPr>
        <w:t> </w:t>
      </w:r>
      <w:r>
        <w:rPr/>
        <w:t>επιχειρηματικού</w:t>
      </w:r>
      <w:r>
        <w:rPr>
          <w:spacing w:val="-4"/>
        </w:rPr>
        <w:t> </w:t>
      </w:r>
      <w:r>
        <w:rPr/>
        <w:t>τομέα</w:t>
      </w:r>
      <w:r>
        <w:rPr>
          <w:spacing w:val="-8"/>
        </w:rPr>
        <w:t> </w:t>
      </w:r>
      <w:r>
        <w:rPr/>
        <w:t>σε</w:t>
      </w:r>
      <w:r>
        <w:rPr>
          <w:spacing w:val="-4"/>
        </w:rPr>
        <w:t> </w:t>
      </w:r>
      <w:r>
        <w:rPr/>
        <w:t>όρους</w:t>
      </w:r>
      <w:r>
        <w:rPr>
          <w:spacing w:val="-8"/>
        </w:rPr>
        <w:t> </w:t>
      </w:r>
      <w:r>
        <w:rPr/>
        <w:t>λειτουργικών</w:t>
      </w:r>
      <w:r>
        <w:rPr>
          <w:spacing w:val="-4"/>
        </w:rPr>
        <w:t> </w:t>
      </w:r>
      <w:r>
        <w:rPr/>
        <w:t>κερδών,</w:t>
      </w:r>
      <w:r>
        <w:rPr>
          <w:spacing w:val="-4"/>
        </w:rPr>
        <w:t> </w:t>
      </w:r>
      <w:r>
        <w:rPr/>
        <w:t>όπως</w:t>
      </w:r>
      <w:r>
        <w:rPr>
          <w:spacing w:val="-6"/>
        </w:rPr>
        <w:t> </w:t>
      </w:r>
      <w:r>
        <w:rPr/>
        <w:t>εκ-φράζεται</w:t>
      </w:r>
      <w:r>
        <w:rPr>
          <w:spacing w:val="-5"/>
        </w:rPr>
        <w:t> </w:t>
      </w:r>
      <w:r>
        <w:rPr/>
        <w:t>από</w:t>
      </w:r>
      <w:r>
        <w:rPr>
          <w:spacing w:val="-5"/>
        </w:rPr>
        <w:t> </w:t>
      </w:r>
      <w:r>
        <w:rPr/>
        <w:t>το</w:t>
      </w:r>
      <w:r>
        <w:rPr>
          <w:spacing w:val="-5"/>
        </w:rPr>
        <w:t> </w:t>
      </w:r>
      <w:r>
        <w:rPr/>
        <w:t>μερίδιο</w:t>
      </w:r>
      <w:r>
        <w:rPr>
          <w:spacing w:val="-4"/>
        </w:rPr>
        <w:t> </w:t>
      </w:r>
      <w:r>
        <w:rPr/>
        <w:t>καθαρού</w:t>
      </w:r>
      <w:r>
        <w:rPr>
          <w:spacing w:val="-4"/>
        </w:rPr>
        <w:t> </w:t>
      </w:r>
      <w:r>
        <w:rPr/>
        <w:t>κέρδους,</w:t>
      </w:r>
      <w:r>
        <w:rPr>
          <w:spacing w:val="-5"/>
        </w:rPr>
        <w:t> </w:t>
      </w:r>
      <w:r>
        <w:rPr/>
        <w:t>δηλαδή</w:t>
      </w:r>
      <w:r>
        <w:rPr>
          <w:spacing w:val="-5"/>
        </w:rPr>
        <w:t> </w:t>
      </w:r>
      <w:r>
        <w:rPr/>
        <w:t>τον</w:t>
      </w:r>
      <w:r>
        <w:rPr>
          <w:spacing w:val="-6"/>
        </w:rPr>
        <w:t> </w:t>
      </w:r>
      <w:r>
        <w:rPr/>
        <w:t>λόγο</w:t>
      </w:r>
      <w:r>
        <w:rPr>
          <w:spacing w:val="-7"/>
        </w:rPr>
        <w:t> </w:t>
      </w:r>
      <w:r>
        <w:rPr/>
        <w:t>του</w:t>
      </w:r>
      <w:r>
        <w:rPr>
          <w:spacing w:val="-4"/>
        </w:rPr>
        <w:t> </w:t>
      </w:r>
      <w:r>
        <w:rPr/>
        <w:t>καθαρού</w:t>
      </w:r>
      <w:r>
        <w:rPr>
          <w:spacing w:val="-6"/>
        </w:rPr>
        <w:t> </w:t>
      </w:r>
      <w:r>
        <w:rPr/>
        <w:t>λειτουργικού</w:t>
      </w:r>
      <w:r>
        <w:rPr>
          <w:spacing w:val="-4"/>
        </w:rPr>
        <w:t> </w:t>
      </w:r>
      <w:r>
        <w:rPr/>
        <w:t>πλεονά-σματος</w:t>
      </w:r>
      <w:r>
        <w:rPr>
          <w:spacing w:val="-5"/>
        </w:rPr>
        <w:t> </w:t>
      </w:r>
      <w:r>
        <w:rPr/>
        <w:t>προς</w:t>
      </w:r>
      <w:r>
        <w:rPr>
          <w:spacing w:val="-4"/>
        </w:rPr>
        <w:t> </w:t>
      </w:r>
      <w:r>
        <w:rPr/>
        <w:t>την</w:t>
      </w:r>
      <w:r>
        <w:rPr>
          <w:spacing w:val="-2"/>
        </w:rPr>
        <w:t> </w:t>
      </w:r>
      <w:r>
        <w:rPr/>
        <w:t>καθαρή</w:t>
      </w:r>
      <w:r>
        <w:rPr>
          <w:spacing w:val="-3"/>
        </w:rPr>
        <w:t> </w:t>
      </w:r>
      <w:r>
        <w:rPr/>
        <w:t>προστιθέμενη</w:t>
      </w:r>
      <w:r>
        <w:rPr>
          <w:spacing w:val="-3"/>
        </w:rPr>
        <w:t> </w:t>
      </w:r>
      <w:r>
        <w:rPr/>
        <w:t>αξία,</w:t>
      </w:r>
      <w:r>
        <w:rPr>
          <w:spacing w:val="-3"/>
        </w:rPr>
        <w:t> </w:t>
      </w:r>
      <w:r>
        <w:rPr/>
        <w:t>διαμορφώθηκε</w:t>
      </w:r>
      <w:r>
        <w:rPr>
          <w:spacing w:val="-5"/>
        </w:rPr>
        <w:t> </w:t>
      </w:r>
      <w:r>
        <w:rPr/>
        <w:t>σε</w:t>
      </w:r>
      <w:r>
        <w:rPr>
          <w:spacing w:val="-1"/>
        </w:rPr>
        <w:t> </w:t>
      </w:r>
      <w:r>
        <w:rPr/>
        <w:t>27,3%</w:t>
      </w:r>
      <w:r>
        <w:rPr>
          <w:spacing w:val="-2"/>
        </w:rPr>
        <w:t> </w:t>
      </w:r>
      <w:r>
        <w:rPr/>
        <w:t>το</w:t>
      </w:r>
      <w:r>
        <w:rPr>
          <w:spacing w:val="-3"/>
        </w:rPr>
        <w:t> </w:t>
      </w:r>
      <w:r>
        <w:rPr/>
        <w:t>2025,</w:t>
      </w:r>
      <w:r>
        <w:rPr>
          <w:spacing w:val="-6"/>
        </w:rPr>
        <w:t> </w:t>
      </w:r>
      <w:r>
        <w:rPr/>
        <w:t>έναντι</w:t>
      </w:r>
      <w:r>
        <w:rPr>
          <w:spacing w:val="-2"/>
        </w:rPr>
        <w:t> </w:t>
      </w:r>
      <w:r>
        <w:rPr/>
        <w:t>26,9%</w:t>
      </w:r>
      <w:r>
        <w:rPr>
          <w:spacing w:val="-5"/>
        </w:rPr>
        <w:t> </w:t>
      </w:r>
      <w:r>
        <w:rPr/>
        <w:t>το 2024, παραμένοντας</w:t>
      </w:r>
      <w:r>
        <w:rPr>
          <w:spacing w:val="-3"/>
        </w:rPr>
        <w:t> </w:t>
      </w:r>
      <w:r>
        <w:rPr/>
        <w:t>σε</w:t>
      </w:r>
      <w:r>
        <w:rPr>
          <w:spacing w:val="-2"/>
        </w:rPr>
        <w:t> </w:t>
      </w:r>
      <w:r>
        <w:rPr/>
        <w:t>υψηλό επίπεδο και πάνω από</w:t>
      </w:r>
      <w:r>
        <w:rPr>
          <w:spacing w:val="-2"/>
        </w:rPr>
        <w:t> </w:t>
      </w:r>
      <w:r>
        <w:rPr/>
        <w:t>τον μέσο όρο της</w:t>
      </w:r>
      <w:r>
        <w:rPr>
          <w:spacing w:val="-1"/>
        </w:rPr>
        <w:t> </w:t>
      </w:r>
      <w:r>
        <w:rPr/>
        <w:t>προ της</w:t>
      </w:r>
      <w:r>
        <w:rPr>
          <w:spacing w:val="-1"/>
        </w:rPr>
        <w:t> </w:t>
      </w:r>
      <w:r>
        <w:rPr/>
        <w:t>πανδημίας</w:t>
      </w:r>
      <w:r>
        <w:rPr>
          <w:spacing w:val="-1"/>
        </w:rPr>
        <w:t> </w:t>
      </w:r>
      <w:r>
        <w:rPr/>
        <w:t>τριε-τίας 2017-2019 (25,2%).</w:t>
      </w:r>
    </w:p>
    <w:p>
      <w:pPr>
        <w:pStyle w:val="BodyText"/>
        <w:spacing w:before="180"/>
      </w:pPr>
    </w:p>
    <w:p>
      <w:pPr>
        <w:pStyle w:val="Heading3"/>
        <w:numPr>
          <w:ilvl w:val="2"/>
          <w:numId w:val="2"/>
        </w:numPr>
        <w:tabs>
          <w:tab w:pos="738" w:val="left" w:leader="none"/>
        </w:tabs>
        <w:spacing w:line="242" w:lineRule="auto" w:before="1" w:after="0"/>
        <w:ind w:left="738" w:right="971" w:hanging="567"/>
        <w:jc w:val="left"/>
        <w:rPr>
          <w:color w:val="1F487C"/>
        </w:rPr>
      </w:pPr>
      <w:bookmarkStart w:name="_bookmark35" w:id="36"/>
      <w:bookmarkEnd w:id="36"/>
      <w:r>
        <w:rPr>
          <w:b w:val="0"/>
        </w:rPr>
      </w:r>
      <w:r>
        <w:rPr>
          <w:color w:val="1F487C"/>
        </w:rPr>
        <w:t>ΧΡΗΜΑΤΟΔΟΤΗΣΗ</w:t>
      </w:r>
      <w:r>
        <w:rPr>
          <w:color w:val="1F487C"/>
          <w:spacing w:val="-8"/>
        </w:rPr>
        <w:t> </w:t>
      </w:r>
      <w:r>
        <w:rPr>
          <w:color w:val="1F487C"/>
        </w:rPr>
        <w:t>ΠΡΟΣ</w:t>
      </w:r>
      <w:r>
        <w:rPr>
          <w:color w:val="1F487C"/>
          <w:spacing w:val="-7"/>
        </w:rPr>
        <w:t> </w:t>
      </w:r>
      <w:r>
        <w:rPr>
          <w:color w:val="1F487C"/>
        </w:rPr>
        <w:t>ΤΙΣ</w:t>
      </w:r>
      <w:r>
        <w:rPr>
          <w:color w:val="1F487C"/>
          <w:spacing w:val="-8"/>
        </w:rPr>
        <w:t> </w:t>
      </w:r>
      <w:r>
        <w:rPr>
          <w:color w:val="1F487C"/>
        </w:rPr>
        <w:t>ΜΗ</w:t>
      </w:r>
      <w:r>
        <w:rPr>
          <w:color w:val="1F487C"/>
          <w:spacing w:val="-6"/>
        </w:rPr>
        <w:t> </w:t>
      </w:r>
      <w:r>
        <w:rPr>
          <w:color w:val="1F487C"/>
        </w:rPr>
        <w:t>ΧΡΗΜΑΤΟΠΙΣΤΩΤΙΚΕΣ</w:t>
      </w:r>
      <w:r>
        <w:rPr>
          <w:color w:val="1F487C"/>
          <w:spacing w:val="-7"/>
        </w:rPr>
        <w:t> </w:t>
      </w:r>
      <w:r>
        <w:rPr>
          <w:color w:val="1F487C"/>
        </w:rPr>
        <w:t>ΕΠΙΧΕΙΡΗΣΕΙΣ ΚΑΙ ΔΑΝΕΙΑΚΗ ΕΠΙΒΑΡΥΝΣΗ</w:t>
      </w:r>
    </w:p>
    <w:p>
      <w:pPr>
        <w:pStyle w:val="BodyText"/>
        <w:spacing w:line="285" w:lineRule="auto" w:before="92"/>
        <w:ind w:left="172" w:right="958"/>
        <w:jc w:val="both"/>
      </w:pPr>
      <w:r>
        <w:rPr/>
        <w:t>Η χρηματοδότηση των μη χρηματοπιστωτικών επιχειρήσεων (ΜΧΕ) από τα εγχώρια νομισμα-τικά χρηματοπιστωτικά ιδρύματα (ΝΧΙ) αντιστοιχεί στο μεγαλύτερο μέρος της συνολικής χρη-ματοδότησης του ιδιωτικού τομέα (64%, βλ. Διάγραμμα ΙΙ.5). Ο ετήσιος ρυθμός μεταβολής της χρηματοδότησης</w:t>
      </w:r>
      <w:r>
        <w:rPr>
          <w:spacing w:val="21"/>
        </w:rPr>
        <w:t> </w:t>
      </w:r>
      <w:r>
        <w:rPr/>
        <w:t>των</w:t>
      </w:r>
      <w:r>
        <w:rPr>
          <w:spacing w:val="22"/>
        </w:rPr>
        <w:t> </w:t>
      </w:r>
      <w:r>
        <w:rPr/>
        <w:t>ΜΧΕ</w:t>
      </w:r>
      <w:r>
        <w:rPr>
          <w:spacing w:val="22"/>
        </w:rPr>
        <w:t> </w:t>
      </w:r>
      <w:r>
        <w:rPr/>
        <w:t>από</w:t>
      </w:r>
      <w:r>
        <w:rPr>
          <w:spacing w:val="22"/>
        </w:rPr>
        <w:t> </w:t>
      </w:r>
      <w:r>
        <w:rPr/>
        <w:t>τα</w:t>
      </w:r>
      <w:r>
        <w:rPr>
          <w:spacing w:val="22"/>
        </w:rPr>
        <w:t> </w:t>
      </w:r>
      <w:r>
        <w:rPr/>
        <w:t>ΝΧΙ</w:t>
      </w:r>
      <w:r>
        <w:rPr>
          <w:spacing w:val="21"/>
        </w:rPr>
        <w:t> </w:t>
      </w:r>
      <w:r>
        <w:rPr/>
        <w:t>επιταχύνθηκε</w:t>
      </w:r>
      <w:r>
        <w:rPr>
          <w:spacing w:val="23"/>
        </w:rPr>
        <w:t> </w:t>
      </w:r>
      <w:r>
        <w:rPr/>
        <w:t>σημαντικά</w:t>
      </w:r>
      <w:r>
        <w:rPr>
          <w:spacing w:val="20"/>
        </w:rPr>
        <w:t> </w:t>
      </w:r>
      <w:r>
        <w:rPr/>
        <w:t>το</w:t>
      </w:r>
      <w:r>
        <w:rPr>
          <w:spacing w:val="21"/>
        </w:rPr>
        <w:t> </w:t>
      </w:r>
      <w:r>
        <w:rPr/>
        <w:t>2025</w:t>
      </w:r>
      <w:r>
        <w:rPr>
          <w:spacing w:val="20"/>
        </w:rPr>
        <w:t> </w:t>
      </w:r>
      <w:r>
        <w:rPr/>
        <w:t>(μέση</w:t>
      </w:r>
      <w:r>
        <w:rPr>
          <w:spacing w:val="23"/>
        </w:rPr>
        <w:t> </w:t>
      </w:r>
      <w:r>
        <w:rPr/>
        <w:t>τιμή</w:t>
      </w:r>
      <w:r>
        <w:rPr>
          <w:spacing w:val="23"/>
        </w:rPr>
        <w:t> </w:t>
      </w:r>
      <w:r>
        <w:rPr>
          <w:spacing w:val="-2"/>
        </w:rPr>
        <w:t>15,0%,</w:t>
      </w:r>
    </w:p>
    <w:p>
      <w:pPr>
        <w:pStyle w:val="BodyText"/>
        <w:rPr>
          <w:sz w:val="20"/>
        </w:rPr>
      </w:pPr>
    </w:p>
    <w:p>
      <w:pPr>
        <w:pStyle w:val="BodyText"/>
        <w:rPr>
          <w:sz w:val="20"/>
        </w:rPr>
      </w:pPr>
    </w:p>
    <w:p>
      <w:pPr>
        <w:pStyle w:val="BodyText"/>
        <w:spacing w:before="17"/>
        <w:rPr>
          <w:sz w:val="20"/>
        </w:rPr>
      </w:pPr>
      <w:r>
        <w:rPr>
          <w:sz w:val="20"/>
        </w:rPr>
        <mc:AlternateContent>
          <mc:Choice Requires="wps">
            <w:drawing>
              <wp:anchor distT="0" distB="0" distL="0" distR="0" allowOverlap="1" layoutInCell="1" locked="0" behindDoc="1" simplePos="0" relativeHeight="487607808">
                <wp:simplePos x="0" y="0"/>
                <wp:positionH relativeFrom="page">
                  <wp:posOffset>1009192</wp:posOffset>
                </wp:positionH>
                <wp:positionV relativeFrom="paragraph">
                  <wp:posOffset>172480</wp:posOffset>
                </wp:positionV>
                <wp:extent cx="1829435" cy="7620"/>
                <wp:effectExtent l="0" t="0" r="0" b="0"/>
                <wp:wrapTopAndBottom/>
                <wp:docPr id="186" name="Graphic 186"/>
                <wp:cNvGraphicFramePr>
                  <a:graphicFrameLocks/>
                </wp:cNvGraphicFramePr>
                <a:graphic>
                  <a:graphicData uri="http://schemas.microsoft.com/office/word/2010/wordprocessingShape">
                    <wps:wsp>
                      <wps:cNvPr id="186" name="Graphic 186"/>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3.581148pt;width:144.020pt;height:.599980pt;mso-position-horizontal-relative:page;mso-position-vertical-relative:paragraph;z-index:-15708672;mso-wrap-distance-left:0;mso-wrap-distance-right:0" id="docshape172" filled="true" fillcolor="#000000" stroked="false">
                <v:fill type="solid"/>
                <w10:wrap type="topAndBottom"/>
              </v:rect>
            </w:pict>
          </mc:Fallback>
        </mc:AlternateContent>
      </w:r>
    </w:p>
    <w:p>
      <w:pPr>
        <w:spacing w:before="167"/>
        <w:ind w:left="172" w:right="0" w:firstLine="0"/>
        <w:jc w:val="left"/>
        <w:rPr>
          <w:sz w:val="16"/>
        </w:rPr>
      </w:pPr>
      <w:bookmarkStart w:name="_bookmark36" w:id="37"/>
      <w:bookmarkEnd w:id="37"/>
      <w:r>
        <w:rPr/>
      </w:r>
      <w:r>
        <w:rPr>
          <w:sz w:val="16"/>
          <w:vertAlign w:val="superscript"/>
        </w:rPr>
        <w:t>23</w:t>
      </w:r>
      <w:r>
        <w:rPr>
          <w:spacing w:val="-4"/>
          <w:sz w:val="16"/>
          <w:vertAlign w:val="baseline"/>
        </w:rPr>
        <w:t> </w:t>
      </w:r>
      <w:hyperlink r:id="rId31">
        <w:r>
          <w:rPr>
            <w:color w:val="0000FF"/>
            <w:sz w:val="16"/>
            <w:u w:val="single" w:color="0000FF"/>
            <w:vertAlign w:val="baseline"/>
          </w:rPr>
          <w:t>Δελτίο</w:t>
        </w:r>
        <w:r>
          <w:rPr>
            <w:color w:val="0000FF"/>
            <w:spacing w:val="-5"/>
            <w:sz w:val="16"/>
            <w:u w:val="single" w:color="0000FF"/>
            <w:vertAlign w:val="baseline"/>
          </w:rPr>
          <w:t> </w:t>
        </w:r>
        <w:r>
          <w:rPr>
            <w:color w:val="0000FF"/>
            <w:sz w:val="16"/>
            <w:u w:val="single" w:color="0000FF"/>
            <w:vertAlign w:val="baseline"/>
          </w:rPr>
          <w:t>Τύπου</w:t>
        </w:r>
        <w:r>
          <w:rPr>
            <w:color w:val="0000FF"/>
            <w:spacing w:val="-3"/>
            <w:sz w:val="16"/>
            <w:u w:val="single" w:color="0000FF"/>
            <w:vertAlign w:val="baseline"/>
          </w:rPr>
          <w:t> </w:t>
        </w:r>
        <w:r>
          <w:rPr>
            <w:color w:val="0000FF"/>
            <w:sz w:val="16"/>
            <w:u w:val="single" w:color="0000FF"/>
            <w:vertAlign w:val="baseline"/>
          </w:rPr>
          <w:t>-</w:t>
        </w:r>
        <w:r>
          <w:rPr>
            <w:color w:val="0000FF"/>
            <w:spacing w:val="-4"/>
            <w:sz w:val="16"/>
            <w:u w:val="single" w:color="0000FF"/>
            <w:vertAlign w:val="baseline"/>
          </w:rPr>
          <w:t> </w:t>
        </w:r>
        <w:r>
          <w:rPr>
            <w:color w:val="0000FF"/>
            <w:sz w:val="16"/>
            <w:u w:val="single" w:color="0000FF"/>
            <w:vertAlign w:val="baseline"/>
          </w:rPr>
          <w:t>Εξέλιξη</w:t>
        </w:r>
        <w:r>
          <w:rPr>
            <w:color w:val="0000FF"/>
            <w:spacing w:val="-5"/>
            <w:sz w:val="16"/>
            <w:u w:val="single" w:color="0000FF"/>
            <w:vertAlign w:val="baseline"/>
          </w:rPr>
          <w:t> </w:t>
        </w:r>
        <w:r>
          <w:rPr>
            <w:color w:val="0000FF"/>
            <w:sz w:val="16"/>
            <w:u w:val="single" w:color="0000FF"/>
            <w:vertAlign w:val="baseline"/>
          </w:rPr>
          <w:t>κύκλου</w:t>
        </w:r>
        <w:r>
          <w:rPr>
            <w:color w:val="0000FF"/>
            <w:spacing w:val="-7"/>
            <w:sz w:val="16"/>
            <w:u w:val="single" w:color="0000FF"/>
            <w:vertAlign w:val="baseline"/>
          </w:rPr>
          <w:t> </w:t>
        </w:r>
        <w:r>
          <w:rPr>
            <w:color w:val="0000FF"/>
            <w:sz w:val="16"/>
            <w:u w:val="single" w:color="0000FF"/>
            <w:vertAlign w:val="baseline"/>
          </w:rPr>
          <w:t>εργασιών</w:t>
        </w:r>
        <w:r>
          <w:rPr>
            <w:color w:val="0000FF"/>
            <w:spacing w:val="-3"/>
            <w:sz w:val="16"/>
            <w:u w:val="single" w:color="0000FF"/>
            <w:vertAlign w:val="baseline"/>
          </w:rPr>
          <w:t> </w:t>
        </w:r>
        <w:r>
          <w:rPr>
            <w:color w:val="0000FF"/>
            <w:sz w:val="16"/>
            <w:u w:val="single" w:color="0000FF"/>
            <w:vertAlign w:val="baseline"/>
          </w:rPr>
          <w:t>των</w:t>
        </w:r>
        <w:r>
          <w:rPr>
            <w:color w:val="0000FF"/>
            <w:spacing w:val="-5"/>
            <w:sz w:val="16"/>
            <w:u w:val="single" w:color="0000FF"/>
            <w:vertAlign w:val="baseline"/>
          </w:rPr>
          <w:t> </w:t>
        </w:r>
        <w:r>
          <w:rPr>
            <w:color w:val="0000FF"/>
            <w:sz w:val="16"/>
            <w:u w:val="single" w:color="0000FF"/>
            <w:vertAlign w:val="baseline"/>
          </w:rPr>
          <w:t>επιχειρήσεων,</w:t>
        </w:r>
        <w:r>
          <w:rPr>
            <w:color w:val="0000FF"/>
            <w:spacing w:val="-5"/>
            <w:sz w:val="16"/>
            <w:u w:val="single" w:color="0000FF"/>
            <w:vertAlign w:val="baseline"/>
          </w:rPr>
          <w:t> </w:t>
        </w:r>
        <w:r>
          <w:rPr>
            <w:color w:val="0000FF"/>
            <w:sz w:val="16"/>
            <w:u w:val="single" w:color="0000FF"/>
            <w:vertAlign w:val="baseline"/>
          </w:rPr>
          <w:t>δ΄</w:t>
        </w:r>
        <w:r>
          <w:rPr>
            <w:color w:val="0000FF"/>
            <w:spacing w:val="-5"/>
            <w:sz w:val="16"/>
            <w:u w:val="single" w:color="0000FF"/>
            <w:vertAlign w:val="baseline"/>
          </w:rPr>
          <w:t> </w:t>
        </w:r>
        <w:r>
          <w:rPr>
            <w:color w:val="0000FF"/>
            <w:sz w:val="16"/>
            <w:u w:val="single" w:color="0000FF"/>
            <w:vertAlign w:val="baseline"/>
          </w:rPr>
          <w:t>τρίμηνο</w:t>
        </w:r>
        <w:r>
          <w:rPr>
            <w:color w:val="0000FF"/>
            <w:spacing w:val="-4"/>
            <w:sz w:val="16"/>
            <w:u w:val="single" w:color="0000FF"/>
            <w:vertAlign w:val="baseline"/>
          </w:rPr>
          <w:t> </w:t>
        </w:r>
        <w:r>
          <w:rPr>
            <w:color w:val="0000FF"/>
            <w:spacing w:val="-2"/>
            <w:sz w:val="16"/>
            <w:u w:val="single" w:color="0000FF"/>
            <w:vertAlign w:val="baseline"/>
          </w:rPr>
          <w:t>2025</w:t>
        </w:r>
        <w:r>
          <w:rPr>
            <w:color w:val="0000FF"/>
            <w:spacing w:val="-2"/>
            <w:sz w:val="16"/>
            <w:vertAlign w:val="baseline"/>
          </w:rPr>
          <w:t>.</w:t>
        </w:r>
      </w:hyperlink>
    </w:p>
    <w:p>
      <w:pPr>
        <w:spacing w:before="20"/>
        <w:ind w:left="172" w:right="956" w:firstLine="0"/>
        <w:jc w:val="left"/>
        <w:rPr>
          <w:sz w:val="16"/>
        </w:rPr>
      </w:pPr>
      <w:bookmarkStart w:name="_bookmark37" w:id="38"/>
      <w:bookmarkEnd w:id="38"/>
      <w:r>
        <w:rPr/>
      </w:r>
      <w:r>
        <w:rPr>
          <w:sz w:val="16"/>
          <w:vertAlign w:val="superscript"/>
        </w:rPr>
        <w:t>24</w:t>
      </w:r>
      <w:r>
        <w:rPr>
          <w:sz w:val="16"/>
          <w:vertAlign w:val="baseline"/>
        </w:rPr>
        <w:t> Τριμηνιαίοι Μη Χρηματοοικονομικοί Λογαριασμοί Θεσμικών</w:t>
      </w:r>
      <w:r>
        <w:rPr>
          <w:spacing w:val="-1"/>
          <w:sz w:val="16"/>
          <w:vertAlign w:val="baseline"/>
        </w:rPr>
        <w:t> </w:t>
      </w:r>
      <w:r>
        <w:rPr>
          <w:sz w:val="16"/>
          <w:vertAlign w:val="baseline"/>
        </w:rPr>
        <w:t>Τομέων</w:t>
      </w:r>
      <w:r>
        <w:rPr>
          <w:spacing w:val="-1"/>
          <w:sz w:val="16"/>
          <w:vertAlign w:val="baseline"/>
        </w:rPr>
        <w:t> </w:t>
      </w:r>
      <w:r>
        <w:rPr>
          <w:sz w:val="16"/>
          <w:vertAlign w:val="baseline"/>
        </w:rPr>
        <w:t>για </w:t>
      </w:r>
      <w:hyperlink r:id="rId32">
        <w:r>
          <w:rPr>
            <w:color w:val="0000FF"/>
            <w:sz w:val="16"/>
            <w:u w:val="single" w:color="0000FF"/>
            <w:vertAlign w:val="baseline"/>
          </w:rPr>
          <w:t>Μη Χρηματοοικονομικές Εταιρείες</w:t>
        </w:r>
      </w:hyperlink>
      <w:r>
        <w:rPr>
          <w:color w:val="0000FF"/>
          <w:sz w:val="16"/>
          <w:vertAlign w:val="baseline"/>
        </w:rPr>
        <w:t> </w:t>
      </w:r>
      <w:r>
        <w:rPr>
          <w:sz w:val="16"/>
          <w:vertAlign w:val="baseline"/>
        </w:rPr>
        <w:t>(S.11), δ΄</w:t>
      </w:r>
      <w:r>
        <w:rPr>
          <w:spacing w:val="-1"/>
          <w:sz w:val="16"/>
          <w:vertAlign w:val="baseline"/>
        </w:rPr>
        <w:t> </w:t>
      </w:r>
      <w:r>
        <w:rPr>
          <w:sz w:val="16"/>
          <w:vertAlign w:val="baseline"/>
        </w:rPr>
        <w:t>τρίμηνο</w:t>
      </w:r>
      <w:r>
        <w:rPr>
          <w:spacing w:val="40"/>
          <w:sz w:val="16"/>
          <w:vertAlign w:val="baseline"/>
        </w:rPr>
        <w:t> </w:t>
      </w:r>
      <w:r>
        <w:rPr>
          <w:spacing w:val="-2"/>
          <w:sz w:val="16"/>
          <w:vertAlign w:val="baseline"/>
        </w:rPr>
        <w:t>2025.</w:t>
      </w:r>
    </w:p>
    <w:p>
      <w:pPr>
        <w:spacing w:after="0"/>
        <w:jc w:val="left"/>
        <w:rPr>
          <w:sz w:val="16"/>
        </w:rPr>
        <w:sectPr>
          <w:type w:val="continuous"/>
          <w:pgSz w:w="11910" w:h="16850"/>
          <w:pgMar w:header="0" w:footer="1108" w:top="1320" w:bottom="280" w:left="1417" w:right="850"/>
        </w:sectPr>
      </w:pPr>
    </w:p>
    <w:p>
      <w:pPr>
        <w:pStyle w:val="BodyText"/>
        <w:spacing w:line="285" w:lineRule="auto" w:before="66"/>
        <w:ind w:left="172" w:right="957"/>
        <w:jc w:val="both"/>
      </w:pPr>
      <w:r>
        <w:rPr/>
        <w:t>έναντι</w:t>
      </w:r>
      <w:r>
        <w:rPr>
          <w:spacing w:val="-9"/>
        </w:rPr>
        <w:t> </w:t>
      </w:r>
      <w:r>
        <w:rPr/>
        <w:t>9,5%</w:t>
      </w:r>
      <w:r>
        <w:rPr>
          <w:spacing w:val="-9"/>
        </w:rPr>
        <w:t> </w:t>
      </w:r>
      <w:r>
        <w:rPr/>
        <w:t>το</w:t>
      </w:r>
      <w:r>
        <w:rPr>
          <w:spacing w:val="-9"/>
        </w:rPr>
        <w:t> </w:t>
      </w:r>
      <w:r>
        <w:rPr/>
        <w:t>2024),</w:t>
      </w:r>
      <w:r>
        <w:rPr>
          <w:spacing w:val="-12"/>
        </w:rPr>
        <w:t> </w:t>
      </w:r>
      <w:r>
        <w:rPr/>
        <w:t>ενώ</w:t>
      </w:r>
      <w:r>
        <w:rPr>
          <w:spacing w:val="-9"/>
        </w:rPr>
        <w:t> </w:t>
      </w:r>
      <w:r>
        <w:rPr/>
        <w:t>ειδικότερα</w:t>
      </w:r>
      <w:r>
        <w:rPr>
          <w:spacing w:val="-9"/>
        </w:rPr>
        <w:t> </w:t>
      </w:r>
      <w:r>
        <w:rPr/>
        <w:t>τον</w:t>
      </w:r>
      <w:r>
        <w:rPr>
          <w:spacing w:val="-9"/>
        </w:rPr>
        <w:t> </w:t>
      </w:r>
      <w:r>
        <w:rPr/>
        <w:t>Μάιο</w:t>
      </w:r>
      <w:r>
        <w:rPr>
          <w:spacing w:val="-9"/>
        </w:rPr>
        <w:t> </w:t>
      </w:r>
      <w:r>
        <w:rPr/>
        <w:t>του</w:t>
      </w:r>
      <w:r>
        <w:rPr>
          <w:spacing w:val="-8"/>
        </w:rPr>
        <w:t> </w:t>
      </w:r>
      <w:r>
        <w:rPr/>
        <w:t>2025</w:t>
      </w:r>
      <w:r>
        <w:rPr>
          <w:spacing w:val="-9"/>
        </w:rPr>
        <w:t> </w:t>
      </w:r>
      <w:r>
        <w:rPr/>
        <w:t>διαμορφώθηκε</w:t>
      </w:r>
      <w:r>
        <w:rPr>
          <w:spacing w:val="-9"/>
        </w:rPr>
        <w:t> </w:t>
      </w:r>
      <w:r>
        <w:rPr/>
        <w:t>στο</w:t>
      </w:r>
      <w:r>
        <w:rPr>
          <w:spacing w:val="-9"/>
        </w:rPr>
        <w:t> </w:t>
      </w:r>
      <w:r>
        <w:rPr/>
        <w:t>υψηλότερο</w:t>
      </w:r>
      <w:r>
        <w:rPr>
          <w:spacing w:val="-9"/>
        </w:rPr>
        <w:t> </w:t>
      </w:r>
      <w:r>
        <w:rPr/>
        <w:t>επίπεδο (17,4%) που έχει παρατηρηθεί από τις αρχές του 2009. Από τον Ιούνιο του 2025 παρατηρείται</w:t>
      </w:r>
    </w:p>
    <w:p>
      <w:pPr>
        <w:pStyle w:val="BodyText"/>
        <w:spacing w:before="10" w:after="1"/>
        <w:rPr>
          <w:sz w:val="13"/>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0"/>
        <w:gridCol w:w="4255"/>
      </w:tblGrid>
      <w:tr>
        <w:trPr>
          <w:trHeight w:val="741" w:hRule="atLeast"/>
        </w:trPr>
        <w:tc>
          <w:tcPr>
            <w:tcW w:w="4250" w:type="dxa"/>
            <w:tcBorders>
              <w:right w:val="single" w:sz="48" w:space="0" w:color="FFFFFF"/>
            </w:tcBorders>
            <w:shd w:val="clear" w:color="auto" w:fill="1F487C"/>
          </w:tcPr>
          <w:p>
            <w:pPr>
              <w:pStyle w:val="TableParagraph"/>
              <w:spacing w:before="60"/>
              <w:ind w:left="112" w:right="21"/>
              <w:jc w:val="both"/>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12"/>
                <w:sz w:val="18"/>
              </w:rPr>
              <w:t> </w:t>
            </w:r>
            <w:r>
              <w:rPr>
                <w:b/>
                <w:smallCaps w:val="0"/>
                <w:color w:val="FFFFFF"/>
                <w:sz w:val="18"/>
              </w:rPr>
              <w:t>ΙΙ.5</w:t>
            </w:r>
            <w:r>
              <w:rPr>
                <w:b/>
                <w:smallCaps w:val="0"/>
                <w:color w:val="FFFFFF"/>
                <w:spacing w:val="-11"/>
                <w:sz w:val="18"/>
              </w:rPr>
              <w:t> </w:t>
            </w:r>
            <w:r>
              <w:rPr>
                <w:b/>
                <w:smallCaps w:val="0"/>
                <w:color w:val="FFFFFF"/>
                <w:sz w:val="18"/>
              </w:rPr>
              <w:t>Χρηματοδότηση</w:t>
            </w:r>
            <w:r>
              <w:rPr>
                <w:b/>
                <w:smallCaps w:val="0"/>
                <w:color w:val="FFFFFF"/>
                <w:spacing w:val="-11"/>
                <w:sz w:val="18"/>
              </w:rPr>
              <w:t> </w:t>
            </w:r>
            <w:r>
              <w:rPr>
                <w:b/>
                <w:smallCaps w:val="0"/>
                <w:color w:val="FFFFFF"/>
                <w:sz w:val="18"/>
              </w:rPr>
              <w:t>εγχώρ</w:t>
            </w:r>
            <w:r>
              <w:rPr>
                <w:b/>
                <w:smallCaps/>
                <w:color w:val="FFFFFF"/>
                <w:sz w:val="18"/>
              </w:rPr>
              <w:t>ιο</w:t>
            </w:r>
            <w:r>
              <w:rPr>
                <w:b/>
                <w:smallCaps w:val="0"/>
                <w:color w:val="FFFFFF"/>
                <w:sz w:val="18"/>
              </w:rPr>
              <w:t>υ</w:t>
            </w:r>
            <w:r>
              <w:rPr>
                <w:b/>
                <w:smallCaps w:val="0"/>
                <w:color w:val="FFFFFF"/>
                <w:spacing w:val="-11"/>
                <w:sz w:val="18"/>
              </w:rPr>
              <w:t> </w:t>
            </w:r>
            <w:r>
              <w:rPr>
                <w:b/>
                <w:smallCaps/>
                <w:color w:val="FFFFFF"/>
                <w:sz w:val="18"/>
              </w:rPr>
              <w:t>ι</w:t>
            </w:r>
            <w:r>
              <w:rPr>
                <w:b/>
                <w:smallCaps w:val="0"/>
                <w:color w:val="FFFFFF"/>
                <w:sz w:val="18"/>
              </w:rPr>
              <w:t>δ</w:t>
            </w:r>
            <w:r>
              <w:rPr>
                <w:b/>
                <w:smallCaps/>
                <w:color w:val="FFFFFF"/>
                <w:sz w:val="18"/>
              </w:rPr>
              <w:t>ι</w:t>
            </w:r>
            <w:r>
              <w:rPr>
                <w:b/>
                <w:smallCaps w:val="0"/>
                <w:color w:val="FFFFFF"/>
                <w:sz w:val="18"/>
              </w:rPr>
              <w:t>ωτ</w:t>
            </w:r>
            <w:r>
              <w:rPr>
                <w:b/>
                <w:smallCaps/>
                <w:color w:val="FFFFFF"/>
                <w:sz w:val="18"/>
              </w:rPr>
              <w:t>ι</w:t>
            </w:r>
            <w:r>
              <w:rPr>
                <w:b/>
                <w:smallCaps w:val="0"/>
                <w:color w:val="FFFFFF"/>
                <w:sz w:val="18"/>
              </w:rPr>
              <w:t>κού τομέα</w:t>
            </w:r>
            <w:r>
              <w:rPr>
                <w:b/>
                <w:smallCaps w:val="0"/>
                <w:color w:val="FFFFFF"/>
                <w:spacing w:val="-3"/>
                <w:sz w:val="18"/>
              </w:rPr>
              <w:t> </w:t>
            </w:r>
            <w:r>
              <w:rPr>
                <w:b/>
                <w:smallCaps w:val="0"/>
                <w:color w:val="FFFFFF"/>
                <w:sz w:val="18"/>
              </w:rPr>
              <w:t>από</w:t>
            </w:r>
            <w:r>
              <w:rPr>
                <w:b/>
                <w:smallCaps w:val="0"/>
                <w:color w:val="FFFFFF"/>
                <w:spacing w:val="-2"/>
                <w:sz w:val="18"/>
              </w:rPr>
              <w:t> </w:t>
            </w:r>
            <w:r>
              <w:rPr>
                <w:b/>
                <w:smallCaps w:val="0"/>
                <w:color w:val="FFFFFF"/>
                <w:sz w:val="18"/>
              </w:rPr>
              <w:t>τα</w:t>
            </w:r>
            <w:r>
              <w:rPr>
                <w:b/>
                <w:smallCaps w:val="0"/>
                <w:color w:val="FFFFFF"/>
                <w:spacing w:val="-1"/>
                <w:sz w:val="18"/>
              </w:rPr>
              <w:t> </w:t>
            </w:r>
            <w:r>
              <w:rPr>
                <w:b/>
                <w:smallCaps w:val="0"/>
                <w:color w:val="FFFFFF"/>
                <w:sz w:val="18"/>
              </w:rPr>
              <w:t>εγχώρ</w:t>
            </w:r>
            <w:r>
              <w:rPr>
                <w:b/>
                <w:smallCaps/>
                <w:color w:val="FFFFFF"/>
                <w:sz w:val="18"/>
              </w:rPr>
              <w:t>ι</w:t>
            </w:r>
            <w:r>
              <w:rPr>
                <w:b/>
                <w:smallCaps w:val="0"/>
                <w:color w:val="FFFFFF"/>
                <w:sz w:val="18"/>
              </w:rPr>
              <w:t>α</w:t>
            </w:r>
            <w:r>
              <w:rPr>
                <w:b/>
                <w:smallCaps w:val="0"/>
                <w:color w:val="FFFFFF"/>
                <w:spacing w:val="-2"/>
                <w:sz w:val="18"/>
              </w:rPr>
              <w:t> </w:t>
            </w:r>
            <w:r>
              <w:rPr>
                <w:b/>
                <w:smallCaps w:val="0"/>
                <w:color w:val="FFFFFF"/>
                <w:sz w:val="18"/>
              </w:rPr>
              <w:t>Νομ</w:t>
            </w:r>
            <w:r>
              <w:rPr>
                <w:b/>
                <w:smallCaps/>
                <w:color w:val="FFFFFF"/>
                <w:sz w:val="18"/>
              </w:rPr>
              <w:t>ι</w:t>
            </w:r>
            <w:r>
              <w:rPr>
                <w:b/>
                <w:smallCaps w:val="0"/>
                <w:color w:val="FFFFFF"/>
                <w:sz w:val="18"/>
              </w:rPr>
              <w:t>σματ</w:t>
            </w:r>
            <w:r>
              <w:rPr>
                <w:b/>
                <w:smallCaps/>
                <w:color w:val="FFFFFF"/>
                <w:sz w:val="18"/>
              </w:rPr>
              <w:t>ι</w:t>
            </w:r>
            <w:r>
              <w:rPr>
                <w:b/>
                <w:smallCaps w:val="0"/>
                <w:color w:val="FFFFFF"/>
                <w:sz w:val="18"/>
              </w:rPr>
              <w:t>κά</w:t>
            </w:r>
            <w:r>
              <w:rPr>
                <w:b/>
                <w:smallCaps w:val="0"/>
                <w:color w:val="FFFFFF"/>
                <w:spacing w:val="-1"/>
                <w:sz w:val="18"/>
              </w:rPr>
              <w:t> </w:t>
            </w:r>
            <w:r>
              <w:rPr>
                <w:b/>
                <w:smallCaps w:val="0"/>
                <w:color w:val="FFFFFF"/>
                <w:sz w:val="18"/>
              </w:rPr>
              <w:t>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κά Ιδρύματα (ΝΧΙ)</w:t>
            </w:r>
          </w:p>
        </w:tc>
        <w:tc>
          <w:tcPr>
            <w:tcW w:w="4255" w:type="dxa"/>
            <w:tcBorders>
              <w:left w:val="single" w:sz="48" w:space="0" w:color="FFFFFF"/>
            </w:tcBorders>
            <w:shd w:val="clear" w:color="auto" w:fill="1F487C"/>
          </w:tcPr>
          <w:p>
            <w:pPr>
              <w:pStyle w:val="TableParagraph"/>
              <w:spacing w:before="60"/>
              <w:ind w:left="106" w:right="95"/>
              <w:jc w:val="both"/>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ΙΙ.6</w:t>
            </w:r>
            <w:r>
              <w:rPr>
                <w:b/>
                <w:smallCaps w:val="0"/>
                <w:color w:val="FFFFFF"/>
                <w:spacing w:val="-9"/>
                <w:sz w:val="18"/>
              </w:rPr>
              <w:t> </w:t>
            </w:r>
            <w:r>
              <w:rPr>
                <w:b/>
                <w:smallCaps w:val="0"/>
                <w:color w:val="FFFFFF"/>
                <w:sz w:val="18"/>
              </w:rPr>
              <w:t>Ρυθμός</w:t>
            </w:r>
            <w:r>
              <w:rPr>
                <w:b/>
                <w:smallCaps w:val="0"/>
                <w:color w:val="FFFFFF"/>
                <w:spacing w:val="-10"/>
                <w:sz w:val="18"/>
              </w:rPr>
              <w:t> </w:t>
            </w:r>
            <w:r>
              <w:rPr>
                <w:b/>
                <w:smallCaps w:val="0"/>
                <w:color w:val="FFFFFF"/>
                <w:sz w:val="18"/>
              </w:rPr>
              <w:t>μεταβολής</w:t>
            </w:r>
            <w:r>
              <w:rPr>
                <w:b/>
                <w:smallCaps w:val="0"/>
                <w:color w:val="FFFFFF"/>
                <w:spacing w:val="-10"/>
                <w:sz w:val="18"/>
              </w:rPr>
              <w:t> </w:t>
            </w:r>
            <w:r>
              <w:rPr>
                <w:b/>
                <w:smallCaps w:val="0"/>
                <w:color w:val="FFFFFF"/>
                <w:sz w:val="18"/>
              </w:rPr>
              <w:t>χρηματοδότησης προς</w:t>
            </w:r>
            <w:r>
              <w:rPr>
                <w:b/>
                <w:smallCaps w:val="0"/>
                <w:color w:val="FFFFFF"/>
                <w:spacing w:val="-4"/>
                <w:sz w:val="18"/>
              </w:rPr>
              <w:t> </w:t>
            </w:r>
            <w:r>
              <w:rPr>
                <w:b/>
                <w:smallCaps w:val="0"/>
                <w:color w:val="FFFFFF"/>
                <w:sz w:val="18"/>
              </w:rPr>
              <w:t>τ</w:t>
            </w:r>
            <w:r>
              <w:rPr>
                <w:b/>
                <w:smallCaps/>
                <w:color w:val="FFFFFF"/>
                <w:sz w:val="18"/>
              </w:rPr>
              <w:t>ι</w:t>
            </w:r>
            <w:r>
              <w:rPr>
                <w:b/>
                <w:smallCaps w:val="0"/>
                <w:color w:val="FFFFFF"/>
                <w:sz w:val="18"/>
              </w:rPr>
              <w:t>ς</w:t>
            </w:r>
            <w:r>
              <w:rPr>
                <w:b/>
                <w:smallCaps w:val="0"/>
                <w:color w:val="FFFFFF"/>
                <w:spacing w:val="-7"/>
                <w:sz w:val="18"/>
              </w:rPr>
              <w:t> </w:t>
            </w:r>
            <w:r>
              <w:rPr>
                <w:b/>
                <w:smallCaps w:val="0"/>
                <w:color w:val="FFFFFF"/>
                <w:sz w:val="18"/>
              </w:rPr>
              <w:t>μη</w:t>
            </w:r>
            <w:r>
              <w:rPr>
                <w:b/>
                <w:smallCaps w:val="0"/>
                <w:color w:val="FFFFFF"/>
                <w:spacing w:val="-4"/>
                <w:sz w:val="18"/>
              </w:rPr>
              <w:t> </w:t>
            </w:r>
            <w:r>
              <w:rPr>
                <w:b/>
                <w:smallCaps w:val="0"/>
                <w:color w:val="FFFFFF"/>
                <w:sz w:val="18"/>
              </w:rPr>
              <w:t>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κές</w:t>
            </w:r>
            <w:r>
              <w:rPr>
                <w:b/>
                <w:smallCaps w:val="0"/>
                <w:color w:val="FFFFFF"/>
                <w:spacing w:val="-7"/>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w:t>
            </w:r>
            <w:r>
              <w:rPr>
                <w:b/>
                <w:smallCaps/>
                <w:color w:val="FFFFFF"/>
                <w:sz w:val="18"/>
              </w:rPr>
              <w:t>ι</w:t>
            </w:r>
            <w:r>
              <w:rPr>
                <w:b/>
                <w:smallCaps w:val="0"/>
                <w:color w:val="FFFFFF"/>
                <w:sz w:val="18"/>
              </w:rPr>
              <w:t>ς</w:t>
            </w:r>
            <w:r>
              <w:rPr>
                <w:b/>
                <w:smallCaps w:val="0"/>
                <w:color w:val="FFFFFF"/>
                <w:spacing w:val="-5"/>
                <w:sz w:val="18"/>
              </w:rPr>
              <w:t> </w:t>
            </w:r>
            <w:r>
              <w:rPr>
                <w:b/>
                <w:smallCaps w:val="0"/>
                <w:color w:val="FFFFFF"/>
                <w:sz w:val="18"/>
              </w:rPr>
              <w:t>από</w:t>
            </w:r>
            <w:r>
              <w:rPr>
                <w:b/>
                <w:smallCaps w:val="0"/>
                <w:color w:val="FFFFFF"/>
                <w:spacing w:val="-6"/>
                <w:sz w:val="18"/>
              </w:rPr>
              <w:t> </w:t>
            </w:r>
            <w:r>
              <w:rPr>
                <w:b/>
                <w:smallCaps w:val="0"/>
                <w:color w:val="FFFFFF"/>
                <w:sz w:val="18"/>
              </w:rPr>
              <w:t>τα εγχώρ</w:t>
            </w:r>
            <w:r>
              <w:rPr>
                <w:b/>
                <w:smallCaps/>
                <w:color w:val="FFFFFF"/>
                <w:sz w:val="18"/>
              </w:rPr>
              <w:t>ι</w:t>
            </w:r>
            <w:r>
              <w:rPr>
                <w:b/>
                <w:smallCaps w:val="0"/>
                <w:color w:val="FFFFFF"/>
                <w:sz w:val="18"/>
              </w:rPr>
              <w:t>α ΝΧΙ</w:t>
            </w:r>
          </w:p>
        </w:tc>
      </w:tr>
      <w:tr>
        <w:trPr>
          <w:trHeight w:val="340" w:hRule="atLeast"/>
        </w:trPr>
        <w:tc>
          <w:tcPr>
            <w:tcW w:w="4250" w:type="dxa"/>
            <w:tcBorders>
              <w:right w:val="single" w:sz="48" w:space="0" w:color="FFFFFF"/>
            </w:tcBorders>
          </w:tcPr>
          <w:p>
            <w:pPr>
              <w:pStyle w:val="TableParagraph"/>
              <w:spacing w:before="119"/>
              <w:ind w:left="57"/>
              <w:rPr>
                <w:sz w:val="14"/>
              </w:rPr>
            </w:pPr>
            <w:r>
              <w:rPr>
                <w:color w:val="1F487C"/>
                <w:sz w:val="14"/>
              </w:rPr>
              <w:t>(δισεκ.</w:t>
            </w:r>
            <w:r>
              <w:rPr>
                <w:color w:val="1F487C"/>
                <w:spacing w:val="-4"/>
                <w:sz w:val="14"/>
              </w:rPr>
              <w:t> </w:t>
            </w:r>
            <w:r>
              <w:rPr>
                <w:color w:val="1F487C"/>
                <w:sz w:val="14"/>
              </w:rPr>
              <w:t>ευρώ,</w:t>
            </w:r>
            <w:r>
              <w:rPr>
                <w:color w:val="1F487C"/>
                <w:spacing w:val="-4"/>
                <w:sz w:val="14"/>
              </w:rPr>
              <w:t> </w:t>
            </w:r>
            <w:r>
              <w:rPr>
                <w:color w:val="1F487C"/>
                <w:sz w:val="14"/>
              </w:rPr>
              <w:t>ποσοστά</w:t>
            </w:r>
            <w:r>
              <w:rPr>
                <w:color w:val="1F487C"/>
                <w:spacing w:val="-6"/>
                <w:sz w:val="14"/>
              </w:rPr>
              <w:t> </w:t>
            </w:r>
            <w:r>
              <w:rPr>
                <w:color w:val="1F487C"/>
                <w:sz w:val="14"/>
              </w:rPr>
              <w:t>%,</w:t>
            </w:r>
            <w:r>
              <w:rPr>
                <w:color w:val="1F487C"/>
                <w:spacing w:val="-2"/>
                <w:sz w:val="14"/>
              </w:rPr>
              <w:t> </w:t>
            </w:r>
            <w:r>
              <w:rPr>
                <w:color w:val="1F487C"/>
                <w:sz w:val="14"/>
              </w:rPr>
              <w:t>Μάρτιος</w:t>
            </w:r>
            <w:r>
              <w:rPr>
                <w:color w:val="1F487C"/>
                <w:spacing w:val="-4"/>
                <w:sz w:val="14"/>
              </w:rPr>
              <w:t> 2026)</w:t>
            </w:r>
          </w:p>
        </w:tc>
        <w:tc>
          <w:tcPr>
            <w:tcW w:w="4255" w:type="dxa"/>
            <w:tcBorders>
              <w:left w:val="single" w:sz="48" w:space="0" w:color="FFFFFF"/>
            </w:tcBorders>
          </w:tcPr>
          <w:p>
            <w:pPr>
              <w:pStyle w:val="TableParagraph"/>
              <w:spacing w:before="119"/>
              <w:ind w:left="51"/>
              <w:rPr>
                <w:sz w:val="14"/>
              </w:rPr>
            </w:pPr>
            <w:r>
              <w:rPr>
                <w:color w:val="1F487C"/>
                <w:sz w:val="14"/>
              </w:rPr>
              <w:t>(ποσοστά</w:t>
            </w:r>
            <w:r>
              <w:rPr>
                <w:color w:val="1F487C"/>
                <w:spacing w:val="-6"/>
                <w:sz w:val="14"/>
              </w:rPr>
              <w:t> </w:t>
            </w:r>
            <w:r>
              <w:rPr>
                <w:color w:val="1F487C"/>
                <w:sz w:val="14"/>
              </w:rPr>
              <w:t>%,</w:t>
            </w:r>
            <w:r>
              <w:rPr>
                <w:color w:val="1F487C"/>
                <w:spacing w:val="-3"/>
                <w:sz w:val="14"/>
              </w:rPr>
              <w:t> </w:t>
            </w:r>
            <w:r>
              <w:rPr>
                <w:color w:val="1F487C"/>
                <w:sz w:val="14"/>
              </w:rPr>
              <w:t>ετήσιοι</w:t>
            </w:r>
            <w:r>
              <w:rPr>
                <w:color w:val="1F487C"/>
                <w:spacing w:val="-4"/>
                <w:sz w:val="14"/>
              </w:rPr>
              <w:t> </w:t>
            </w:r>
            <w:r>
              <w:rPr>
                <w:color w:val="1F487C"/>
                <w:sz w:val="14"/>
              </w:rPr>
              <w:t>ρυθμοί</w:t>
            </w:r>
            <w:r>
              <w:rPr>
                <w:color w:val="1F487C"/>
                <w:spacing w:val="-4"/>
                <w:sz w:val="14"/>
              </w:rPr>
              <w:t> </w:t>
            </w:r>
            <w:r>
              <w:rPr>
                <w:color w:val="1F487C"/>
                <w:spacing w:val="-2"/>
                <w:sz w:val="14"/>
              </w:rPr>
              <w:t>μεταβολής)</w:t>
            </w:r>
          </w:p>
        </w:tc>
      </w:tr>
      <w:tr>
        <w:trPr>
          <w:trHeight w:val="3299" w:hRule="atLeast"/>
        </w:trPr>
        <w:tc>
          <w:tcPr>
            <w:tcW w:w="4250" w:type="dxa"/>
            <w:tcBorders>
              <w:right w:val="single" w:sz="48" w:space="0" w:color="FFFFFF"/>
            </w:tcBorders>
            <w:shd w:val="clear" w:color="auto" w:fill="D9D9D9"/>
          </w:tcPr>
          <w:p>
            <w:pPr>
              <w:pStyle w:val="TableParagraph"/>
              <w:ind w:left="-1"/>
              <w:rPr>
                <w:sz w:val="20"/>
              </w:rPr>
            </w:pPr>
            <w:r>
              <w:rPr>
                <w:sz w:val="20"/>
              </w:rPr>
              <w:drawing>
                <wp:inline distT="0" distB="0" distL="0" distR="0">
                  <wp:extent cx="2633034" cy="2039683"/>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33" cstate="print"/>
                          <a:stretch>
                            <a:fillRect/>
                          </a:stretch>
                        </pic:blipFill>
                        <pic:spPr>
                          <a:xfrm>
                            <a:off x="0" y="0"/>
                            <a:ext cx="2633034" cy="2039683"/>
                          </a:xfrm>
                          <a:prstGeom prst="rect">
                            <a:avLst/>
                          </a:prstGeom>
                        </pic:spPr>
                      </pic:pic>
                    </a:graphicData>
                  </a:graphic>
                </wp:inline>
              </w:drawing>
            </w:r>
            <w:r>
              <w:rPr>
                <w:sz w:val="20"/>
              </w:rPr>
            </w:r>
          </w:p>
        </w:tc>
        <w:tc>
          <w:tcPr>
            <w:tcW w:w="4255" w:type="dxa"/>
            <w:tcBorders>
              <w:left w:val="single" w:sz="48" w:space="0" w:color="FFFFFF"/>
            </w:tcBorders>
            <w:shd w:val="clear" w:color="auto" w:fill="D9D9D9"/>
          </w:tcPr>
          <w:p>
            <w:pPr>
              <w:pStyle w:val="TableParagraph"/>
              <w:ind w:left="-7" w:right="-44"/>
              <w:rPr>
                <w:sz w:val="20"/>
              </w:rPr>
            </w:pPr>
            <w:r>
              <w:rPr>
                <w:sz w:val="20"/>
              </w:rPr>
              <w:drawing>
                <wp:inline distT="0" distB="0" distL="0" distR="0">
                  <wp:extent cx="2663905" cy="2025396"/>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34" cstate="print"/>
                          <a:stretch>
                            <a:fillRect/>
                          </a:stretch>
                        </pic:blipFill>
                        <pic:spPr>
                          <a:xfrm>
                            <a:off x="0" y="0"/>
                            <a:ext cx="2663905" cy="2025396"/>
                          </a:xfrm>
                          <a:prstGeom prst="rect">
                            <a:avLst/>
                          </a:prstGeom>
                        </pic:spPr>
                      </pic:pic>
                    </a:graphicData>
                  </a:graphic>
                </wp:inline>
              </w:drawing>
            </w:r>
            <w:r>
              <w:rPr>
                <w:sz w:val="20"/>
              </w:rPr>
            </w:r>
          </w:p>
        </w:tc>
      </w:tr>
      <w:tr>
        <w:trPr>
          <w:trHeight w:val="884" w:hRule="atLeast"/>
        </w:trPr>
        <w:tc>
          <w:tcPr>
            <w:tcW w:w="4250" w:type="dxa"/>
            <w:tcBorders>
              <w:right w:val="single" w:sz="48" w:space="0" w:color="FFFFFF"/>
            </w:tcBorders>
            <w:shd w:val="clear" w:color="auto" w:fill="D9D9D9"/>
          </w:tcPr>
          <w:p>
            <w:pPr>
              <w:pStyle w:val="TableParagraph"/>
              <w:spacing w:before="139"/>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p>
            <w:pPr>
              <w:pStyle w:val="TableParagraph"/>
              <w:spacing w:before="122"/>
              <w:ind w:left="112"/>
              <w:rPr>
                <w:sz w:val="14"/>
              </w:rPr>
            </w:pPr>
            <w:r>
              <w:rPr>
                <w:sz w:val="14"/>
              </w:rPr>
              <w:t>Σημείωση:</w:t>
            </w:r>
            <w:r>
              <w:rPr>
                <w:spacing w:val="-9"/>
                <w:sz w:val="14"/>
              </w:rPr>
              <w:t> </w:t>
            </w:r>
            <w:r>
              <w:rPr>
                <w:sz w:val="14"/>
              </w:rPr>
              <w:t>Υπόλοιπα</w:t>
            </w:r>
            <w:r>
              <w:rPr>
                <w:spacing w:val="-9"/>
                <w:sz w:val="14"/>
              </w:rPr>
              <w:t> </w:t>
            </w:r>
            <w:r>
              <w:rPr>
                <w:sz w:val="14"/>
              </w:rPr>
              <w:t>συμπεριλαμβανομένων</w:t>
            </w:r>
            <w:r>
              <w:rPr>
                <w:spacing w:val="-9"/>
                <w:sz w:val="14"/>
              </w:rPr>
              <w:t> </w:t>
            </w:r>
            <w:r>
              <w:rPr>
                <w:sz w:val="14"/>
              </w:rPr>
              <w:t>των</w:t>
            </w:r>
            <w:r>
              <w:rPr>
                <w:spacing w:val="-8"/>
                <w:sz w:val="14"/>
              </w:rPr>
              <w:t> </w:t>
            </w:r>
            <w:r>
              <w:rPr>
                <w:sz w:val="14"/>
              </w:rPr>
              <w:t>τιτλοποιημένων</w:t>
            </w:r>
            <w:r>
              <w:rPr>
                <w:spacing w:val="40"/>
                <w:sz w:val="14"/>
              </w:rPr>
              <w:t> </w:t>
            </w:r>
            <w:r>
              <w:rPr>
                <w:sz w:val="14"/>
              </w:rPr>
              <w:t>δανείων και των εταιρικών ομολόγων.</w:t>
            </w:r>
          </w:p>
        </w:tc>
        <w:tc>
          <w:tcPr>
            <w:tcW w:w="4255" w:type="dxa"/>
            <w:tcBorders>
              <w:left w:val="single" w:sz="48" w:space="0" w:color="FFFFFF"/>
            </w:tcBorders>
            <w:shd w:val="clear" w:color="auto" w:fill="D9D9D9"/>
          </w:tcPr>
          <w:p>
            <w:pPr>
              <w:pStyle w:val="TableParagraph"/>
              <w:spacing w:before="60"/>
              <w:ind w:left="106"/>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p>
            <w:pPr>
              <w:pStyle w:val="TableParagraph"/>
              <w:spacing w:before="120"/>
              <w:ind w:left="106" w:right="64"/>
              <w:rPr>
                <w:sz w:val="14"/>
              </w:rPr>
            </w:pPr>
            <w:r>
              <w:rPr>
                <w:sz w:val="14"/>
              </w:rPr>
              <w:t>Σημείωση: Οι ρυθμοί προκύπτουν από τις μεταβολές των υπολοίπων</w:t>
            </w:r>
            <w:r>
              <w:rPr>
                <w:spacing w:val="40"/>
                <w:sz w:val="14"/>
              </w:rPr>
              <w:t> </w:t>
            </w:r>
            <w:r>
              <w:rPr>
                <w:sz w:val="14"/>
              </w:rPr>
              <w:t>μετά</w:t>
            </w:r>
            <w:r>
              <w:rPr>
                <w:spacing w:val="-7"/>
                <w:sz w:val="14"/>
              </w:rPr>
              <w:t> </w:t>
            </w:r>
            <w:r>
              <w:rPr>
                <w:sz w:val="14"/>
              </w:rPr>
              <w:t>από</w:t>
            </w:r>
            <w:r>
              <w:rPr>
                <w:spacing w:val="-6"/>
                <w:sz w:val="14"/>
              </w:rPr>
              <w:t> </w:t>
            </w:r>
            <w:r>
              <w:rPr>
                <w:sz w:val="14"/>
              </w:rPr>
              <w:t>προσαρμογή</w:t>
            </w:r>
            <w:r>
              <w:rPr>
                <w:spacing w:val="-6"/>
                <w:sz w:val="14"/>
              </w:rPr>
              <w:t> </w:t>
            </w:r>
            <w:r>
              <w:rPr>
                <w:sz w:val="14"/>
              </w:rPr>
              <w:t>για</w:t>
            </w:r>
            <w:r>
              <w:rPr>
                <w:spacing w:val="-7"/>
                <w:sz w:val="14"/>
              </w:rPr>
              <w:t> </w:t>
            </w:r>
            <w:r>
              <w:rPr>
                <w:sz w:val="14"/>
              </w:rPr>
              <w:t>διαγραφές</w:t>
            </w:r>
            <w:r>
              <w:rPr>
                <w:spacing w:val="-6"/>
                <w:sz w:val="14"/>
              </w:rPr>
              <w:t> </w:t>
            </w:r>
            <w:r>
              <w:rPr>
                <w:sz w:val="14"/>
              </w:rPr>
              <w:t>δανείων,</w:t>
            </w:r>
            <w:r>
              <w:rPr>
                <w:spacing w:val="-5"/>
                <w:sz w:val="14"/>
              </w:rPr>
              <w:t> </w:t>
            </w:r>
            <w:r>
              <w:rPr>
                <w:sz w:val="14"/>
              </w:rPr>
              <w:t>συναλλαγματικές</w:t>
            </w:r>
            <w:r>
              <w:rPr>
                <w:spacing w:val="-6"/>
                <w:sz w:val="14"/>
              </w:rPr>
              <w:t> </w:t>
            </w:r>
            <w:r>
              <w:rPr>
                <w:sz w:val="14"/>
              </w:rPr>
              <w:t>διαφο-ρές, αναταξινομήσεις ή μεταβιβάσεις δανείων.</w:t>
            </w:r>
          </w:p>
        </w:tc>
      </w:tr>
    </w:tbl>
    <w:p>
      <w:pPr>
        <w:pStyle w:val="BodyText"/>
        <w:spacing w:line="285" w:lineRule="auto" w:before="97"/>
        <w:ind w:left="172" w:right="954"/>
        <w:jc w:val="both"/>
      </w:pPr>
      <w:r>
        <w:rPr/>
        <w:t>σταδιακά επιβράδυνση του ρυθμού μεταβολής, αν και παραμένει σε υψηλό επίπεδο (Μάρτιος 2026:</w:t>
      </w:r>
      <w:r>
        <w:rPr>
          <w:spacing w:val="-10"/>
        </w:rPr>
        <w:t> </w:t>
      </w:r>
      <w:r>
        <w:rPr/>
        <w:t>10,4%,</w:t>
      </w:r>
      <w:r>
        <w:rPr>
          <w:spacing w:val="-10"/>
        </w:rPr>
        <w:t> </w:t>
      </w:r>
      <w:r>
        <w:rPr/>
        <w:t>βλ.</w:t>
      </w:r>
      <w:r>
        <w:rPr>
          <w:spacing w:val="-8"/>
        </w:rPr>
        <w:t> </w:t>
      </w:r>
      <w:r>
        <w:rPr/>
        <w:t>Διάγραμμα</w:t>
      </w:r>
      <w:r>
        <w:rPr>
          <w:spacing w:val="-8"/>
        </w:rPr>
        <w:t> </w:t>
      </w:r>
      <w:r>
        <w:rPr/>
        <w:t>ΙΙ.6).</w:t>
      </w:r>
      <w:r>
        <w:rPr>
          <w:spacing w:val="-8"/>
        </w:rPr>
        <w:t> </w:t>
      </w:r>
      <w:r>
        <w:rPr/>
        <w:t>Ο</w:t>
      </w:r>
      <w:r>
        <w:rPr>
          <w:spacing w:val="-13"/>
        </w:rPr>
        <w:t> </w:t>
      </w:r>
      <w:r>
        <w:rPr/>
        <w:t>λόγος</w:t>
      </w:r>
      <w:r>
        <w:rPr>
          <w:spacing w:val="-13"/>
        </w:rPr>
        <w:t> </w:t>
      </w:r>
      <w:r>
        <w:rPr/>
        <w:t>της</w:t>
      </w:r>
      <w:r>
        <w:rPr>
          <w:spacing w:val="-13"/>
        </w:rPr>
        <w:t> </w:t>
      </w:r>
      <w:r>
        <w:rPr/>
        <w:t>χρηματοδότησης</w:t>
      </w:r>
      <w:r>
        <w:rPr>
          <w:spacing w:val="-13"/>
        </w:rPr>
        <w:t> </w:t>
      </w:r>
      <w:r>
        <w:rPr/>
        <w:t>των</w:t>
      </w:r>
      <w:r>
        <w:rPr>
          <w:spacing w:val="-11"/>
        </w:rPr>
        <w:t> </w:t>
      </w:r>
      <w:r>
        <w:rPr/>
        <w:t>ΜΧΕ</w:t>
      </w:r>
      <w:r>
        <w:rPr>
          <w:spacing w:val="-13"/>
        </w:rPr>
        <w:t> </w:t>
      </w:r>
      <w:r>
        <w:rPr/>
        <w:t>προς</w:t>
      </w:r>
      <w:r>
        <w:rPr>
          <w:spacing w:val="-13"/>
        </w:rPr>
        <w:t> </w:t>
      </w:r>
      <w:r>
        <w:rPr/>
        <w:t>το</w:t>
      </w:r>
      <w:r>
        <w:rPr>
          <w:spacing w:val="-14"/>
        </w:rPr>
        <w:t> </w:t>
      </w:r>
      <w:r>
        <w:rPr/>
        <w:t>ΑΕΠ</w:t>
      </w:r>
      <w:r>
        <w:rPr>
          <w:spacing w:val="-13"/>
        </w:rPr>
        <w:t> </w:t>
      </w:r>
      <w:r>
        <w:rPr/>
        <w:t>διαμορ-φώθηκε</w:t>
      </w:r>
      <w:r>
        <w:rPr>
          <w:spacing w:val="-11"/>
        </w:rPr>
        <w:t> </w:t>
      </w:r>
      <w:r>
        <w:rPr/>
        <w:t>σε</w:t>
      </w:r>
      <w:r>
        <w:rPr>
          <w:spacing w:val="-11"/>
        </w:rPr>
        <w:t> </w:t>
      </w:r>
      <w:r>
        <w:rPr/>
        <w:t>32,9%,</w:t>
      </w:r>
      <w:r>
        <w:rPr>
          <w:spacing w:val="-12"/>
        </w:rPr>
        <w:t> </w:t>
      </w:r>
      <w:r>
        <w:rPr/>
        <w:t>αυξημένος</w:t>
      </w:r>
      <w:r>
        <w:rPr>
          <w:spacing w:val="-7"/>
        </w:rPr>
        <w:t> </w:t>
      </w:r>
      <w:r>
        <w:rPr/>
        <w:t>σε</w:t>
      </w:r>
      <w:r>
        <w:rPr>
          <w:spacing w:val="-9"/>
        </w:rPr>
        <w:t> </w:t>
      </w:r>
      <w:r>
        <w:rPr/>
        <w:t>σχέση</w:t>
      </w:r>
      <w:r>
        <w:rPr>
          <w:spacing w:val="-10"/>
        </w:rPr>
        <w:t> </w:t>
      </w:r>
      <w:r>
        <w:rPr/>
        <w:t>με</w:t>
      </w:r>
      <w:r>
        <w:rPr>
          <w:spacing w:val="-7"/>
        </w:rPr>
        <w:t> </w:t>
      </w:r>
      <w:r>
        <w:rPr/>
        <w:t>τον</w:t>
      </w:r>
      <w:r>
        <w:rPr>
          <w:spacing w:val="-6"/>
        </w:rPr>
        <w:t> </w:t>
      </w:r>
      <w:r>
        <w:rPr/>
        <w:t>Δεκέμβριο</w:t>
      </w:r>
      <w:r>
        <w:rPr>
          <w:spacing w:val="-7"/>
        </w:rPr>
        <w:t> </w:t>
      </w:r>
      <w:r>
        <w:rPr/>
        <w:t>του</w:t>
      </w:r>
      <w:r>
        <w:rPr>
          <w:spacing w:val="-6"/>
        </w:rPr>
        <w:t> </w:t>
      </w:r>
      <w:r>
        <w:rPr/>
        <w:t>2024</w:t>
      </w:r>
      <w:r>
        <w:rPr>
          <w:spacing w:val="-6"/>
        </w:rPr>
        <w:t> </w:t>
      </w:r>
      <w:r>
        <w:rPr/>
        <w:t>(31,4%,</w:t>
      </w:r>
      <w:r>
        <w:rPr>
          <w:spacing w:val="-12"/>
        </w:rPr>
        <w:t> </w:t>
      </w:r>
      <w:r>
        <w:rPr/>
        <w:t>βλ.</w:t>
      </w:r>
      <w:r>
        <w:rPr>
          <w:spacing w:val="-12"/>
        </w:rPr>
        <w:t> </w:t>
      </w:r>
      <w:r>
        <w:rPr/>
        <w:t>Διάγραμμα</w:t>
      </w:r>
      <w:r>
        <w:rPr>
          <w:spacing w:val="-12"/>
        </w:rPr>
        <w:t> </w:t>
      </w:r>
      <w:r>
        <w:rPr/>
        <w:t>II.7).</w:t>
      </w:r>
    </w:p>
    <w:p>
      <w:pPr>
        <w:pStyle w:val="BodyText"/>
        <w:spacing w:line="285" w:lineRule="auto" w:before="117"/>
        <w:ind w:left="172" w:right="5411"/>
        <w:jc w:val="both"/>
      </w:pPr>
      <w:r>
        <w:rPr/>
        <mc:AlternateContent>
          <mc:Choice Requires="wps">
            <w:drawing>
              <wp:anchor distT="0" distB="0" distL="0" distR="0" allowOverlap="1" layoutInCell="1" locked="0" behindDoc="0" simplePos="0" relativeHeight="15749632">
                <wp:simplePos x="0" y="0"/>
                <wp:positionH relativeFrom="page">
                  <wp:posOffset>3732529</wp:posOffset>
                </wp:positionH>
                <wp:positionV relativeFrom="paragraph">
                  <wp:posOffset>743373</wp:posOffset>
                </wp:positionV>
                <wp:extent cx="2668270" cy="190817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2668270" cy="1908175"/>
                          <a:chExt cx="2668270" cy="1908175"/>
                        </a:xfrm>
                      </wpg:grpSpPr>
                      <wps:wsp>
                        <wps:cNvPr id="190" name="Graphic 190"/>
                        <wps:cNvSpPr/>
                        <wps:spPr>
                          <a:xfrm>
                            <a:off x="380" y="1015"/>
                            <a:ext cx="2667635" cy="1906905"/>
                          </a:xfrm>
                          <a:custGeom>
                            <a:avLst/>
                            <a:gdLst/>
                            <a:ahLst/>
                            <a:cxnLst/>
                            <a:rect l="l" t="t" r="r" b="b"/>
                            <a:pathLst>
                              <a:path w="2667635" h="1906905">
                                <a:moveTo>
                                  <a:pt x="2667635" y="0"/>
                                </a:moveTo>
                                <a:lnTo>
                                  <a:pt x="0" y="0"/>
                                </a:lnTo>
                                <a:lnTo>
                                  <a:pt x="0" y="1906777"/>
                                </a:lnTo>
                                <a:lnTo>
                                  <a:pt x="2667635" y="1906777"/>
                                </a:lnTo>
                                <a:lnTo>
                                  <a:pt x="2667635" y="0"/>
                                </a:lnTo>
                                <a:close/>
                              </a:path>
                            </a:pathLst>
                          </a:custGeom>
                          <a:solidFill>
                            <a:srgbClr val="D9D9D9"/>
                          </a:solidFill>
                        </wps:spPr>
                        <wps:bodyPr wrap="square" lIns="0" tIns="0" rIns="0" bIns="0" rtlCol="0">
                          <a:prstTxWarp prst="textNoShape">
                            <a:avLst/>
                          </a:prstTxWarp>
                          <a:noAutofit/>
                        </wps:bodyPr>
                      </wps:wsp>
                      <pic:pic>
                        <pic:nvPicPr>
                          <pic:cNvPr id="191" name="Image 191"/>
                          <pic:cNvPicPr/>
                        </pic:nvPicPr>
                        <pic:blipFill>
                          <a:blip r:embed="rId35" cstate="print"/>
                          <a:stretch>
                            <a:fillRect/>
                          </a:stretch>
                        </pic:blipFill>
                        <pic:spPr>
                          <a:xfrm>
                            <a:off x="0" y="0"/>
                            <a:ext cx="2663317" cy="1906270"/>
                          </a:xfrm>
                          <a:prstGeom prst="rect">
                            <a:avLst/>
                          </a:prstGeom>
                        </pic:spPr>
                      </pic:pic>
                    </wpg:wgp>
                  </a:graphicData>
                </a:graphic>
              </wp:anchor>
            </w:drawing>
          </mc:Choice>
          <mc:Fallback>
            <w:pict>
              <v:group style="position:absolute;margin-left:293.899994pt;margin-top:58.533337pt;width:210.1pt;height:150.25pt;mso-position-horizontal-relative:page;mso-position-vertical-relative:paragraph;z-index:15749632" id="docshapegroup173" coordorigin="5878,1171" coordsize="4202,3005">
                <v:rect style="position:absolute;left:5878;top:1172;width:4201;height:3003" id="docshape174" filled="true" fillcolor="#d9d9d9" stroked="false">
                  <v:fill type="solid"/>
                </v:rect>
                <v:shape style="position:absolute;left:5878;top:1170;width:4195;height:3002" type="#_x0000_t75" id="docshape175" stroked="false">
                  <v:imagedata r:id="rId35" o:title=""/>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3694810</wp:posOffset>
                </wp:positionH>
                <wp:positionV relativeFrom="paragraph">
                  <wp:posOffset>56938</wp:posOffset>
                </wp:positionV>
                <wp:extent cx="2743835" cy="298767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743835" cy="29876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1"/>
                            </w:tblGrid>
                            <w:tr>
                              <w:trPr>
                                <w:trHeight w:val="739" w:hRule="atLeast"/>
                              </w:trPr>
                              <w:tc>
                                <w:tcPr>
                                  <w:tcW w:w="4201" w:type="dxa"/>
                                  <w:shd w:val="clear" w:color="auto" w:fill="1F487C"/>
                                </w:tcPr>
                                <w:p>
                                  <w:pPr>
                                    <w:pStyle w:val="TableParagraph"/>
                                    <w:spacing w:before="60"/>
                                    <w:ind w:left="112" w:right="114"/>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9"/>
                                      <w:sz w:val="18"/>
                                    </w:rPr>
                                    <w:t> </w:t>
                                  </w:r>
                                  <w:r>
                                    <w:rPr>
                                      <w:b/>
                                      <w:smallCaps w:val="0"/>
                                      <w:color w:val="FFFFFF"/>
                                      <w:sz w:val="18"/>
                                    </w:rPr>
                                    <w:t>II.7</w:t>
                                  </w:r>
                                  <w:r>
                                    <w:rPr>
                                      <w:b/>
                                      <w:smallCaps w:val="0"/>
                                      <w:color w:val="FFFFFF"/>
                                      <w:spacing w:val="-10"/>
                                      <w:sz w:val="18"/>
                                    </w:rPr>
                                    <w:t> </w:t>
                                  </w:r>
                                  <w:r>
                                    <w:rPr>
                                      <w:b/>
                                      <w:smallCaps w:val="0"/>
                                      <w:color w:val="FFFFFF"/>
                                      <w:sz w:val="18"/>
                                    </w:rPr>
                                    <w:t>Χρηματοδότηση</w:t>
                                  </w:r>
                                  <w:r>
                                    <w:rPr>
                                      <w:b/>
                                      <w:smallCaps w:val="0"/>
                                      <w:color w:val="FFFFFF"/>
                                      <w:spacing w:val="-8"/>
                                      <w:sz w:val="18"/>
                                    </w:rPr>
                                    <w:t> </w:t>
                                  </w:r>
                                  <w:r>
                                    <w:rPr>
                                      <w:b/>
                                      <w:smallCaps w:val="0"/>
                                      <w:color w:val="FFFFFF"/>
                                      <w:sz w:val="18"/>
                                    </w:rPr>
                                    <w:t>μη</w:t>
                                  </w:r>
                                  <w:r>
                                    <w:rPr>
                                      <w:b/>
                                      <w:smallCaps w:val="0"/>
                                      <w:color w:val="FFFFFF"/>
                                      <w:spacing w:val="-8"/>
                                      <w:sz w:val="18"/>
                                    </w:rPr>
                                    <w:t> </w:t>
                                  </w:r>
                                  <w:r>
                                    <w:rPr>
                                      <w:b/>
                                      <w:smallCaps w:val="0"/>
                                      <w:color w:val="FFFFFF"/>
                                      <w:sz w:val="18"/>
                                    </w:rPr>
                                    <w:t>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κών 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 προς ΑΕΠ</w:t>
                                  </w:r>
                                  <w:r>
                                    <w:rPr>
                                      <w:b/>
                                      <w:smallCaps w:val="0"/>
                                      <w:color w:val="FFFFFF"/>
                                      <w:spacing w:val="-1"/>
                                      <w:sz w:val="18"/>
                                    </w:rPr>
                                    <w:t> </w:t>
                                  </w:r>
                                  <w:r>
                                    <w:rPr>
                                      <w:b/>
                                      <w:smallCaps w:val="0"/>
                                      <w:color w:val="FFFFFF"/>
                                      <w:sz w:val="18"/>
                                    </w:rPr>
                                    <w:t>(Δεκέμβρ</w:t>
                                  </w:r>
                                  <w:r>
                                    <w:rPr>
                                      <w:b/>
                                      <w:smallCaps/>
                                      <w:color w:val="FFFFFF"/>
                                      <w:sz w:val="18"/>
                                    </w:rPr>
                                    <w:t>ιο</w:t>
                                  </w:r>
                                  <w:r>
                                    <w:rPr>
                                      <w:b/>
                                      <w:smallCaps w:val="0"/>
                                      <w:color w:val="FFFFFF"/>
                                      <w:sz w:val="18"/>
                                    </w:rPr>
                                    <w:t>ς 2010 – Δεκέμβρ</w:t>
                                  </w:r>
                                  <w:r>
                                    <w:rPr>
                                      <w:b/>
                                      <w:smallCaps/>
                                      <w:color w:val="FFFFFF"/>
                                      <w:sz w:val="18"/>
                                    </w:rPr>
                                    <w:t>ιο</w:t>
                                  </w:r>
                                  <w:r>
                                    <w:rPr>
                                      <w:b/>
                                      <w:smallCaps w:val="0"/>
                                      <w:color w:val="FFFFFF"/>
                                      <w:sz w:val="18"/>
                                    </w:rPr>
                                    <w:t>ς 2025)</w:t>
                                  </w:r>
                                </w:p>
                              </w:tc>
                            </w:tr>
                            <w:tr>
                              <w:trPr>
                                <w:trHeight w:val="341" w:hRule="atLeast"/>
                              </w:trPr>
                              <w:tc>
                                <w:tcPr>
                                  <w:tcW w:w="4201" w:type="dxa"/>
                                </w:tcPr>
                                <w:p>
                                  <w:pPr>
                                    <w:pStyle w:val="TableParagraph"/>
                                    <w:spacing w:before="119"/>
                                    <w:ind w:left="57"/>
                                    <w:rPr>
                                      <w:sz w:val="14"/>
                                    </w:rPr>
                                  </w:pPr>
                                  <w:r>
                                    <w:rPr>
                                      <w:color w:val="1F487C"/>
                                      <w:sz w:val="14"/>
                                    </w:rPr>
                                    <w:t>(δισεκ.</w:t>
                                  </w:r>
                                  <w:r>
                                    <w:rPr>
                                      <w:color w:val="1F487C"/>
                                      <w:spacing w:val="-4"/>
                                      <w:sz w:val="14"/>
                                    </w:rPr>
                                    <w:t> </w:t>
                                  </w:r>
                                  <w:r>
                                    <w:rPr>
                                      <w:color w:val="1F487C"/>
                                      <w:sz w:val="14"/>
                                    </w:rPr>
                                    <w:t>ευρώ,</w:t>
                                  </w:r>
                                  <w:r>
                                    <w:rPr>
                                      <w:color w:val="1F487C"/>
                                      <w:spacing w:val="-4"/>
                                      <w:sz w:val="14"/>
                                    </w:rPr>
                                    <w:t> </w:t>
                                  </w:r>
                                  <w:r>
                                    <w:rPr>
                                      <w:color w:val="1F487C"/>
                                      <w:sz w:val="14"/>
                                    </w:rPr>
                                    <w:t>ποσοστά</w:t>
                                  </w:r>
                                  <w:r>
                                    <w:rPr>
                                      <w:color w:val="1F487C"/>
                                      <w:spacing w:val="-7"/>
                                      <w:sz w:val="14"/>
                                    </w:rPr>
                                    <w:t> </w:t>
                                  </w:r>
                                  <w:r>
                                    <w:rPr>
                                      <w:color w:val="1F487C"/>
                                      <w:spacing w:val="-5"/>
                                      <w:sz w:val="14"/>
                                    </w:rPr>
                                    <w:t>%)</w:t>
                                  </w:r>
                                </w:p>
                              </w:tc>
                            </w:tr>
                            <w:tr>
                              <w:trPr>
                                <w:trHeight w:val="3065" w:hRule="atLeast"/>
                              </w:trPr>
                              <w:tc>
                                <w:tcPr>
                                  <w:tcW w:w="4201" w:type="dxa"/>
                                </w:tcPr>
                                <w:p>
                                  <w:pPr>
                                    <w:pStyle w:val="TableParagraph"/>
                                    <w:rPr>
                                      <w:sz w:val="18"/>
                                    </w:rPr>
                                  </w:pPr>
                                </w:p>
                              </w:tc>
                            </w:tr>
                            <w:tr>
                              <w:trPr>
                                <w:trHeight w:val="560" w:hRule="atLeast"/>
                              </w:trPr>
                              <w:tc>
                                <w:tcPr>
                                  <w:tcW w:w="4201" w:type="dxa"/>
                                  <w:shd w:val="clear" w:color="auto" w:fill="D9D9D9"/>
                                </w:tcPr>
                                <w:p>
                                  <w:pPr>
                                    <w:pStyle w:val="TableParagraph"/>
                                    <w:spacing w:before="57"/>
                                    <w:ind w:left="112"/>
                                    <w:rPr>
                                      <w:sz w:val="14"/>
                                    </w:rPr>
                                  </w:pPr>
                                  <w:r>
                                    <w:rPr>
                                      <w:sz w:val="14"/>
                                    </w:rPr>
                                    <w:t>Πηγή:</w:t>
                                  </w:r>
                                  <w:r>
                                    <w:rPr>
                                      <w:spacing w:val="-5"/>
                                      <w:sz w:val="14"/>
                                    </w:rPr>
                                    <w:t> </w:t>
                                  </w:r>
                                  <w:r>
                                    <w:rPr>
                                      <w:sz w:val="14"/>
                                    </w:rPr>
                                    <w:t>Τράπεζα</w:t>
                                  </w:r>
                                  <w:r>
                                    <w:rPr>
                                      <w:spacing w:val="-6"/>
                                      <w:sz w:val="14"/>
                                    </w:rPr>
                                    <w:t> </w:t>
                                  </w:r>
                                  <w:r>
                                    <w:rPr>
                                      <w:sz w:val="14"/>
                                    </w:rPr>
                                    <w:t>της</w:t>
                                  </w:r>
                                  <w:r>
                                    <w:rPr>
                                      <w:spacing w:val="-3"/>
                                      <w:sz w:val="14"/>
                                    </w:rPr>
                                    <w:t> </w:t>
                                  </w:r>
                                  <w:r>
                                    <w:rPr>
                                      <w:sz w:val="14"/>
                                    </w:rPr>
                                    <w:t>Ελλάδος,</w:t>
                                  </w:r>
                                  <w:r>
                                    <w:rPr>
                                      <w:spacing w:val="-3"/>
                                      <w:sz w:val="14"/>
                                    </w:rPr>
                                    <w:t> </w:t>
                                  </w:r>
                                  <w:r>
                                    <w:rPr>
                                      <w:spacing w:val="-2"/>
                                      <w:sz w:val="14"/>
                                    </w:rPr>
                                    <w:t>ΕΛΣΤΑΤ.</w:t>
                                  </w:r>
                                </w:p>
                                <w:p>
                                  <w:pPr>
                                    <w:pStyle w:val="TableParagraph"/>
                                    <w:spacing w:before="120"/>
                                    <w:ind w:left="112"/>
                                    <w:rPr>
                                      <w:sz w:val="14"/>
                                    </w:rPr>
                                  </w:pPr>
                                  <w:r>
                                    <w:rPr>
                                      <w:sz w:val="14"/>
                                    </w:rPr>
                                    <w:t>Σημείωση:</w:t>
                                  </w:r>
                                  <w:r>
                                    <w:rPr>
                                      <w:spacing w:val="-5"/>
                                      <w:sz w:val="14"/>
                                    </w:rPr>
                                    <w:t> </w:t>
                                  </w:r>
                                  <w:r>
                                    <w:rPr>
                                      <w:sz w:val="14"/>
                                    </w:rPr>
                                    <w:t>Tα</w:t>
                                  </w:r>
                                  <w:r>
                                    <w:rPr>
                                      <w:spacing w:val="-5"/>
                                      <w:sz w:val="14"/>
                                    </w:rPr>
                                    <w:t> </w:t>
                                  </w:r>
                                  <w:r>
                                    <w:rPr>
                                      <w:sz w:val="14"/>
                                    </w:rPr>
                                    <w:t>μεγέθη</w:t>
                                  </w:r>
                                  <w:r>
                                    <w:rPr>
                                      <w:spacing w:val="-5"/>
                                      <w:sz w:val="14"/>
                                    </w:rPr>
                                    <w:t> </w:t>
                                  </w:r>
                                  <w:r>
                                    <w:rPr>
                                      <w:sz w:val="14"/>
                                    </w:rPr>
                                    <w:t>του</w:t>
                                  </w:r>
                                  <w:r>
                                    <w:rPr>
                                      <w:spacing w:val="-4"/>
                                      <w:sz w:val="14"/>
                                    </w:rPr>
                                    <w:t> </w:t>
                                  </w:r>
                                  <w:r>
                                    <w:rPr>
                                      <w:sz w:val="14"/>
                                    </w:rPr>
                                    <w:t>ΑΕΠ</w:t>
                                  </w:r>
                                  <w:r>
                                    <w:rPr>
                                      <w:spacing w:val="-7"/>
                                      <w:sz w:val="14"/>
                                    </w:rPr>
                                    <w:t> </w:t>
                                  </w:r>
                                  <w:r>
                                    <w:rPr>
                                      <w:sz w:val="14"/>
                                    </w:rPr>
                                    <w:t>εμφανίζονται</w:t>
                                  </w:r>
                                  <w:r>
                                    <w:rPr>
                                      <w:spacing w:val="-4"/>
                                      <w:sz w:val="14"/>
                                    </w:rPr>
                                    <w:t> </w:t>
                                  </w:r>
                                  <w:r>
                                    <w:rPr>
                                      <w:sz w:val="14"/>
                                    </w:rPr>
                                    <w:t>σε</w:t>
                                  </w:r>
                                  <w:r>
                                    <w:rPr>
                                      <w:spacing w:val="-5"/>
                                      <w:sz w:val="14"/>
                                    </w:rPr>
                                    <w:t> </w:t>
                                  </w:r>
                                  <w:r>
                                    <w:rPr>
                                      <w:sz w:val="14"/>
                                    </w:rPr>
                                    <w:t>ετησιοποιημένη</w:t>
                                  </w:r>
                                  <w:r>
                                    <w:rPr>
                                      <w:spacing w:val="-5"/>
                                      <w:sz w:val="14"/>
                                    </w:rPr>
                                    <w:t> </w:t>
                                  </w:r>
                                  <w:r>
                                    <w:rPr>
                                      <w:spacing w:val="-2"/>
                                      <w:sz w:val="14"/>
                                    </w:rPr>
                                    <w:t>βάση.</w:t>
                                  </w:r>
                                </w:p>
                              </w:tc>
                            </w:tr>
                          </w:tbl>
                          <w:p>
                            <w:pPr>
                              <w:pStyle w:val="BodyText"/>
                            </w:pPr>
                          </w:p>
                        </w:txbxContent>
                      </wps:txbx>
                      <wps:bodyPr wrap="square" lIns="0" tIns="0" rIns="0" bIns="0" rtlCol="0">
                        <a:noAutofit/>
                      </wps:bodyPr>
                    </wps:wsp>
                  </a:graphicData>
                </a:graphic>
              </wp:anchor>
            </w:drawing>
          </mc:Choice>
          <mc:Fallback>
            <w:pict>
              <v:shape style="position:absolute;margin-left:290.929993pt;margin-top:4.483335pt;width:216.05pt;height:235.25pt;mso-position-horizontal-relative:page;mso-position-vertical-relative:paragraph;z-index:15750144" type="#_x0000_t202" id="docshape17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1"/>
                      </w:tblGrid>
                      <w:tr>
                        <w:trPr>
                          <w:trHeight w:val="739" w:hRule="atLeast"/>
                        </w:trPr>
                        <w:tc>
                          <w:tcPr>
                            <w:tcW w:w="4201" w:type="dxa"/>
                            <w:shd w:val="clear" w:color="auto" w:fill="1F487C"/>
                          </w:tcPr>
                          <w:p>
                            <w:pPr>
                              <w:pStyle w:val="TableParagraph"/>
                              <w:spacing w:before="60"/>
                              <w:ind w:left="112" w:right="114"/>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9"/>
                                <w:sz w:val="18"/>
                              </w:rPr>
                              <w:t> </w:t>
                            </w:r>
                            <w:r>
                              <w:rPr>
                                <w:b/>
                                <w:smallCaps w:val="0"/>
                                <w:color w:val="FFFFFF"/>
                                <w:sz w:val="18"/>
                              </w:rPr>
                              <w:t>II.7</w:t>
                            </w:r>
                            <w:r>
                              <w:rPr>
                                <w:b/>
                                <w:smallCaps w:val="0"/>
                                <w:color w:val="FFFFFF"/>
                                <w:spacing w:val="-10"/>
                                <w:sz w:val="18"/>
                              </w:rPr>
                              <w:t> </w:t>
                            </w:r>
                            <w:r>
                              <w:rPr>
                                <w:b/>
                                <w:smallCaps w:val="0"/>
                                <w:color w:val="FFFFFF"/>
                                <w:sz w:val="18"/>
                              </w:rPr>
                              <w:t>Χρηματοδότηση</w:t>
                            </w:r>
                            <w:r>
                              <w:rPr>
                                <w:b/>
                                <w:smallCaps w:val="0"/>
                                <w:color w:val="FFFFFF"/>
                                <w:spacing w:val="-8"/>
                                <w:sz w:val="18"/>
                              </w:rPr>
                              <w:t> </w:t>
                            </w:r>
                            <w:r>
                              <w:rPr>
                                <w:b/>
                                <w:smallCaps w:val="0"/>
                                <w:color w:val="FFFFFF"/>
                                <w:sz w:val="18"/>
                              </w:rPr>
                              <w:t>μη</w:t>
                            </w:r>
                            <w:r>
                              <w:rPr>
                                <w:b/>
                                <w:smallCaps w:val="0"/>
                                <w:color w:val="FFFFFF"/>
                                <w:spacing w:val="-8"/>
                                <w:sz w:val="18"/>
                              </w:rPr>
                              <w:t> </w:t>
                            </w:r>
                            <w:r>
                              <w:rPr>
                                <w:b/>
                                <w:smallCaps w:val="0"/>
                                <w:color w:val="FFFFFF"/>
                                <w:sz w:val="18"/>
                              </w:rPr>
                              <w:t>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κών 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 προς ΑΕΠ</w:t>
                            </w:r>
                            <w:r>
                              <w:rPr>
                                <w:b/>
                                <w:smallCaps w:val="0"/>
                                <w:color w:val="FFFFFF"/>
                                <w:spacing w:val="-1"/>
                                <w:sz w:val="18"/>
                              </w:rPr>
                              <w:t> </w:t>
                            </w:r>
                            <w:r>
                              <w:rPr>
                                <w:b/>
                                <w:smallCaps w:val="0"/>
                                <w:color w:val="FFFFFF"/>
                                <w:sz w:val="18"/>
                              </w:rPr>
                              <w:t>(Δεκέμβρ</w:t>
                            </w:r>
                            <w:r>
                              <w:rPr>
                                <w:b/>
                                <w:smallCaps/>
                                <w:color w:val="FFFFFF"/>
                                <w:sz w:val="18"/>
                              </w:rPr>
                              <w:t>ιο</w:t>
                            </w:r>
                            <w:r>
                              <w:rPr>
                                <w:b/>
                                <w:smallCaps w:val="0"/>
                                <w:color w:val="FFFFFF"/>
                                <w:sz w:val="18"/>
                              </w:rPr>
                              <w:t>ς 2010 – Δεκέμβρ</w:t>
                            </w:r>
                            <w:r>
                              <w:rPr>
                                <w:b/>
                                <w:smallCaps/>
                                <w:color w:val="FFFFFF"/>
                                <w:sz w:val="18"/>
                              </w:rPr>
                              <w:t>ιο</w:t>
                            </w:r>
                            <w:r>
                              <w:rPr>
                                <w:b/>
                                <w:smallCaps w:val="0"/>
                                <w:color w:val="FFFFFF"/>
                                <w:sz w:val="18"/>
                              </w:rPr>
                              <w:t>ς 2025)</w:t>
                            </w:r>
                          </w:p>
                        </w:tc>
                      </w:tr>
                      <w:tr>
                        <w:trPr>
                          <w:trHeight w:val="341" w:hRule="atLeast"/>
                        </w:trPr>
                        <w:tc>
                          <w:tcPr>
                            <w:tcW w:w="4201" w:type="dxa"/>
                          </w:tcPr>
                          <w:p>
                            <w:pPr>
                              <w:pStyle w:val="TableParagraph"/>
                              <w:spacing w:before="119"/>
                              <w:ind w:left="57"/>
                              <w:rPr>
                                <w:sz w:val="14"/>
                              </w:rPr>
                            </w:pPr>
                            <w:r>
                              <w:rPr>
                                <w:color w:val="1F487C"/>
                                <w:sz w:val="14"/>
                              </w:rPr>
                              <w:t>(δισεκ.</w:t>
                            </w:r>
                            <w:r>
                              <w:rPr>
                                <w:color w:val="1F487C"/>
                                <w:spacing w:val="-4"/>
                                <w:sz w:val="14"/>
                              </w:rPr>
                              <w:t> </w:t>
                            </w:r>
                            <w:r>
                              <w:rPr>
                                <w:color w:val="1F487C"/>
                                <w:sz w:val="14"/>
                              </w:rPr>
                              <w:t>ευρώ,</w:t>
                            </w:r>
                            <w:r>
                              <w:rPr>
                                <w:color w:val="1F487C"/>
                                <w:spacing w:val="-4"/>
                                <w:sz w:val="14"/>
                              </w:rPr>
                              <w:t> </w:t>
                            </w:r>
                            <w:r>
                              <w:rPr>
                                <w:color w:val="1F487C"/>
                                <w:sz w:val="14"/>
                              </w:rPr>
                              <w:t>ποσοστά</w:t>
                            </w:r>
                            <w:r>
                              <w:rPr>
                                <w:color w:val="1F487C"/>
                                <w:spacing w:val="-7"/>
                                <w:sz w:val="14"/>
                              </w:rPr>
                              <w:t> </w:t>
                            </w:r>
                            <w:r>
                              <w:rPr>
                                <w:color w:val="1F487C"/>
                                <w:spacing w:val="-5"/>
                                <w:sz w:val="14"/>
                              </w:rPr>
                              <w:t>%)</w:t>
                            </w:r>
                          </w:p>
                        </w:tc>
                      </w:tr>
                      <w:tr>
                        <w:trPr>
                          <w:trHeight w:val="3065" w:hRule="atLeast"/>
                        </w:trPr>
                        <w:tc>
                          <w:tcPr>
                            <w:tcW w:w="4201" w:type="dxa"/>
                          </w:tcPr>
                          <w:p>
                            <w:pPr>
                              <w:pStyle w:val="TableParagraph"/>
                              <w:rPr>
                                <w:sz w:val="18"/>
                              </w:rPr>
                            </w:pPr>
                          </w:p>
                        </w:tc>
                      </w:tr>
                      <w:tr>
                        <w:trPr>
                          <w:trHeight w:val="560" w:hRule="atLeast"/>
                        </w:trPr>
                        <w:tc>
                          <w:tcPr>
                            <w:tcW w:w="4201" w:type="dxa"/>
                            <w:shd w:val="clear" w:color="auto" w:fill="D9D9D9"/>
                          </w:tcPr>
                          <w:p>
                            <w:pPr>
                              <w:pStyle w:val="TableParagraph"/>
                              <w:spacing w:before="57"/>
                              <w:ind w:left="112"/>
                              <w:rPr>
                                <w:sz w:val="14"/>
                              </w:rPr>
                            </w:pPr>
                            <w:r>
                              <w:rPr>
                                <w:sz w:val="14"/>
                              </w:rPr>
                              <w:t>Πηγή:</w:t>
                            </w:r>
                            <w:r>
                              <w:rPr>
                                <w:spacing w:val="-5"/>
                                <w:sz w:val="14"/>
                              </w:rPr>
                              <w:t> </w:t>
                            </w:r>
                            <w:r>
                              <w:rPr>
                                <w:sz w:val="14"/>
                              </w:rPr>
                              <w:t>Τράπεζα</w:t>
                            </w:r>
                            <w:r>
                              <w:rPr>
                                <w:spacing w:val="-6"/>
                                <w:sz w:val="14"/>
                              </w:rPr>
                              <w:t> </w:t>
                            </w:r>
                            <w:r>
                              <w:rPr>
                                <w:sz w:val="14"/>
                              </w:rPr>
                              <w:t>της</w:t>
                            </w:r>
                            <w:r>
                              <w:rPr>
                                <w:spacing w:val="-3"/>
                                <w:sz w:val="14"/>
                              </w:rPr>
                              <w:t> </w:t>
                            </w:r>
                            <w:r>
                              <w:rPr>
                                <w:sz w:val="14"/>
                              </w:rPr>
                              <w:t>Ελλάδος,</w:t>
                            </w:r>
                            <w:r>
                              <w:rPr>
                                <w:spacing w:val="-3"/>
                                <w:sz w:val="14"/>
                              </w:rPr>
                              <w:t> </w:t>
                            </w:r>
                            <w:r>
                              <w:rPr>
                                <w:spacing w:val="-2"/>
                                <w:sz w:val="14"/>
                              </w:rPr>
                              <w:t>ΕΛΣΤΑΤ.</w:t>
                            </w:r>
                          </w:p>
                          <w:p>
                            <w:pPr>
                              <w:pStyle w:val="TableParagraph"/>
                              <w:spacing w:before="120"/>
                              <w:ind w:left="112"/>
                              <w:rPr>
                                <w:sz w:val="14"/>
                              </w:rPr>
                            </w:pPr>
                            <w:r>
                              <w:rPr>
                                <w:sz w:val="14"/>
                              </w:rPr>
                              <w:t>Σημείωση:</w:t>
                            </w:r>
                            <w:r>
                              <w:rPr>
                                <w:spacing w:val="-5"/>
                                <w:sz w:val="14"/>
                              </w:rPr>
                              <w:t> </w:t>
                            </w:r>
                            <w:r>
                              <w:rPr>
                                <w:sz w:val="14"/>
                              </w:rPr>
                              <w:t>Tα</w:t>
                            </w:r>
                            <w:r>
                              <w:rPr>
                                <w:spacing w:val="-5"/>
                                <w:sz w:val="14"/>
                              </w:rPr>
                              <w:t> </w:t>
                            </w:r>
                            <w:r>
                              <w:rPr>
                                <w:sz w:val="14"/>
                              </w:rPr>
                              <w:t>μεγέθη</w:t>
                            </w:r>
                            <w:r>
                              <w:rPr>
                                <w:spacing w:val="-5"/>
                                <w:sz w:val="14"/>
                              </w:rPr>
                              <w:t> </w:t>
                            </w:r>
                            <w:r>
                              <w:rPr>
                                <w:sz w:val="14"/>
                              </w:rPr>
                              <w:t>του</w:t>
                            </w:r>
                            <w:r>
                              <w:rPr>
                                <w:spacing w:val="-4"/>
                                <w:sz w:val="14"/>
                              </w:rPr>
                              <w:t> </w:t>
                            </w:r>
                            <w:r>
                              <w:rPr>
                                <w:sz w:val="14"/>
                              </w:rPr>
                              <w:t>ΑΕΠ</w:t>
                            </w:r>
                            <w:r>
                              <w:rPr>
                                <w:spacing w:val="-7"/>
                                <w:sz w:val="14"/>
                              </w:rPr>
                              <w:t> </w:t>
                            </w:r>
                            <w:r>
                              <w:rPr>
                                <w:sz w:val="14"/>
                              </w:rPr>
                              <w:t>εμφανίζονται</w:t>
                            </w:r>
                            <w:r>
                              <w:rPr>
                                <w:spacing w:val="-4"/>
                                <w:sz w:val="14"/>
                              </w:rPr>
                              <w:t> </w:t>
                            </w:r>
                            <w:r>
                              <w:rPr>
                                <w:sz w:val="14"/>
                              </w:rPr>
                              <w:t>σε</w:t>
                            </w:r>
                            <w:r>
                              <w:rPr>
                                <w:spacing w:val="-5"/>
                                <w:sz w:val="14"/>
                              </w:rPr>
                              <w:t> </w:t>
                            </w:r>
                            <w:r>
                              <w:rPr>
                                <w:sz w:val="14"/>
                              </w:rPr>
                              <w:t>ετησιοποιημένη</w:t>
                            </w:r>
                            <w:r>
                              <w:rPr>
                                <w:spacing w:val="-5"/>
                                <w:sz w:val="14"/>
                              </w:rPr>
                              <w:t> </w:t>
                            </w:r>
                            <w:r>
                              <w:rPr>
                                <w:spacing w:val="-2"/>
                                <w:sz w:val="14"/>
                              </w:rPr>
                              <w:t>βάση.</w:t>
                            </w:r>
                          </w:p>
                        </w:tc>
                      </w:tr>
                    </w:tbl>
                    <w:p>
                      <w:pPr>
                        <w:pStyle w:val="BodyText"/>
                      </w:pPr>
                    </w:p>
                  </w:txbxContent>
                </v:textbox>
                <w10:wrap type="none"/>
              </v:shape>
            </w:pict>
          </mc:Fallback>
        </mc:AlternateContent>
      </w:r>
      <w:r>
        <w:rPr/>
        <w:t>Σημαντική</w:t>
      </w:r>
      <w:r>
        <w:rPr>
          <w:spacing w:val="-14"/>
        </w:rPr>
        <w:t> </w:t>
      </w:r>
      <w:r>
        <w:rPr/>
        <w:t>συμβολή</w:t>
      </w:r>
      <w:r>
        <w:rPr>
          <w:spacing w:val="-14"/>
        </w:rPr>
        <w:t> </w:t>
      </w:r>
      <w:r>
        <w:rPr/>
        <w:t>στην</w:t>
      </w:r>
      <w:r>
        <w:rPr>
          <w:spacing w:val="-14"/>
        </w:rPr>
        <w:t> </w:t>
      </w:r>
      <w:r>
        <w:rPr/>
        <w:t>παροχή</w:t>
      </w:r>
      <w:r>
        <w:rPr>
          <w:spacing w:val="-13"/>
        </w:rPr>
        <w:t> </w:t>
      </w:r>
      <w:r>
        <w:rPr/>
        <w:t>επιχειρημα-τικών πιστώσεων παρείχαν τα προγράμματα συγχρηματοδότησης</w:t>
      </w:r>
      <w:r>
        <w:rPr>
          <w:spacing w:val="-14"/>
        </w:rPr>
        <w:t> </w:t>
      </w:r>
      <w:r>
        <w:rPr/>
        <w:t>και</w:t>
      </w:r>
      <w:r>
        <w:rPr>
          <w:spacing w:val="-14"/>
        </w:rPr>
        <w:t> </w:t>
      </w:r>
      <w:r>
        <w:rPr/>
        <w:t>εγγυοδοσίας</w:t>
      </w:r>
      <w:r>
        <w:rPr>
          <w:spacing w:val="-14"/>
        </w:rPr>
        <w:t> </w:t>
      </w:r>
      <w:r>
        <w:rPr/>
        <w:t>αναπτυ-ξιακών φορέων, καθώς και τα τραπεζικά δά-νεια που εντάσσονται στον Μηχανισμό Ανά-καμψης και Ανθεκτικότητας (Recovery and Resilience Facility – RRF). Το 2025 οι εκτα-μιεύσεις επιχειρηματικών δανείων από τα εγ-χώρια</w:t>
      </w:r>
      <w:r>
        <w:rPr>
          <w:spacing w:val="-6"/>
        </w:rPr>
        <w:t> </w:t>
      </w:r>
      <w:r>
        <w:rPr/>
        <w:t>πιστωτικά</w:t>
      </w:r>
      <w:r>
        <w:rPr>
          <w:spacing w:val="-7"/>
        </w:rPr>
        <w:t> </w:t>
      </w:r>
      <w:r>
        <w:rPr/>
        <w:t>ιδρύματα</w:t>
      </w:r>
      <w:r>
        <w:rPr>
          <w:spacing w:val="-10"/>
        </w:rPr>
        <w:t> </w:t>
      </w:r>
      <w:r>
        <w:rPr/>
        <w:t>που</w:t>
      </w:r>
      <w:r>
        <w:rPr>
          <w:spacing w:val="-5"/>
        </w:rPr>
        <w:t> </w:t>
      </w:r>
      <w:r>
        <w:rPr/>
        <w:t>συνδέονται</w:t>
      </w:r>
      <w:r>
        <w:rPr>
          <w:spacing w:val="-6"/>
        </w:rPr>
        <w:t> </w:t>
      </w:r>
      <w:r>
        <w:rPr/>
        <w:t>με χρηματοδοτικά εργαλεία ή με το δανειακό σκέλος</w:t>
      </w:r>
      <w:r>
        <w:rPr>
          <w:spacing w:val="-2"/>
        </w:rPr>
        <w:t> </w:t>
      </w:r>
      <w:r>
        <w:rPr/>
        <w:t>του Μηχανισμού Ανάκαμψης</w:t>
      </w:r>
      <w:r>
        <w:rPr>
          <w:spacing w:val="-2"/>
        </w:rPr>
        <w:t> </w:t>
      </w:r>
      <w:r>
        <w:rPr/>
        <w:t>και Αν-θεκτικότητας</w:t>
      </w:r>
      <w:r>
        <w:rPr>
          <w:spacing w:val="-12"/>
        </w:rPr>
        <w:t> </w:t>
      </w:r>
      <w:r>
        <w:rPr/>
        <w:t>αναλογούσαν</w:t>
      </w:r>
      <w:r>
        <w:rPr>
          <w:spacing w:val="-12"/>
        </w:rPr>
        <w:t> </w:t>
      </w:r>
      <w:r>
        <w:rPr/>
        <w:t>σε</w:t>
      </w:r>
      <w:r>
        <w:rPr>
          <w:spacing w:val="-10"/>
        </w:rPr>
        <w:t> </w:t>
      </w:r>
      <w:r>
        <w:rPr/>
        <w:t>29%</w:t>
      </w:r>
      <w:r>
        <w:rPr>
          <w:spacing w:val="-11"/>
        </w:rPr>
        <w:t> </w:t>
      </w:r>
      <w:r>
        <w:rPr/>
        <w:t>του</w:t>
      </w:r>
      <w:r>
        <w:rPr>
          <w:spacing w:val="-12"/>
        </w:rPr>
        <w:t> </w:t>
      </w:r>
      <w:r>
        <w:rPr/>
        <w:t>συνό-λου. Ειδικότερα, για τις μικρομεσαίες επιχει-ρήσεις οι νέες χορηγήσεις που συνδέονται με χρηματοδοτικά</w:t>
      </w:r>
      <w:r>
        <w:rPr>
          <w:spacing w:val="-7"/>
        </w:rPr>
        <w:t> </w:t>
      </w:r>
      <w:r>
        <w:rPr/>
        <w:t>εργαλεία</w:t>
      </w:r>
      <w:r>
        <w:rPr>
          <w:spacing w:val="-7"/>
        </w:rPr>
        <w:t> </w:t>
      </w:r>
      <w:r>
        <w:rPr/>
        <w:t>ή</w:t>
      </w:r>
      <w:r>
        <w:rPr>
          <w:spacing w:val="-9"/>
        </w:rPr>
        <w:t> </w:t>
      </w:r>
      <w:r>
        <w:rPr/>
        <w:t>με</w:t>
      </w:r>
      <w:r>
        <w:rPr>
          <w:spacing w:val="-7"/>
        </w:rPr>
        <w:t> </w:t>
      </w:r>
      <w:r>
        <w:rPr/>
        <w:t>δάνεια</w:t>
      </w:r>
      <w:r>
        <w:rPr>
          <w:spacing w:val="-7"/>
        </w:rPr>
        <w:t> </w:t>
      </w:r>
      <w:r>
        <w:rPr/>
        <w:t>του</w:t>
      </w:r>
      <w:r>
        <w:rPr>
          <w:spacing w:val="-8"/>
        </w:rPr>
        <w:t> </w:t>
      </w:r>
      <w:r>
        <w:rPr/>
        <w:t>Μη-χανισμού Ανάκαμψης και Ανθεκτικότητας α-ποτελούσαν περίπου το 40%.</w:t>
      </w:r>
    </w:p>
    <w:p>
      <w:pPr>
        <w:pStyle w:val="BodyText"/>
        <w:spacing w:after="0" w:line="285" w:lineRule="auto"/>
        <w:jc w:val="both"/>
        <w:sectPr>
          <w:pgSz w:w="11910" w:h="16850"/>
          <w:pgMar w:header="0" w:footer="1108" w:top="1840" w:bottom="1360" w:left="1417" w:right="850"/>
        </w:sectPr>
      </w:pPr>
    </w:p>
    <w:p>
      <w:pPr>
        <w:pStyle w:val="BodyText"/>
        <w:spacing w:line="285" w:lineRule="auto" w:before="66"/>
        <w:ind w:left="172" w:right="952"/>
        <w:jc w:val="both"/>
      </w:pPr>
      <w:r>
        <w:rPr/>
        <w:t>Σύμφωνα</w:t>
      </w:r>
      <w:r>
        <w:rPr>
          <w:spacing w:val="-11"/>
        </w:rPr>
        <w:t> </w:t>
      </w:r>
      <w:r>
        <w:rPr/>
        <w:t>με</w:t>
      </w:r>
      <w:r>
        <w:rPr>
          <w:spacing w:val="-10"/>
        </w:rPr>
        <w:t> </w:t>
      </w:r>
      <w:r>
        <w:rPr/>
        <w:t>τα</w:t>
      </w:r>
      <w:r>
        <w:rPr>
          <w:spacing w:val="-9"/>
        </w:rPr>
        <w:t> </w:t>
      </w:r>
      <w:r>
        <w:rPr/>
        <w:t>αποτελέσματα</w:t>
      </w:r>
      <w:r>
        <w:rPr>
          <w:spacing w:val="-9"/>
        </w:rPr>
        <w:t> </w:t>
      </w:r>
      <w:r>
        <w:rPr/>
        <w:t>της</w:t>
      </w:r>
      <w:r>
        <w:rPr>
          <w:spacing w:val="-9"/>
        </w:rPr>
        <w:t> </w:t>
      </w:r>
      <w:r>
        <w:rPr/>
        <w:t>Έρευνας</w:t>
      </w:r>
      <w:r>
        <w:rPr>
          <w:spacing w:val="-7"/>
        </w:rPr>
        <w:t> </w:t>
      </w:r>
      <w:r>
        <w:rPr/>
        <w:t>Τραπεζικών</w:t>
      </w:r>
      <w:r>
        <w:rPr>
          <w:spacing w:val="-9"/>
        </w:rPr>
        <w:t> </w:t>
      </w:r>
      <w:r>
        <w:rPr/>
        <w:t>Χορηγήσεων</w:t>
      </w:r>
      <w:r>
        <w:rPr>
          <w:spacing w:val="-7"/>
        </w:rPr>
        <w:t> </w:t>
      </w:r>
      <w:r>
        <w:rPr/>
        <w:t>που</w:t>
      </w:r>
      <w:r>
        <w:rPr>
          <w:spacing w:val="-7"/>
        </w:rPr>
        <w:t> </w:t>
      </w:r>
      <w:r>
        <w:rPr/>
        <w:t>δημοσιεύεται</w:t>
      </w:r>
      <w:r>
        <w:rPr>
          <w:spacing w:val="-10"/>
        </w:rPr>
        <w:t> </w:t>
      </w:r>
      <w:r>
        <w:rPr/>
        <w:t>από</w:t>
      </w:r>
      <w:r>
        <w:rPr>
          <w:spacing w:val="-8"/>
        </w:rPr>
        <w:t> </w:t>
      </w:r>
      <w:r>
        <w:rPr/>
        <w:t>την Τράπεζα της Ελλάδος σε τριμηνιαία βάση</w:t>
      </w:r>
      <w:hyperlink w:history="true" w:anchor="_bookmark38">
        <w:r>
          <w:rPr/>
          <w:t>,</w:t>
        </w:r>
        <w:r>
          <w:rPr>
            <w:position w:val="6"/>
            <w:sz w:val="10"/>
          </w:rPr>
          <w:t>25</w:t>
        </w:r>
      </w:hyperlink>
      <w:r>
        <w:rPr>
          <w:spacing w:val="35"/>
          <w:position w:val="6"/>
          <w:sz w:val="10"/>
        </w:rPr>
        <w:t> </w:t>
      </w:r>
      <w:r>
        <w:rPr/>
        <w:t>τα πιστωτικά κριτήρια των δανείων προς ΜΧΕ και οι</w:t>
      </w:r>
      <w:r>
        <w:rPr>
          <w:spacing w:val="-9"/>
        </w:rPr>
        <w:t> </w:t>
      </w:r>
      <w:r>
        <w:rPr/>
        <w:t>συνολικοί</w:t>
      </w:r>
      <w:r>
        <w:rPr>
          <w:spacing w:val="-9"/>
        </w:rPr>
        <w:t> </w:t>
      </w:r>
      <w:r>
        <w:rPr/>
        <w:t>όροι</w:t>
      </w:r>
      <w:r>
        <w:rPr>
          <w:spacing w:val="-11"/>
        </w:rPr>
        <w:t> </w:t>
      </w:r>
      <w:r>
        <w:rPr/>
        <w:t>χορήγησης</w:t>
      </w:r>
      <w:r>
        <w:rPr>
          <w:spacing w:val="-11"/>
        </w:rPr>
        <w:t> </w:t>
      </w:r>
      <w:r>
        <w:rPr/>
        <w:t>δανείων</w:t>
      </w:r>
      <w:r>
        <w:rPr>
          <w:spacing w:val="-11"/>
        </w:rPr>
        <w:t> </w:t>
      </w:r>
      <w:r>
        <w:rPr/>
        <w:t>“έγιναν</w:t>
      </w:r>
      <w:r>
        <w:rPr>
          <w:spacing w:val="-12"/>
        </w:rPr>
        <w:t> </w:t>
      </w:r>
      <w:r>
        <w:rPr/>
        <w:t>ως</w:t>
      </w:r>
      <w:r>
        <w:rPr>
          <w:spacing w:val="-13"/>
        </w:rPr>
        <w:t> </w:t>
      </w:r>
      <w:r>
        <w:rPr/>
        <w:t>ένα</w:t>
      </w:r>
      <w:r>
        <w:rPr>
          <w:spacing w:val="-12"/>
        </w:rPr>
        <w:t> </w:t>
      </w:r>
      <w:r>
        <w:rPr/>
        <w:t>βαθμό</w:t>
      </w:r>
      <w:r>
        <w:rPr>
          <w:spacing w:val="-10"/>
        </w:rPr>
        <w:t> </w:t>
      </w:r>
      <w:r>
        <w:rPr/>
        <w:t>πιο</w:t>
      </w:r>
      <w:r>
        <w:rPr>
          <w:spacing w:val="-7"/>
        </w:rPr>
        <w:t> </w:t>
      </w:r>
      <w:r>
        <w:rPr/>
        <w:t>χαλαρά/χαλαροί”</w:t>
      </w:r>
      <w:hyperlink w:history="true" w:anchor="_bookmark39">
        <w:r>
          <w:rPr>
            <w:position w:val="6"/>
            <w:sz w:val="10"/>
          </w:rPr>
          <w:t>26</w:t>
        </w:r>
      </w:hyperlink>
      <w:r>
        <w:rPr>
          <w:spacing w:val="21"/>
          <w:position w:val="6"/>
          <w:sz w:val="10"/>
        </w:rPr>
        <w:t> </w:t>
      </w:r>
      <w:r>
        <w:rPr/>
        <w:t>κατά</w:t>
      </w:r>
      <w:r>
        <w:rPr>
          <w:spacing w:val="-10"/>
        </w:rPr>
        <w:t> </w:t>
      </w:r>
      <w:r>
        <w:rPr/>
        <w:t>τη</w:t>
      </w:r>
      <w:r>
        <w:rPr>
          <w:spacing w:val="-10"/>
        </w:rPr>
        <w:t> </w:t>
      </w:r>
      <w:r>
        <w:rPr/>
        <w:t>διάρ-κεια του 2025. Η συνολική ζήτηση δανείων από ΜΧΕ “αυξήθηκε ως ένα βαθμό” κατά το ίδιο διάστημα, με</w:t>
      </w:r>
      <w:r>
        <w:rPr>
          <w:spacing w:val="-1"/>
        </w:rPr>
        <w:t> </w:t>
      </w:r>
      <w:r>
        <w:rPr/>
        <w:t>τις προσδοκίες των τραπεζών να</w:t>
      </w:r>
      <w:r>
        <w:rPr>
          <w:spacing w:val="-1"/>
        </w:rPr>
        <w:t> </w:t>
      </w:r>
      <w:r>
        <w:rPr/>
        <w:t>είναι πιο συγκρατημένες για</w:t>
      </w:r>
      <w:r>
        <w:rPr>
          <w:spacing w:val="-1"/>
        </w:rPr>
        <w:t> </w:t>
      </w:r>
      <w:r>
        <w:rPr/>
        <w:t>το</w:t>
      </w:r>
      <w:r>
        <w:rPr>
          <w:spacing w:val="-1"/>
        </w:rPr>
        <w:t> </w:t>
      </w:r>
      <w:r>
        <w:rPr/>
        <w:t>επόμενο</w:t>
      </w:r>
      <w:r>
        <w:rPr>
          <w:spacing w:val="-1"/>
        </w:rPr>
        <w:t> </w:t>
      </w:r>
      <w:r>
        <w:rPr/>
        <w:t>τρίμηνο, αναμένοντας ελαφρώς αυξημένη ζήτηση. Επιπρόσθετα, οι παράγοντες που υποστήριξαν τη ζή-τηση δανείων από ΜΧΕ είναι κυρίως οι “συγχωνεύσεις/εξαγορές και αναδιάρθρωση επιχειρή-σεων”, καθώς και τα “αποθέματα και κεφάλαια κίνησης” και η “αναχρηματοδότηση/αναδιάρ-θρωση και επαναδιαπραγμάτευση χρέους”.</w:t>
      </w:r>
    </w:p>
    <w:p>
      <w:pPr>
        <w:pStyle w:val="BodyText"/>
        <w:spacing w:line="285" w:lineRule="auto" w:before="111"/>
        <w:ind w:left="172" w:right="956"/>
        <w:jc w:val="both"/>
      </w:pPr>
      <w:r>
        <w:rPr/>
        <mc:AlternateContent>
          <mc:Choice Requires="wps">
            <w:drawing>
              <wp:anchor distT="0" distB="0" distL="0" distR="0" allowOverlap="1" layoutInCell="1" locked="0" behindDoc="1" simplePos="0" relativeHeight="482671104">
                <wp:simplePos x="0" y="0"/>
                <wp:positionH relativeFrom="page">
                  <wp:posOffset>3694810</wp:posOffset>
                </wp:positionH>
                <wp:positionV relativeFrom="paragraph">
                  <wp:posOffset>451104</wp:posOffset>
                </wp:positionV>
                <wp:extent cx="2705735" cy="60198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705735" cy="601980"/>
                        </a:xfrm>
                        <a:prstGeom prst="rect">
                          <a:avLst/>
                        </a:prstGeom>
                        <a:solidFill>
                          <a:srgbClr val="1F487C"/>
                        </a:solidFill>
                      </wps:spPr>
                      <wps:txbx>
                        <w:txbxContent>
                          <w:p>
                            <w:pPr>
                              <w:spacing w:before="60"/>
                              <w:ind w:left="112" w:right="53"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12"/>
                                <w:sz w:val="18"/>
                              </w:rPr>
                              <w:t> </w:t>
                            </w:r>
                            <w:r>
                              <w:rPr>
                                <w:b/>
                                <w:smallCaps w:val="0"/>
                                <w:color w:val="FFFFFF"/>
                                <w:sz w:val="18"/>
                              </w:rPr>
                              <w:t>II.8</w:t>
                            </w:r>
                            <w:r>
                              <w:rPr>
                                <w:b/>
                                <w:smallCaps w:val="0"/>
                                <w:color w:val="FFFFFF"/>
                                <w:spacing w:val="-11"/>
                                <w:sz w:val="18"/>
                              </w:rPr>
                              <w:t> </w:t>
                            </w:r>
                            <w:r>
                              <w:rPr>
                                <w:b/>
                                <w:smallCaps w:val="0"/>
                                <w:color w:val="FFFFFF"/>
                                <w:sz w:val="18"/>
                              </w:rPr>
                              <w:t>Μέσο</w:t>
                            </w:r>
                            <w:r>
                              <w:rPr>
                                <w:b/>
                                <w:smallCaps w:val="0"/>
                                <w:color w:val="FFFFFF"/>
                                <w:spacing w:val="-11"/>
                                <w:sz w:val="18"/>
                              </w:rPr>
                              <w:t> </w:t>
                            </w:r>
                            <w:r>
                              <w:rPr>
                                <w:b/>
                                <w:smallCaps w:val="0"/>
                                <w:color w:val="FFFFFF"/>
                                <w:sz w:val="18"/>
                              </w:rPr>
                              <w:t>σταθμ</w:t>
                            </w:r>
                            <w:r>
                              <w:rPr>
                                <w:b/>
                                <w:smallCaps/>
                                <w:color w:val="FFFFFF"/>
                                <w:sz w:val="18"/>
                              </w:rPr>
                              <w:t>ι</w:t>
                            </w:r>
                            <w:r>
                              <w:rPr>
                                <w:b/>
                                <w:smallCaps w:val="0"/>
                                <w:color w:val="FFFFFF"/>
                                <w:sz w:val="18"/>
                              </w:rPr>
                              <w:t>σμένο</w:t>
                            </w:r>
                            <w:r>
                              <w:rPr>
                                <w:b/>
                                <w:smallCaps w:val="0"/>
                                <w:color w:val="FFFFFF"/>
                                <w:spacing w:val="-11"/>
                                <w:sz w:val="18"/>
                              </w:rPr>
                              <w:t> </w:t>
                            </w:r>
                            <w:r>
                              <w:rPr>
                                <w:b/>
                                <w:smallCaps w:val="0"/>
                                <w:color w:val="FFFFFF"/>
                                <w:sz w:val="18"/>
                              </w:rPr>
                              <w:t>επ</w:t>
                            </w:r>
                            <w:r>
                              <w:rPr>
                                <w:b/>
                                <w:smallCaps/>
                                <w:color w:val="FFFFFF"/>
                                <w:sz w:val="18"/>
                              </w:rPr>
                              <w:t>ι</w:t>
                            </w:r>
                            <w:r>
                              <w:rPr>
                                <w:b/>
                                <w:smallCaps w:val="0"/>
                                <w:color w:val="FFFFFF"/>
                                <w:sz w:val="18"/>
                              </w:rPr>
                              <w:t>τόκ</w:t>
                            </w:r>
                            <w:r>
                              <w:rPr>
                                <w:b/>
                                <w:smallCaps/>
                                <w:color w:val="FFFFFF"/>
                                <w:sz w:val="18"/>
                              </w:rPr>
                              <w:t>ιο</w:t>
                            </w:r>
                            <w:r>
                              <w:rPr>
                                <w:b/>
                                <w:smallCaps w:val="0"/>
                                <w:color w:val="FFFFFF"/>
                                <w:spacing w:val="-12"/>
                                <w:sz w:val="18"/>
                              </w:rPr>
                              <w:t> </w:t>
                            </w:r>
                            <w:r>
                              <w:rPr>
                                <w:b/>
                                <w:smallCaps/>
                                <w:color w:val="FFFFFF"/>
                                <w:sz w:val="18"/>
                              </w:rPr>
                              <w:t>ν</w:t>
                            </w:r>
                            <w:r>
                              <w:rPr>
                                <w:b/>
                                <w:smallCaps w:val="0"/>
                                <w:color w:val="FFFFFF"/>
                                <w:sz w:val="18"/>
                              </w:rPr>
                              <w:t>έων</w:t>
                            </w:r>
                            <w:r>
                              <w:rPr>
                                <w:b/>
                                <w:smallCaps w:val="0"/>
                                <w:color w:val="FFFFFF"/>
                                <w:spacing w:val="-11"/>
                                <w:sz w:val="18"/>
                              </w:rPr>
                              <w:t> </w:t>
                            </w:r>
                            <w:r>
                              <w:rPr>
                                <w:b/>
                                <w:smallCaps w:val="0"/>
                                <w:color w:val="FFFFFF"/>
                                <w:sz w:val="18"/>
                              </w:rPr>
                              <w:t>κα</w:t>
                            </w:r>
                            <w:r>
                              <w:rPr>
                                <w:b/>
                                <w:smallCaps/>
                                <w:color w:val="FFFFFF"/>
                                <w:sz w:val="18"/>
                              </w:rPr>
                              <w:t>ι</w:t>
                            </w:r>
                            <w:r>
                              <w:rPr>
                                <w:b/>
                                <w:smallCaps w:val="0"/>
                                <w:color w:val="FFFFFF"/>
                                <w:sz w:val="18"/>
                              </w:rPr>
                              <w:t> υφ</w:t>
                            </w:r>
                            <w:r>
                              <w:rPr>
                                <w:b/>
                                <w:smallCaps/>
                                <w:color w:val="FFFFFF"/>
                                <w:sz w:val="18"/>
                              </w:rPr>
                              <w:t>ι</w:t>
                            </w:r>
                            <w:r>
                              <w:rPr>
                                <w:b/>
                                <w:smallCaps w:val="0"/>
                                <w:color w:val="FFFFFF"/>
                                <w:sz w:val="18"/>
                              </w:rPr>
                              <w:t>στάμενων</w:t>
                            </w:r>
                            <w:r>
                              <w:rPr>
                                <w:b/>
                                <w:smallCaps w:val="0"/>
                                <w:color w:val="FFFFFF"/>
                                <w:spacing w:val="-4"/>
                                <w:sz w:val="18"/>
                              </w:rPr>
                              <w:t> </w:t>
                            </w:r>
                            <w:r>
                              <w:rPr>
                                <w:b/>
                                <w:smallCaps w:val="0"/>
                                <w:color w:val="FFFFFF"/>
                                <w:sz w:val="18"/>
                              </w:rPr>
                              <w:t>δανείων</w:t>
                            </w:r>
                            <w:r>
                              <w:rPr>
                                <w:b/>
                                <w:smallCaps w:val="0"/>
                                <w:color w:val="FFFFFF"/>
                                <w:spacing w:val="-2"/>
                                <w:sz w:val="18"/>
                              </w:rPr>
                              <w:t> </w:t>
                            </w:r>
                            <w:r>
                              <w:rPr>
                                <w:b/>
                                <w:smallCaps w:val="0"/>
                                <w:color w:val="FFFFFF"/>
                                <w:sz w:val="18"/>
                              </w:rPr>
                              <w:t>προς</w:t>
                            </w:r>
                            <w:r>
                              <w:rPr>
                                <w:b/>
                                <w:smallCaps w:val="0"/>
                                <w:color w:val="FFFFFF"/>
                                <w:spacing w:val="-2"/>
                                <w:sz w:val="18"/>
                              </w:rPr>
                              <w:t> </w:t>
                            </w:r>
                            <w:r>
                              <w:rPr>
                                <w:b/>
                                <w:smallCaps w:val="0"/>
                                <w:color w:val="FFFFFF"/>
                                <w:sz w:val="18"/>
                              </w:rPr>
                              <w:t>μη</w:t>
                            </w:r>
                            <w:r>
                              <w:rPr>
                                <w:b/>
                                <w:smallCaps w:val="0"/>
                                <w:color w:val="FFFFFF"/>
                                <w:spacing w:val="-5"/>
                                <w:sz w:val="18"/>
                              </w:rPr>
                              <w:t> </w:t>
                            </w:r>
                            <w:r>
                              <w:rPr>
                                <w:b/>
                                <w:smallCaps w:val="0"/>
                                <w:color w:val="FFFFFF"/>
                                <w:sz w:val="18"/>
                              </w:rPr>
                              <w:t>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κές</w:t>
                            </w:r>
                            <w:r>
                              <w:rPr>
                                <w:b/>
                                <w:smallCaps w:val="0"/>
                                <w:color w:val="FFFFFF"/>
                                <w:spacing w:val="-5"/>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w:t>
                            </w:r>
                            <w:r>
                              <w:rPr>
                                <w:b/>
                                <w:smallCaps/>
                                <w:color w:val="FFFFFF"/>
                                <w:sz w:val="18"/>
                              </w:rPr>
                              <w:t>ι</w:t>
                            </w:r>
                            <w:r>
                              <w:rPr>
                                <w:b/>
                                <w:smallCaps w:val="0"/>
                                <w:color w:val="FFFFFF"/>
                                <w:sz w:val="18"/>
                              </w:rPr>
                              <w:t>ς από τα εγχώρ</w:t>
                            </w:r>
                            <w:r>
                              <w:rPr>
                                <w:b/>
                                <w:smallCaps/>
                                <w:color w:val="FFFFFF"/>
                                <w:sz w:val="18"/>
                              </w:rPr>
                              <w:t>ι</w:t>
                            </w:r>
                            <w:r>
                              <w:rPr>
                                <w:b/>
                                <w:smallCaps w:val="0"/>
                                <w:color w:val="FFFFFF"/>
                                <w:sz w:val="18"/>
                              </w:rPr>
                              <w:t>α ΝΧΙ (Φεβρουάρ</w:t>
                            </w:r>
                            <w:r>
                              <w:rPr>
                                <w:b/>
                                <w:smallCaps/>
                                <w:color w:val="FFFFFF"/>
                                <w:sz w:val="18"/>
                              </w:rPr>
                              <w:t>ιο</w:t>
                            </w:r>
                            <w:r>
                              <w:rPr>
                                <w:b/>
                                <w:smallCaps w:val="0"/>
                                <w:color w:val="FFFFFF"/>
                                <w:sz w:val="18"/>
                              </w:rPr>
                              <w:t>ς 2010 – Φεβρουάρ</w:t>
                            </w:r>
                            <w:r>
                              <w:rPr>
                                <w:b/>
                                <w:smallCaps/>
                                <w:color w:val="FFFFFF"/>
                                <w:sz w:val="18"/>
                              </w:rPr>
                              <w:t>ιο</w:t>
                            </w:r>
                            <w:r>
                              <w:rPr>
                                <w:b/>
                                <w:smallCaps w:val="0"/>
                                <w:color w:val="FFFFFF"/>
                                <w:sz w:val="18"/>
                              </w:rPr>
                              <w:t>ς 2026)</w:t>
                            </w:r>
                          </w:p>
                        </w:txbxContent>
                      </wps:txbx>
                      <wps:bodyPr wrap="square" lIns="0" tIns="0" rIns="0" bIns="0" rtlCol="0">
                        <a:noAutofit/>
                      </wps:bodyPr>
                    </wps:wsp>
                  </a:graphicData>
                </a:graphic>
              </wp:anchor>
            </w:drawing>
          </mc:Choice>
          <mc:Fallback>
            <w:pict>
              <v:shape style="position:absolute;margin-left:290.929993pt;margin-top:35.520004pt;width:213.05pt;height:47.4pt;mso-position-horizontal-relative:page;mso-position-vertical-relative:paragraph;z-index:-20645376" type="#_x0000_t202" id="docshape177" filled="true" fillcolor="#1f487c" stroked="false">
                <v:textbox inset="0,0,0,0">
                  <w:txbxContent>
                    <w:p>
                      <w:pPr>
                        <w:spacing w:before="60"/>
                        <w:ind w:left="112" w:right="53"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12"/>
                          <w:sz w:val="18"/>
                        </w:rPr>
                        <w:t> </w:t>
                      </w:r>
                      <w:r>
                        <w:rPr>
                          <w:b/>
                          <w:smallCaps w:val="0"/>
                          <w:color w:val="FFFFFF"/>
                          <w:sz w:val="18"/>
                        </w:rPr>
                        <w:t>II.8</w:t>
                      </w:r>
                      <w:r>
                        <w:rPr>
                          <w:b/>
                          <w:smallCaps w:val="0"/>
                          <w:color w:val="FFFFFF"/>
                          <w:spacing w:val="-11"/>
                          <w:sz w:val="18"/>
                        </w:rPr>
                        <w:t> </w:t>
                      </w:r>
                      <w:r>
                        <w:rPr>
                          <w:b/>
                          <w:smallCaps w:val="0"/>
                          <w:color w:val="FFFFFF"/>
                          <w:sz w:val="18"/>
                        </w:rPr>
                        <w:t>Μέσο</w:t>
                      </w:r>
                      <w:r>
                        <w:rPr>
                          <w:b/>
                          <w:smallCaps w:val="0"/>
                          <w:color w:val="FFFFFF"/>
                          <w:spacing w:val="-11"/>
                          <w:sz w:val="18"/>
                        </w:rPr>
                        <w:t> </w:t>
                      </w:r>
                      <w:r>
                        <w:rPr>
                          <w:b/>
                          <w:smallCaps w:val="0"/>
                          <w:color w:val="FFFFFF"/>
                          <w:sz w:val="18"/>
                        </w:rPr>
                        <w:t>σταθμ</w:t>
                      </w:r>
                      <w:r>
                        <w:rPr>
                          <w:b/>
                          <w:smallCaps/>
                          <w:color w:val="FFFFFF"/>
                          <w:sz w:val="18"/>
                        </w:rPr>
                        <w:t>ι</w:t>
                      </w:r>
                      <w:r>
                        <w:rPr>
                          <w:b/>
                          <w:smallCaps w:val="0"/>
                          <w:color w:val="FFFFFF"/>
                          <w:sz w:val="18"/>
                        </w:rPr>
                        <w:t>σμένο</w:t>
                      </w:r>
                      <w:r>
                        <w:rPr>
                          <w:b/>
                          <w:smallCaps w:val="0"/>
                          <w:color w:val="FFFFFF"/>
                          <w:spacing w:val="-11"/>
                          <w:sz w:val="18"/>
                        </w:rPr>
                        <w:t> </w:t>
                      </w:r>
                      <w:r>
                        <w:rPr>
                          <w:b/>
                          <w:smallCaps w:val="0"/>
                          <w:color w:val="FFFFFF"/>
                          <w:sz w:val="18"/>
                        </w:rPr>
                        <w:t>επ</w:t>
                      </w:r>
                      <w:r>
                        <w:rPr>
                          <w:b/>
                          <w:smallCaps/>
                          <w:color w:val="FFFFFF"/>
                          <w:sz w:val="18"/>
                        </w:rPr>
                        <w:t>ι</w:t>
                      </w:r>
                      <w:r>
                        <w:rPr>
                          <w:b/>
                          <w:smallCaps w:val="0"/>
                          <w:color w:val="FFFFFF"/>
                          <w:sz w:val="18"/>
                        </w:rPr>
                        <w:t>τόκ</w:t>
                      </w:r>
                      <w:r>
                        <w:rPr>
                          <w:b/>
                          <w:smallCaps/>
                          <w:color w:val="FFFFFF"/>
                          <w:sz w:val="18"/>
                        </w:rPr>
                        <w:t>ιο</w:t>
                      </w:r>
                      <w:r>
                        <w:rPr>
                          <w:b/>
                          <w:smallCaps w:val="0"/>
                          <w:color w:val="FFFFFF"/>
                          <w:spacing w:val="-12"/>
                          <w:sz w:val="18"/>
                        </w:rPr>
                        <w:t> </w:t>
                      </w:r>
                      <w:r>
                        <w:rPr>
                          <w:b/>
                          <w:smallCaps/>
                          <w:color w:val="FFFFFF"/>
                          <w:sz w:val="18"/>
                        </w:rPr>
                        <w:t>ν</w:t>
                      </w:r>
                      <w:r>
                        <w:rPr>
                          <w:b/>
                          <w:smallCaps w:val="0"/>
                          <w:color w:val="FFFFFF"/>
                          <w:sz w:val="18"/>
                        </w:rPr>
                        <w:t>έων</w:t>
                      </w:r>
                      <w:r>
                        <w:rPr>
                          <w:b/>
                          <w:smallCaps w:val="0"/>
                          <w:color w:val="FFFFFF"/>
                          <w:spacing w:val="-11"/>
                          <w:sz w:val="18"/>
                        </w:rPr>
                        <w:t> </w:t>
                      </w:r>
                      <w:r>
                        <w:rPr>
                          <w:b/>
                          <w:smallCaps w:val="0"/>
                          <w:color w:val="FFFFFF"/>
                          <w:sz w:val="18"/>
                        </w:rPr>
                        <w:t>κα</w:t>
                      </w:r>
                      <w:r>
                        <w:rPr>
                          <w:b/>
                          <w:smallCaps/>
                          <w:color w:val="FFFFFF"/>
                          <w:sz w:val="18"/>
                        </w:rPr>
                        <w:t>ι</w:t>
                      </w:r>
                      <w:r>
                        <w:rPr>
                          <w:b/>
                          <w:smallCaps w:val="0"/>
                          <w:color w:val="FFFFFF"/>
                          <w:sz w:val="18"/>
                        </w:rPr>
                        <w:t> υφ</w:t>
                      </w:r>
                      <w:r>
                        <w:rPr>
                          <w:b/>
                          <w:smallCaps/>
                          <w:color w:val="FFFFFF"/>
                          <w:sz w:val="18"/>
                        </w:rPr>
                        <w:t>ι</w:t>
                      </w:r>
                      <w:r>
                        <w:rPr>
                          <w:b/>
                          <w:smallCaps w:val="0"/>
                          <w:color w:val="FFFFFF"/>
                          <w:sz w:val="18"/>
                        </w:rPr>
                        <w:t>στάμενων</w:t>
                      </w:r>
                      <w:r>
                        <w:rPr>
                          <w:b/>
                          <w:smallCaps w:val="0"/>
                          <w:color w:val="FFFFFF"/>
                          <w:spacing w:val="-4"/>
                          <w:sz w:val="18"/>
                        </w:rPr>
                        <w:t> </w:t>
                      </w:r>
                      <w:r>
                        <w:rPr>
                          <w:b/>
                          <w:smallCaps w:val="0"/>
                          <w:color w:val="FFFFFF"/>
                          <w:sz w:val="18"/>
                        </w:rPr>
                        <w:t>δανείων</w:t>
                      </w:r>
                      <w:r>
                        <w:rPr>
                          <w:b/>
                          <w:smallCaps w:val="0"/>
                          <w:color w:val="FFFFFF"/>
                          <w:spacing w:val="-2"/>
                          <w:sz w:val="18"/>
                        </w:rPr>
                        <w:t> </w:t>
                      </w:r>
                      <w:r>
                        <w:rPr>
                          <w:b/>
                          <w:smallCaps w:val="0"/>
                          <w:color w:val="FFFFFF"/>
                          <w:sz w:val="18"/>
                        </w:rPr>
                        <w:t>προς</w:t>
                      </w:r>
                      <w:r>
                        <w:rPr>
                          <w:b/>
                          <w:smallCaps w:val="0"/>
                          <w:color w:val="FFFFFF"/>
                          <w:spacing w:val="-2"/>
                          <w:sz w:val="18"/>
                        </w:rPr>
                        <w:t> </w:t>
                      </w:r>
                      <w:r>
                        <w:rPr>
                          <w:b/>
                          <w:smallCaps w:val="0"/>
                          <w:color w:val="FFFFFF"/>
                          <w:sz w:val="18"/>
                        </w:rPr>
                        <w:t>μη</w:t>
                      </w:r>
                      <w:r>
                        <w:rPr>
                          <w:b/>
                          <w:smallCaps w:val="0"/>
                          <w:color w:val="FFFFFF"/>
                          <w:spacing w:val="-5"/>
                          <w:sz w:val="18"/>
                        </w:rPr>
                        <w:t> </w:t>
                      </w:r>
                      <w:r>
                        <w:rPr>
                          <w:b/>
                          <w:smallCaps w:val="0"/>
                          <w:color w:val="FFFFFF"/>
                          <w:sz w:val="18"/>
                        </w:rPr>
                        <w:t>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κές</w:t>
                      </w:r>
                      <w:r>
                        <w:rPr>
                          <w:b/>
                          <w:smallCaps w:val="0"/>
                          <w:color w:val="FFFFFF"/>
                          <w:spacing w:val="-5"/>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w:t>
                      </w:r>
                      <w:r>
                        <w:rPr>
                          <w:b/>
                          <w:smallCaps/>
                          <w:color w:val="FFFFFF"/>
                          <w:sz w:val="18"/>
                        </w:rPr>
                        <w:t>ι</w:t>
                      </w:r>
                      <w:r>
                        <w:rPr>
                          <w:b/>
                          <w:smallCaps w:val="0"/>
                          <w:color w:val="FFFFFF"/>
                          <w:sz w:val="18"/>
                        </w:rPr>
                        <w:t>ς από τα εγχώρ</w:t>
                      </w:r>
                      <w:r>
                        <w:rPr>
                          <w:b/>
                          <w:smallCaps/>
                          <w:color w:val="FFFFFF"/>
                          <w:sz w:val="18"/>
                        </w:rPr>
                        <w:t>ι</w:t>
                      </w:r>
                      <w:r>
                        <w:rPr>
                          <w:b/>
                          <w:smallCaps w:val="0"/>
                          <w:color w:val="FFFFFF"/>
                          <w:sz w:val="18"/>
                        </w:rPr>
                        <w:t>α ΝΧΙ (Φεβρουάρ</w:t>
                      </w:r>
                      <w:r>
                        <w:rPr>
                          <w:b/>
                          <w:smallCaps/>
                          <w:color w:val="FFFFFF"/>
                          <w:sz w:val="18"/>
                        </w:rPr>
                        <w:t>ιο</w:t>
                      </w:r>
                      <w:r>
                        <w:rPr>
                          <w:b/>
                          <w:smallCaps w:val="0"/>
                          <w:color w:val="FFFFFF"/>
                          <w:sz w:val="18"/>
                        </w:rPr>
                        <w:t>ς 2010 – Φεβρουάρ</w:t>
                      </w:r>
                      <w:r>
                        <w:rPr>
                          <w:b/>
                          <w:smallCaps/>
                          <w:color w:val="FFFFFF"/>
                          <w:sz w:val="18"/>
                        </w:rPr>
                        <w:t>ιο</w:t>
                      </w:r>
                      <w:r>
                        <w:rPr>
                          <w:b/>
                          <w:smallCaps w:val="0"/>
                          <w:color w:val="FFFFFF"/>
                          <w:sz w:val="18"/>
                        </w:rPr>
                        <w:t>ς 2026)</w:t>
                      </w:r>
                    </w:p>
                  </w:txbxContent>
                </v:textbox>
                <v:fill type="solid"/>
                <w10:wrap type="none"/>
              </v:shape>
            </w:pict>
          </mc:Fallback>
        </mc:AlternateContent>
      </w:r>
      <w:r>
        <w:rPr/>
        <w:t>Επιπρόσθετα,</w:t>
      </w:r>
      <w:r>
        <w:rPr>
          <w:spacing w:val="-5"/>
        </w:rPr>
        <w:t> </w:t>
      </w:r>
      <w:r>
        <w:rPr/>
        <w:t>το</w:t>
      </w:r>
      <w:r>
        <w:rPr>
          <w:spacing w:val="-5"/>
        </w:rPr>
        <w:t> </w:t>
      </w:r>
      <w:r>
        <w:rPr/>
        <w:t>Διοικητικό</w:t>
      </w:r>
      <w:r>
        <w:rPr>
          <w:spacing w:val="-5"/>
        </w:rPr>
        <w:t> </w:t>
      </w:r>
      <w:r>
        <w:rPr/>
        <w:t>Συμβούλιο</w:t>
      </w:r>
      <w:r>
        <w:rPr>
          <w:spacing w:val="-4"/>
        </w:rPr>
        <w:t> </w:t>
      </w:r>
      <w:r>
        <w:rPr/>
        <w:t>της</w:t>
      </w:r>
      <w:r>
        <w:rPr>
          <w:spacing w:val="-6"/>
        </w:rPr>
        <w:t> </w:t>
      </w:r>
      <w:r>
        <w:rPr/>
        <w:t>ΕΚΤ</w:t>
      </w:r>
      <w:r>
        <w:rPr>
          <w:spacing w:val="-6"/>
        </w:rPr>
        <w:t> </w:t>
      </w:r>
      <w:r>
        <w:rPr/>
        <w:t>συνέχισε</w:t>
      </w:r>
      <w:r>
        <w:rPr>
          <w:spacing w:val="-3"/>
        </w:rPr>
        <w:t> </w:t>
      </w:r>
      <w:r>
        <w:rPr/>
        <w:t>κατά</w:t>
      </w:r>
      <w:r>
        <w:rPr>
          <w:spacing w:val="-6"/>
        </w:rPr>
        <w:t> </w:t>
      </w:r>
      <w:r>
        <w:rPr/>
        <w:t>το</w:t>
      </w:r>
      <w:r>
        <w:rPr>
          <w:spacing w:val="-7"/>
        </w:rPr>
        <w:t> </w:t>
      </w:r>
      <w:r>
        <w:rPr/>
        <w:t>πρώτο</w:t>
      </w:r>
      <w:r>
        <w:rPr>
          <w:spacing w:val="-5"/>
        </w:rPr>
        <w:t> </w:t>
      </w:r>
      <w:r>
        <w:rPr/>
        <w:t>εξάμηνο</w:t>
      </w:r>
      <w:r>
        <w:rPr>
          <w:spacing w:val="-5"/>
        </w:rPr>
        <w:t> </w:t>
      </w:r>
      <w:r>
        <w:rPr/>
        <w:t>του</w:t>
      </w:r>
      <w:r>
        <w:rPr>
          <w:spacing w:val="-6"/>
        </w:rPr>
        <w:t> </w:t>
      </w:r>
      <w:r>
        <w:rPr/>
        <w:t>2025</w:t>
      </w:r>
      <w:r>
        <w:rPr>
          <w:spacing w:val="-6"/>
        </w:rPr>
        <w:t> </w:t>
      </w:r>
      <w:r>
        <w:rPr/>
        <w:t>τον κύκλο μείωσης των βασικών επιτοκίων που ξεκίνησε τον Ιούνιο του 2024,</w:t>
      </w:r>
      <w:hyperlink w:history="true" w:anchor="_bookmark40">
        <w:r>
          <w:rPr>
            <w:position w:val="6"/>
            <w:sz w:val="10"/>
          </w:rPr>
          <w:t>27</w:t>
        </w:r>
      </w:hyperlink>
      <w:r>
        <w:rPr>
          <w:spacing w:val="34"/>
          <w:position w:val="6"/>
          <w:sz w:val="10"/>
        </w:rPr>
        <w:t> </w:t>
      </w:r>
      <w:r>
        <w:rPr/>
        <w:t>με αποτέλεσμα τον περιορισμό του κόστους δανεισμού για τις ε-</w:t>
      </w:r>
    </w:p>
    <w:p>
      <w:pPr>
        <w:pStyle w:val="BodyText"/>
        <w:spacing w:line="285" w:lineRule="auto"/>
        <w:ind w:left="172" w:right="5417"/>
        <w:jc w:val="both"/>
      </w:pPr>
      <w:r>
        <w:rPr/>
        <w:t>πιχειρήσεις και τα νοικοκυριά στη ζώνη του ευρώ.</w:t>
      </w:r>
      <w:r>
        <w:rPr>
          <w:spacing w:val="39"/>
        </w:rPr>
        <w:t> </w:t>
      </w:r>
      <w:r>
        <w:rPr/>
        <w:t>Συγκεκριμένα,</w:t>
      </w:r>
      <w:r>
        <w:rPr>
          <w:spacing w:val="38"/>
        </w:rPr>
        <w:t> </w:t>
      </w:r>
      <w:r>
        <w:rPr/>
        <w:t>στην</w:t>
      </w:r>
      <w:r>
        <w:rPr>
          <w:spacing w:val="41"/>
        </w:rPr>
        <w:t> </w:t>
      </w:r>
      <w:r>
        <w:rPr/>
        <w:t>Ελλάδα</w:t>
      </w:r>
      <w:r>
        <w:rPr>
          <w:spacing w:val="38"/>
        </w:rPr>
        <w:t> </w:t>
      </w:r>
      <w:r>
        <w:rPr/>
        <w:t>το</w:t>
      </w:r>
      <w:r>
        <w:rPr>
          <w:spacing w:val="42"/>
        </w:rPr>
        <w:t> </w:t>
      </w:r>
      <w:r>
        <w:rPr>
          <w:spacing w:val="-4"/>
        </w:rPr>
        <w:t>μέσο</w:t>
      </w:r>
    </w:p>
    <w:p>
      <w:pPr>
        <w:pStyle w:val="BodyText"/>
        <w:spacing w:line="170" w:lineRule="exact"/>
        <w:ind w:left="172"/>
        <w:jc w:val="both"/>
      </w:pPr>
      <w:r>
        <w:rPr/>
        <w:t>σταθμισμένο</w:t>
      </w:r>
      <w:r>
        <w:rPr>
          <w:spacing w:val="59"/>
          <w:w w:val="150"/>
        </w:rPr>
        <w:t> </w:t>
      </w:r>
      <w:r>
        <w:rPr/>
        <w:t>επιτόκιο</w:t>
      </w:r>
      <w:r>
        <w:rPr>
          <w:spacing w:val="60"/>
          <w:w w:val="150"/>
        </w:rPr>
        <w:t> </w:t>
      </w:r>
      <w:r>
        <w:rPr/>
        <w:t>νέων</w:t>
      </w:r>
      <w:r>
        <w:rPr>
          <w:spacing w:val="60"/>
          <w:w w:val="150"/>
        </w:rPr>
        <w:t> </w:t>
      </w:r>
      <w:r>
        <w:rPr/>
        <w:t>δανείων</w:t>
      </w:r>
      <w:r>
        <w:rPr>
          <w:spacing w:val="60"/>
          <w:w w:val="150"/>
        </w:rPr>
        <w:t> </w:t>
      </w:r>
      <w:r>
        <w:rPr>
          <w:spacing w:val="-4"/>
        </w:rPr>
        <w:t>προς</w:t>
      </w:r>
    </w:p>
    <w:p>
      <w:pPr>
        <w:spacing w:line="138" w:lineRule="exact" w:before="0"/>
        <w:ind w:left="38" w:right="0" w:firstLine="0"/>
        <w:jc w:val="center"/>
        <w:rPr>
          <w:sz w:val="14"/>
        </w:rPr>
      </w:pPr>
      <w:r>
        <w:rPr>
          <w:color w:val="1F487C"/>
          <w:sz w:val="14"/>
        </w:rPr>
        <w:t>(δισεκ.</w:t>
      </w:r>
      <w:r>
        <w:rPr>
          <w:color w:val="1F487C"/>
          <w:spacing w:val="-5"/>
          <w:sz w:val="14"/>
        </w:rPr>
        <w:t> </w:t>
      </w:r>
      <w:r>
        <w:rPr>
          <w:color w:val="1F487C"/>
          <w:spacing w:val="-2"/>
          <w:sz w:val="14"/>
        </w:rPr>
        <w:t>ευρώ)</w:t>
      </w:r>
    </w:p>
    <w:p>
      <w:pPr>
        <w:pStyle w:val="BodyText"/>
        <w:spacing w:line="285" w:lineRule="auto"/>
        <w:ind w:left="172" w:right="5411"/>
        <w:jc w:val="both"/>
      </w:pPr>
      <w:r>
        <w:rPr/>
        <mc:AlternateContent>
          <mc:Choice Requires="wps">
            <w:drawing>
              <wp:anchor distT="0" distB="0" distL="0" distR="0" allowOverlap="1" layoutInCell="1" locked="0" behindDoc="0" simplePos="0" relativeHeight="15751168">
                <wp:simplePos x="0" y="0"/>
                <wp:positionH relativeFrom="page">
                  <wp:posOffset>3694429</wp:posOffset>
                </wp:positionH>
                <wp:positionV relativeFrom="paragraph">
                  <wp:posOffset>46960</wp:posOffset>
                </wp:positionV>
                <wp:extent cx="2706370" cy="222440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2706370" cy="2224405"/>
                          <a:chExt cx="2706370" cy="2224405"/>
                        </a:xfrm>
                      </wpg:grpSpPr>
                      <wps:wsp>
                        <wps:cNvPr id="195" name="Graphic 195"/>
                        <wps:cNvSpPr/>
                        <wps:spPr>
                          <a:xfrm>
                            <a:off x="381" y="253"/>
                            <a:ext cx="2705735" cy="2223770"/>
                          </a:xfrm>
                          <a:custGeom>
                            <a:avLst/>
                            <a:gdLst/>
                            <a:ahLst/>
                            <a:cxnLst/>
                            <a:rect l="l" t="t" r="r" b="b"/>
                            <a:pathLst>
                              <a:path w="2705735" h="2223770">
                                <a:moveTo>
                                  <a:pt x="2705735" y="0"/>
                                </a:moveTo>
                                <a:lnTo>
                                  <a:pt x="0" y="0"/>
                                </a:lnTo>
                                <a:lnTo>
                                  <a:pt x="0" y="2007362"/>
                                </a:lnTo>
                                <a:lnTo>
                                  <a:pt x="0" y="2223770"/>
                                </a:lnTo>
                                <a:lnTo>
                                  <a:pt x="2705735" y="2223770"/>
                                </a:lnTo>
                                <a:lnTo>
                                  <a:pt x="2705735" y="2007362"/>
                                </a:lnTo>
                                <a:lnTo>
                                  <a:pt x="2705735" y="0"/>
                                </a:lnTo>
                                <a:close/>
                              </a:path>
                            </a:pathLst>
                          </a:custGeom>
                          <a:solidFill>
                            <a:srgbClr val="D9D9D9"/>
                          </a:solidFill>
                        </wps:spPr>
                        <wps:bodyPr wrap="square" lIns="0" tIns="0" rIns="0" bIns="0" rtlCol="0">
                          <a:prstTxWarp prst="textNoShape">
                            <a:avLst/>
                          </a:prstTxWarp>
                          <a:noAutofit/>
                        </wps:bodyPr>
                      </wps:wsp>
                      <pic:pic>
                        <pic:nvPicPr>
                          <pic:cNvPr id="196" name="Image 196"/>
                          <pic:cNvPicPr/>
                        </pic:nvPicPr>
                        <pic:blipFill>
                          <a:blip r:embed="rId36" cstate="print"/>
                          <a:stretch>
                            <a:fillRect/>
                          </a:stretch>
                        </pic:blipFill>
                        <pic:spPr>
                          <a:xfrm>
                            <a:off x="0" y="0"/>
                            <a:ext cx="2663444" cy="2006727"/>
                          </a:xfrm>
                          <a:prstGeom prst="rect">
                            <a:avLst/>
                          </a:prstGeom>
                        </pic:spPr>
                      </pic:pic>
                      <wps:wsp>
                        <wps:cNvPr id="197" name="Textbox 197"/>
                        <wps:cNvSpPr txBox="1"/>
                        <wps:spPr>
                          <a:xfrm>
                            <a:off x="380" y="253"/>
                            <a:ext cx="2705735" cy="222377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60"/>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txbxContent>
                        </wps:txbx>
                        <wps:bodyPr wrap="square" lIns="0" tIns="0" rIns="0" bIns="0" rtlCol="0">
                          <a:noAutofit/>
                        </wps:bodyPr>
                      </wps:wsp>
                    </wpg:wgp>
                  </a:graphicData>
                </a:graphic>
              </wp:anchor>
            </w:drawing>
          </mc:Choice>
          <mc:Fallback>
            <w:pict>
              <v:group style="position:absolute;margin-left:290.899994pt;margin-top:3.697701pt;width:213.1pt;height:175.15pt;mso-position-horizontal-relative:page;mso-position-vertical-relative:paragraph;z-index:15751168" id="docshapegroup178" coordorigin="5818,74" coordsize="4262,3503">
                <v:shape style="position:absolute;left:5818;top:74;width:4261;height:3502" id="docshape179" coordorigin="5819,74" coordsize="4261,3502" path="m10080,74l5819,74,5819,3236,5819,3576,10080,3576,10080,3236,10080,74xe" filled="true" fillcolor="#d9d9d9" stroked="false">
                  <v:path arrowok="t"/>
                  <v:fill type="solid"/>
                </v:shape>
                <v:shape style="position:absolute;left:5818;top:73;width:4195;height:3161" type="#_x0000_t75" id="docshape180" stroked="false">
                  <v:imagedata r:id="rId36" o:title=""/>
                </v:shape>
                <v:shape style="position:absolute;left:5818;top:74;width:4261;height:3502" type="#_x0000_t202" id="docshape181"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60"/>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txbxContent>
                  </v:textbox>
                  <w10:wrap type="none"/>
                </v:shape>
                <w10:wrap type="none"/>
              </v:group>
            </w:pict>
          </mc:Fallback>
        </mc:AlternateContent>
      </w:r>
      <w:r>
        <w:rPr/>
        <w:t>ΜΧΕ τον Δεκέμβριο του 2025 υποχώρησε κατά 127 μονάδες βάσης και διαμορφώθηκε σε 3,7%, έναντι 4,9% τον Δεκέμβριο του 2024, ενώ τον Φεβρουάριο του 2026 αυξή-θηκε</w:t>
      </w:r>
      <w:r>
        <w:rPr>
          <w:spacing w:val="-14"/>
        </w:rPr>
        <w:t> </w:t>
      </w:r>
      <w:r>
        <w:rPr/>
        <w:t>εκ</w:t>
      </w:r>
      <w:r>
        <w:rPr>
          <w:spacing w:val="-14"/>
        </w:rPr>
        <w:t> </w:t>
      </w:r>
      <w:r>
        <w:rPr/>
        <w:t>νέου</w:t>
      </w:r>
      <w:r>
        <w:rPr>
          <w:spacing w:val="-14"/>
        </w:rPr>
        <w:t> </w:t>
      </w:r>
      <w:r>
        <w:rPr/>
        <w:t>σε</w:t>
      </w:r>
      <w:r>
        <w:rPr>
          <w:spacing w:val="-13"/>
        </w:rPr>
        <w:t> </w:t>
      </w:r>
      <w:r>
        <w:rPr/>
        <w:t>4,1%.</w:t>
      </w:r>
      <w:r>
        <w:rPr>
          <w:spacing w:val="-14"/>
        </w:rPr>
        <w:t> </w:t>
      </w:r>
      <w:r>
        <w:rPr/>
        <w:t>Αντίστοιχα,</w:t>
      </w:r>
      <w:r>
        <w:rPr>
          <w:spacing w:val="-14"/>
        </w:rPr>
        <w:t> </w:t>
      </w:r>
      <w:r>
        <w:rPr/>
        <w:t>τον</w:t>
      </w:r>
      <w:r>
        <w:rPr>
          <w:spacing w:val="-14"/>
        </w:rPr>
        <w:t> </w:t>
      </w:r>
      <w:r>
        <w:rPr/>
        <w:t>Δεκέμ-βριο του 2025 το μέσο σταθμισμένο επιτόκιο των υφιστάμενων δανείων προς ΜΧΕ μειώ-θηκε κατά 106 μονάδες βάσης σε 4,1%, από 5,2% τον Δεκέμβριο</w:t>
      </w:r>
      <w:r>
        <w:rPr>
          <w:spacing w:val="-1"/>
        </w:rPr>
        <w:t> </w:t>
      </w:r>
      <w:r>
        <w:rPr/>
        <w:t>του 2024, και παρέμεινε σταθερό έως τον Φεβρουάριο του 2026 (βλ. Διάγραμμα ΙΙ.8).</w:t>
      </w:r>
    </w:p>
    <w:p>
      <w:pPr>
        <w:pStyle w:val="BodyText"/>
        <w:spacing w:before="95"/>
        <w:ind w:left="172"/>
        <w:jc w:val="both"/>
      </w:pPr>
      <w:r>
        <w:rPr/>
        <w:t>Παράλληλα,</w:t>
      </w:r>
      <w:r>
        <w:rPr>
          <w:spacing w:val="11"/>
        </w:rPr>
        <w:t> </w:t>
      </w:r>
      <w:r>
        <w:rPr/>
        <w:t>οι</w:t>
      </w:r>
      <w:r>
        <w:rPr>
          <w:spacing w:val="13"/>
        </w:rPr>
        <w:t> </w:t>
      </w:r>
      <w:r>
        <w:rPr/>
        <w:t>ελληνικές</w:t>
      </w:r>
      <w:r>
        <w:rPr>
          <w:spacing w:val="9"/>
        </w:rPr>
        <w:t> </w:t>
      </w:r>
      <w:r>
        <w:rPr/>
        <w:t>ΜΧΕ</w:t>
      </w:r>
      <w:r>
        <w:rPr>
          <w:spacing w:val="11"/>
        </w:rPr>
        <w:t> </w:t>
      </w:r>
      <w:r>
        <w:rPr>
          <w:spacing w:val="-2"/>
        </w:rPr>
        <w:t>προχώρησαν</w:t>
      </w:r>
    </w:p>
    <w:p>
      <w:pPr>
        <w:pStyle w:val="BodyText"/>
        <w:spacing w:line="285" w:lineRule="auto" w:before="47"/>
        <w:ind w:left="172" w:right="957"/>
        <w:jc w:val="both"/>
      </w:pPr>
      <w:r>
        <w:rPr/>
        <w:t>στην άντληση χρηματοδότησης με την έκδοση εταιρικών ομολόγων με χαμηλότερο κόστος, α-ξιοποιώντας τη μείωση των βασικών επιτοκίων της ΕΚΤ. Συγκεκριμένα, το 2025 πραγματοποι-ήθηκαν</w:t>
      </w:r>
      <w:r>
        <w:rPr>
          <w:spacing w:val="-14"/>
        </w:rPr>
        <w:t> </w:t>
      </w:r>
      <w:r>
        <w:rPr/>
        <w:t>οκτώ</w:t>
      </w:r>
      <w:r>
        <w:rPr>
          <w:spacing w:val="-12"/>
        </w:rPr>
        <w:t> </w:t>
      </w:r>
      <w:r>
        <w:rPr/>
        <w:t>νέες</w:t>
      </w:r>
      <w:r>
        <w:rPr>
          <w:spacing w:val="-14"/>
        </w:rPr>
        <w:t> </w:t>
      </w:r>
      <w:r>
        <w:rPr/>
        <w:t>εκδόσεις</w:t>
      </w:r>
      <w:r>
        <w:rPr>
          <w:spacing w:val="-14"/>
        </w:rPr>
        <w:t> </w:t>
      </w:r>
      <w:r>
        <w:rPr/>
        <w:t>ομολογιακών</w:t>
      </w:r>
      <w:r>
        <w:rPr>
          <w:spacing w:val="-11"/>
        </w:rPr>
        <w:t> </w:t>
      </w:r>
      <w:r>
        <w:rPr/>
        <w:t>τίτλων,</w:t>
      </w:r>
      <w:r>
        <w:rPr>
          <w:spacing w:val="-14"/>
        </w:rPr>
        <w:t> </w:t>
      </w:r>
      <w:r>
        <w:rPr/>
        <w:t>συνολικής</w:t>
      </w:r>
      <w:r>
        <w:rPr>
          <w:spacing w:val="-14"/>
        </w:rPr>
        <w:t> </w:t>
      </w:r>
      <w:r>
        <w:rPr/>
        <w:t>αξίας</w:t>
      </w:r>
      <w:r>
        <w:rPr>
          <w:spacing w:val="-13"/>
        </w:rPr>
        <w:t> </w:t>
      </w:r>
      <w:r>
        <w:rPr/>
        <w:t>3,7</w:t>
      </w:r>
      <w:r>
        <w:rPr>
          <w:spacing w:val="-13"/>
        </w:rPr>
        <w:t> </w:t>
      </w:r>
      <w:r>
        <w:rPr/>
        <w:t>δισεκ.</w:t>
      </w:r>
      <w:r>
        <w:rPr>
          <w:spacing w:val="-14"/>
        </w:rPr>
        <w:t> </w:t>
      </w:r>
      <w:r>
        <w:rPr/>
        <w:t>ευρώ.</w:t>
      </w:r>
      <w:r>
        <w:rPr>
          <w:spacing w:val="-12"/>
        </w:rPr>
        <w:t> </w:t>
      </w:r>
      <w:r>
        <w:rPr/>
        <w:t>Επιπρόσθετα, επισημαίνεται ότι οι αποδόσεις των εταιρικών ομολόγων των ελληνικών ΜΧΕ ακολούθησαν πτωτική τάση κατά το 2025, η οποία συνεχίστηκε και στις αρχές του 2026. Ωστόσο, μετά την κλιμάκωση</w:t>
      </w:r>
      <w:r>
        <w:rPr>
          <w:spacing w:val="-3"/>
        </w:rPr>
        <w:t> </w:t>
      </w:r>
      <w:r>
        <w:rPr/>
        <w:t>των</w:t>
      </w:r>
      <w:r>
        <w:rPr>
          <w:spacing w:val="-2"/>
        </w:rPr>
        <w:t> </w:t>
      </w:r>
      <w:r>
        <w:rPr/>
        <w:t>γεωπολιτικών</w:t>
      </w:r>
      <w:r>
        <w:rPr>
          <w:spacing w:val="-2"/>
        </w:rPr>
        <w:t> </w:t>
      </w:r>
      <w:r>
        <w:rPr/>
        <w:t>εντάσεων και</w:t>
      </w:r>
      <w:r>
        <w:rPr>
          <w:spacing w:val="-3"/>
        </w:rPr>
        <w:t> </w:t>
      </w:r>
      <w:r>
        <w:rPr/>
        <w:t>το</w:t>
      </w:r>
      <w:r>
        <w:rPr>
          <w:spacing w:val="-3"/>
        </w:rPr>
        <w:t> </w:t>
      </w:r>
      <w:r>
        <w:rPr/>
        <w:t>ξέσπασμα</w:t>
      </w:r>
      <w:r>
        <w:rPr>
          <w:spacing w:val="-3"/>
        </w:rPr>
        <w:t> </w:t>
      </w:r>
      <w:r>
        <w:rPr/>
        <w:t>του</w:t>
      </w:r>
      <w:r>
        <w:rPr>
          <w:spacing w:val="-3"/>
        </w:rPr>
        <w:t> </w:t>
      </w:r>
      <w:r>
        <w:rPr/>
        <w:t>πολέμου</w:t>
      </w:r>
      <w:r>
        <w:rPr>
          <w:spacing w:val="-3"/>
        </w:rPr>
        <w:t> </w:t>
      </w:r>
      <w:r>
        <w:rPr/>
        <w:t>στη</w:t>
      </w:r>
      <w:r>
        <w:rPr>
          <w:spacing w:val="-3"/>
        </w:rPr>
        <w:t> </w:t>
      </w:r>
      <w:r>
        <w:rPr/>
        <w:t>Μέση</w:t>
      </w:r>
      <w:r>
        <w:rPr>
          <w:spacing w:val="-3"/>
        </w:rPr>
        <w:t> </w:t>
      </w:r>
      <w:r>
        <w:rPr/>
        <w:t>Ανατολή,</w:t>
      </w:r>
      <w:r>
        <w:rPr>
          <w:spacing w:val="-3"/>
        </w:rPr>
        <w:t> </w:t>
      </w:r>
      <w:r>
        <w:rPr/>
        <w:t>κα-ταγράφηκε</w:t>
      </w:r>
      <w:r>
        <w:rPr>
          <w:spacing w:val="-10"/>
        </w:rPr>
        <w:t> </w:t>
      </w:r>
      <w:r>
        <w:rPr/>
        <w:t>αύξηση</w:t>
      </w:r>
      <w:r>
        <w:rPr>
          <w:spacing w:val="-11"/>
        </w:rPr>
        <w:t> </w:t>
      </w:r>
      <w:r>
        <w:rPr/>
        <w:t>των</w:t>
      </w:r>
      <w:r>
        <w:rPr>
          <w:spacing w:val="-10"/>
        </w:rPr>
        <w:t> </w:t>
      </w:r>
      <w:r>
        <w:rPr/>
        <w:t>αποδόσεων,</w:t>
      </w:r>
      <w:r>
        <w:rPr>
          <w:spacing w:val="-11"/>
        </w:rPr>
        <w:t> </w:t>
      </w:r>
      <w:r>
        <w:rPr/>
        <w:t>αντίστοιχη</w:t>
      </w:r>
      <w:r>
        <w:rPr>
          <w:spacing w:val="-11"/>
        </w:rPr>
        <w:t> </w:t>
      </w:r>
      <w:r>
        <w:rPr/>
        <w:t>με</w:t>
      </w:r>
      <w:r>
        <w:rPr>
          <w:spacing w:val="-12"/>
        </w:rPr>
        <w:t> </w:t>
      </w:r>
      <w:r>
        <w:rPr/>
        <w:t>εκείνη</w:t>
      </w:r>
      <w:r>
        <w:rPr>
          <w:spacing w:val="-11"/>
        </w:rPr>
        <w:t> </w:t>
      </w:r>
      <w:r>
        <w:rPr/>
        <w:t>των</w:t>
      </w:r>
      <w:r>
        <w:rPr>
          <w:spacing w:val="-12"/>
        </w:rPr>
        <w:t> </w:t>
      </w:r>
      <w:r>
        <w:rPr/>
        <w:t>ευρωπαϊκών</w:t>
      </w:r>
      <w:r>
        <w:rPr>
          <w:spacing w:val="-12"/>
        </w:rPr>
        <w:t> </w:t>
      </w:r>
      <w:r>
        <w:rPr/>
        <w:t>εταιρικών</w:t>
      </w:r>
      <w:r>
        <w:rPr>
          <w:spacing w:val="-10"/>
        </w:rPr>
        <w:t> </w:t>
      </w:r>
      <w:r>
        <w:rPr/>
        <w:t>ομολόγων.</w:t>
      </w:r>
    </w:p>
    <w:p>
      <w:pPr>
        <w:pStyle w:val="BodyText"/>
        <w:spacing w:line="285" w:lineRule="auto" w:before="113"/>
        <w:ind w:left="172" w:right="959"/>
        <w:jc w:val="both"/>
      </w:pPr>
      <w:r>
        <w:rPr/>
        <w:t>Οι ευνοϊκότερες συνθήκες χρηματοδότησης και η υποχώρηση του κόστους δανεισμού των επι-χειρήσεων αντανακλώνται και στον δείκτη κόστους δανεισμού των ΜΧΕ στην Ελλάδα (composite cost-of-borrowing indicator for NFCs). O εν λόγω δείκτης, όπως υπολογίζεται από</w:t>
      </w:r>
    </w:p>
    <w:p>
      <w:pPr>
        <w:pStyle w:val="BodyText"/>
        <w:spacing w:before="33"/>
        <w:rPr>
          <w:sz w:val="20"/>
        </w:rPr>
      </w:pPr>
      <w:r>
        <w:rPr>
          <w:sz w:val="20"/>
        </w:rPr>
        <mc:AlternateContent>
          <mc:Choice Requires="wps">
            <w:drawing>
              <wp:anchor distT="0" distB="0" distL="0" distR="0" allowOverlap="1" layoutInCell="1" locked="0" behindDoc="1" simplePos="0" relativeHeight="487609856">
                <wp:simplePos x="0" y="0"/>
                <wp:positionH relativeFrom="page">
                  <wp:posOffset>1009192</wp:posOffset>
                </wp:positionH>
                <wp:positionV relativeFrom="paragraph">
                  <wp:posOffset>182271</wp:posOffset>
                </wp:positionV>
                <wp:extent cx="1829435" cy="7620"/>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4.35208pt;width:144.020pt;height:.60004pt;mso-position-horizontal-relative:page;mso-position-vertical-relative:paragraph;z-index:-15706624;mso-wrap-distance-left:0;mso-wrap-distance-right:0" id="docshape182" filled="true" fillcolor="#000000" stroked="false">
                <v:fill type="solid"/>
                <w10:wrap type="topAndBottom"/>
              </v:rect>
            </w:pict>
          </mc:Fallback>
        </mc:AlternateContent>
      </w:r>
    </w:p>
    <w:p>
      <w:pPr>
        <w:spacing w:before="167"/>
        <w:ind w:left="172" w:right="956" w:firstLine="0"/>
        <w:jc w:val="both"/>
        <w:rPr>
          <w:sz w:val="16"/>
        </w:rPr>
      </w:pPr>
      <w:bookmarkStart w:name="_bookmark38" w:id="39"/>
      <w:bookmarkEnd w:id="39"/>
      <w:r>
        <w:rPr/>
      </w:r>
      <w:r>
        <w:rPr>
          <w:sz w:val="16"/>
          <w:vertAlign w:val="superscript"/>
        </w:rPr>
        <w:t>25</w:t>
      </w:r>
      <w:r>
        <w:rPr>
          <w:spacing w:val="-2"/>
          <w:sz w:val="16"/>
          <w:vertAlign w:val="baseline"/>
        </w:rPr>
        <w:t> </w:t>
      </w:r>
      <w:r>
        <w:rPr>
          <w:sz w:val="16"/>
          <w:vertAlign w:val="baseline"/>
        </w:rPr>
        <w:t>Η</w:t>
      </w:r>
      <w:r>
        <w:rPr>
          <w:spacing w:val="-3"/>
          <w:sz w:val="16"/>
          <w:vertAlign w:val="baseline"/>
        </w:rPr>
        <w:t> </w:t>
      </w:r>
      <w:hyperlink r:id="rId15">
        <w:r>
          <w:rPr>
            <w:color w:val="0000FF"/>
            <w:sz w:val="16"/>
            <w:u w:val="single" w:color="0000FF"/>
            <w:vertAlign w:val="baseline"/>
          </w:rPr>
          <w:t>Έρευνα</w:t>
        </w:r>
        <w:r>
          <w:rPr>
            <w:color w:val="0000FF"/>
            <w:spacing w:val="-2"/>
            <w:sz w:val="16"/>
            <w:u w:val="single" w:color="0000FF"/>
            <w:vertAlign w:val="baseline"/>
          </w:rPr>
          <w:t> </w:t>
        </w:r>
        <w:r>
          <w:rPr>
            <w:color w:val="0000FF"/>
            <w:sz w:val="16"/>
            <w:u w:val="single" w:color="0000FF"/>
            <w:vertAlign w:val="baseline"/>
          </w:rPr>
          <w:t>Τραπεζικών</w:t>
        </w:r>
        <w:r>
          <w:rPr>
            <w:color w:val="0000FF"/>
            <w:spacing w:val="-3"/>
            <w:sz w:val="16"/>
            <w:u w:val="single" w:color="0000FF"/>
            <w:vertAlign w:val="baseline"/>
          </w:rPr>
          <w:t> </w:t>
        </w:r>
        <w:r>
          <w:rPr>
            <w:color w:val="0000FF"/>
            <w:sz w:val="16"/>
            <w:u w:val="single" w:color="0000FF"/>
            <w:vertAlign w:val="baseline"/>
          </w:rPr>
          <w:t>Χορηγήσεων</w:t>
        </w:r>
      </w:hyperlink>
      <w:r>
        <w:rPr>
          <w:color w:val="0000FF"/>
          <w:spacing w:val="-3"/>
          <w:sz w:val="16"/>
          <w:vertAlign w:val="baseline"/>
        </w:rPr>
        <w:t> </w:t>
      </w:r>
      <w:r>
        <w:rPr>
          <w:sz w:val="16"/>
          <w:vertAlign w:val="baseline"/>
        </w:rPr>
        <w:t>διεξάγεται</w:t>
      </w:r>
      <w:r>
        <w:rPr>
          <w:spacing w:val="-2"/>
          <w:sz w:val="16"/>
          <w:vertAlign w:val="baseline"/>
        </w:rPr>
        <w:t> </w:t>
      </w:r>
      <w:r>
        <w:rPr>
          <w:sz w:val="16"/>
          <w:vertAlign w:val="baseline"/>
        </w:rPr>
        <w:t>ανά</w:t>
      </w:r>
      <w:r>
        <w:rPr>
          <w:spacing w:val="-2"/>
          <w:sz w:val="16"/>
          <w:vertAlign w:val="baseline"/>
        </w:rPr>
        <w:t> </w:t>
      </w:r>
      <w:r>
        <w:rPr>
          <w:sz w:val="16"/>
          <w:vertAlign w:val="baseline"/>
        </w:rPr>
        <w:t>τρίμηνο</w:t>
      </w:r>
      <w:r>
        <w:rPr>
          <w:spacing w:val="-1"/>
          <w:sz w:val="16"/>
          <w:vertAlign w:val="baseline"/>
        </w:rPr>
        <w:t> </w:t>
      </w:r>
      <w:r>
        <w:rPr>
          <w:sz w:val="16"/>
          <w:vertAlign w:val="baseline"/>
        </w:rPr>
        <w:t>από</w:t>
      </w:r>
      <w:r>
        <w:rPr>
          <w:spacing w:val="-3"/>
          <w:sz w:val="16"/>
          <w:vertAlign w:val="baseline"/>
        </w:rPr>
        <w:t> </w:t>
      </w:r>
      <w:r>
        <w:rPr>
          <w:sz w:val="16"/>
          <w:vertAlign w:val="baseline"/>
        </w:rPr>
        <w:t>τις</w:t>
      </w:r>
      <w:r>
        <w:rPr>
          <w:spacing w:val="-3"/>
          <w:sz w:val="16"/>
          <w:vertAlign w:val="baseline"/>
        </w:rPr>
        <w:t> </w:t>
      </w:r>
      <w:r>
        <w:rPr>
          <w:sz w:val="16"/>
          <w:vertAlign w:val="baseline"/>
        </w:rPr>
        <w:t>εθνικές</w:t>
      </w:r>
      <w:r>
        <w:rPr>
          <w:spacing w:val="-1"/>
          <w:sz w:val="16"/>
          <w:vertAlign w:val="baseline"/>
        </w:rPr>
        <w:t> </w:t>
      </w:r>
      <w:r>
        <w:rPr>
          <w:sz w:val="16"/>
          <w:vertAlign w:val="baseline"/>
        </w:rPr>
        <w:t>κεντρικές</w:t>
      </w:r>
      <w:r>
        <w:rPr>
          <w:spacing w:val="-1"/>
          <w:sz w:val="16"/>
          <w:vertAlign w:val="baseline"/>
        </w:rPr>
        <w:t> </w:t>
      </w:r>
      <w:r>
        <w:rPr>
          <w:sz w:val="16"/>
          <w:vertAlign w:val="baseline"/>
        </w:rPr>
        <w:t>τράπεζες</w:t>
      </w:r>
      <w:r>
        <w:rPr>
          <w:spacing w:val="-1"/>
          <w:sz w:val="16"/>
          <w:vertAlign w:val="baseline"/>
        </w:rPr>
        <w:t> </w:t>
      </w:r>
      <w:r>
        <w:rPr>
          <w:sz w:val="16"/>
          <w:vertAlign w:val="baseline"/>
        </w:rPr>
        <w:t>της</w:t>
      </w:r>
      <w:r>
        <w:rPr>
          <w:spacing w:val="-1"/>
          <w:sz w:val="16"/>
          <w:vertAlign w:val="baseline"/>
        </w:rPr>
        <w:t> </w:t>
      </w:r>
      <w:r>
        <w:rPr>
          <w:sz w:val="16"/>
          <w:vertAlign w:val="baseline"/>
        </w:rPr>
        <w:t>ευρωζώνης</w:t>
      </w:r>
      <w:r>
        <w:rPr>
          <w:spacing w:val="-3"/>
          <w:sz w:val="16"/>
          <w:vertAlign w:val="baseline"/>
        </w:rPr>
        <w:t> </w:t>
      </w:r>
      <w:r>
        <w:rPr>
          <w:sz w:val="16"/>
          <w:vertAlign w:val="baseline"/>
        </w:rPr>
        <w:t>σε</w:t>
      </w:r>
      <w:r>
        <w:rPr>
          <w:spacing w:val="-2"/>
          <w:sz w:val="16"/>
          <w:vertAlign w:val="baseline"/>
        </w:rPr>
        <w:t> </w:t>
      </w:r>
      <w:r>
        <w:rPr>
          <w:sz w:val="16"/>
          <w:vertAlign w:val="baseline"/>
        </w:rPr>
        <w:t>συνεργασία</w:t>
      </w:r>
      <w:r>
        <w:rPr>
          <w:spacing w:val="-2"/>
          <w:sz w:val="16"/>
          <w:vertAlign w:val="baseline"/>
        </w:rPr>
        <w:t> </w:t>
      </w:r>
      <w:r>
        <w:rPr>
          <w:sz w:val="16"/>
          <w:vertAlign w:val="baseline"/>
        </w:rPr>
        <w:t>με</w:t>
      </w:r>
      <w:r>
        <w:rPr>
          <w:spacing w:val="40"/>
          <w:sz w:val="16"/>
          <w:vertAlign w:val="baseline"/>
        </w:rPr>
        <w:t> </w:t>
      </w:r>
      <w:r>
        <w:rPr>
          <w:sz w:val="16"/>
          <w:vertAlign w:val="baseline"/>
        </w:rPr>
        <w:t>την</w:t>
      </w:r>
      <w:r>
        <w:rPr>
          <w:spacing w:val="-5"/>
          <w:sz w:val="16"/>
          <w:vertAlign w:val="baseline"/>
        </w:rPr>
        <w:t> </w:t>
      </w:r>
      <w:r>
        <w:rPr>
          <w:sz w:val="16"/>
          <w:vertAlign w:val="baseline"/>
        </w:rPr>
        <w:t>Ευρωπαϊκή</w:t>
      </w:r>
      <w:r>
        <w:rPr>
          <w:spacing w:val="-6"/>
          <w:sz w:val="16"/>
          <w:vertAlign w:val="baseline"/>
        </w:rPr>
        <w:t> </w:t>
      </w:r>
      <w:r>
        <w:rPr>
          <w:sz w:val="16"/>
          <w:vertAlign w:val="baseline"/>
        </w:rPr>
        <w:t>Κεντρική</w:t>
      </w:r>
      <w:r>
        <w:rPr>
          <w:spacing w:val="-4"/>
          <w:sz w:val="16"/>
          <w:vertAlign w:val="baseline"/>
        </w:rPr>
        <w:t> </w:t>
      </w:r>
      <w:r>
        <w:rPr>
          <w:sz w:val="16"/>
          <w:vertAlign w:val="baseline"/>
        </w:rPr>
        <w:t>Τράπεζα</w:t>
      </w:r>
      <w:r>
        <w:rPr>
          <w:spacing w:val="-6"/>
          <w:sz w:val="16"/>
          <w:vertAlign w:val="baseline"/>
        </w:rPr>
        <w:t> </w:t>
      </w:r>
      <w:r>
        <w:rPr>
          <w:sz w:val="16"/>
          <w:vertAlign w:val="baseline"/>
        </w:rPr>
        <w:t>(ΕΚΤ),</w:t>
      </w:r>
      <w:r>
        <w:rPr>
          <w:spacing w:val="-6"/>
          <w:sz w:val="16"/>
          <w:vertAlign w:val="baseline"/>
        </w:rPr>
        <w:t> </w:t>
      </w:r>
      <w:r>
        <w:rPr>
          <w:sz w:val="16"/>
          <w:vertAlign w:val="baseline"/>
        </w:rPr>
        <w:t>σε</w:t>
      </w:r>
      <w:r>
        <w:rPr>
          <w:spacing w:val="-6"/>
          <w:sz w:val="16"/>
          <w:vertAlign w:val="baseline"/>
        </w:rPr>
        <w:t> </w:t>
      </w:r>
      <w:r>
        <w:rPr>
          <w:sz w:val="16"/>
          <w:vertAlign w:val="baseline"/>
        </w:rPr>
        <w:t>δείγμα</w:t>
      </w:r>
      <w:r>
        <w:rPr>
          <w:spacing w:val="-6"/>
          <w:sz w:val="16"/>
          <w:vertAlign w:val="baseline"/>
        </w:rPr>
        <w:t> </w:t>
      </w:r>
      <w:r>
        <w:rPr>
          <w:sz w:val="16"/>
          <w:vertAlign w:val="baseline"/>
        </w:rPr>
        <w:t>περίπου</w:t>
      </w:r>
      <w:r>
        <w:rPr>
          <w:spacing w:val="-6"/>
          <w:sz w:val="16"/>
          <w:vertAlign w:val="baseline"/>
        </w:rPr>
        <w:t> </w:t>
      </w:r>
      <w:r>
        <w:rPr>
          <w:sz w:val="16"/>
          <w:vertAlign w:val="baseline"/>
        </w:rPr>
        <w:t>150</w:t>
      </w:r>
      <w:r>
        <w:rPr>
          <w:spacing w:val="-5"/>
          <w:sz w:val="16"/>
          <w:vertAlign w:val="baseline"/>
        </w:rPr>
        <w:t> </w:t>
      </w:r>
      <w:r>
        <w:rPr>
          <w:sz w:val="16"/>
          <w:vertAlign w:val="baseline"/>
        </w:rPr>
        <w:t>τραπεζών</w:t>
      </w:r>
      <w:r>
        <w:rPr>
          <w:spacing w:val="-6"/>
          <w:sz w:val="16"/>
          <w:vertAlign w:val="baseline"/>
        </w:rPr>
        <w:t> </w:t>
      </w:r>
      <w:r>
        <w:rPr>
          <w:sz w:val="16"/>
          <w:vertAlign w:val="baseline"/>
        </w:rPr>
        <w:t>από</w:t>
      </w:r>
      <w:r>
        <w:rPr>
          <w:spacing w:val="-6"/>
          <w:sz w:val="16"/>
          <w:vertAlign w:val="baseline"/>
        </w:rPr>
        <w:t> </w:t>
      </w:r>
      <w:r>
        <w:rPr>
          <w:sz w:val="16"/>
          <w:vertAlign w:val="baseline"/>
        </w:rPr>
        <w:t>όλες</w:t>
      </w:r>
      <w:r>
        <w:rPr>
          <w:spacing w:val="-5"/>
          <w:sz w:val="16"/>
          <w:vertAlign w:val="baseline"/>
        </w:rPr>
        <w:t> </w:t>
      </w:r>
      <w:r>
        <w:rPr>
          <w:sz w:val="16"/>
          <w:vertAlign w:val="baseline"/>
        </w:rPr>
        <w:t>τις</w:t>
      </w:r>
      <w:r>
        <w:rPr>
          <w:spacing w:val="-5"/>
          <w:sz w:val="16"/>
          <w:vertAlign w:val="baseline"/>
        </w:rPr>
        <w:t> </w:t>
      </w:r>
      <w:r>
        <w:rPr>
          <w:sz w:val="16"/>
          <w:vertAlign w:val="baseline"/>
        </w:rPr>
        <w:t>χώρες</w:t>
      </w:r>
      <w:r>
        <w:rPr>
          <w:spacing w:val="-2"/>
          <w:sz w:val="16"/>
          <w:vertAlign w:val="baseline"/>
        </w:rPr>
        <w:t> </w:t>
      </w:r>
      <w:r>
        <w:rPr>
          <w:sz w:val="16"/>
          <w:vertAlign w:val="baseline"/>
        </w:rPr>
        <w:t>της</w:t>
      </w:r>
      <w:r>
        <w:rPr>
          <w:spacing w:val="-5"/>
          <w:sz w:val="16"/>
          <w:vertAlign w:val="baseline"/>
        </w:rPr>
        <w:t> </w:t>
      </w:r>
      <w:r>
        <w:rPr>
          <w:sz w:val="16"/>
          <w:vertAlign w:val="baseline"/>
        </w:rPr>
        <w:t>ευρωζώνης,</w:t>
      </w:r>
      <w:r>
        <w:rPr>
          <w:spacing w:val="-6"/>
          <w:sz w:val="16"/>
          <w:vertAlign w:val="baseline"/>
        </w:rPr>
        <w:t> </w:t>
      </w:r>
      <w:r>
        <w:rPr>
          <w:sz w:val="16"/>
          <w:vertAlign w:val="baseline"/>
        </w:rPr>
        <w:t>το</w:t>
      </w:r>
      <w:r>
        <w:rPr>
          <w:spacing w:val="-6"/>
          <w:sz w:val="16"/>
          <w:vertAlign w:val="baseline"/>
        </w:rPr>
        <w:t> </w:t>
      </w:r>
      <w:r>
        <w:rPr>
          <w:sz w:val="16"/>
          <w:vertAlign w:val="baseline"/>
        </w:rPr>
        <w:t>οποίο</w:t>
      </w:r>
      <w:r>
        <w:rPr>
          <w:spacing w:val="-3"/>
          <w:sz w:val="16"/>
          <w:vertAlign w:val="baseline"/>
        </w:rPr>
        <w:t> </w:t>
      </w:r>
      <w:r>
        <w:rPr>
          <w:sz w:val="16"/>
          <w:vertAlign w:val="baseline"/>
        </w:rPr>
        <w:t>περιλαμβά-νει τα τέσσερα σημαντικά πιστωτικά ιδρύματα της Ελλάδος.</w:t>
      </w:r>
    </w:p>
    <w:p>
      <w:pPr>
        <w:spacing w:before="19"/>
        <w:ind w:left="172" w:right="958" w:firstLine="0"/>
        <w:jc w:val="both"/>
        <w:rPr>
          <w:sz w:val="16"/>
        </w:rPr>
      </w:pPr>
      <w:bookmarkStart w:name="_bookmark39" w:id="40"/>
      <w:bookmarkEnd w:id="40"/>
      <w:r>
        <w:rPr/>
      </w:r>
      <w:r>
        <w:rPr>
          <w:sz w:val="16"/>
          <w:vertAlign w:val="superscript"/>
        </w:rPr>
        <w:t>26</w:t>
      </w:r>
      <w:r>
        <w:rPr>
          <w:spacing w:val="-3"/>
          <w:sz w:val="16"/>
          <w:vertAlign w:val="baseline"/>
        </w:rPr>
        <w:t> </w:t>
      </w:r>
      <w:r>
        <w:rPr>
          <w:sz w:val="16"/>
          <w:vertAlign w:val="baseline"/>
        </w:rPr>
        <w:t>Επισημαίνεται</w:t>
      </w:r>
      <w:r>
        <w:rPr>
          <w:spacing w:val="-6"/>
          <w:sz w:val="16"/>
          <w:vertAlign w:val="baseline"/>
        </w:rPr>
        <w:t> </w:t>
      </w:r>
      <w:r>
        <w:rPr>
          <w:sz w:val="16"/>
          <w:vertAlign w:val="baseline"/>
        </w:rPr>
        <w:t>ότι</w:t>
      </w:r>
      <w:r>
        <w:rPr>
          <w:spacing w:val="-5"/>
          <w:sz w:val="16"/>
          <w:vertAlign w:val="baseline"/>
        </w:rPr>
        <w:t> </w:t>
      </w:r>
      <w:r>
        <w:rPr>
          <w:sz w:val="16"/>
          <w:vertAlign w:val="baseline"/>
        </w:rPr>
        <w:t>ο</w:t>
      </w:r>
      <w:r>
        <w:rPr>
          <w:spacing w:val="-2"/>
          <w:sz w:val="16"/>
          <w:vertAlign w:val="baseline"/>
        </w:rPr>
        <w:t> </w:t>
      </w:r>
      <w:r>
        <w:rPr>
          <w:sz w:val="16"/>
          <w:vertAlign w:val="baseline"/>
        </w:rPr>
        <w:t>μέσος</w:t>
      </w:r>
      <w:r>
        <w:rPr>
          <w:spacing w:val="-5"/>
          <w:sz w:val="16"/>
          <w:vertAlign w:val="baseline"/>
        </w:rPr>
        <w:t> </w:t>
      </w:r>
      <w:r>
        <w:rPr>
          <w:sz w:val="16"/>
          <w:vertAlign w:val="baseline"/>
        </w:rPr>
        <w:t>όρος</w:t>
      </w:r>
      <w:r>
        <w:rPr>
          <w:spacing w:val="-2"/>
          <w:sz w:val="16"/>
          <w:vertAlign w:val="baseline"/>
        </w:rPr>
        <w:t> </w:t>
      </w:r>
      <w:r>
        <w:rPr>
          <w:sz w:val="16"/>
          <w:vertAlign w:val="baseline"/>
        </w:rPr>
        <w:t>των</w:t>
      </w:r>
      <w:r>
        <w:rPr>
          <w:spacing w:val="-6"/>
          <w:sz w:val="16"/>
          <w:vertAlign w:val="baseline"/>
        </w:rPr>
        <w:t> </w:t>
      </w:r>
      <w:r>
        <w:rPr>
          <w:sz w:val="16"/>
          <w:vertAlign w:val="baseline"/>
        </w:rPr>
        <w:t>απαντήσεων</w:t>
      </w:r>
      <w:r>
        <w:rPr>
          <w:spacing w:val="-4"/>
          <w:sz w:val="16"/>
          <w:vertAlign w:val="baseline"/>
        </w:rPr>
        <w:t> </w:t>
      </w:r>
      <w:r>
        <w:rPr>
          <w:sz w:val="16"/>
          <w:vertAlign w:val="baseline"/>
        </w:rPr>
        <w:t>των</w:t>
      </w:r>
      <w:r>
        <w:rPr>
          <w:spacing w:val="-4"/>
          <w:sz w:val="16"/>
          <w:vertAlign w:val="baseline"/>
        </w:rPr>
        <w:t> </w:t>
      </w:r>
      <w:r>
        <w:rPr>
          <w:sz w:val="16"/>
          <w:vertAlign w:val="baseline"/>
        </w:rPr>
        <w:t>τραπεζών</w:t>
      </w:r>
      <w:r>
        <w:rPr>
          <w:spacing w:val="-2"/>
          <w:sz w:val="16"/>
          <w:vertAlign w:val="baseline"/>
        </w:rPr>
        <w:t> </w:t>
      </w:r>
      <w:r>
        <w:rPr>
          <w:sz w:val="16"/>
          <w:vertAlign w:val="baseline"/>
        </w:rPr>
        <w:t>εκφράζεται</w:t>
      </w:r>
      <w:r>
        <w:rPr>
          <w:spacing w:val="-3"/>
          <w:sz w:val="16"/>
          <w:vertAlign w:val="baseline"/>
        </w:rPr>
        <w:t> </w:t>
      </w:r>
      <w:r>
        <w:rPr>
          <w:sz w:val="16"/>
          <w:vertAlign w:val="baseline"/>
        </w:rPr>
        <w:t>σε</w:t>
      </w:r>
      <w:r>
        <w:rPr>
          <w:spacing w:val="-3"/>
          <w:sz w:val="16"/>
          <w:vertAlign w:val="baseline"/>
        </w:rPr>
        <w:t> </w:t>
      </w:r>
      <w:r>
        <w:rPr>
          <w:sz w:val="16"/>
          <w:vertAlign w:val="baseline"/>
        </w:rPr>
        <w:t>μια</w:t>
      </w:r>
      <w:r>
        <w:rPr>
          <w:spacing w:val="-3"/>
          <w:sz w:val="16"/>
          <w:vertAlign w:val="baseline"/>
        </w:rPr>
        <w:t> </w:t>
      </w:r>
      <w:r>
        <w:rPr>
          <w:sz w:val="16"/>
          <w:vertAlign w:val="baseline"/>
        </w:rPr>
        <w:t>κλίμακα</w:t>
      </w:r>
      <w:r>
        <w:rPr>
          <w:spacing w:val="-3"/>
          <w:sz w:val="16"/>
          <w:vertAlign w:val="baseline"/>
        </w:rPr>
        <w:t> </w:t>
      </w:r>
      <w:r>
        <w:rPr>
          <w:sz w:val="16"/>
          <w:vertAlign w:val="baseline"/>
        </w:rPr>
        <w:t>από</w:t>
      </w:r>
      <w:r>
        <w:rPr>
          <w:spacing w:val="-1"/>
          <w:sz w:val="16"/>
          <w:vertAlign w:val="baseline"/>
        </w:rPr>
        <w:t> </w:t>
      </w:r>
      <w:r>
        <w:rPr>
          <w:sz w:val="16"/>
          <w:vertAlign w:val="baseline"/>
        </w:rPr>
        <w:t>το</w:t>
      </w:r>
      <w:r>
        <w:rPr>
          <w:spacing w:val="-2"/>
          <w:sz w:val="16"/>
          <w:vertAlign w:val="baseline"/>
        </w:rPr>
        <w:t> </w:t>
      </w:r>
      <w:r>
        <w:rPr>
          <w:sz w:val="16"/>
          <w:vertAlign w:val="baseline"/>
        </w:rPr>
        <w:t>1</w:t>
      </w:r>
      <w:r>
        <w:rPr>
          <w:spacing w:val="-2"/>
          <w:sz w:val="16"/>
          <w:vertAlign w:val="baseline"/>
        </w:rPr>
        <w:t> </w:t>
      </w:r>
      <w:r>
        <w:rPr>
          <w:sz w:val="16"/>
          <w:vertAlign w:val="baseline"/>
        </w:rPr>
        <w:t>έως</w:t>
      </w:r>
      <w:r>
        <w:rPr>
          <w:spacing w:val="-2"/>
          <w:sz w:val="16"/>
          <w:vertAlign w:val="baseline"/>
        </w:rPr>
        <w:t> </w:t>
      </w:r>
      <w:r>
        <w:rPr>
          <w:sz w:val="16"/>
          <w:vertAlign w:val="baseline"/>
        </w:rPr>
        <w:t>το</w:t>
      </w:r>
      <w:r>
        <w:rPr>
          <w:spacing w:val="-2"/>
          <w:sz w:val="16"/>
          <w:vertAlign w:val="baseline"/>
        </w:rPr>
        <w:t> </w:t>
      </w:r>
      <w:r>
        <w:rPr>
          <w:sz w:val="16"/>
          <w:vertAlign w:val="baseline"/>
        </w:rPr>
        <w:t>5,</w:t>
      </w:r>
      <w:r>
        <w:rPr>
          <w:spacing w:val="-5"/>
          <w:sz w:val="16"/>
          <w:vertAlign w:val="baseline"/>
        </w:rPr>
        <w:t> </w:t>
      </w:r>
      <w:r>
        <w:rPr>
          <w:sz w:val="16"/>
          <w:vertAlign w:val="baseline"/>
        </w:rPr>
        <w:t>όπου:</w:t>
      </w:r>
      <w:r>
        <w:rPr>
          <w:spacing w:val="-2"/>
          <w:sz w:val="16"/>
          <w:vertAlign w:val="baseline"/>
        </w:rPr>
        <w:t> </w:t>
      </w:r>
      <w:r>
        <w:rPr>
          <w:sz w:val="16"/>
          <w:vertAlign w:val="baseline"/>
        </w:rPr>
        <w:t>τα</w:t>
      </w:r>
      <w:r>
        <w:rPr>
          <w:spacing w:val="-6"/>
          <w:sz w:val="16"/>
          <w:vertAlign w:val="baseline"/>
        </w:rPr>
        <w:t> </w:t>
      </w:r>
      <w:r>
        <w:rPr>
          <w:sz w:val="16"/>
          <w:vertAlign w:val="baseline"/>
        </w:rPr>
        <w:t>πιστωτικά</w:t>
      </w:r>
      <w:r>
        <w:rPr>
          <w:spacing w:val="40"/>
          <w:sz w:val="16"/>
          <w:vertAlign w:val="baseline"/>
        </w:rPr>
        <w:t> </w:t>
      </w:r>
      <w:r>
        <w:rPr>
          <w:sz w:val="16"/>
          <w:vertAlign w:val="baseline"/>
        </w:rPr>
        <w:t>κριτήρια/οι όροι χορήγησης δανείων</w:t>
      </w:r>
      <w:r>
        <w:rPr>
          <w:spacing w:val="-1"/>
          <w:sz w:val="16"/>
          <w:vertAlign w:val="baseline"/>
        </w:rPr>
        <w:t> </w:t>
      </w:r>
      <w:r>
        <w:rPr>
          <w:sz w:val="16"/>
          <w:vertAlign w:val="baseline"/>
        </w:rPr>
        <w:t>1=“έγιναν σε μεγάλο βαθμό πιο αυστηροί”, 2= “έγιναν ως έναν βαθμό πιο αυστηροί”, 3= “πα-ρέμειναν κατά βάση αμετάβλητοι”, 4= “έγιναν ως έναν βαθμό πιο χαλαροί” και 5=“έγιναν σε μεγάλο βαθμό πιο χαλαροί”.</w:t>
      </w:r>
    </w:p>
    <w:p>
      <w:pPr>
        <w:spacing w:before="22"/>
        <w:ind w:left="172" w:right="956" w:firstLine="0"/>
        <w:jc w:val="both"/>
        <w:rPr>
          <w:sz w:val="16"/>
        </w:rPr>
      </w:pPr>
      <w:bookmarkStart w:name="_bookmark40" w:id="41"/>
      <w:bookmarkEnd w:id="41"/>
      <w:r>
        <w:rPr/>
      </w:r>
      <w:r>
        <w:rPr>
          <w:sz w:val="16"/>
          <w:vertAlign w:val="superscript"/>
        </w:rPr>
        <w:t>27</w:t>
      </w:r>
      <w:r>
        <w:rPr>
          <w:spacing w:val="-6"/>
          <w:sz w:val="16"/>
          <w:vertAlign w:val="baseline"/>
        </w:rPr>
        <w:t> </w:t>
      </w:r>
      <w:r>
        <w:rPr>
          <w:sz w:val="16"/>
          <w:vertAlign w:val="baseline"/>
        </w:rPr>
        <w:t>Επισημαίνεται</w:t>
      </w:r>
      <w:r>
        <w:rPr>
          <w:spacing w:val="-8"/>
          <w:sz w:val="16"/>
          <w:vertAlign w:val="baseline"/>
        </w:rPr>
        <w:t> </w:t>
      </w:r>
      <w:r>
        <w:rPr>
          <w:sz w:val="16"/>
          <w:vertAlign w:val="baseline"/>
        </w:rPr>
        <w:t>ότι</w:t>
      </w:r>
      <w:r>
        <w:rPr>
          <w:spacing w:val="-8"/>
          <w:sz w:val="16"/>
          <w:vertAlign w:val="baseline"/>
        </w:rPr>
        <w:t> </w:t>
      </w:r>
      <w:r>
        <w:rPr>
          <w:sz w:val="16"/>
          <w:vertAlign w:val="baseline"/>
        </w:rPr>
        <w:t>κατά</w:t>
      </w:r>
      <w:r>
        <w:rPr>
          <w:spacing w:val="-8"/>
          <w:sz w:val="16"/>
          <w:vertAlign w:val="baseline"/>
        </w:rPr>
        <w:t> </w:t>
      </w:r>
      <w:r>
        <w:rPr>
          <w:sz w:val="16"/>
          <w:vertAlign w:val="baseline"/>
        </w:rPr>
        <w:t>το</w:t>
      </w:r>
      <w:r>
        <w:rPr>
          <w:spacing w:val="-8"/>
          <w:sz w:val="16"/>
          <w:vertAlign w:val="baseline"/>
        </w:rPr>
        <w:t> </w:t>
      </w:r>
      <w:r>
        <w:rPr>
          <w:sz w:val="16"/>
          <w:vertAlign w:val="baseline"/>
        </w:rPr>
        <w:t>πρώτο</w:t>
      </w:r>
      <w:r>
        <w:rPr>
          <w:spacing w:val="-8"/>
          <w:sz w:val="16"/>
          <w:vertAlign w:val="baseline"/>
        </w:rPr>
        <w:t> </w:t>
      </w:r>
      <w:r>
        <w:rPr>
          <w:sz w:val="16"/>
          <w:vertAlign w:val="baseline"/>
        </w:rPr>
        <w:t>εξάμηνο</w:t>
      </w:r>
      <w:r>
        <w:rPr>
          <w:spacing w:val="-8"/>
          <w:sz w:val="16"/>
          <w:vertAlign w:val="baseline"/>
        </w:rPr>
        <w:t> </w:t>
      </w:r>
      <w:r>
        <w:rPr>
          <w:sz w:val="16"/>
          <w:vertAlign w:val="baseline"/>
        </w:rPr>
        <w:t>του</w:t>
      </w:r>
      <w:r>
        <w:rPr>
          <w:spacing w:val="-10"/>
          <w:sz w:val="16"/>
          <w:vertAlign w:val="baseline"/>
        </w:rPr>
        <w:t> </w:t>
      </w:r>
      <w:r>
        <w:rPr>
          <w:sz w:val="16"/>
          <w:vertAlign w:val="baseline"/>
        </w:rPr>
        <w:t>2025</w:t>
      </w:r>
      <w:r>
        <w:rPr>
          <w:spacing w:val="-6"/>
          <w:sz w:val="16"/>
          <w:vertAlign w:val="baseline"/>
        </w:rPr>
        <w:t> </w:t>
      </w:r>
      <w:r>
        <w:rPr>
          <w:sz w:val="16"/>
          <w:vertAlign w:val="baseline"/>
        </w:rPr>
        <w:t>το</w:t>
      </w:r>
      <w:r>
        <w:rPr>
          <w:spacing w:val="-7"/>
          <w:sz w:val="16"/>
          <w:vertAlign w:val="baseline"/>
        </w:rPr>
        <w:t> </w:t>
      </w:r>
      <w:r>
        <w:rPr>
          <w:sz w:val="16"/>
          <w:vertAlign w:val="baseline"/>
        </w:rPr>
        <w:t>Διοικητικό</w:t>
      </w:r>
      <w:r>
        <w:rPr>
          <w:spacing w:val="-8"/>
          <w:sz w:val="16"/>
          <w:vertAlign w:val="baseline"/>
        </w:rPr>
        <w:t> </w:t>
      </w:r>
      <w:r>
        <w:rPr>
          <w:sz w:val="16"/>
          <w:vertAlign w:val="baseline"/>
        </w:rPr>
        <w:t>Συμβούλιο</w:t>
      </w:r>
      <w:r>
        <w:rPr>
          <w:spacing w:val="-7"/>
          <w:sz w:val="16"/>
          <w:vertAlign w:val="baseline"/>
        </w:rPr>
        <w:t> </w:t>
      </w:r>
      <w:r>
        <w:rPr>
          <w:sz w:val="16"/>
          <w:vertAlign w:val="baseline"/>
        </w:rPr>
        <w:t>της</w:t>
      </w:r>
      <w:r>
        <w:rPr>
          <w:spacing w:val="-8"/>
          <w:sz w:val="16"/>
          <w:vertAlign w:val="baseline"/>
        </w:rPr>
        <w:t> </w:t>
      </w:r>
      <w:r>
        <w:rPr>
          <w:sz w:val="16"/>
          <w:vertAlign w:val="baseline"/>
        </w:rPr>
        <w:t>ΕΚΤ</w:t>
      </w:r>
      <w:r>
        <w:rPr>
          <w:spacing w:val="-8"/>
          <w:sz w:val="16"/>
          <w:vertAlign w:val="baseline"/>
        </w:rPr>
        <w:t> </w:t>
      </w:r>
      <w:r>
        <w:rPr>
          <w:sz w:val="16"/>
          <w:vertAlign w:val="baseline"/>
        </w:rPr>
        <w:t>μείωσε</w:t>
      </w:r>
      <w:r>
        <w:rPr>
          <w:spacing w:val="-8"/>
          <w:sz w:val="16"/>
          <w:vertAlign w:val="baseline"/>
        </w:rPr>
        <w:t> </w:t>
      </w:r>
      <w:r>
        <w:rPr>
          <w:sz w:val="16"/>
          <w:vertAlign w:val="baseline"/>
        </w:rPr>
        <w:t>τα</w:t>
      </w:r>
      <w:r>
        <w:rPr>
          <w:spacing w:val="-8"/>
          <w:sz w:val="16"/>
          <w:vertAlign w:val="baseline"/>
        </w:rPr>
        <w:t> </w:t>
      </w:r>
      <w:r>
        <w:rPr>
          <w:sz w:val="16"/>
          <w:vertAlign w:val="baseline"/>
        </w:rPr>
        <w:t>βασικά</w:t>
      </w:r>
      <w:r>
        <w:rPr>
          <w:spacing w:val="-7"/>
          <w:sz w:val="16"/>
          <w:vertAlign w:val="baseline"/>
        </w:rPr>
        <w:t> </w:t>
      </w:r>
      <w:r>
        <w:rPr>
          <w:sz w:val="16"/>
          <w:vertAlign w:val="baseline"/>
        </w:rPr>
        <w:t>επιτόκια</w:t>
      </w:r>
      <w:r>
        <w:rPr>
          <w:spacing w:val="-7"/>
          <w:sz w:val="16"/>
          <w:vertAlign w:val="baseline"/>
        </w:rPr>
        <w:t> </w:t>
      </w:r>
      <w:r>
        <w:rPr>
          <w:sz w:val="16"/>
          <w:vertAlign w:val="baseline"/>
        </w:rPr>
        <w:t>σωρευτικά</w:t>
      </w:r>
      <w:r>
        <w:rPr>
          <w:spacing w:val="-8"/>
          <w:sz w:val="16"/>
          <w:vertAlign w:val="baseline"/>
        </w:rPr>
        <w:t> </w:t>
      </w:r>
      <w:r>
        <w:rPr>
          <w:sz w:val="16"/>
          <w:vertAlign w:val="baseline"/>
        </w:rPr>
        <w:t>κατά</w:t>
      </w:r>
      <w:r>
        <w:rPr>
          <w:spacing w:val="40"/>
          <w:sz w:val="16"/>
          <w:vertAlign w:val="baseline"/>
        </w:rPr>
        <w:t> </w:t>
      </w:r>
      <w:r>
        <w:rPr>
          <w:sz w:val="16"/>
          <w:vertAlign w:val="baseline"/>
        </w:rPr>
        <w:t>100 μονάδες βάσης.</w:t>
      </w:r>
    </w:p>
    <w:p>
      <w:pPr>
        <w:spacing w:after="0"/>
        <w:jc w:val="both"/>
        <w:rPr>
          <w:sz w:val="16"/>
        </w:rPr>
        <w:sectPr>
          <w:pgSz w:w="11910" w:h="16850"/>
          <w:pgMar w:header="0" w:footer="1108" w:top="1840" w:bottom="1360" w:left="1417" w:right="850"/>
        </w:sectPr>
      </w:pPr>
    </w:p>
    <w:p>
      <w:pPr>
        <w:pStyle w:val="BodyText"/>
        <w:spacing w:line="285" w:lineRule="auto" w:before="66"/>
        <w:ind w:left="172" w:right="955"/>
        <w:jc w:val="both"/>
      </w:pPr>
      <w:r>
        <w:rPr/>
        <w:t>την ΕΚΤ,</w:t>
      </w:r>
      <w:hyperlink w:history="true" w:anchor="_bookmark41">
        <w:r>
          <w:rPr>
            <w:position w:val="6"/>
            <w:sz w:val="10"/>
          </w:rPr>
          <w:t>28</w:t>
        </w:r>
      </w:hyperlink>
      <w:r>
        <w:rPr>
          <w:spacing w:val="33"/>
          <w:position w:val="6"/>
          <w:sz w:val="10"/>
        </w:rPr>
        <w:t> </w:t>
      </w:r>
      <w:r>
        <w:rPr/>
        <w:t>υποχώρησε κατά</w:t>
      </w:r>
      <w:r>
        <w:rPr>
          <w:spacing w:val="-1"/>
        </w:rPr>
        <w:t> </w:t>
      </w:r>
      <w:r>
        <w:rPr/>
        <w:t>126 μονάδες βάσης και διαμορφώθηκε τον Δεκέμβριο του 2025 σε 3,7%, από 5% τον Δεκέμβριο του 2024. Αντίστοιχα, η τιμή του δείκτη για τις χώρες της ζώνης του</w:t>
      </w:r>
      <w:r>
        <w:rPr>
          <w:spacing w:val="-11"/>
        </w:rPr>
        <w:t> </w:t>
      </w:r>
      <w:r>
        <w:rPr/>
        <w:t>ευρώ</w:t>
      </w:r>
      <w:r>
        <w:rPr>
          <w:spacing w:val="-10"/>
        </w:rPr>
        <w:t> </w:t>
      </w:r>
      <w:r>
        <w:rPr/>
        <w:t>το</w:t>
      </w:r>
      <w:r>
        <w:rPr>
          <w:spacing w:val="-12"/>
        </w:rPr>
        <w:t> </w:t>
      </w:r>
      <w:r>
        <w:rPr/>
        <w:t>εν</w:t>
      </w:r>
      <w:r>
        <w:rPr>
          <w:spacing w:val="-11"/>
        </w:rPr>
        <w:t> </w:t>
      </w:r>
      <w:r>
        <w:rPr/>
        <w:t>λόγω</w:t>
      </w:r>
      <w:r>
        <w:rPr>
          <w:spacing w:val="-11"/>
        </w:rPr>
        <w:t> </w:t>
      </w:r>
      <w:r>
        <w:rPr/>
        <w:t>διάστημα</w:t>
      </w:r>
      <w:r>
        <w:rPr>
          <w:spacing w:val="-9"/>
        </w:rPr>
        <w:t> </w:t>
      </w:r>
      <w:r>
        <w:rPr/>
        <w:t>υποχώρησε</w:t>
      </w:r>
      <w:r>
        <w:rPr>
          <w:spacing w:val="-9"/>
        </w:rPr>
        <w:t> </w:t>
      </w:r>
      <w:r>
        <w:rPr/>
        <w:t>κατά</w:t>
      </w:r>
      <w:r>
        <w:rPr>
          <w:spacing w:val="-13"/>
        </w:rPr>
        <w:t> </w:t>
      </w:r>
      <w:r>
        <w:rPr/>
        <w:t>63</w:t>
      </w:r>
      <w:r>
        <w:rPr>
          <w:spacing w:val="-10"/>
        </w:rPr>
        <w:t> </w:t>
      </w:r>
      <w:r>
        <w:rPr/>
        <w:t>μονάδες</w:t>
      </w:r>
      <w:r>
        <w:rPr>
          <w:spacing w:val="-11"/>
        </w:rPr>
        <w:t> </w:t>
      </w:r>
      <w:r>
        <w:rPr/>
        <w:t>βάσης</w:t>
      </w:r>
      <w:r>
        <w:rPr>
          <w:spacing w:val="-13"/>
        </w:rPr>
        <w:t> </w:t>
      </w:r>
      <w:r>
        <w:rPr/>
        <w:t>(από</w:t>
      </w:r>
      <w:r>
        <w:rPr>
          <w:spacing w:val="-10"/>
        </w:rPr>
        <w:t> </w:t>
      </w:r>
      <w:r>
        <w:rPr/>
        <w:t>4,4%</w:t>
      </w:r>
      <w:r>
        <w:rPr>
          <w:spacing w:val="-9"/>
        </w:rPr>
        <w:t> </w:t>
      </w:r>
      <w:r>
        <w:rPr/>
        <w:t>τον</w:t>
      </w:r>
      <w:r>
        <w:rPr>
          <w:spacing w:val="-11"/>
        </w:rPr>
        <w:t> </w:t>
      </w:r>
      <w:r>
        <w:rPr/>
        <w:t>Δεκέμβριο</w:t>
      </w:r>
      <w:r>
        <w:rPr>
          <w:spacing w:val="-9"/>
        </w:rPr>
        <w:t> </w:t>
      </w:r>
      <w:r>
        <w:rPr/>
        <w:t>του 2024</w:t>
      </w:r>
      <w:r>
        <w:rPr>
          <w:spacing w:val="-7"/>
        </w:rPr>
        <w:t> </w:t>
      </w:r>
      <w:r>
        <w:rPr/>
        <w:t>σε</w:t>
      </w:r>
      <w:r>
        <w:rPr>
          <w:spacing w:val="-6"/>
        </w:rPr>
        <w:t> </w:t>
      </w:r>
      <w:r>
        <w:rPr/>
        <w:t>3,7%</w:t>
      </w:r>
      <w:r>
        <w:rPr>
          <w:spacing w:val="-6"/>
        </w:rPr>
        <w:t> </w:t>
      </w:r>
      <w:r>
        <w:rPr/>
        <w:t>τον</w:t>
      </w:r>
      <w:r>
        <w:rPr>
          <w:spacing w:val="-6"/>
        </w:rPr>
        <w:t> </w:t>
      </w:r>
      <w:r>
        <w:rPr/>
        <w:t>Δεκέμβριο</w:t>
      </w:r>
      <w:r>
        <w:rPr>
          <w:spacing w:val="-7"/>
        </w:rPr>
        <w:t> </w:t>
      </w:r>
      <w:r>
        <w:rPr/>
        <w:t>του</w:t>
      </w:r>
      <w:r>
        <w:rPr>
          <w:spacing w:val="-6"/>
        </w:rPr>
        <w:t> </w:t>
      </w:r>
      <w:r>
        <w:rPr/>
        <w:t>2025).</w:t>
      </w:r>
      <w:r>
        <w:rPr>
          <w:spacing w:val="-7"/>
        </w:rPr>
        <w:t> </w:t>
      </w:r>
      <w:r>
        <w:rPr/>
        <w:t>Ο</w:t>
      </w:r>
      <w:r>
        <w:rPr>
          <w:spacing w:val="-11"/>
        </w:rPr>
        <w:t> </w:t>
      </w:r>
      <w:r>
        <w:rPr/>
        <w:t>εν</w:t>
      </w:r>
      <w:r>
        <w:rPr>
          <w:spacing w:val="-9"/>
        </w:rPr>
        <w:t> </w:t>
      </w:r>
      <w:r>
        <w:rPr/>
        <w:t>λόγω</w:t>
      </w:r>
      <w:r>
        <w:rPr>
          <w:spacing w:val="-6"/>
        </w:rPr>
        <w:t> </w:t>
      </w:r>
      <w:r>
        <w:rPr/>
        <w:t>δείκτης,</w:t>
      </w:r>
      <w:r>
        <w:rPr>
          <w:spacing w:val="-7"/>
        </w:rPr>
        <w:t> </w:t>
      </w:r>
      <w:r>
        <w:rPr/>
        <w:t>αν</w:t>
      </w:r>
      <w:r>
        <w:rPr>
          <w:spacing w:val="-7"/>
        </w:rPr>
        <w:t> </w:t>
      </w:r>
      <w:r>
        <w:rPr/>
        <w:t>και</w:t>
      </w:r>
      <w:r>
        <w:rPr>
          <w:spacing w:val="-7"/>
        </w:rPr>
        <w:t> </w:t>
      </w:r>
      <w:r>
        <w:rPr/>
        <w:t>παραμένει</w:t>
      </w:r>
      <w:r>
        <w:rPr>
          <w:spacing w:val="-9"/>
        </w:rPr>
        <w:t> </w:t>
      </w:r>
      <w:r>
        <w:rPr/>
        <w:t>στην</w:t>
      </w:r>
      <w:r>
        <w:rPr>
          <w:spacing w:val="-6"/>
        </w:rPr>
        <w:t> </w:t>
      </w:r>
      <w:r>
        <w:rPr/>
        <w:t>Ελλάδα</w:t>
      </w:r>
      <w:r>
        <w:rPr>
          <w:spacing w:val="-8"/>
        </w:rPr>
        <w:t> </w:t>
      </w:r>
      <w:r>
        <w:rPr/>
        <w:t>υψη-λότερος από ό,τι στις περισσότερες χώρες της ζώνης του ευρώ, από το καλοκαίρι του 2024 συ-γκλίνει προς τον ευρωπαϊκό μέσο όρο, με αποτέλεσμα τον Δεκέμβριο του 2025 η απόκλιση να έχει πλέον διαμορφωθεί σε 16 μ.β. (από 63 μ.β. τον Δεκέμβριο του 2024).</w:t>
      </w:r>
    </w:p>
    <w:p>
      <w:pPr>
        <w:pStyle w:val="BodyText"/>
        <w:spacing w:line="285" w:lineRule="auto" w:before="113"/>
        <w:ind w:left="172" w:right="953"/>
        <w:jc w:val="both"/>
      </w:pPr>
      <w:r>
        <w:rPr/>
        <w:t>Οι προκλήσεις για τις μη χρηματοπιστωτικές επιχειρήσεις από τις αρχές του 2026 συνδέονται κυρίως με την αυξημένη αβεβαιότητα στο διεθνές περιβάλλον, η οποία απορρέει</w:t>
      </w:r>
      <w:r>
        <w:rPr>
          <w:spacing w:val="-1"/>
        </w:rPr>
        <w:t> </w:t>
      </w:r>
      <w:r>
        <w:rPr/>
        <w:t>από την άνοδο του προστατευτισμού στις εμπορικές συναλλαγές και τη διατήρηση των αυξημένων γεωπολιτι-κών</w:t>
      </w:r>
      <w:r>
        <w:rPr>
          <w:spacing w:val="-12"/>
        </w:rPr>
        <w:t> </w:t>
      </w:r>
      <w:r>
        <w:rPr/>
        <w:t>εντάσεων,</w:t>
      </w:r>
      <w:r>
        <w:rPr>
          <w:spacing w:val="-13"/>
        </w:rPr>
        <w:t> </w:t>
      </w:r>
      <w:r>
        <w:rPr/>
        <w:t>συμπεριλαμβανομένου</w:t>
      </w:r>
      <w:r>
        <w:rPr>
          <w:spacing w:val="-10"/>
        </w:rPr>
        <w:t> </w:t>
      </w:r>
      <w:r>
        <w:rPr/>
        <w:t>του</w:t>
      </w:r>
      <w:r>
        <w:rPr>
          <w:spacing w:val="-10"/>
        </w:rPr>
        <w:t> </w:t>
      </w:r>
      <w:r>
        <w:rPr/>
        <w:t>πολέμου</w:t>
      </w:r>
      <w:r>
        <w:rPr>
          <w:spacing w:val="-12"/>
        </w:rPr>
        <w:t> </w:t>
      </w:r>
      <w:r>
        <w:rPr/>
        <w:t>στη</w:t>
      </w:r>
      <w:r>
        <w:rPr>
          <w:spacing w:val="-11"/>
        </w:rPr>
        <w:t> </w:t>
      </w:r>
      <w:r>
        <w:rPr/>
        <w:t>Μέση</w:t>
      </w:r>
      <w:r>
        <w:rPr>
          <w:spacing w:val="-11"/>
        </w:rPr>
        <w:t> </w:t>
      </w:r>
      <w:r>
        <w:rPr/>
        <w:t>Ανατολή.</w:t>
      </w:r>
      <w:r>
        <w:rPr>
          <w:spacing w:val="-11"/>
        </w:rPr>
        <w:t> </w:t>
      </w:r>
      <w:r>
        <w:rPr/>
        <w:t>Οι</w:t>
      </w:r>
      <w:r>
        <w:rPr>
          <w:spacing w:val="-12"/>
        </w:rPr>
        <w:t> </w:t>
      </w:r>
      <w:r>
        <w:rPr/>
        <w:t>παράγοντες</w:t>
      </w:r>
      <w:r>
        <w:rPr>
          <w:spacing w:val="-12"/>
        </w:rPr>
        <w:t> </w:t>
      </w:r>
      <w:r>
        <w:rPr/>
        <w:t>αυτοί</w:t>
      </w:r>
      <w:r>
        <w:rPr>
          <w:spacing w:val="-10"/>
        </w:rPr>
        <w:t> </w:t>
      </w:r>
      <w:r>
        <w:rPr/>
        <w:t>θα επηρεάσουν το</w:t>
      </w:r>
      <w:r>
        <w:rPr>
          <w:spacing w:val="-4"/>
        </w:rPr>
        <w:t> </w:t>
      </w:r>
      <w:r>
        <w:rPr/>
        <w:t>διεθνές</w:t>
      </w:r>
      <w:r>
        <w:rPr>
          <w:spacing w:val="-5"/>
        </w:rPr>
        <w:t> </w:t>
      </w:r>
      <w:r>
        <w:rPr/>
        <w:t>εμπόριο,</w:t>
      </w:r>
      <w:r>
        <w:rPr>
          <w:spacing w:val="-4"/>
        </w:rPr>
        <w:t> </w:t>
      </w:r>
      <w:r>
        <w:rPr/>
        <w:t>ενδέχεται</w:t>
      </w:r>
      <w:r>
        <w:rPr>
          <w:spacing w:val="-1"/>
        </w:rPr>
        <w:t> </w:t>
      </w:r>
      <w:r>
        <w:rPr/>
        <w:t>να</w:t>
      </w:r>
      <w:r>
        <w:rPr>
          <w:spacing w:val="-4"/>
        </w:rPr>
        <w:t> </w:t>
      </w:r>
      <w:r>
        <w:rPr/>
        <w:t>διαταράξουν</w:t>
      </w:r>
      <w:r>
        <w:rPr>
          <w:spacing w:val="-3"/>
        </w:rPr>
        <w:t> </w:t>
      </w:r>
      <w:r>
        <w:rPr/>
        <w:t>τις</w:t>
      </w:r>
      <w:r>
        <w:rPr>
          <w:spacing w:val="-1"/>
        </w:rPr>
        <w:t> </w:t>
      </w:r>
      <w:r>
        <w:rPr/>
        <w:t>εφοδιαστικές</w:t>
      </w:r>
      <w:r>
        <w:rPr>
          <w:spacing w:val="-1"/>
        </w:rPr>
        <w:t> </w:t>
      </w:r>
      <w:r>
        <w:rPr/>
        <w:t>αλυσίδες</w:t>
      </w:r>
      <w:r>
        <w:rPr>
          <w:spacing w:val="-2"/>
        </w:rPr>
        <w:t> </w:t>
      </w:r>
      <w:r>
        <w:rPr/>
        <w:t>και</w:t>
      </w:r>
      <w:r>
        <w:rPr>
          <w:spacing w:val="-1"/>
        </w:rPr>
        <w:t> </w:t>
      </w:r>
      <w:r>
        <w:rPr/>
        <w:t>να</w:t>
      </w:r>
      <w:r>
        <w:rPr>
          <w:spacing w:val="-4"/>
        </w:rPr>
        <w:t> </w:t>
      </w:r>
      <w:r>
        <w:rPr/>
        <w:t>συ-ντηρήσουν τις πληθωριστικές πιέσεις, επιβαρύνοντας συνολικά το επιχειρηματικό περιβάλλον. Τα παραπάνω δύνανται να επηρεάσουν τις βασικές ευρωπαϊκές αγορές και, κατ’ επέκταση, τη ζήτηση</w:t>
      </w:r>
      <w:r>
        <w:rPr>
          <w:spacing w:val="-4"/>
        </w:rPr>
        <w:t> </w:t>
      </w:r>
      <w:r>
        <w:rPr/>
        <w:t>και</w:t>
      </w:r>
      <w:r>
        <w:rPr>
          <w:spacing w:val="-6"/>
        </w:rPr>
        <w:t> </w:t>
      </w:r>
      <w:r>
        <w:rPr/>
        <w:t>για</w:t>
      </w:r>
      <w:r>
        <w:rPr>
          <w:spacing w:val="-4"/>
        </w:rPr>
        <w:t> </w:t>
      </w:r>
      <w:r>
        <w:rPr/>
        <w:t>τα</w:t>
      </w:r>
      <w:r>
        <w:rPr>
          <w:spacing w:val="-7"/>
        </w:rPr>
        <w:t> </w:t>
      </w:r>
      <w:r>
        <w:rPr/>
        <w:t>ελληνικά</w:t>
      </w:r>
      <w:r>
        <w:rPr>
          <w:spacing w:val="-7"/>
        </w:rPr>
        <w:t> </w:t>
      </w:r>
      <w:r>
        <w:rPr/>
        <w:t>αγαθά</w:t>
      </w:r>
      <w:r>
        <w:rPr>
          <w:spacing w:val="-5"/>
        </w:rPr>
        <w:t> </w:t>
      </w:r>
      <w:r>
        <w:rPr/>
        <w:t>και</w:t>
      </w:r>
      <w:r>
        <w:rPr>
          <w:spacing w:val="-6"/>
        </w:rPr>
        <w:t> </w:t>
      </w:r>
      <w:r>
        <w:rPr/>
        <w:t>υπηρεσίες,</w:t>
      </w:r>
      <w:r>
        <w:rPr>
          <w:spacing w:val="-6"/>
        </w:rPr>
        <w:t> </w:t>
      </w:r>
      <w:r>
        <w:rPr/>
        <w:t>ενώ</w:t>
      </w:r>
      <w:r>
        <w:rPr>
          <w:spacing w:val="-8"/>
        </w:rPr>
        <w:t> </w:t>
      </w:r>
      <w:r>
        <w:rPr/>
        <w:t>η</w:t>
      </w:r>
      <w:r>
        <w:rPr>
          <w:spacing w:val="-4"/>
        </w:rPr>
        <w:t> </w:t>
      </w:r>
      <w:r>
        <w:rPr/>
        <w:t>αύξηση</w:t>
      </w:r>
      <w:r>
        <w:rPr>
          <w:spacing w:val="-4"/>
        </w:rPr>
        <w:t> </w:t>
      </w:r>
      <w:r>
        <w:rPr/>
        <w:t>του</w:t>
      </w:r>
      <w:r>
        <w:rPr>
          <w:spacing w:val="-5"/>
        </w:rPr>
        <w:t> </w:t>
      </w:r>
      <w:r>
        <w:rPr/>
        <w:t>κόστους</w:t>
      </w:r>
      <w:r>
        <w:rPr>
          <w:spacing w:val="-7"/>
        </w:rPr>
        <w:t> </w:t>
      </w:r>
      <w:r>
        <w:rPr/>
        <w:t>ενέργειας</w:t>
      </w:r>
      <w:r>
        <w:rPr>
          <w:spacing w:val="-5"/>
        </w:rPr>
        <w:t> </w:t>
      </w:r>
      <w:r>
        <w:rPr/>
        <w:t>θα</w:t>
      </w:r>
      <w:r>
        <w:rPr>
          <w:spacing w:val="-7"/>
        </w:rPr>
        <w:t> </w:t>
      </w:r>
      <w:r>
        <w:rPr/>
        <w:t>εντεί-νει τις πιέσεις στο κόστος παραγωγής. Παράλληλα, η παρατεταμένη αβεβαιότητα μπορεί να πε-ριορίσει τις</w:t>
      </w:r>
      <w:r>
        <w:rPr>
          <w:spacing w:val="-1"/>
        </w:rPr>
        <w:t> </w:t>
      </w:r>
      <w:r>
        <w:rPr/>
        <w:t>ξένες</w:t>
      </w:r>
      <w:r>
        <w:rPr>
          <w:spacing w:val="-1"/>
        </w:rPr>
        <w:t> </w:t>
      </w:r>
      <w:r>
        <w:rPr/>
        <w:t>άμεσες</w:t>
      </w:r>
      <w:r>
        <w:rPr>
          <w:spacing w:val="-3"/>
        </w:rPr>
        <w:t> </w:t>
      </w:r>
      <w:r>
        <w:rPr/>
        <w:t>επενδύσεις</w:t>
      </w:r>
      <w:r>
        <w:rPr>
          <w:spacing w:val="-1"/>
        </w:rPr>
        <w:t> </w:t>
      </w:r>
      <w:r>
        <w:rPr/>
        <w:t>και να</w:t>
      </w:r>
      <w:r>
        <w:rPr>
          <w:spacing w:val="-1"/>
        </w:rPr>
        <w:t> </w:t>
      </w:r>
      <w:r>
        <w:rPr/>
        <w:t>οδηγήσει σε αναβολή επιχειρηματικών αποφάσεων, επηρεάζοντας συνολικά τις επενδυτικές προοπτικές και τη δυναμική ανάπτυξης των επιχειρή-</w:t>
      </w:r>
      <w:r>
        <w:rPr>
          <w:spacing w:val="-2"/>
        </w:rPr>
        <w:t>σεων.</w:t>
      </w:r>
    </w:p>
    <w:p>
      <w:pPr>
        <w:pStyle w:val="BodyText"/>
        <w:spacing w:line="285" w:lineRule="auto" w:before="108"/>
        <w:ind w:left="172" w:right="956"/>
        <w:jc w:val="both"/>
      </w:pPr>
      <w:r>
        <w:rPr/>
        <w:t>Ως</w:t>
      </w:r>
      <w:r>
        <w:rPr>
          <w:spacing w:val="-8"/>
        </w:rPr>
        <w:t> </w:t>
      </w:r>
      <w:r>
        <w:rPr/>
        <w:t>προς</w:t>
      </w:r>
      <w:r>
        <w:rPr>
          <w:spacing w:val="-8"/>
        </w:rPr>
        <w:t> </w:t>
      </w:r>
      <w:r>
        <w:rPr/>
        <w:t>τις</w:t>
      </w:r>
      <w:r>
        <w:rPr>
          <w:spacing w:val="-8"/>
        </w:rPr>
        <w:t> </w:t>
      </w:r>
      <w:r>
        <w:rPr/>
        <w:t>προοπτικές</w:t>
      </w:r>
      <w:r>
        <w:rPr>
          <w:spacing w:val="-8"/>
        </w:rPr>
        <w:t> </w:t>
      </w:r>
      <w:r>
        <w:rPr/>
        <w:t>της</w:t>
      </w:r>
      <w:r>
        <w:rPr>
          <w:spacing w:val="-8"/>
        </w:rPr>
        <w:t> </w:t>
      </w:r>
      <w:r>
        <w:rPr/>
        <w:t>χρηματοδότησης</w:t>
      </w:r>
      <w:r>
        <w:rPr>
          <w:spacing w:val="-8"/>
        </w:rPr>
        <w:t> </w:t>
      </w:r>
      <w:r>
        <w:rPr/>
        <w:t>των</w:t>
      </w:r>
      <w:r>
        <w:rPr>
          <w:spacing w:val="-6"/>
        </w:rPr>
        <w:t> </w:t>
      </w:r>
      <w:r>
        <w:rPr/>
        <w:t>ΜΧΕ</w:t>
      </w:r>
      <w:r>
        <w:rPr>
          <w:spacing w:val="-9"/>
        </w:rPr>
        <w:t> </w:t>
      </w:r>
      <w:r>
        <w:rPr/>
        <w:t>θετικά</w:t>
      </w:r>
      <w:r>
        <w:rPr>
          <w:spacing w:val="-8"/>
        </w:rPr>
        <w:t> </w:t>
      </w:r>
      <w:r>
        <w:rPr/>
        <w:t>αναμένεται</w:t>
      </w:r>
      <w:r>
        <w:rPr>
          <w:spacing w:val="-9"/>
        </w:rPr>
        <w:t> </w:t>
      </w:r>
      <w:r>
        <w:rPr/>
        <w:t>να</w:t>
      </w:r>
      <w:r>
        <w:rPr>
          <w:spacing w:val="-8"/>
        </w:rPr>
        <w:t> </w:t>
      </w:r>
      <w:r>
        <w:rPr/>
        <w:t>συμβάλλουν</w:t>
      </w:r>
      <w:r>
        <w:rPr>
          <w:spacing w:val="-4"/>
        </w:rPr>
        <w:t> </w:t>
      </w:r>
      <w:r>
        <w:rPr/>
        <w:t>η</w:t>
      </w:r>
      <w:r>
        <w:rPr>
          <w:spacing w:val="-7"/>
        </w:rPr>
        <w:t> </w:t>
      </w:r>
      <w:r>
        <w:rPr/>
        <w:t>δια-τήρηση ικανοποιητικού ρυθμού οικονομικής ανάπτυξης το 2026 καθώς και η απορρόφηση των πόρων του Μηχανισμού Ανάκαμψης και Ανθεκτικότητας και των προγραμμάτων συγχρηματο-δότησης</w:t>
      </w:r>
      <w:r>
        <w:rPr>
          <w:spacing w:val="-8"/>
        </w:rPr>
        <w:t> </w:t>
      </w:r>
      <w:r>
        <w:rPr/>
        <w:t>και</w:t>
      </w:r>
      <w:r>
        <w:rPr>
          <w:spacing w:val="-7"/>
        </w:rPr>
        <w:t> </w:t>
      </w:r>
      <w:r>
        <w:rPr/>
        <w:t>εγγυοδοσίας</w:t>
      </w:r>
      <w:r>
        <w:rPr>
          <w:spacing w:val="-7"/>
        </w:rPr>
        <w:t> </w:t>
      </w:r>
      <w:r>
        <w:rPr/>
        <w:t>της</w:t>
      </w:r>
      <w:r>
        <w:rPr>
          <w:spacing w:val="-8"/>
        </w:rPr>
        <w:t> </w:t>
      </w:r>
      <w:r>
        <w:rPr/>
        <w:t>Ελληνικής</w:t>
      </w:r>
      <w:r>
        <w:rPr>
          <w:spacing w:val="-8"/>
        </w:rPr>
        <w:t> </w:t>
      </w:r>
      <w:r>
        <w:rPr/>
        <w:t>Αναπτυξιακής</w:t>
      </w:r>
      <w:r>
        <w:rPr>
          <w:spacing w:val="-8"/>
        </w:rPr>
        <w:t> </w:t>
      </w:r>
      <w:r>
        <w:rPr/>
        <w:t>Τράπεζας</w:t>
      </w:r>
      <w:r>
        <w:rPr>
          <w:spacing w:val="-8"/>
        </w:rPr>
        <w:t> </w:t>
      </w:r>
      <w:r>
        <w:rPr/>
        <w:t>και</w:t>
      </w:r>
      <w:r>
        <w:rPr>
          <w:spacing w:val="-7"/>
        </w:rPr>
        <w:t> </w:t>
      </w:r>
      <w:r>
        <w:rPr/>
        <w:t>της</w:t>
      </w:r>
      <w:r>
        <w:rPr>
          <w:spacing w:val="-8"/>
        </w:rPr>
        <w:t> </w:t>
      </w:r>
      <w:r>
        <w:rPr/>
        <w:t>Ευρωπαϊκής</w:t>
      </w:r>
      <w:r>
        <w:rPr>
          <w:spacing w:val="-8"/>
        </w:rPr>
        <w:t> </w:t>
      </w:r>
      <w:r>
        <w:rPr/>
        <w:t>Τράπεζας </w:t>
      </w:r>
      <w:r>
        <w:rPr>
          <w:spacing w:val="-2"/>
        </w:rPr>
        <w:t>Επενδύσεων.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1"/>
        <w:rPr>
          <w:sz w:val="20"/>
        </w:rPr>
      </w:pPr>
      <w:r>
        <w:rPr>
          <w:sz w:val="20"/>
        </w:rPr>
        <mc:AlternateContent>
          <mc:Choice Requires="wps">
            <w:drawing>
              <wp:anchor distT="0" distB="0" distL="0" distR="0" allowOverlap="1" layoutInCell="1" locked="0" behindDoc="1" simplePos="0" relativeHeight="487611392">
                <wp:simplePos x="0" y="0"/>
                <wp:positionH relativeFrom="page">
                  <wp:posOffset>1009192</wp:posOffset>
                </wp:positionH>
                <wp:positionV relativeFrom="paragraph">
                  <wp:posOffset>219139</wp:posOffset>
                </wp:positionV>
                <wp:extent cx="1829435" cy="762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7.2551pt;width:144.020pt;height:.60004pt;mso-position-horizontal-relative:page;mso-position-vertical-relative:paragraph;z-index:-15705088;mso-wrap-distance-left:0;mso-wrap-distance-right:0" id="docshape183" filled="true" fillcolor="#000000" stroked="false">
                <v:fill type="solid"/>
                <w10:wrap type="topAndBottom"/>
              </v:rect>
            </w:pict>
          </mc:Fallback>
        </mc:AlternateContent>
      </w:r>
    </w:p>
    <w:p>
      <w:pPr>
        <w:spacing w:before="167"/>
        <w:ind w:left="172" w:right="0" w:firstLine="0"/>
        <w:jc w:val="left"/>
        <w:rPr>
          <w:sz w:val="16"/>
        </w:rPr>
      </w:pPr>
      <w:bookmarkStart w:name="_bookmark41" w:id="42"/>
      <w:bookmarkEnd w:id="42"/>
      <w:r>
        <w:rPr/>
      </w:r>
      <w:r>
        <w:rPr>
          <w:sz w:val="16"/>
          <w:vertAlign w:val="superscript"/>
        </w:rPr>
        <w:t>28</w:t>
      </w:r>
      <w:r>
        <w:rPr>
          <w:spacing w:val="-4"/>
          <w:sz w:val="16"/>
          <w:vertAlign w:val="baseline"/>
        </w:rPr>
        <w:t> </w:t>
      </w:r>
      <w:r>
        <w:rPr>
          <w:sz w:val="16"/>
          <w:vertAlign w:val="baseline"/>
        </w:rPr>
        <w:t>Βλ.</w:t>
      </w:r>
      <w:r>
        <w:rPr>
          <w:spacing w:val="-3"/>
          <w:sz w:val="16"/>
          <w:vertAlign w:val="baseline"/>
        </w:rPr>
        <w:t> </w:t>
      </w:r>
      <w:r>
        <w:rPr>
          <w:sz w:val="16"/>
          <w:vertAlign w:val="baseline"/>
        </w:rPr>
        <w:t>ECB,</w:t>
      </w:r>
      <w:r>
        <w:rPr>
          <w:spacing w:val="-6"/>
          <w:sz w:val="16"/>
          <w:vertAlign w:val="baseline"/>
        </w:rPr>
        <w:t> </w:t>
      </w:r>
      <w:hyperlink r:id="rId37">
        <w:r>
          <w:rPr>
            <w:color w:val="0000FF"/>
            <w:sz w:val="16"/>
            <w:u w:val="single" w:color="0000FF"/>
            <w:vertAlign w:val="baseline"/>
          </w:rPr>
          <w:t>MFI</w:t>
        </w:r>
        <w:r>
          <w:rPr>
            <w:color w:val="0000FF"/>
            <w:spacing w:val="-6"/>
            <w:sz w:val="16"/>
            <w:u w:val="single" w:color="0000FF"/>
            <w:vertAlign w:val="baseline"/>
          </w:rPr>
          <w:t> </w:t>
        </w:r>
        <w:r>
          <w:rPr>
            <w:color w:val="0000FF"/>
            <w:sz w:val="16"/>
            <w:u w:val="single" w:color="0000FF"/>
            <w:vertAlign w:val="baseline"/>
          </w:rPr>
          <w:t>interest</w:t>
        </w:r>
        <w:r>
          <w:rPr>
            <w:color w:val="0000FF"/>
            <w:spacing w:val="-3"/>
            <w:sz w:val="16"/>
            <w:u w:val="single" w:color="0000FF"/>
            <w:vertAlign w:val="baseline"/>
          </w:rPr>
          <w:t> </w:t>
        </w:r>
        <w:r>
          <w:rPr>
            <w:color w:val="0000FF"/>
            <w:sz w:val="16"/>
            <w:u w:val="single" w:color="0000FF"/>
            <w:vertAlign w:val="baseline"/>
          </w:rPr>
          <w:t>rates</w:t>
        </w:r>
      </w:hyperlink>
      <w:r>
        <w:rPr>
          <w:color w:val="0000FF"/>
          <w:spacing w:val="-4"/>
          <w:sz w:val="16"/>
          <w:vertAlign w:val="baseline"/>
        </w:rPr>
        <w:t> </w:t>
      </w:r>
      <w:r>
        <w:rPr>
          <w:sz w:val="16"/>
          <w:vertAlign w:val="baseline"/>
        </w:rPr>
        <w:t>και</w:t>
      </w:r>
      <w:r>
        <w:rPr>
          <w:spacing w:val="-6"/>
          <w:sz w:val="16"/>
          <w:vertAlign w:val="baseline"/>
        </w:rPr>
        <w:t> </w:t>
      </w:r>
      <w:hyperlink r:id="rId38">
        <w:r>
          <w:rPr>
            <w:color w:val="0000FF"/>
            <w:sz w:val="16"/>
            <w:u w:val="single" w:color="0000FF"/>
            <w:vertAlign w:val="baseline"/>
          </w:rPr>
          <w:t>Methodological</w:t>
        </w:r>
        <w:r>
          <w:rPr>
            <w:color w:val="0000FF"/>
            <w:spacing w:val="-4"/>
            <w:sz w:val="16"/>
            <w:u w:val="single" w:color="0000FF"/>
            <w:vertAlign w:val="baseline"/>
          </w:rPr>
          <w:t> Note</w:t>
        </w:r>
        <w:r>
          <w:rPr>
            <w:spacing w:val="-4"/>
            <w:sz w:val="16"/>
            <w:vertAlign w:val="baseline"/>
          </w:rPr>
          <w:t>.</w:t>
        </w:r>
      </w:hyperlink>
    </w:p>
    <w:p>
      <w:pPr>
        <w:spacing w:after="0"/>
        <w:jc w:val="left"/>
        <w:rPr>
          <w:sz w:val="16"/>
        </w:rPr>
        <w:sectPr>
          <w:pgSz w:w="11910" w:h="16850"/>
          <w:pgMar w:header="0" w:footer="1108" w:top="1840" w:bottom="1360" w:left="1417" w:right="850"/>
        </w:sectPr>
      </w:pPr>
    </w:p>
    <w:p>
      <w:pPr>
        <w:pStyle w:val="Heading2"/>
        <w:numPr>
          <w:ilvl w:val="1"/>
          <w:numId w:val="2"/>
        </w:numPr>
        <w:tabs>
          <w:tab w:pos="568" w:val="left" w:leader="none"/>
        </w:tabs>
        <w:spacing w:line="240" w:lineRule="auto" w:before="70" w:after="0"/>
        <w:ind w:left="568" w:right="1057" w:hanging="396"/>
        <w:jc w:val="left"/>
        <w:rPr>
          <w:color w:val="1F487C"/>
        </w:rPr>
      </w:pPr>
      <w:bookmarkStart w:name="_bookmark42" w:id="43"/>
      <w:bookmarkEnd w:id="43"/>
      <w:r>
        <w:rPr>
          <w:b w:val="0"/>
        </w:rPr>
      </w:r>
      <w:r>
        <w:rPr>
          <w:color w:val="1F487C"/>
        </w:rPr>
        <w:t>ΕΞΕΛΙΞΕΙΣ</w:t>
      </w:r>
      <w:r>
        <w:rPr>
          <w:color w:val="1F487C"/>
          <w:spacing w:val="-6"/>
        </w:rPr>
        <w:t> </w:t>
      </w:r>
      <w:r>
        <w:rPr>
          <w:color w:val="1F487C"/>
        </w:rPr>
        <w:t>ΣΤΙΣ</w:t>
      </w:r>
      <w:r>
        <w:rPr>
          <w:color w:val="1F487C"/>
          <w:spacing w:val="-4"/>
        </w:rPr>
        <w:t> </w:t>
      </w:r>
      <w:r>
        <w:rPr>
          <w:color w:val="1F487C"/>
        </w:rPr>
        <w:t>ΕΓΧΩΡΙΕΣ</w:t>
      </w:r>
      <w:r>
        <w:rPr>
          <w:color w:val="1F487C"/>
          <w:spacing w:val="-6"/>
        </w:rPr>
        <w:t> </w:t>
      </w:r>
      <w:r>
        <w:rPr>
          <w:color w:val="1F487C"/>
        </w:rPr>
        <w:t>ΚΑΙ</w:t>
      </w:r>
      <w:r>
        <w:rPr>
          <w:color w:val="1F487C"/>
          <w:spacing w:val="-5"/>
        </w:rPr>
        <w:t> </w:t>
      </w:r>
      <w:r>
        <w:rPr>
          <w:color w:val="1F487C"/>
        </w:rPr>
        <w:t>ΔΙΕΘΝΕΙΣ</w:t>
      </w:r>
      <w:r>
        <w:rPr>
          <w:color w:val="1F487C"/>
          <w:spacing w:val="-6"/>
        </w:rPr>
        <w:t> </w:t>
      </w:r>
      <w:r>
        <w:rPr>
          <w:color w:val="1F487C"/>
        </w:rPr>
        <w:t>ΑΓΟΡΕΣ</w:t>
      </w:r>
      <w:r>
        <w:rPr>
          <w:color w:val="1F487C"/>
          <w:spacing w:val="-5"/>
        </w:rPr>
        <w:t> </w:t>
      </w:r>
      <w:r>
        <w:rPr>
          <w:color w:val="1F487C"/>
        </w:rPr>
        <w:t>ΧΡΗΜΑΤΟΣ</w:t>
      </w:r>
      <w:r>
        <w:rPr>
          <w:color w:val="1F487C"/>
          <w:spacing w:val="-5"/>
        </w:rPr>
        <w:t> </w:t>
      </w:r>
      <w:r>
        <w:rPr>
          <w:color w:val="1F487C"/>
        </w:rPr>
        <w:t>ΚΑΙ </w:t>
      </w:r>
      <w:r>
        <w:rPr>
          <w:color w:val="1F487C"/>
          <w:spacing w:val="-2"/>
        </w:rPr>
        <w:t>ΚΕΦΑΛΑΙΩΝ</w:t>
      </w:r>
    </w:p>
    <w:p>
      <w:pPr>
        <w:pStyle w:val="BodyText"/>
        <w:spacing w:before="240"/>
        <w:rPr>
          <w:b/>
          <w:sz w:val="24"/>
        </w:rPr>
      </w:pPr>
    </w:p>
    <w:p>
      <w:pPr>
        <w:pStyle w:val="BodyText"/>
        <w:spacing w:line="285" w:lineRule="auto"/>
        <w:ind w:left="172" w:right="959"/>
        <w:jc w:val="both"/>
      </w:pPr>
      <w:r>
        <w:rPr/>
        <w:t>Το 2025 και τους πρώτους μήνες του 2026 οι κυριότεροι διεθνείς χρηματιστηριακοί δείκτες α-νήλθαν σε νέα ιστορικώς υψηλά επίπεδα, παρά τις περιόδους υψηλής μεταβλητότητας εξαιτίας της ανόδου του εμπορικού προστατευτισμού, των γεωπολιτικών εντάσεων και των πολεμικών </w:t>
      </w:r>
      <w:r>
        <w:rPr>
          <w:spacing w:val="-2"/>
        </w:rPr>
        <w:t>συρράξεων.</w:t>
      </w:r>
    </w:p>
    <w:p>
      <w:pPr>
        <w:pStyle w:val="BodyText"/>
        <w:spacing w:line="285" w:lineRule="auto" w:before="56"/>
        <w:ind w:left="172" w:right="955"/>
        <w:jc w:val="both"/>
      </w:pPr>
      <w:r>
        <w:rPr/>
        <mc:AlternateContent>
          <mc:Choice Requires="wps">
            <w:drawing>
              <wp:anchor distT="0" distB="0" distL="0" distR="0" allowOverlap="1" layoutInCell="1" locked="0" behindDoc="0" simplePos="0" relativeHeight="15753728">
                <wp:simplePos x="0" y="0"/>
                <wp:positionH relativeFrom="page">
                  <wp:posOffset>3732910</wp:posOffset>
                </wp:positionH>
                <wp:positionV relativeFrom="paragraph">
                  <wp:posOffset>3671882</wp:posOffset>
                </wp:positionV>
                <wp:extent cx="2667635" cy="33845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667635" cy="338455"/>
                        </a:xfrm>
                        <a:prstGeom prst="rect">
                          <a:avLst/>
                        </a:prstGeom>
                        <a:solidFill>
                          <a:srgbClr val="1F487C"/>
                        </a:solidFill>
                      </wps:spPr>
                      <wps:txbx>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12"/>
                                <w:sz w:val="18"/>
                              </w:rPr>
                              <w:t> </w:t>
                            </w:r>
                            <w:r>
                              <w:rPr>
                                <w:b/>
                                <w:smallCaps w:val="0"/>
                                <w:color w:val="FFFFFF"/>
                                <w:sz w:val="18"/>
                              </w:rPr>
                              <w:t>II.9</w:t>
                            </w:r>
                            <w:r>
                              <w:rPr>
                                <w:b/>
                                <w:smallCaps w:val="0"/>
                                <w:color w:val="FFFFFF"/>
                                <w:spacing w:val="-11"/>
                                <w:sz w:val="18"/>
                              </w:rPr>
                              <w:t> </w:t>
                            </w:r>
                            <w:r>
                              <w:rPr>
                                <w:b/>
                                <w:smallCaps w:val="0"/>
                                <w:color w:val="FFFFFF"/>
                                <w:sz w:val="18"/>
                              </w:rPr>
                              <w:t>Μεταβλητότητα</w:t>
                            </w:r>
                            <w:r>
                              <w:rPr>
                                <w:b/>
                                <w:smallCaps w:val="0"/>
                                <w:color w:val="FFFFFF"/>
                                <w:spacing w:val="-11"/>
                                <w:sz w:val="18"/>
                              </w:rPr>
                              <w:t> </w:t>
                            </w:r>
                            <w:r>
                              <w:rPr>
                                <w:b/>
                                <w:smallCaps w:val="0"/>
                                <w:color w:val="FFFFFF"/>
                                <w:sz w:val="18"/>
                              </w:rPr>
                              <w:t>χρηματ</w:t>
                            </w:r>
                            <w:r>
                              <w:rPr>
                                <w:b/>
                                <w:smallCaps/>
                                <w:color w:val="FFFFFF"/>
                                <w:sz w:val="18"/>
                              </w:rPr>
                              <w:t>ι</w:t>
                            </w:r>
                            <w:r>
                              <w:rPr>
                                <w:b/>
                                <w:smallCaps w:val="0"/>
                                <w:color w:val="FFFFFF"/>
                                <w:sz w:val="18"/>
                              </w:rPr>
                              <w:t>στηρ</w:t>
                            </w:r>
                            <w:r>
                              <w:rPr>
                                <w:b/>
                                <w:smallCaps/>
                                <w:color w:val="FFFFFF"/>
                                <w:sz w:val="18"/>
                              </w:rPr>
                              <w:t>ι</w:t>
                            </w:r>
                            <w:r>
                              <w:rPr>
                                <w:b/>
                                <w:smallCaps w:val="0"/>
                                <w:color w:val="FFFFFF"/>
                                <w:sz w:val="18"/>
                              </w:rPr>
                              <w:t>ακών αγορών σε Ευρώπη κα</w:t>
                            </w:r>
                            <w:r>
                              <w:rPr>
                                <w:b/>
                                <w:smallCaps/>
                                <w:color w:val="FFFFFF"/>
                                <w:sz w:val="18"/>
                              </w:rPr>
                              <w:t>ι</w:t>
                            </w:r>
                            <w:r>
                              <w:rPr>
                                <w:b/>
                                <w:smallCaps w:val="0"/>
                                <w:color w:val="FFFFFF"/>
                                <w:sz w:val="18"/>
                              </w:rPr>
                              <w:t> ΗΠΑ</w:t>
                            </w:r>
                          </w:p>
                        </w:txbxContent>
                      </wps:txbx>
                      <wps:bodyPr wrap="square" lIns="0" tIns="0" rIns="0" bIns="0" rtlCol="0">
                        <a:noAutofit/>
                      </wps:bodyPr>
                    </wps:wsp>
                  </a:graphicData>
                </a:graphic>
              </wp:anchor>
            </w:drawing>
          </mc:Choice>
          <mc:Fallback>
            <w:pict>
              <v:shape style="position:absolute;margin-left:293.929993pt;margin-top:289.124634pt;width:210.05pt;height:26.65pt;mso-position-horizontal-relative:page;mso-position-vertical-relative:paragraph;z-index:15753728" type="#_x0000_t202" id="docshape184" filled="true" fillcolor="#1f487c" stroked="false">
                <v:textbox inset="0,0,0,0">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12"/>
                          <w:sz w:val="18"/>
                        </w:rPr>
                        <w:t> </w:t>
                      </w:r>
                      <w:r>
                        <w:rPr>
                          <w:b/>
                          <w:smallCaps w:val="0"/>
                          <w:color w:val="FFFFFF"/>
                          <w:sz w:val="18"/>
                        </w:rPr>
                        <w:t>II.9</w:t>
                      </w:r>
                      <w:r>
                        <w:rPr>
                          <w:b/>
                          <w:smallCaps w:val="0"/>
                          <w:color w:val="FFFFFF"/>
                          <w:spacing w:val="-11"/>
                          <w:sz w:val="18"/>
                        </w:rPr>
                        <w:t> </w:t>
                      </w:r>
                      <w:r>
                        <w:rPr>
                          <w:b/>
                          <w:smallCaps w:val="0"/>
                          <w:color w:val="FFFFFF"/>
                          <w:sz w:val="18"/>
                        </w:rPr>
                        <w:t>Μεταβλητότητα</w:t>
                      </w:r>
                      <w:r>
                        <w:rPr>
                          <w:b/>
                          <w:smallCaps w:val="0"/>
                          <w:color w:val="FFFFFF"/>
                          <w:spacing w:val="-11"/>
                          <w:sz w:val="18"/>
                        </w:rPr>
                        <w:t> </w:t>
                      </w:r>
                      <w:r>
                        <w:rPr>
                          <w:b/>
                          <w:smallCaps w:val="0"/>
                          <w:color w:val="FFFFFF"/>
                          <w:sz w:val="18"/>
                        </w:rPr>
                        <w:t>χρηματ</w:t>
                      </w:r>
                      <w:r>
                        <w:rPr>
                          <w:b/>
                          <w:smallCaps/>
                          <w:color w:val="FFFFFF"/>
                          <w:sz w:val="18"/>
                        </w:rPr>
                        <w:t>ι</w:t>
                      </w:r>
                      <w:r>
                        <w:rPr>
                          <w:b/>
                          <w:smallCaps w:val="0"/>
                          <w:color w:val="FFFFFF"/>
                          <w:sz w:val="18"/>
                        </w:rPr>
                        <w:t>στηρ</w:t>
                      </w:r>
                      <w:r>
                        <w:rPr>
                          <w:b/>
                          <w:smallCaps/>
                          <w:color w:val="FFFFFF"/>
                          <w:sz w:val="18"/>
                        </w:rPr>
                        <w:t>ι</w:t>
                      </w:r>
                      <w:r>
                        <w:rPr>
                          <w:b/>
                          <w:smallCaps w:val="0"/>
                          <w:color w:val="FFFFFF"/>
                          <w:sz w:val="18"/>
                        </w:rPr>
                        <w:t>ακών αγορών σε Ευρώπη κα</w:t>
                      </w:r>
                      <w:r>
                        <w:rPr>
                          <w:b/>
                          <w:smallCaps/>
                          <w:color w:val="FFFFFF"/>
                          <w:sz w:val="18"/>
                        </w:rPr>
                        <w:t>ι</w:t>
                      </w:r>
                      <w:r>
                        <w:rPr>
                          <w:b/>
                          <w:smallCaps w:val="0"/>
                          <w:color w:val="FFFFFF"/>
                          <w:sz w:val="18"/>
                        </w:rPr>
                        <w:t> ΗΠΑ</w:t>
                      </w:r>
                    </w:p>
                  </w:txbxContent>
                </v:textbox>
                <v:fill type="solid"/>
                <w10:wrap type="none"/>
              </v:shape>
            </w:pict>
          </mc:Fallback>
        </mc:AlternateContent>
      </w:r>
      <w:r>
        <w:rPr/>
        <w:t>Στην Ελλάδα, ο Γενικός Δείκτης Τιμών του Χρηματιστηρίου Αθηνών (ΓΔΧΑ) κατέγραψε το 2025</w:t>
      </w:r>
      <w:r>
        <w:rPr>
          <w:spacing w:val="-10"/>
        </w:rPr>
        <w:t> </w:t>
      </w:r>
      <w:r>
        <w:rPr/>
        <w:t>απόδοση</w:t>
      </w:r>
      <w:r>
        <w:rPr>
          <w:spacing w:val="-10"/>
        </w:rPr>
        <w:t> </w:t>
      </w:r>
      <w:r>
        <w:rPr/>
        <w:t>44,3%,</w:t>
      </w:r>
      <w:r>
        <w:rPr>
          <w:spacing w:val="-10"/>
        </w:rPr>
        <w:t> </w:t>
      </w:r>
      <w:r>
        <w:rPr/>
        <w:t>υπεραποδίδοντας</w:t>
      </w:r>
      <w:r>
        <w:rPr>
          <w:spacing w:val="-11"/>
        </w:rPr>
        <w:t> </w:t>
      </w:r>
      <w:r>
        <w:rPr/>
        <w:t>έναντι</w:t>
      </w:r>
      <w:r>
        <w:rPr>
          <w:spacing w:val="-9"/>
        </w:rPr>
        <w:t> </w:t>
      </w:r>
      <w:r>
        <w:rPr/>
        <w:t>των</w:t>
      </w:r>
      <w:r>
        <w:rPr>
          <w:spacing w:val="-9"/>
        </w:rPr>
        <w:t> </w:t>
      </w:r>
      <w:r>
        <w:rPr/>
        <w:t>περισσότερων</w:t>
      </w:r>
      <w:r>
        <w:rPr>
          <w:spacing w:val="-9"/>
        </w:rPr>
        <w:t> </w:t>
      </w:r>
      <w:r>
        <w:rPr/>
        <w:t>ευρωπαϊκών</w:t>
      </w:r>
      <w:r>
        <w:rPr>
          <w:spacing w:val="-9"/>
        </w:rPr>
        <w:t> </w:t>
      </w:r>
      <w:r>
        <w:rPr/>
        <w:t>δεικτών</w:t>
      </w:r>
      <w:hyperlink w:history="true" w:anchor="_bookmark43">
        <w:r>
          <w:rPr/>
          <w:t>.</w:t>
        </w:r>
        <w:r>
          <w:rPr>
            <w:position w:val="6"/>
            <w:sz w:val="10"/>
          </w:rPr>
          <w:t>29</w:t>
        </w:r>
      </w:hyperlink>
      <w:r>
        <w:rPr>
          <w:spacing w:val="21"/>
          <w:position w:val="6"/>
          <w:sz w:val="10"/>
        </w:rPr>
        <w:t> </w:t>
      </w:r>
      <w:r>
        <w:rPr/>
        <w:t>Η</w:t>
      </w:r>
      <w:r>
        <w:rPr>
          <w:spacing w:val="-11"/>
        </w:rPr>
        <w:t> </w:t>
      </w:r>
      <w:r>
        <w:rPr/>
        <w:t>άνο-δος τροφοδοτήθηκε από το ευνοϊκό μακροοικονομικό περιβάλλον, τις διαδοχικές αναβαθμίσεις της πιστοληπτικής ικανότητας της χώρας</w:t>
      </w:r>
      <w:hyperlink w:history="true" w:anchor="_bookmark44">
        <w:r>
          <w:rPr/>
          <w:t>,</w:t>
        </w:r>
        <w:r>
          <w:rPr>
            <w:position w:val="6"/>
            <w:sz w:val="10"/>
          </w:rPr>
          <w:t>30</w:t>
        </w:r>
      </w:hyperlink>
      <w:r>
        <w:rPr>
          <w:spacing w:val="40"/>
          <w:position w:val="6"/>
          <w:sz w:val="10"/>
        </w:rPr>
        <w:t> </w:t>
      </w:r>
      <w:r>
        <w:rPr/>
        <w:t>τη δημοσιονομική σταθερότητα και την περαιτέρω βελτίωση των θεμελιωδών μεγεθών του τραπεζικού τομέα, ο οποίος πρωταγωνίστησε στην ά-νοδο, με τον Τραπεζικό</w:t>
      </w:r>
      <w:r>
        <w:rPr>
          <w:spacing w:val="-1"/>
        </w:rPr>
        <w:t> </w:t>
      </w:r>
      <w:r>
        <w:rPr/>
        <w:t>Δείκτη να</w:t>
      </w:r>
      <w:r>
        <w:rPr>
          <w:spacing w:val="-1"/>
        </w:rPr>
        <w:t> </w:t>
      </w:r>
      <w:r>
        <w:rPr/>
        <w:t>καταγράφει απόδοση 78%. Σημαντικές</w:t>
      </w:r>
      <w:r>
        <w:rPr>
          <w:spacing w:val="-1"/>
        </w:rPr>
        <w:t> </w:t>
      </w:r>
      <w:r>
        <w:rPr/>
        <w:t>εξελίξεις</w:t>
      </w:r>
      <w:r>
        <w:rPr>
          <w:spacing w:val="-1"/>
        </w:rPr>
        <w:t> </w:t>
      </w:r>
      <w:r>
        <w:rPr/>
        <w:t>αποτέλεσαν η απόκτηση της πλειοψηφίας των μετοχών της εταιρίας “Ελληνικά Χρηματιστήρια – Χρηματι-στήριο Αθηνών” από τον όμιλο Euronext, καθώς και η αναβάθμιση της ελληνικής χρηματιστη-ριακής αγοράς από διεθνείς οίκους παροχής δεικτών, γεγονότα που ενίσχυσαν περαιτέρω την εμπιστοσύνη των επενδυτών στις μακροπρόθεσμες προοπτικές της ελληνικής κεφαλαιαγοράς. Ειδικότερα, τον Ιούλιο του 2025 ο παγκόσμιος πάροχος χρηματιστηριακών δεικτών S&amp;P Dow Jones Indices (S&amp;P DJI) πρότεινε την αναβάθμιση της ελληνικής κεφαλαιαγοράς από αναδυό-μενη σε ανεπτυγμένη με ισχύ από τον Σεπτέμβριο του 2026. Επίσης, τον Οκτώβριο του 2025, η FTSE Russel</w:t>
      </w:r>
      <w:hyperlink w:history="true" w:anchor="_bookmark45">
        <w:r>
          <w:rPr/>
          <w:t>l</w:t>
        </w:r>
        <w:r>
          <w:rPr>
            <w:position w:val="6"/>
            <w:sz w:val="10"/>
          </w:rPr>
          <w:t>31</w:t>
        </w:r>
      </w:hyperlink>
      <w:r>
        <w:rPr>
          <w:spacing w:val="37"/>
          <w:position w:val="6"/>
          <w:sz w:val="10"/>
        </w:rPr>
        <w:t> </w:t>
      </w:r>
      <w:r>
        <w:rPr/>
        <w:t>ανακοίνωσε την αναβάθμιση της Ελλάδας στις ανεπτυγμένες χρηματιστηριακές αγορές, με ισχύ από τον Σεπτέμβριο του 2026. Αντίστοιχα, η Morgan Stanley ανακοίνωσε τον Μάρτιο του 2026 την αναβάθμιση της</w:t>
      </w:r>
      <w:r>
        <w:rPr>
          <w:spacing w:val="-1"/>
        </w:rPr>
        <w:t> </w:t>
      </w:r>
      <w:r>
        <w:rPr/>
        <w:t>ελληνικής</w:t>
      </w:r>
      <w:r>
        <w:rPr>
          <w:spacing w:val="-2"/>
        </w:rPr>
        <w:t> </w:t>
      </w:r>
      <w:r>
        <w:rPr/>
        <w:t>χρηματιστηριακής</w:t>
      </w:r>
      <w:r>
        <w:rPr>
          <w:spacing w:val="-1"/>
        </w:rPr>
        <w:t> </w:t>
      </w:r>
      <w:r>
        <w:rPr/>
        <w:t>αγοράς</w:t>
      </w:r>
      <w:r>
        <w:rPr>
          <w:spacing w:val="-1"/>
        </w:rPr>
        <w:t> </w:t>
      </w:r>
      <w:r>
        <w:rPr/>
        <w:t>από αναδυόμενη σε ανεπτυγμένη και τη συμπερίληψή της στον Morgan Stanley Composite Index (MSCI) με ισχύ από τον Μάιο του 2027. Τέλος, τον Απρίλιο του 2026, η STOXX αναβάθμισε την Ελλάδα σε ανεπτυγμένη αγορά, με ισχύ από τις 21 Σεπτεμβρίου 2026.</w:t>
      </w:r>
    </w:p>
    <w:p>
      <w:pPr>
        <w:pStyle w:val="BodyText"/>
        <w:spacing w:line="285" w:lineRule="auto" w:before="63"/>
        <w:ind w:left="172" w:right="5354"/>
        <w:jc w:val="both"/>
      </w:pPr>
      <w:r>
        <w:rPr/>
        <w:t>Ωστόσο, η συνεχιζόμενη γεωπολιτική κρίση στη</w:t>
      </w:r>
      <w:r>
        <w:rPr>
          <w:spacing w:val="22"/>
        </w:rPr>
        <w:t> </w:t>
      </w:r>
      <w:r>
        <w:rPr/>
        <w:t>Μέση</w:t>
      </w:r>
      <w:r>
        <w:rPr>
          <w:spacing w:val="22"/>
        </w:rPr>
        <w:t> </w:t>
      </w:r>
      <w:r>
        <w:rPr/>
        <w:t>Ανατολή</w:t>
      </w:r>
      <w:r>
        <w:rPr>
          <w:spacing w:val="25"/>
        </w:rPr>
        <w:t> </w:t>
      </w:r>
      <w:r>
        <w:rPr/>
        <w:t>έχει</w:t>
      </w:r>
      <w:r>
        <w:rPr>
          <w:spacing w:val="22"/>
        </w:rPr>
        <w:t> </w:t>
      </w:r>
      <w:r>
        <w:rPr/>
        <w:t>προκαλέσει</w:t>
      </w:r>
      <w:r>
        <w:rPr>
          <w:spacing w:val="23"/>
        </w:rPr>
        <w:t> </w:t>
      </w:r>
      <w:r>
        <w:rPr/>
        <w:t>εκ</w:t>
      </w:r>
      <w:r>
        <w:rPr>
          <w:spacing w:val="20"/>
        </w:rPr>
        <w:t> </w:t>
      </w:r>
      <w:r>
        <w:rPr>
          <w:spacing w:val="-4"/>
        </w:rPr>
        <w:t>νέου</w:t>
      </w:r>
    </w:p>
    <w:p>
      <w:pPr>
        <w:pStyle w:val="BodyText"/>
        <w:spacing w:after="0" w:line="285" w:lineRule="auto"/>
        <w:jc w:val="both"/>
        <w:sectPr>
          <w:pgSz w:w="11910" w:h="16850"/>
          <w:pgMar w:header="0" w:footer="1108" w:top="1800" w:bottom="1360" w:left="1417" w:right="850"/>
        </w:sectPr>
      </w:pPr>
    </w:p>
    <w:p>
      <w:pPr>
        <w:pStyle w:val="BodyText"/>
        <w:spacing w:line="285" w:lineRule="auto" w:before="36"/>
        <w:ind w:left="172"/>
        <w:jc w:val="both"/>
      </w:pPr>
      <w:r>
        <w:rPr/>
        <mc:AlternateContent>
          <mc:Choice Requires="wps">
            <w:drawing>
              <wp:anchor distT="0" distB="0" distL="0" distR="0" allowOverlap="1" layoutInCell="1" locked="0" behindDoc="0" simplePos="0" relativeHeight="15753216">
                <wp:simplePos x="0" y="0"/>
                <wp:positionH relativeFrom="page">
                  <wp:posOffset>3732529</wp:posOffset>
                </wp:positionH>
                <wp:positionV relativeFrom="paragraph">
                  <wp:posOffset>137261</wp:posOffset>
                </wp:positionV>
                <wp:extent cx="2668270" cy="176911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2668270" cy="1769110"/>
                          <a:chExt cx="2668270" cy="1769110"/>
                        </a:xfrm>
                      </wpg:grpSpPr>
                      <wps:wsp>
                        <wps:cNvPr id="202" name="Graphic 202"/>
                        <wps:cNvSpPr/>
                        <wps:spPr>
                          <a:xfrm>
                            <a:off x="381" y="1015"/>
                            <a:ext cx="2667635" cy="1768475"/>
                          </a:xfrm>
                          <a:custGeom>
                            <a:avLst/>
                            <a:gdLst/>
                            <a:ahLst/>
                            <a:cxnLst/>
                            <a:rect l="l" t="t" r="r" b="b"/>
                            <a:pathLst>
                              <a:path w="2667635" h="1768475">
                                <a:moveTo>
                                  <a:pt x="2667635" y="0"/>
                                </a:moveTo>
                                <a:lnTo>
                                  <a:pt x="0" y="0"/>
                                </a:lnTo>
                                <a:lnTo>
                                  <a:pt x="0" y="1551686"/>
                                </a:lnTo>
                                <a:lnTo>
                                  <a:pt x="0" y="1768094"/>
                                </a:lnTo>
                                <a:lnTo>
                                  <a:pt x="2667635" y="1768094"/>
                                </a:lnTo>
                                <a:lnTo>
                                  <a:pt x="2667635" y="1551686"/>
                                </a:lnTo>
                                <a:lnTo>
                                  <a:pt x="2667635" y="0"/>
                                </a:lnTo>
                                <a:close/>
                              </a:path>
                            </a:pathLst>
                          </a:custGeom>
                          <a:solidFill>
                            <a:srgbClr val="D9D9D9"/>
                          </a:solidFill>
                        </wps:spPr>
                        <wps:bodyPr wrap="square" lIns="0" tIns="0" rIns="0" bIns="0" rtlCol="0">
                          <a:prstTxWarp prst="textNoShape">
                            <a:avLst/>
                          </a:prstTxWarp>
                          <a:noAutofit/>
                        </wps:bodyPr>
                      </wps:wsp>
                      <pic:pic>
                        <pic:nvPicPr>
                          <pic:cNvPr id="203" name="Image 203"/>
                          <pic:cNvPicPr/>
                        </pic:nvPicPr>
                        <pic:blipFill>
                          <a:blip r:embed="rId39" cstate="print"/>
                          <a:stretch>
                            <a:fillRect/>
                          </a:stretch>
                        </pic:blipFill>
                        <pic:spPr>
                          <a:xfrm>
                            <a:off x="0" y="0"/>
                            <a:ext cx="2663571" cy="1551304"/>
                          </a:xfrm>
                          <a:prstGeom prst="rect">
                            <a:avLst/>
                          </a:prstGeom>
                        </pic:spPr>
                      </pic:pic>
                      <wps:wsp>
                        <wps:cNvPr id="204" name="Textbox 204"/>
                        <wps:cNvSpPr txBox="1"/>
                        <wps:spPr>
                          <a:xfrm>
                            <a:off x="380" y="1015"/>
                            <a:ext cx="2667635" cy="176847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7"/>
                                <w:rPr>
                                  <w:sz w:val="14"/>
                                </w:rPr>
                              </w:pPr>
                            </w:p>
                            <w:p>
                              <w:pPr>
                                <w:spacing w:before="0"/>
                                <w:ind w:left="112" w:right="0" w:firstLine="0"/>
                                <w:jc w:val="left"/>
                                <w:rPr>
                                  <w:sz w:val="14"/>
                                </w:rPr>
                              </w:pPr>
                              <w:r>
                                <w:rPr>
                                  <w:sz w:val="14"/>
                                </w:rPr>
                                <w:t>Πηγή:</w:t>
                              </w:r>
                              <w:r>
                                <w:rPr>
                                  <w:spacing w:val="-6"/>
                                  <w:sz w:val="14"/>
                                </w:rPr>
                                <w:t> </w:t>
                              </w:r>
                              <w:r>
                                <w:rPr>
                                  <w:spacing w:val="-2"/>
                                  <w:sz w:val="14"/>
                                </w:rPr>
                                <w:t>Bloomberg.</w:t>
                              </w:r>
                            </w:p>
                          </w:txbxContent>
                        </wps:txbx>
                        <wps:bodyPr wrap="square" lIns="0" tIns="0" rIns="0" bIns="0" rtlCol="0">
                          <a:noAutofit/>
                        </wps:bodyPr>
                      </wps:wsp>
                    </wpg:wgp>
                  </a:graphicData>
                </a:graphic>
              </wp:anchor>
            </w:drawing>
          </mc:Choice>
          <mc:Fallback>
            <w:pict>
              <v:group style="position:absolute;margin-left:293.899994pt;margin-top:10.807974pt;width:210.1pt;height:139.3pt;mso-position-horizontal-relative:page;mso-position-vertical-relative:paragraph;z-index:15753216" id="docshapegroup185" coordorigin="5878,216" coordsize="4202,2786">
                <v:shape style="position:absolute;left:5878;top:217;width:4201;height:2785" id="docshape186" coordorigin="5879,218" coordsize="4201,2785" path="m10080,218l5879,218,5879,2661,5879,3002,10080,3002,10080,2661,10080,218xe" filled="true" fillcolor="#d9d9d9" stroked="false">
                  <v:path arrowok="t"/>
                  <v:fill type="solid"/>
                </v:shape>
                <v:shape style="position:absolute;left:5878;top:216;width:4195;height:2443" type="#_x0000_t75" id="docshape187" stroked="false">
                  <v:imagedata r:id="rId39" o:title=""/>
                </v:shape>
                <v:shape style="position:absolute;left:5878;top:217;width:4201;height:2785" type="#_x0000_t202" id="docshape188"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7"/>
                          <w:rPr>
                            <w:sz w:val="14"/>
                          </w:rPr>
                        </w:pPr>
                      </w:p>
                      <w:p>
                        <w:pPr>
                          <w:spacing w:before="0"/>
                          <w:ind w:left="112" w:right="0" w:firstLine="0"/>
                          <w:jc w:val="left"/>
                          <w:rPr>
                            <w:sz w:val="14"/>
                          </w:rPr>
                        </w:pPr>
                        <w:r>
                          <w:rPr>
                            <w:sz w:val="14"/>
                          </w:rPr>
                          <w:t>Πηγή:</w:t>
                        </w:r>
                        <w:r>
                          <w:rPr>
                            <w:spacing w:val="-6"/>
                            <w:sz w:val="14"/>
                          </w:rPr>
                          <w:t> </w:t>
                        </w:r>
                        <w:r>
                          <w:rPr>
                            <w:spacing w:val="-2"/>
                            <w:sz w:val="14"/>
                          </w:rPr>
                          <w:t>Bloomberg.</w:t>
                        </w:r>
                      </w:p>
                    </w:txbxContent>
                  </v:textbox>
                  <w10:wrap type="none"/>
                </v:shape>
                <w10:wrap type="none"/>
              </v:group>
            </w:pict>
          </mc:Fallback>
        </mc:AlternateContent>
      </w:r>
      <w:r>
        <w:rPr/>
        <w:t>αυξημένη</w:t>
      </w:r>
      <w:r>
        <w:rPr>
          <w:spacing w:val="-5"/>
        </w:rPr>
        <w:t> </w:t>
      </w:r>
      <w:r>
        <w:rPr/>
        <w:t>μεταβλητότητα</w:t>
      </w:r>
      <w:r>
        <w:rPr>
          <w:spacing w:val="-8"/>
        </w:rPr>
        <w:t> </w:t>
      </w:r>
      <w:r>
        <w:rPr/>
        <w:t>στις</w:t>
      </w:r>
      <w:r>
        <w:rPr>
          <w:spacing w:val="-5"/>
        </w:rPr>
        <w:t> </w:t>
      </w:r>
      <w:r>
        <w:rPr/>
        <w:t>παγκόσμιες</w:t>
      </w:r>
      <w:r>
        <w:rPr>
          <w:spacing w:val="-6"/>
        </w:rPr>
        <w:t> </w:t>
      </w:r>
      <w:r>
        <w:rPr/>
        <w:t>και τις</w:t>
      </w:r>
      <w:r>
        <w:rPr>
          <w:spacing w:val="-5"/>
        </w:rPr>
        <w:t> </w:t>
      </w:r>
      <w:r>
        <w:rPr/>
        <w:t>ευρωπαϊκές</w:t>
      </w:r>
      <w:r>
        <w:rPr>
          <w:spacing w:val="-6"/>
        </w:rPr>
        <w:t> </w:t>
      </w:r>
      <w:r>
        <w:rPr/>
        <w:t>χρηματιστηριακές</w:t>
      </w:r>
      <w:r>
        <w:rPr>
          <w:spacing w:val="-6"/>
        </w:rPr>
        <w:t> </w:t>
      </w:r>
      <w:r>
        <w:rPr/>
        <w:t>αγορές</w:t>
      </w:r>
      <w:r>
        <w:rPr>
          <w:spacing w:val="-7"/>
        </w:rPr>
        <w:t> </w:t>
      </w:r>
      <w:r>
        <w:rPr/>
        <w:t>τους πρώτους</w:t>
      </w:r>
      <w:r>
        <w:rPr>
          <w:spacing w:val="-9"/>
        </w:rPr>
        <w:t> </w:t>
      </w:r>
      <w:r>
        <w:rPr/>
        <w:t>μήνες</w:t>
      </w:r>
      <w:r>
        <w:rPr>
          <w:spacing w:val="-11"/>
        </w:rPr>
        <w:t> </w:t>
      </w:r>
      <w:r>
        <w:rPr/>
        <w:t>του</w:t>
      </w:r>
      <w:r>
        <w:rPr>
          <w:spacing w:val="-9"/>
        </w:rPr>
        <w:t> </w:t>
      </w:r>
      <w:r>
        <w:rPr/>
        <w:t>2026</w:t>
      </w:r>
      <w:r>
        <w:rPr>
          <w:spacing w:val="-10"/>
        </w:rPr>
        <w:t> </w:t>
      </w:r>
      <w:r>
        <w:rPr/>
        <w:t>(βλ.</w:t>
      </w:r>
      <w:r>
        <w:rPr>
          <w:spacing w:val="-9"/>
        </w:rPr>
        <w:t> </w:t>
      </w:r>
      <w:r>
        <w:rPr/>
        <w:t>Διάγραμμα</w:t>
      </w:r>
      <w:r>
        <w:rPr>
          <w:spacing w:val="-9"/>
        </w:rPr>
        <w:t> </w:t>
      </w:r>
      <w:r>
        <w:rPr/>
        <w:t>ΙΙ.9), αναδεικνύοντας τον κίνδυνο απότομης ανατι-μολόγησης των χρηματοοικονομικών περιου-σιακών στοιχείων διεθνώς.</w:t>
      </w:r>
    </w:p>
    <w:p>
      <w:pPr>
        <w:spacing w:line="154" w:lineRule="exact" w:before="0"/>
        <w:ind w:left="172" w:right="0" w:firstLine="0"/>
        <w:jc w:val="left"/>
        <w:rPr>
          <w:sz w:val="14"/>
        </w:rPr>
      </w:pPr>
      <w:r>
        <w:rPr/>
        <w:br w:type="column"/>
      </w:r>
      <w:r>
        <w:rPr>
          <w:color w:val="1F487C"/>
          <w:sz w:val="14"/>
        </w:rPr>
        <w:t>(1.1.2025-15.4.2026,</w:t>
      </w:r>
      <w:r>
        <w:rPr>
          <w:color w:val="1F487C"/>
          <w:spacing w:val="-7"/>
          <w:sz w:val="14"/>
        </w:rPr>
        <w:t> </w:t>
      </w:r>
      <w:r>
        <w:rPr>
          <w:color w:val="1F487C"/>
          <w:sz w:val="14"/>
        </w:rPr>
        <w:t>ημερήσιες</w:t>
      </w:r>
      <w:r>
        <w:rPr>
          <w:color w:val="1F487C"/>
          <w:spacing w:val="-8"/>
          <w:sz w:val="14"/>
        </w:rPr>
        <w:t> </w:t>
      </w:r>
      <w:r>
        <w:rPr>
          <w:color w:val="1F487C"/>
          <w:spacing w:val="-2"/>
          <w:sz w:val="14"/>
        </w:rPr>
        <w:t>τιμές)</w:t>
      </w:r>
    </w:p>
    <w:p>
      <w:pPr>
        <w:spacing w:after="0" w:line="154" w:lineRule="exact"/>
        <w:jc w:val="left"/>
        <w:rPr>
          <w:sz w:val="14"/>
        </w:rPr>
        <w:sectPr>
          <w:type w:val="continuous"/>
          <w:pgSz w:w="11910" w:h="16850"/>
          <w:pgMar w:header="0" w:footer="1108" w:top="1320" w:bottom="280" w:left="1417" w:right="850"/>
          <w:cols w:num="2" w:equalWidth="0">
            <w:col w:w="4283" w:space="64"/>
            <w:col w:w="52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6" w:after="1"/>
        <w:rPr>
          <w:sz w:val="20"/>
        </w:rPr>
      </w:pPr>
    </w:p>
    <w:p>
      <w:pPr>
        <w:spacing w:line="20" w:lineRule="exact"/>
        <w:ind w:left="172" w:right="0" w:firstLine="0"/>
        <w:rPr>
          <w:sz w:val="2"/>
        </w:rPr>
      </w:pPr>
      <w:r>
        <w:rPr>
          <w:sz w:val="2"/>
        </w:rPr>
        <mc:AlternateContent>
          <mc:Choice Requires="wps">
            <w:drawing>
              <wp:inline distT="0" distB="0" distL="0" distR="0">
                <wp:extent cx="1829435" cy="7620"/>
                <wp:effectExtent l="0" t="0" r="0" b="0"/>
                <wp:docPr id="205" name="Group 205"/>
                <wp:cNvGraphicFramePr>
                  <a:graphicFrameLocks/>
                </wp:cNvGraphicFramePr>
                <a:graphic>
                  <a:graphicData uri="http://schemas.microsoft.com/office/word/2010/wordprocessingGroup">
                    <wpg:wgp>
                      <wpg:cNvPr id="205" name="Group 205"/>
                      <wpg:cNvGrpSpPr/>
                      <wpg:grpSpPr>
                        <a:xfrm>
                          <a:off x="0" y="0"/>
                          <a:ext cx="1829435" cy="7620"/>
                          <a:chExt cx="1829435" cy="7620"/>
                        </a:xfrm>
                      </wpg:grpSpPr>
                      <wps:wsp>
                        <wps:cNvPr id="206" name="Graphic 20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6pt;mso-position-horizontal-relative:char;mso-position-vertical-relative:line" id="docshapegroup189" coordorigin="0,0" coordsize="2881,12">
                <v:rect style="position:absolute;left:0;top:0;width:2881;height:12" id="docshape190" filled="true" fillcolor="#000000" stroked="false">
                  <v:fill type="solid"/>
                </v:rect>
              </v:group>
            </w:pict>
          </mc:Fallback>
        </mc:AlternateContent>
      </w:r>
      <w:r>
        <w:rPr>
          <w:sz w:val="2"/>
        </w:rPr>
      </w:r>
    </w:p>
    <w:p>
      <w:pPr>
        <w:spacing w:before="159"/>
        <w:ind w:left="172" w:right="958" w:firstLine="0"/>
        <w:jc w:val="both"/>
        <w:rPr>
          <w:sz w:val="16"/>
        </w:rPr>
      </w:pPr>
      <w:bookmarkStart w:name="_bookmark43" w:id="44"/>
      <w:bookmarkEnd w:id="44"/>
      <w:r>
        <w:rPr/>
      </w:r>
      <w:r>
        <w:rPr>
          <w:sz w:val="16"/>
          <w:vertAlign w:val="superscript"/>
        </w:rPr>
        <w:t>29</w:t>
      </w:r>
      <w:r>
        <w:rPr>
          <w:spacing w:val="-4"/>
          <w:sz w:val="16"/>
          <w:vertAlign w:val="baseline"/>
        </w:rPr>
        <w:t> </w:t>
      </w:r>
      <w:r>
        <w:rPr>
          <w:sz w:val="16"/>
          <w:vertAlign w:val="baseline"/>
        </w:rPr>
        <w:t>Βασικοί</w:t>
      </w:r>
      <w:r>
        <w:rPr>
          <w:spacing w:val="-4"/>
          <w:sz w:val="16"/>
          <w:vertAlign w:val="baseline"/>
        </w:rPr>
        <w:t> </w:t>
      </w:r>
      <w:r>
        <w:rPr>
          <w:sz w:val="16"/>
          <w:vertAlign w:val="baseline"/>
        </w:rPr>
        <w:t>ευρωπαϊκοί</w:t>
      </w:r>
      <w:r>
        <w:rPr>
          <w:spacing w:val="-6"/>
          <w:sz w:val="16"/>
          <w:vertAlign w:val="baseline"/>
        </w:rPr>
        <w:t> </w:t>
      </w:r>
      <w:r>
        <w:rPr>
          <w:sz w:val="16"/>
          <w:vertAlign w:val="baseline"/>
        </w:rPr>
        <w:t>χρηματιστηριακοί</w:t>
      </w:r>
      <w:r>
        <w:rPr>
          <w:spacing w:val="-6"/>
          <w:sz w:val="16"/>
          <w:vertAlign w:val="baseline"/>
        </w:rPr>
        <w:t> </w:t>
      </w:r>
      <w:r>
        <w:rPr>
          <w:sz w:val="16"/>
          <w:vertAlign w:val="baseline"/>
        </w:rPr>
        <w:t>δείκτες</w:t>
      </w:r>
      <w:r>
        <w:rPr>
          <w:spacing w:val="-5"/>
          <w:sz w:val="16"/>
          <w:vertAlign w:val="baseline"/>
        </w:rPr>
        <w:t> </w:t>
      </w:r>
      <w:r>
        <w:rPr>
          <w:sz w:val="16"/>
          <w:vertAlign w:val="baseline"/>
        </w:rPr>
        <w:t>με</w:t>
      </w:r>
      <w:r>
        <w:rPr>
          <w:spacing w:val="-7"/>
          <w:sz w:val="16"/>
          <w:vertAlign w:val="baseline"/>
        </w:rPr>
        <w:t> </w:t>
      </w:r>
      <w:r>
        <w:rPr>
          <w:sz w:val="16"/>
          <w:vertAlign w:val="baseline"/>
        </w:rPr>
        <w:t>τη</w:t>
      </w:r>
      <w:r>
        <w:rPr>
          <w:spacing w:val="-7"/>
          <w:sz w:val="16"/>
          <w:vertAlign w:val="baseline"/>
        </w:rPr>
        <w:t> </w:t>
      </w:r>
      <w:r>
        <w:rPr>
          <w:sz w:val="16"/>
          <w:vertAlign w:val="baseline"/>
        </w:rPr>
        <w:t>μεγαλύτερη</w:t>
      </w:r>
      <w:r>
        <w:rPr>
          <w:spacing w:val="-6"/>
          <w:sz w:val="16"/>
          <w:vertAlign w:val="baseline"/>
        </w:rPr>
        <w:t> </w:t>
      </w:r>
      <w:r>
        <w:rPr>
          <w:sz w:val="16"/>
          <w:vertAlign w:val="baseline"/>
        </w:rPr>
        <w:t>απόδοση</w:t>
      </w:r>
      <w:r>
        <w:rPr>
          <w:spacing w:val="-9"/>
          <w:sz w:val="16"/>
          <w:vertAlign w:val="baseline"/>
        </w:rPr>
        <w:t> </w:t>
      </w:r>
      <w:r>
        <w:rPr>
          <w:sz w:val="16"/>
          <w:vertAlign w:val="baseline"/>
        </w:rPr>
        <w:t>το</w:t>
      </w:r>
      <w:r>
        <w:rPr>
          <w:spacing w:val="-5"/>
          <w:sz w:val="16"/>
          <w:vertAlign w:val="baseline"/>
        </w:rPr>
        <w:t> </w:t>
      </w:r>
      <w:r>
        <w:rPr>
          <w:sz w:val="16"/>
          <w:vertAlign w:val="baseline"/>
        </w:rPr>
        <w:t>2025:</w:t>
      </w:r>
      <w:r>
        <w:rPr>
          <w:spacing w:val="-6"/>
          <w:sz w:val="16"/>
          <w:vertAlign w:val="baseline"/>
        </w:rPr>
        <w:t> </w:t>
      </w:r>
      <w:r>
        <w:rPr>
          <w:sz w:val="16"/>
          <w:vertAlign w:val="baseline"/>
        </w:rPr>
        <w:t>Hungarian</w:t>
      </w:r>
      <w:r>
        <w:rPr>
          <w:spacing w:val="-5"/>
          <w:sz w:val="16"/>
          <w:vertAlign w:val="baseline"/>
        </w:rPr>
        <w:t> </w:t>
      </w:r>
      <w:r>
        <w:rPr>
          <w:sz w:val="16"/>
          <w:vertAlign w:val="baseline"/>
        </w:rPr>
        <w:t>Traded</w:t>
      </w:r>
      <w:r>
        <w:rPr>
          <w:spacing w:val="-5"/>
          <w:sz w:val="16"/>
          <w:vertAlign w:val="baseline"/>
        </w:rPr>
        <w:t> </w:t>
      </w:r>
      <w:r>
        <w:rPr>
          <w:sz w:val="16"/>
          <w:vertAlign w:val="baseline"/>
        </w:rPr>
        <w:t>Index:</w:t>
      </w:r>
      <w:r>
        <w:rPr>
          <w:spacing w:val="-5"/>
          <w:sz w:val="16"/>
          <w:vertAlign w:val="baseline"/>
        </w:rPr>
        <w:t> </w:t>
      </w:r>
      <w:r>
        <w:rPr>
          <w:sz w:val="16"/>
          <w:vertAlign w:val="baseline"/>
        </w:rPr>
        <w:t>59,7%,</w:t>
      </w:r>
      <w:r>
        <w:rPr>
          <w:spacing w:val="-5"/>
          <w:sz w:val="16"/>
          <w:vertAlign w:val="baseline"/>
        </w:rPr>
        <w:t> </w:t>
      </w:r>
      <w:r>
        <w:rPr>
          <w:sz w:val="16"/>
          <w:vertAlign w:val="baseline"/>
        </w:rPr>
        <w:t>Prague</w:t>
      </w:r>
      <w:r>
        <w:rPr>
          <w:spacing w:val="-6"/>
          <w:sz w:val="16"/>
          <w:vertAlign w:val="baseline"/>
        </w:rPr>
        <w:t> </w:t>
      </w:r>
      <w:r>
        <w:rPr>
          <w:sz w:val="16"/>
          <w:vertAlign w:val="baseline"/>
        </w:rPr>
        <w:t>Stock</w:t>
      </w:r>
      <w:r>
        <w:rPr>
          <w:spacing w:val="40"/>
          <w:sz w:val="16"/>
          <w:vertAlign w:val="baseline"/>
        </w:rPr>
        <w:t> </w:t>
      </w:r>
      <w:r>
        <w:rPr>
          <w:sz w:val="16"/>
          <w:vertAlign w:val="baseline"/>
        </w:rPr>
        <w:t>Exchange Index: 52,6%, Slovenian Blue Chip Index: 50,3%.</w:t>
      </w:r>
    </w:p>
    <w:p>
      <w:pPr>
        <w:spacing w:before="19"/>
        <w:ind w:left="172" w:right="953" w:firstLine="0"/>
        <w:jc w:val="both"/>
        <w:rPr>
          <w:sz w:val="16"/>
        </w:rPr>
      </w:pPr>
      <w:bookmarkStart w:name="_bookmark44" w:id="45"/>
      <w:bookmarkEnd w:id="45"/>
      <w:r>
        <w:rPr/>
      </w:r>
      <w:r>
        <w:rPr>
          <w:sz w:val="16"/>
          <w:vertAlign w:val="superscript"/>
        </w:rPr>
        <w:t>30</w:t>
      </w:r>
      <w:r>
        <w:rPr>
          <w:sz w:val="16"/>
          <w:vertAlign w:val="baseline"/>
        </w:rPr>
        <w:t> DBRS Morningstar, 5.9.2025: επιβεβαίωση BBB, σταθερή προοπτική, Fitch, 14.11.2025: BBB, σταθερή προοπτική, από ΒΒΒ-,</w:t>
      </w:r>
      <w:r>
        <w:rPr>
          <w:spacing w:val="40"/>
          <w:sz w:val="16"/>
          <w:vertAlign w:val="baseline"/>
        </w:rPr>
        <w:t> </w:t>
      </w:r>
      <w:r>
        <w:rPr>
          <w:sz w:val="16"/>
          <w:vertAlign w:val="baseline"/>
        </w:rPr>
        <w:t>θετική προοπτική, S&amp;P, 18.4.2025: BBB, σταθερή προοπτική, από BBB-, θετική προοπτική, Moody’s, 14.3.2025: Baa3, σταθερή</w:t>
      </w:r>
      <w:r>
        <w:rPr>
          <w:spacing w:val="40"/>
          <w:sz w:val="16"/>
          <w:vertAlign w:val="baseline"/>
        </w:rPr>
        <w:t> </w:t>
      </w:r>
      <w:r>
        <w:rPr>
          <w:sz w:val="16"/>
          <w:vertAlign w:val="baseline"/>
        </w:rPr>
        <w:t>προοπτική, από Ba1, θετική προοπτική και Scope Ratings, 7.11.2025: BBB, θετική προοπτική, από ΒΒΒ, σταθερή προοπτική.</w:t>
      </w:r>
    </w:p>
    <w:p>
      <w:pPr>
        <w:spacing w:before="21"/>
        <w:ind w:left="172" w:right="959" w:firstLine="0"/>
        <w:jc w:val="both"/>
        <w:rPr>
          <w:sz w:val="16"/>
        </w:rPr>
      </w:pPr>
      <w:bookmarkStart w:name="_bookmark45" w:id="46"/>
      <w:bookmarkEnd w:id="46"/>
      <w:r>
        <w:rPr/>
      </w:r>
      <w:r>
        <w:rPr>
          <w:sz w:val="16"/>
          <w:vertAlign w:val="superscript"/>
        </w:rPr>
        <w:t>31</w:t>
      </w:r>
      <w:r>
        <w:rPr>
          <w:sz w:val="16"/>
          <w:vertAlign w:val="baseline"/>
        </w:rPr>
        <w:t> Ειδικότερα, η FTSE Russell ανακοίνωσε την αναβάθμιση της Ελλάδας από την κατηγορία Advanced Emerging σε Developed</w:t>
      </w:r>
      <w:r>
        <w:rPr>
          <w:spacing w:val="40"/>
          <w:sz w:val="16"/>
          <w:vertAlign w:val="baseline"/>
        </w:rPr>
        <w:t> </w:t>
      </w:r>
      <w:r>
        <w:rPr>
          <w:sz w:val="16"/>
          <w:vertAlign w:val="baseline"/>
        </w:rPr>
        <w:t>Market (Ανεπτυγμένη Αγορά) στους δείκτες FTSE GEIS με ισχύ από 21 Σεπτεμβρίου 2026.</w:t>
      </w:r>
    </w:p>
    <w:p>
      <w:pPr>
        <w:spacing w:after="0"/>
        <w:jc w:val="both"/>
        <w:rPr>
          <w:sz w:val="16"/>
        </w:rPr>
        <w:sectPr>
          <w:type w:val="continuous"/>
          <w:pgSz w:w="11910" w:h="16850"/>
          <w:pgMar w:header="0" w:footer="1108" w:top="1320" w:bottom="280" w:left="1417" w:right="850"/>
        </w:sectPr>
      </w:pPr>
    </w:p>
    <w:p>
      <w:pPr>
        <w:pStyle w:val="BodyText"/>
        <w:spacing w:line="285" w:lineRule="auto" w:before="58"/>
        <w:ind w:left="172"/>
        <w:jc w:val="both"/>
      </w:pPr>
      <w:r>
        <w:rPr>
          <w:spacing w:val="-2"/>
        </w:rPr>
        <w:t>Στις</w:t>
      </w:r>
      <w:r>
        <w:rPr>
          <w:spacing w:val="-4"/>
        </w:rPr>
        <w:t> </w:t>
      </w:r>
      <w:r>
        <w:rPr>
          <w:spacing w:val="-2"/>
        </w:rPr>
        <w:t>προηγμένες</w:t>
      </w:r>
      <w:r>
        <w:rPr>
          <w:spacing w:val="-6"/>
        </w:rPr>
        <w:t> </w:t>
      </w:r>
      <w:r>
        <w:rPr>
          <w:spacing w:val="-2"/>
        </w:rPr>
        <w:t>οικονομίες</w:t>
      </w:r>
      <w:r>
        <w:rPr>
          <w:spacing w:val="-8"/>
        </w:rPr>
        <w:t> </w:t>
      </w:r>
      <w:r>
        <w:rPr>
          <w:spacing w:val="-2"/>
        </w:rPr>
        <w:t>η</w:t>
      </w:r>
      <w:r>
        <w:rPr>
          <w:spacing w:val="-4"/>
        </w:rPr>
        <w:t> </w:t>
      </w:r>
      <w:r>
        <w:rPr>
          <w:spacing w:val="-2"/>
        </w:rPr>
        <w:t>νομισματική</w:t>
      </w:r>
      <w:r>
        <w:rPr>
          <w:spacing w:val="-4"/>
        </w:rPr>
        <w:t> </w:t>
      </w:r>
      <w:r>
        <w:rPr>
          <w:spacing w:val="-2"/>
        </w:rPr>
        <w:t>πο-</w:t>
      </w:r>
      <w:r>
        <w:rPr/>
        <w:t>λιτική</w:t>
      </w:r>
      <w:r>
        <w:rPr>
          <w:spacing w:val="-9"/>
        </w:rPr>
        <w:t> </w:t>
      </w:r>
      <w:r>
        <w:rPr/>
        <w:t>κατέστη</w:t>
      </w:r>
      <w:r>
        <w:rPr>
          <w:spacing w:val="-9"/>
        </w:rPr>
        <w:t> </w:t>
      </w:r>
      <w:r>
        <w:rPr/>
        <w:t>σταδιακά</w:t>
      </w:r>
      <w:r>
        <w:rPr>
          <w:spacing w:val="-9"/>
        </w:rPr>
        <w:t> </w:t>
      </w:r>
      <w:r>
        <w:rPr/>
        <w:t>λιγότερο</w:t>
      </w:r>
      <w:r>
        <w:rPr>
          <w:spacing w:val="-9"/>
        </w:rPr>
        <w:t> </w:t>
      </w:r>
      <w:r>
        <w:rPr/>
        <w:t>περιοριστι-κή, καθώς οι κεντρικές τράπεζες συνέχισαν τον</w:t>
      </w:r>
      <w:r>
        <w:rPr>
          <w:spacing w:val="-9"/>
        </w:rPr>
        <w:t> </w:t>
      </w:r>
      <w:r>
        <w:rPr/>
        <w:t>κύκλο</w:t>
      </w:r>
      <w:r>
        <w:rPr>
          <w:spacing w:val="-10"/>
        </w:rPr>
        <w:t> </w:t>
      </w:r>
      <w:r>
        <w:rPr/>
        <w:t>μείωσης</w:t>
      </w:r>
      <w:r>
        <w:rPr>
          <w:spacing w:val="-11"/>
        </w:rPr>
        <w:t> </w:t>
      </w:r>
      <w:r>
        <w:rPr/>
        <w:t>των</w:t>
      </w:r>
      <w:r>
        <w:rPr>
          <w:spacing w:val="-12"/>
        </w:rPr>
        <w:t> </w:t>
      </w:r>
      <w:r>
        <w:rPr/>
        <w:t>επιτοκίων</w:t>
      </w:r>
      <w:r>
        <w:rPr>
          <w:spacing w:val="-9"/>
        </w:rPr>
        <w:t> </w:t>
      </w:r>
      <w:r>
        <w:rPr/>
        <w:t>που</w:t>
      </w:r>
      <w:r>
        <w:rPr>
          <w:spacing w:val="-9"/>
        </w:rPr>
        <w:t> </w:t>
      </w:r>
      <w:r>
        <w:rPr/>
        <w:t>είχε</w:t>
      </w:r>
      <w:r>
        <w:rPr>
          <w:spacing w:val="-9"/>
        </w:rPr>
        <w:t> </w:t>
      </w:r>
      <w:r>
        <w:rPr/>
        <w:t>ξε-κινήσει το 2024, αντανακλώντας την πρόοδο στην αποκλιμάκωση του πληθωρισμού. (βλ. Διάγραμμα</w:t>
      </w:r>
      <w:r>
        <w:rPr>
          <w:spacing w:val="-2"/>
        </w:rPr>
        <w:t> </w:t>
      </w:r>
      <w:r>
        <w:rPr/>
        <w:t>ΙΙ.10).</w:t>
      </w:r>
      <w:r>
        <w:rPr>
          <w:spacing w:val="-1"/>
        </w:rPr>
        <w:t> </w:t>
      </w:r>
      <w:r>
        <w:rPr/>
        <w:t>Η</w:t>
      </w:r>
      <w:r>
        <w:rPr>
          <w:spacing w:val="-5"/>
        </w:rPr>
        <w:t> </w:t>
      </w:r>
      <w:r>
        <w:rPr/>
        <w:t>βαθμιαία</w:t>
      </w:r>
      <w:r>
        <w:rPr>
          <w:spacing w:val="-2"/>
        </w:rPr>
        <w:t> </w:t>
      </w:r>
      <w:r>
        <w:rPr/>
        <w:t>αποκλιμάκωση των</w:t>
      </w:r>
      <w:r>
        <w:rPr>
          <w:spacing w:val="-14"/>
        </w:rPr>
        <w:t> </w:t>
      </w:r>
      <w:r>
        <w:rPr/>
        <w:t>βασικών</w:t>
      </w:r>
      <w:r>
        <w:rPr>
          <w:spacing w:val="-14"/>
        </w:rPr>
        <w:t> </w:t>
      </w:r>
      <w:r>
        <w:rPr/>
        <w:t>επιτοκίων</w:t>
      </w:r>
      <w:r>
        <w:rPr>
          <w:spacing w:val="-14"/>
        </w:rPr>
        <w:t> </w:t>
      </w:r>
      <w:r>
        <w:rPr/>
        <w:t>συνεχίστηκε</w:t>
      </w:r>
      <w:r>
        <w:rPr>
          <w:spacing w:val="-13"/>
        </w:rPr>
        <w:t> </w:t>
      </w:r>
      <w:r>
        <w:rPr/>
        <w:t>με</w:t>
      </w:r>
      <w:r>
        <w:rPr>
          <w:spacing w:val="-14"/>
        </w:rPr>
        <w:t> </w:t>
      </w:r>
      <w:r>
        <w:rPr/>
        <w:t>διαφο-ροποιημένους ρυθμούς και κατά τη διάρκεια του</w:t>
      </w:r>
      <w:r>
        <w:rPr>
          <w:spacing w:val="-12"/>
        </w:rPr>
        <w:t> </w:t>
      </w:r>
      <w:r>
        <w:rPr/>
        <w:t>2025,</w:t>
      </w:r>
      <w:r>
        <w:rPr>
          <w:spacing w:val="-13"/>
        </w:rPr>
        <w:t> </w:t>
      </w:r>
      <w:r>
        <w:rPr/>
        <w:t>ενώ</w:t>
      </w:r>
      <w:r>
        <w:rPr>
          <w:spacing w:val="-12"/>
        </w:rPr>
        <w:t> </w:t>
      </w:r>
      <w:r>
        <w:rPr/>
        <w:t>μέχρι</w:t>
      </w:r>
      <w:r>
        <w:rPr>
          <w:spacing w:val="-12"/>
        </w:rPr>
        <w:t> </w:t>
      </w:r>
      <w:r>
        <w:rPr/>
        <w:t>τώρα</w:t>
      </w:r>
      <w:r>
        <w:rPr>
          <w:spacing w:val="-13"/>
        </w:rPr>
        <w:t> </w:t>
      </w:r>
      <w:r>
        <w:rPr/>
        <w:t>το</w:t>
      </w:r>
      <w:r>
        <w:rPr>
          <w:spacing w:val="-11"/>
        </w:rPr>
        <w:t> </w:t>
      </w:r>
      <w:r>
        <w:rPr/>
        <w:t>2026</w:t>
      </w:r>
      <w:r>
        <w:rPr>
          <w:spacing w:val="-13"/>
        </w:rPr>
        <w:t> </w:t>
      </w:r>
      <w:r>
        <w:rPr/>
        <w:t>δεν</w:t>
      </w:r>
      <w:r>
        <w:rPr>
          <w:spacing w:val="-12"/>
        </w:rPr>
        <w:t> </w:t>
      </w:r>
      <w:r>
        <w:rPr/>
        <w:t>έχει</w:t>
      </w:r>
      <w:r>
        <w:rPr>
          <w:spacing w:val="-12"/>
        </w:rPr>
        <w:t> </w:t>
      </w:r>
      <w:r>
        <w:rPr/>
        <w:t>ση-μειωθεί κάποια μεταβολή. Συγκεκριμένα, η ΕΚΤ μείωσε το επιτόκιο της διευκόλυνσης α-ποδοχής</w:t>
      </w:r>
      <w:r>
        <w:rPr>
          <w:spacing w:val="-12"/>
        </w:rPr>
        <w:t> </w:t>
      </w:r>
      <w:r>
        <w:rPr/>
        <w:t>καταθέσεων</w:t>
      </w:r>
      <w:r>
        <w:rPr>
          <w:spacing w:val="-11"/>
        </w:rPr>
        <w:t> </w:t>
      </w:r>
      <w:r>
        <w:rPr/>
        <w:t>σωρευτικά</w:t>
      </w:r>
      <w:r>
        <w:rPr>
          <w:spacing w:val="-12"/>
        </w:rPr>
        <w:t> </w:t>
      </w:r>
      <w:r>
        <w:rPr/>
        <w:t>κατά</w:t>
      </w:r>
      <w:r>
        <w:rPr>
          <w:spacing w:val="-12"/>
        </w:rPr>
        <w:t> </w:t>
      </w:r>
      <w:r>
        <w:rPr/>
        <w:t>200</w:t>
      </w:r>
      <w:r>
        <w:rPr>
          <w:spacing w:val="-11"/>
        </w:rPr>
        <w:t> </w:t>
      </w:r>
      <w:r>
        <w:rPr/>
        <w:t>μο-νάδες</w:t>
      </w:r>
      <w:r>
        <w:rPr>
          <w:spacing w:val="-2"/>
        </w:rPr>
        <w:t> </w:t>
      </w:r>
      <w:r>
        <w:rPr/>
        <w:t>βάσης</w:t>
      </w:r>
      <w:r>
        <w:rPr>
          <w:spacing w:val="-2"/>
        </w:rPr>
        <w:t> </w:t>
      </w:r>
      <w:r>
        <w:rPr/>
        <w:t>από</w:t>
      </w:r>
      <w:r>
        <w:rPr>
          <w:spacing w:val="-1"/>
        </w:rPr>
        <w:t> </w:t>
      </w:r>
      <w:r>
        <w:rPr/>
        <w:t>τον Ιούνιο</w:t>
      </w:r>
      <w:r>
        <w:rPr>
          <w:spacing w:val="-1"/>
        </w:rPr>
        <w:t> </w:t>
      </w:r>
      <w:r>
        <w:rPr/>
        <w:t>του 2024</w:t>
      </w:r>
      <w:r>
        <w:rPr>
          <w:spacing w:val="-1"/>
        </w:rPr>
        <w:t> </w:t>
      </w:r>
      <w:r>
        <w:rPr/>
        <w:t>έως</w:t>
      </w:r>
      <w:r>
        <w:rPr>
          <w:spacing w:val="-2"/>
        </w:rPr>
        <w:t> </w:t>
      </w:r>
      <w:r>
        <w:rPr/>
        <w:t>τον Ιούνιο του 2025, διαμορφώνοντάς</w:t>
      </w:r>
      <w:r>
        <w:rPr>
          <w:spacing w:val="-2"/>
        </w:rPr>
        <w:t> </w:t>
      </w:r>
      <w:r>
        <w:rPr/>
        <w:t>το</w:t>
      </w:r>
      <w:r>
        <w:rPr>
          <w:spacing w:val="-1"/>
        </w:rPr>
        <w:t> </w:t>
      </w:r>
      <w:r>
        <w:rPr/>
        <w:t>στο</w:t>
      </w:r>
      <w:r>
        <w:rPr>
          <w:spacing w:val="-1"/>
        </w:rPr>
        <w:t> </w:t>
      </w:r>
      <w:r>
        <w:rPr/>
        <w:t>2%. Η</w:t>
      </w:r>
      <w:r>
        <w:rPr>
          <w:spacing w:val="7"/>
        </w:rPr>
        <w:t> </w:t>
      </w:r>
      <w:r>
        <w:rPr/>
        <w:t>Τράπεζα</w:t>
      </w:r>
      <w:r>
        <w:rPr>
          <w:spacing w:val="9"/>
        </w:rPr>
        <w:t> </w:t>
      </w:r>
      <w:r>
        <w:rPr/>
        <w:t>της</w:t>
      </w:r>
      <w:r>
        <w:rPr>
          <w:spacing w:val="8"/>
        </w:rPr>
        <w:t> </w:t>
      </w:r>
      <w:r>
        <w:rPr/>
        <w:t>Αγγλίας</w:t>
      </w:r>
      <w:r>
        <w:rPr>
          <w:spacing w:val="8"/>
        </w:rPr>
        <w:t> </w:t>
      </w:r>
      <w:r>
        <w:rPr/>
        <w:t>προχώρησε</w:t>
      </w:r>
      <w:r>
        <w:rPr>
          <w:spacing w:val="10"/>
        </w:rPr>
        <w:t> </w:t>
      </w:r>
      <w:r>
        <w:rPr/>
        <w:t>σε</w:t>
      </w:r>
      <w:r>
        <w:rPr>
          <w:spacing w:val="10"/>
        </w:rPr>
        <w:t> </w:t>
      </w:r>
      <w:r>
        <w:rPr>
          <w:spacing w:val="-4"/>
        </w:rPr>
        <w:t>συνο-</w:t>
      </w:r>
    </w:p>
    <w:p>
      <w:pPr>
        <w:pStyle w:val="BodyText"/>
        <w:spacing w:before="8"/>
        <w:rPr>
          <w:sz w:val="2"/>
        </w:rPr>
      </w:pPr>
      <w:r>
        <w:rPr/>
        <w:br w:type="column"/>
      </w:r>
      <w:r>
        <w:rPr>
          <w:sz w:val="2"/>
        </w:rPr>
      </w:r>
    </w:p>
    <w:p>
      <w:pPr>
        <w:spacing w:line="240" w:lineRule="auto"/>
        <w:ind w:left="114" w:right="0" w:firstLine="0"/>
        <w:rPr>
          <w:sz w:val="20"/>
        </w:rPr>
      </w:pPr>
      <w:r>
        <w:rPr>
          <w:sz w:val="20"/>
        </w:rPr>
        <mc:AlternateContent>
          <mc:Choice Requires="wps">
            <w:drawing>
              <wp:inline distT="0" distB="0" distL="0" distR="0">
                <wp:extent cx="2686050" cy="338455"/>
                <wp:effectExtent l="0" t="0" r="0" b="0"/>
                <wp:docPr id="207" name="Textbox 207"/>
                <wp:cNvGraphicFramePr>
                  <a:graphicFrameLocks/>
                </wp:cNvGraphicFramePr>
                <a:graphic>
                  <a:graphicData uri="http://schemas.microsoft.com/office/word/2010/wordprocessingShape">
                    <wps:wsp>
                      <wps:cNvPr id="207" name="Textbox 207"/>
                      <wps:cNvSpPr txBox="1"/>
                      <wps:spPr>
                        <a:xfrm>
                          <a:off x="0" y="0"/>
                          <a:ext cx="2686050" cy="338455"/>
                        </a:xfrm>
                        <a:prstGeom prst="rect">
                          <a:avLst/>
                        </a:prstGeom>
                        <a:solidFill>
                          <a:srgbClr val="1F487C"/>
                        </a:solidFill>
                      </wps:spPr>
                      <wps:txbx>
                        <w:txbxContent>
                          <w:p>
                            <w:pPr>
                              <w:spacing w:before="60"/>
                              <w:ind w:left="112" w:right="115"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II.10</w:t>
                            </w:r>
                            <w:r>
                              <w:rPr>
                                <w:b/>
                                <w:smallCaps w:val="0"/>
                                <w:color w:val="FFFFFF"/>
                                <w:spacing w:val="-6"/>
                                <w:sz w:val="18"/>
                              </w:rPr>
                              <w:t> </w:t>
                            </w:r>
                            <w:r>
                              <w:rPr>
                                <w:b/>
                                <w:smallCaps w:val="0"/>
                                <w:color w:val="FFFFFF"/>
                                <w:sz w:val="18"/>
                              </w:rPr>
                              <w:t>Βασ</w:t>
                            </w:r>
                            <w:r>
                              <w:rPr>
                                <w:b/>
                                <w:smallCaps/>
                                <w:color w:val="FFFFFF"/>
                                <w:sz w:val="18"/>
                              </w:rPr>
                              <w:t>ι</w:t>
                            </w:r>
                            <w:r>
                              <w:rPr>
                                <w:b/>
                                <w:smallCaps w:val="0"/>
                                <w:color w:val="FFFFFF"/>
                                <w:sz w:val="18"/>
                              </w:rPr>
                              <w:t>κά</w:t>
                            </w:r>
                            <w:r>
                              <w:rPr>
                                <w:b/>
                                <w:smallCaps w:val="0"/>
                                <w:color w:val="FFFFFF"/>
                                <w:spacing w:val="-7"/>
                                <w:sz w:val="18"/>
                              </w:rPr>
                              <w:t> </w:t>
                            </w:r>
                            <w:r>
                              <w:rPr>
                                <w:b/>
                                <w:smallCaps w:val="0"/>
                                <w:color w:val="FFFFFF"/>
                                <w:sz w:val="18"/>
                              </w:rPr>
                              <w:t>επ</w:t>
                            </w:r>
                            <w:r>
                              <w:rPr>
                                <w:b/>
                                <w:smallCaps/>
                                <w:color w:val="FFFFFF"/>
                                <w:sz w:val="18"/>
                              </w:rPr>
                              <w:t>ι</w:t>
                            </w:r>
                            <w:r>
                              <w:rPr>
                                <w:b/>
                                <w:smallCaps w:val="0"/>
                                <w:color w:val="FFFFFF"/>
                                <w:sz w:val="18"/>
                              </w:rPr>
                              <w:t>τόκ</w:t>
                            </w:r>
                            <w:r>
                              <w:rPr>
                                <w:b/>
                                <w:smallCaps/>
                                <w:color w:val="FFFFFF"/>
                                <w:sz w:val="18"/>
                              </w:rPr>
                              <w:t>ι</w:t>
                            </w:r>
                            <w:r>
                              <w:rPr>
                                <w:b/>
                                <w:smallCaps w:val="0"/>
                                <w:color w:val="FFFFFF"/>
                                <w:sz w:val="18"/>
                              </w:rPr>
                              <w:t>α</w:t>
                            </w:r>
                            <w:r>
                              <w:rPr>
                                <w:b/>
                                <w:smallCaps w:val="0"/>
                                <w:color w:val="FFFFFF"/>
                                <w:spacing w:val="-7"/>
                                <w:sz w:val="18"/>
                              </w:rPr>
                              <w:t> </w:t>
                            </w:r>
                            <w:r>
                              <w:rPr>
                                <w:b/>
                                <w:smallCaps w:val="0"/>
                                <w:color w:val="FFFFFF"/>
                                <w:sz w:val="18"/>
                              </w:rPr>
                              <w:t>κεντρ</w:t>
                            </w:r>
                            <w:r>
                              <w:rPr>
                                <w:b/>
                                <w:smallCaps/>
                                <w:color w:val="FFFFFF"/>
                                <w:sz w:val="18"/>
                              </w:rPr>
                              <w:t>ι</w:t>
                            </w:r>
                            <w:r>
                              <w:rPr>
                                <w:b/>
                                <w:smallCaps w:val="0"/>
                                <w:color w:val="FFFFFF"/>
                                <w:sz w:val="18"/>
                              </w:rPr>
                              <w:t>κών</w:t>
                            </w:r>
                            <w:r>
                              <w:rPr>
                                <w:b/>
                                <w:smallCaps w:val="0"/>
                                <w:color w:val="FFFFFF"/>
                                <w:spacing w:val="-8"/>
                                <w:sz w:val="18"/>
                              </w:rPr>
                              <w:t> </w:t>
                            </w:r>
                            <w:r>
                              <w:rPr>
                                <w:b/>
                                <w:smallCaps w:val="0"/>
                                <w:color w:val="FFFFFF"/>
                                <w:sz w:val="18"/>
                              </w:rPr>
                              <w:t>τραπε-</w:t>
                            </w:r>
                            <w:r>
                              <w:rPr>
                                <w:b/>
                                <w:smallCaps w:val="0"/>
                                <w:color w:val="FFFFFF"/>
                                <w:spacing w:val="-4"/>
                                <w:sz w:val="18"/>
                              </w:rPr>
                              <w:t>ζών</w:t>
                            </w:r>
                          </w:p>
                        </w:txbxContent>
                      </wps:txbx>
                      <wps:bodyPr wrap="square" lIns="0" tIns="0" rIns="0" bIns="0" rtlCol="0">
                        <a:noAutofit/>
                      </wps:bodyPr>
                    </wps:wsp>
                  </a:graphicData>
                </a:graphic>
              </wp:inline>
            </w:drawing>
          </mc:Choice>
          <mc:Fallback>
            <w:pict>
              <v:shape style="width:211.5pt;height:26.65pt;mso-position-horizontal-relative:char;mso-position-vertical-relative:line" type="#_x0000_t202" id="docshape191" filled="true" fillcolor="#1f487c" stroked="false">
                <w10:anchorlock/>
                <v:textbox inset="0,0,0,0">
                  <w:txbxContent>
                    <w:p>
                      <w:pPr>
                        <w:spacing w:before="60"/>
                        <w:ind w:left="112" w:right="115"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II.10</w:t>
                      </w:r>
                      <w:r>
                        <w:rPr>
                          <w:b/>
                          <w:smallCaps w:val="0"/>
                          <w:color w:val="FFFFFF"/>
                          <w:spacing w:val="-6"/>
                          <w:sz w:val="18"/>
                        </w:rPr>
                        <w:t> </w:t>
                      </w:r>
                      <w:r>
                        <w:rPr>
                          <w:b/>
                          <w:smallCaps w:val="0"/>
                          <w:color w:val="FFFFFF"/>
                          <w:sz w:val="18"/>
                        </w:rPr>
                        <w:t>Βασ</w:t>
                      </w:r>
                      <w:r>
                        <w:rPr>
                          <w:b/>
                          <w:smallCaps/>
                          <w:color w:val="FFFFFF"/>
                          <w:sz w:val="18"/>
                        </w:rPr>
                        <w:t>ι</w:t>
                      </w:r>
                      <w:r>
                        <w:rPr>
                          <w:b/>
                          <w:smallCaps w:val="0"/>
                          <w:color w:val="FFFFFF"/>
                          <w:sz w:val="18"/>
                        </w:rPr>
                        <w:t>κά</w:t>
                      </w:r>
                      <w:r>
                        <w:rPr>
                          <w:b/>
                          <w:smallCaps w:val="0"/>
                          <w:color w:val="FFFFFF"/>
                          <w:spacing w:val="-7"/>
                          <w:sz w:val="18"/>
                        </w:rPr>
                        <w:t> </w:t>
                      </w:r>
                      <w:r>
                        <w:rPr>
                          <w:b/>
                          <w:smallCaps w:val="0"/>
                          <w:color w:val="FFFFFF"/>
                          <w:sz w:val="18"/>
                        </w:rPr>
                        <w:t>επ</w:t>
                      </w:r>
                      <w:r>
                        <w:rPr>
                          <w:b/>
                          <w:smallCaps/>
                          <w:color w:val="FFFFFF"/>
                          <w:sz w:val="18"/>
                        </w:rPr>
                        <w:t>ι</w:t>
                      </w:r>
                      <w:r>
                        <w:rPr>
                          <w:b/>
                          <w:smallCaps w:val="0"/>
                          <w:color w:val="FFFFFF"/>
                          <w:sz w:val="18"/>
                        </w:rPr>
                        <w:t>τόκ</w:t>
                      </w:r>
                      <w:r>
                        <w:rPr>
                          <w:b/>
                          <w:smallCaps/>
                          <w:color w:val="FFFFFF"/>
                          <w:sz w:val="18"/>
                        </w:rPr>
                        <w:t>ι</w:t>
                      </w:r>
                      <w:r>
                        <w:rPr>
                          <w:b/>
                          <w:smallCaps w:val="0"/>
                          <w:color w:val="FFFFFF"/>
                          <w:sz w:val="18"/>
                        </w:rPr>
                        <w:t>α</w:t>
                      </w:r>
                      <w:r>
                        <w:rPr>
                          <w:b/>
                          <w:smallCaps w:val="0"/>
                          <w:color w:val="FFFFFF"/>
                          <w:spacing w:val="-7"/>
                          <w:sz w:val="18"/>
                        </w:rPr>
                        <w:t> </w:t>
                      </w:r>
                      <w:r>
                        <w:rPr>
                          <w:b/>
                          <w:smallCaps w:val="0"/>
                          <w:color w:val="FFFFFF"/>
                          <w:sz w:val="18"/>
                        </w:rPr>
                        <w:t>κεντρ</w:t>
                      </w:r>
                      <w:r>
                        <w:rPr>
                          <w:b/>
                          <w:smallCaps/>
                          <w:color w:val="FFFFFF"/>
                          <w:sz w:val="18"/>
                        </w:rPr>
                        <w:t>ι</w:t>
                      </w:r>
                      <w:r>
                        <w:rPr>
                          <w:b/>
                          <w:smallCaps w:val="0"/>
                          <w:color w:val="FFFFFF"/>
                          <w:sz w:val="18"/>
                        </w:rPr>
                        <w:t>κών</w:t>
                      </w:r>
                      <w:r>
                        <w:rPr>
                          <w:b/>
                          <w:smallCaps w:val="0"/>
                          <w:color w:val="FFFFFF"/>
                          <w:spacing w:val="-8"/>
                          <w:sz w:val="18"/>
                        </w:rPr>
                        <w:t> </w:t>
                      </w:r>
                      <w:r>
                        <w:rPr>
                          <w:b/>
                          <w:smallCaps w:val="0"/>
                          <w:color w:val="FFFFFF"/>
                          <w:sz w:val="18"/>
                        </w:rPr>
                        <w:t>τραπε-</w:t>
                      </w:r>
                      <w:r>
                        <w:rPr>
                          <w:b/>
                          <w:smallCaps w:val="0"/>
                          <w:color w:val="FFFFFF"/>
                          <w:spacing w:val="-4"/>
                          <w:sz w:val="18"/>
                        </w:rPr>
                        <w:t>ζών</w:t>
                      </w:r>
                    </w:p>
                  </w:txbxContent>
                </v:textbox>
                <v:fill type="solid"/>
              </v:shape>
            </w:pict>
          </mc:Fallback>
        </mc:AlternateContent>
      </w:r>
      <w:r>
        <w:rPr>
          <w:sz w:val="20"/>
        </w:rPr>
      </w:r>
    </w:p>
    <w:p>
      <w:pPr>
        <w:spacing w:before="97"/>
        <w:ind w:left="172" w:right="0" w:firstLine="0"/>
        <w:jc w:val="left"/>
        <w:rPr>
          <w:sz w:val="14"/>
        </w:rPr>
      </w:pPr>
      <w:r>
        <w:rPr>
          <w:color w:val="1F487C"/>
          <w:sz w:val="14"/>
        </w:rPr>
        <w:t>(1.8.2022-15.4.2026,</w:t>
      </w:r>
      <w:r>
        <w:rPr>
          <w:color w:val="1F487C"/>
          <w:spacing w:val="-7"/>
          <w:sz w:val="14"/>
        </w:rPr>
        <w:t> </w:t>
      </w:r>
      <w:r>
        <w:rPr>
          <w:color w:val="1F487C"/>
          <w:sz w:val="14"/>
        </w:rPr>
        <w:t>ημερήσιες</w:t>
      </w:r>
      <w:r>
        <w:rPr>
          <w:color w:val="1F487C"/>
          <w:spacing w:val="-8"/>
          <w:sz w:val="14"/>
        </w:rPr>
        <w:t> </w:t>
      </w:r>
      <w:r>
        <w:rPr>
          <w:color w:val="1F487C"/>
          <w:spacing w:val="-2"/>
          <w:sz w:val="14"/>
        </w:rPr>
        <w:t>τιμές)</w:t>
      </w:r>
    </w:p>
    <w:p>
      <w:pPr>
        <w:pStyle w:val="BodyText"/>
        <w:spacing w:before="5"/>
        <w:rPr>
          <w:sz w:val="5"/>
        </w:rPr>
      </w:pPr>
    </w:p>
    <w:p>
      <w:pPr>
        <w:spacing w:line="240" w:lineRule="auto"/>
        <w:ind w:left="113" w:right="0" w:firstLine="0"/>
        <w:rPr>
          <w:sz w:val="20"/>
        </w:rPr>
      </w:pPr>
      <w:r>
        <w:rPr>
          <w:sz w:val="20"/>
        </w:rPr>
        <mc:AlternateContent>
          <mc:Choice Requires="wps">
            <w:drawing>
              <wp:inline distT="0" distB="0" distL="0" distR="0">
                <wp:extent cx="2686685" cy="2379980"/>
                <wp:effectExtent l="0" t="0" r="0" b="1269"/>
                <wp:docPr id="208" name="Group 208"/>
                <wp:cNvGraphicFramePr>
                  <a:graphicFrameLocks/>
                </wp:cNvGraphicFramePr>
                <a:graphic>
                  <a:graphicData uri="http://schemas.microsoft.com/office/word/2010/wordprocessingGroup">
                    <wpg:wgp>
                      <wpg:cNvPr id="208" name="Group 208"/>
                      <wpg:cNvGrpSpPr/>
                      <wpg:grpSpPr>
                        <a:xfrm>
                          <a:off x="0" y="0"/>
                          <a:ext cx="2686685" cy="2379980"/>
                          <a:chExt cx="2686685" cy="2379980"/>
                        </a:xfrm>
                      </wpg:grpSpPr>
                      <wps:wsp>
                        <wps:cNvPr id="209" name="Graphic 209"/>
                        <wps:cNvSpPr/>
                        <wps:spPr>
                          <a:xfrm>
                            <a:off x="635" y="253"/>
                            <a:ext cx="2686050" cy="2379345"/>
                          </a:xfrm>
                          <a:custGeom>
                            <a:avLst/>
                            <a:gdLst/>
                            <a:ahLst/>
                            <a:cxnLst/>
                            <a:rect l="l" t="t" r="r" b="b"/>
                            <a:pathLst>
                              <a:path w="2686050" h="2379345">
                                <a:moveTo>
                                  <a:pt x="2685923" y="1525600"/>
                                </a:moveTo>
                                <a:lnTo>
                                  <a:pt x="0" y="1525600"/>
                                </a:lnTo>
                                <a:lnTo>
                                  <a:pt x="0" y="2379345"/>
                                </a:lnTo>
                                <a:lnTo>
                                  <a:pt x="2685923" y="2379345"/>
                                </a:lnTo>
                                <a:lnTo>
                                  <a:pt x="2685923" y="1525600"/>
                                </a:lnTo>
                                <a:close/>
                              </a:path>
                              <a:path w="2686050" h="2379345">
                                <a:moveTo>
                                  <a:pt x="2685923" y="0"/>
                                </a:moveTo>
                                <a:lnTo>
                                  <a:pt x="0" y="0"/>
                                </a:lnTo>
                                <a:lnTo>
                                  <a:pt x="0" y="1525524"/>
                                </a:lnTo>
                                <a:lnTo>
                                  <a:pt x="2685923" y="1525524"/>
                                </a:lnTo>
                                <a:lnTo>
                                  <a:pt x="2685923" y="0"/>
                                </a:lnTo>
                                <a:close/>
                              </a:path>
                            </a:pathLst>
                          </a:custGeom>
                          <a:solidFill>
                            <a:srgbClr val="D9D9D9"/>
                          </a:solidFill>
                        </wps:spPr>
                        <wps:bodyPr wrap="square" lIns="0" tIns="0" rIns="0" bIns="0" rtlCol="0">
                          <a:prstTxWarp prst="textNoShape">
                            <a:avLst/>
                          </a:prstTxWarp>
                          <a:noAutofit/>
                        </wps:bodyPr>
                      </wps:wsp>
                      <pic:pic>
                        <pic:nvPicPr>
                          <pic:cNvPr id="210" name="Image 210"/>
                          <pic:cNvPicPr/>
                        </pic:nvPicPr>
                        <pic:blipFill>
                          <a:blip r:embed="rId40" cstate="print"/>
                          <a:stretch>
                            <a:fillRect/>
                          </a:stretch>
                        </pic:blipFill>
                        <pic:spPr>
                          <a:xfrm>
                            <a:off x="0" y="0"/>
                            <a:ext cx="2662681" cy="1525270"/>
                          </a:xfrm>
                          <a:prstGeom prst="rect">
                            <a:avLst/>
                          </a:prstGeom>
                        </pic:spPr>
                      </pic:pic>
                      <wps:wsp>
                        <wps:cNvPr id="211" name="Textbox 211"/>
                        <wps:cNvSpPr txBox="1"/>
                        <wps:spPr>
                          <a:xfrm>
                            <a:off x="635" y="253"/>
                            <a:ext cx="2686050" cy="237934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07"/>
                                <w:rPr>
                                  <w:sz w:val="14"/>
                                </w:rPr>
                              </w:pPr>
                            </w:p>
                            <w:p>
                              <w:pPr>
                                <w:spacing w:before="0"/>
                                <w:ind w:left="112" w:right="115" w:firstLine="0"/>
                                <w:jc w:val="left"/>
                                <w:rPr>
                                  <w:sz w:val="14"/>
                                </w:rPr>
                              </w:pPr>
                              <w:r>
                                <w:rPr>
                                  <w:sz w:val="14"/>
                                </w:rPr>
                                <w:t>Πηγές:</w:t>
                              </w:r>
                              <w:r>
                                <w:rPr>
                                  <w:spacing w:val="-8"/>
                                  <w:sz w:val="14"/>
                                </w:rPr>
                                <w:t> </w:t>
                              </w:r>
                              <w:r>
                                <w:rPr>
                                  <w:sz w:val="14"/>
                                </w:rPr>
                                <w:t>Ευρωπαϊκή</w:t>
                              </w:r>
                              <w:r>
                                <w:rPr>
                                  <w:spacing w:val="-8"/>
                                  <w:sz w:val="14"/>
                                </w:rPr>
                                <w:t> </w:t>
                              </w:r>
                              <w:r>
                                <w:rPr>
                                  <w:sz w:val="14"/>
                                </w:rPr>
                                <w:t>Κεντρική</w:t>
                              </w:r>
                              <w:r>
                                <w:rPr>
                                  <w:spacing w:val="-8"/>
                                  <w:sz w:val="14"/>
                                </w:rPr>
                                <w:t> </w:t>
                              </w:r>
                              <w:r>
                                <w:rPr>
                                  <w:sz w:val="14"/>
                                </w:rPr>
                                <w:t>Τράπεζα,</w:t>
                              </w:r>
                              <w:r>
                                <w:rPr>
                                  <w:spacing w:val="-6"/>
                                  <w:sz w:val="14"/>
                                </w:rPr>
                                <w:t> </w:t>
                              </w:r>
                              <w:r>
                                <w:rPr>
                                  <w:sz w:val="14"/>
                                </w:rPr>
                                <w:t>Ομοσπονδιακή</w:t>
                              </w:r>
                              <w:r>
                                <w:rPr>
                                  <w:spacing w:val="-8"/>
                                  <w:sz w:val="14"/>
                                </w:rPr>
                                <w:t> </w:t>
                              </w:r>
                              <w:r>
                                <w:rPr>
                                  <w:sz w:val="14"/>
                                </w:rPr>
                                <w:t>Τράπεζα</w:t>
                              </w:r>
                              <w:r>
                                <w:rPr>
                                  <w:spacing w:val="-8"/>
                                  <w:sz w:val="14"/>
                                </w:rPr>
                                <w:t> </w:t>
                              </w:r>
                              <w:r>
                                <w:rPr>
                                  <w:sz w:val="14"/>
                                </w:rPr>
                                <w:t>των</w:t>
                              </w:r>
                              <w:r>
                                <w:rPr>
                                  <w:spacing w:val="40"/>
                                  <w:sz w:val="14"/>
                                </w:rPr>
                                <w:t> </w:t>
                              </w:r>
                              <w:r>
                                <w:rPr>
                                  <w:sz w:val="14"/>
                                </w:rPr>
                                <w:t>ΗΠΑ, Τράπεζα της Αγγλίας.</w:t>
                              </w:r>
                            </w:p>
                            <w:p>
                              <w:pPr>
                                <w:spacing w:before="119"/>
                                <w:ind w:left="112" w:right="0" w:firstLine="0"/>
                                <w:jc w:val="left"/>
                                <w:rPr>
                                  <w:sz w:val="14"/>
                                </w:rPr>
                              </w:pPr>
                              <w:r>
                                <w:rPr>
                                  <w:sz w:val="14"/>
                                </w:rPr>
                                <w:t>*</w:t>
                              </w:r>
                              <w:r>
                                <w:rPr>
                                  <w:spacing w:val="-9"/>
                                  <w:sz w:val="14"/>
                                </w:rPr>
                                <w:t> </w:t>
                              </w:r>
                              <w:r>
                                <w:rPr>
                                  <w:sz w:val="14"/>
                                </w:rPr>
                                <w:t>Επιτόκιο</w:t>
                              </w:r>
                              <w:r>
                                <w:rPr>
                                  <w:spacing w:val="-7"/>
                                  <w:sz w:val="14"/>
                                </w:rPr>
                                <w:t> </w:t>
                              </w:r>
                              <w:r>
                                <w:rPr>
                                  <w:sz w:val="14"/>
                                </w:rPr>
                                <w:t>διευκόλυνσης</w:t>
                              </w:r>
                              <w:r>
                                <w:rPr>
                                  <w:spacing w:val="-7"/>
                                  <w:sz w:val="14"/>
                                </w:rPr>
                                <w:t> </w:t>
                              </w:r>
                              <w:r>
                                <w:rPr>
                                  <w:sz w:val="14"/>
                                </w:rPr>
                                <w:t>αποδοχής</w:t>
                              </w:r>
                              <w:r>
                                <w:rPr>
                                  <w:spacing w:val="-6"/>
                                  <w:sz w:val="14"/>
                                </w:rPr>
                                <w:t> </w:t>
                              </w:r>
                              <w:r>
                                <w:rPr>
                                  <w:spacing w:val="-2"/>
                                  <w:sz w:val="14"/>
                                </w:rPr>
                                <w:t>καταθέσεων.</w:t>
                              </w:r>
                            </w:p>
                            <w:p>
                              <w:pPr>
                                <w:spacing w:before="120"/>
                                <w:ind w:left="112" w:right="0" w:firstLine="0"/>
                                <w:jc w:val="left"/>
                                <w:rPr>
                                  <w:sz w:val="14"/>
                                </w:rPr>
                              </w:pPr>
                              <w:r>
                                <w:rPr>
                                  <w:sz w:val="14"/>
                                </w:rPr>
                                <w:t>**</w:t>
                              </w:r>
                              <w:r>
                                <w:rPr>
                                  <w:spacing w:val="-5"/>
                                  <w:sz w:val="14"/>
                                </w:rPr>
                                <w:t> </w:t>
                              </w:r>
                              <w:r>
                                <w:rPr>
                                  <w:sz w:val="14"/>
                                </w:rPr>
                                <w:t>Βασικό</w:t>
                              </w:r>
                              <w:r>
                                <w:rPr>
                                  <w:spacing w:val="-4"/>
                                  <w:sz w:val="14"/>
                                </w:rPr>
                                <w:t> </w:t>
                              </w:r>
                              <w:r>
                                <w:rPr>
                                  <w:sz w:val="14"/>
                                </w:rPr>
                                <w:t>επιτόκιο</w:t>
                              </w:r>
                              <w:r>
                                <w:rPr>
                                  <w:spacing w:val="-4"/>
                                  <w:sz w:val="14"/>
                                </w:rPr>
                                <w:t> </w:t>
                              </w:r>
                              <w:r>
                                <w:rPr>
                                  <w:sz w:val="14"/>
                                </w:rPr>
                                <w:t>(άνω</w:t>
                              </w:r>
                              <w:r>
                                <w:rPr>
                                  <w:spacing w:val="-5"/>
                                  <w:sz w:val="14"/>
                                </w:rPr>
                                <w:t> </w:t>
                              </w:r>
                              <w:r>
                                <w:rPr>
                                  <w:spacing w:val="-2"/>
                                  <w:sz w:val="14"/>
                                </w:rPr>
                                <w:t>όριο)</w:t>
                              </w:r>
                            </w:p>
                            <w:p>
                              <w:pPr>
                                <w:spacing w:before="120"/>
                                <w:ind w:left="112" w:right="0" w:firstLine="0"/>
                                <w:jc w:val="left"/>
                                <w:rPr>
                                  <w:sz w:val="14"/>
                                </w:rPr>
                              </w:pPr>
                              <w:r>
                                <w:rPr>
                                  <w:sz w:val="14"/>
                                </w:rPr>
                                <w:t>***</w:t>
                              </w:r>
                              <w:r>
                                <w:rPr>
                                  <w:spacing w:val="-5"/>
                                  <w:sz w:val="14"/>
                                </w:rPr>
                                <w:t> </w:t>
                              </w:r>
                              <w:r>
                                <w:rPr>
                                  <w:sz w:val="14"/>
                                </w:rPr>
                                <w:t>Βασικό</w:t>
                              </w:r>
                              <w:r>
                                <w:rPr>
                                  <w:spacing w:val="-5"/>
                                  <w:sz w:val="14"/>
                                </w:rPr>
                                <w:t> </w:t>
                              </w:r>
                              <w:r>
                                <w:rPr>
                                  <w:spacing w:val="-2"/>
                                  <w:sz w:val="14"/>
                                </w:rPr>
                                <w:t>επιτόκιο</w:t>
                              </w:r>
                            </w:p>
                          </w:txbxContent>
                        </wps:txbx>
                        <wps:bodyPr wrap="square" lIns="0" tIns="0" rIns="0" bIns="0" rtlCol="0">
                          <a:noAutofit/>
                        </wps:bodyPr>
                      </wps:wsp>
                    </wpg:wgp>
                  </a:graphicData>
                </a:graphic>
              </wp:inline>
            </w:drawing>
          </mc:Choice>
          <mc:Fallback>
            <w:pict>
              <v:group style="width:211.55pt;height:187.4pt;mso-position-horizontal-relative:char;mso-position-vertical-relative:line" id="docshapegroup192" coordorigin="0,0" coordsize="4231,3748">
                <v:shape style="position:absolute;left:1;top:0;width:4230;height:3747" id="docshape193" coordorigin="1,0" coordsize="4230,3747" path="m4231,2403l1,2403,1,3747,4231,3747,4231,2403xm4231,0l1,0,1,2403,4231,2403,4231,0xe" filled="true" fillcolor="#d9d9d9" stroked="false">
                  <v:path arrowok="t"/>
                  <v:fill type="solid"/>
                </v:shape>
                <v:shape style="position:absolute;left:0;top:0;width:4194;height:2402" type="#_x0000_t75" id="docshape194" stroked="false">
                  <v:imagedata r:id="rId40" o:title=""/>
                </v:shape>
                <v:shape style="position:absolute;left:1;top:0;width:4230;height:3747" type="#_x0000_t202" id="docshape195"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07"/>
                          <w:rPr>
                            <w:sz w:val="14"/>
                          </w:rPr>
                        </w:pPr>
                      </w:p>
                      <w:p>
                        <w:pPr>
                          <w:spacing w:before="0"/>
                          <w:ind w:left="112" w:right="115" w:firstLine="0"/>
                          <w:jc w:val="left"/>
                          <w:rPr>
                            <w:sz w:val="14"/>
                          </w:rPr>
                        </w:pPr>
                        <w:r>
                          <w:rPr>
                            <w:sz w:val="14"/>
                          </w:rPr>
                          <w:t>Πηγές:</w:t>
                        </w:r>
                        <w:r>
                          <w:rPr>
                            <w:spacing w:val="-8"/>
                            <w:sz w:val="14"/>
                          </w:rPr>
                          <w:t> </w:t>
                        </w:r>
                        <w:r>
                          <w:rPr>
                            <w:sz w:val="14"/>
                          </w:rPr>
                          <w:t>Ευρωπαϊκή</w:t>
                        </w:r>
                        <w:r>
                          <w:rPr>
                            <w:spacing w:val="-8"/>
                            <w:sz w:val="14"/>
                          </w:rPr>
                          <w:t> </w:t>
                        </w:r>
                        <w:r>
                          <w:rPr>
                            <w:sz w:val="14"/>
                          </w:rPr>
                          <w:t>Κεντρική</w:t>
                        </w:r>
                        <w:r>
                          <w:rPr>
                            <w:spacing w:val="-8"/>
                            <w:sz w:val="14"/>
                          </w:rPr>
                          <w:t> </w:t>
                        </w:r>
                        <w:r>
                          <w:rPr>
                            <w:sz w:val="14"/>
                          </w:rPr>
                          <w:t>Τράπεζα,</w:t>
                        </w:r>
                        <w:r>
                          <w:rPr>
                            <w:spacing w:val="-6"/>
                            <w:sz w:val="14"/>
                          </w:rPr>
                          <w:t> </w:t>
                        </w:r>
                        <w:r>
                          <w:rPr>
                            <w:sz w:val="14"/>
                          </w:rPr>
                          <w:t>Ομοσπονδιακή</w:t>
                        </w:r>
                        <w:r>
                          <w:rPr>
                            <w:spacing w:val="-8"/>
                            <w:sz w:val="14"/>
                          </w:rPr>
                          <w:t> </w:t>
                        </w:r>
                        <w:r>
                          <w:rPr>
                            <w:sz w:val="14"/>
                          </w:rPr>
                          <w:t>Τράπεζα</w:t>
                        </w:r>
                        <w:r>
                          <w:rPr>
                            <w:spacing w:val="-8"/>
                            <w:sz w:val="14"/>
                          </w:rPr>
                          <w:t> </w:t>
                        </w:r>
                        <w:r>
                          <w:rPr>
                            <w:sz w:val="14"/>
                          </w:rPr>
                          <w:t>των</w:t>
                        </w:r>
                        <w:r>
                          <w:rPr>
                            <w:spacing w:val="40"/>
                            <w:sz w:val="14"/>
                          </w:rPr>
                          <w:t> </w:t>
                        </w:r>
                        <w:r>
                          <w:rPr>
                            <w:sz w:val="14"/>
                          </w:rPr>
                          <w:t>ΗΠΑ, Τράπεζα της Αγγλίας.</w:t>
                        </w:r>
                      </w:p>
                      <w:p>
                        <w:pPr>
                          <w:spacing w:before="119"/>
                          <w:ind w:left="112" w:right="0" w:firstLine="0"/>
                          <w:jc w:val="left"/>
                          <w:rPr>
                            <w:sz w:val="14"/>
                          </w:rPr>
                        </w:pPr>
                        <w:r>
                          <w:rPr>
                            <w:sz w:val="14"/>
                          </w:rPr>
                          <w:t>*</w:t>
                        </w:r>
                        <w:r>
                          <w:rPr>
                            <w:spacing w:val="-9"/>
                            <w:sz w:val="14"/>
                          </w:rPr>
                          <w:t> </w:t>
                        </w:r>
                        <w:r>
                          <w:rPr>
                            <w:sz w:val="14"/>
                          </w:rPr>
                          <w:t>Επιτόκιο</w:t>
                        </w:r>
                        <w:r>
                          <w:rPr>
                            <w:spacing w:val="-7"/>
                            <w:sz w:val="14"/>
                          </w:rPr>
                          <w:t> </w:t>
                        </w:r>
                        <w:r>
                          <w:rPr>
                            <w:sz w:val="14"/>
                          </w:rPr>
                          <w:t>διευκόλυνσης</w:t>
                        </w:r>
                        <w:r>
                          <w:rPr>
                            <w:spacing w:val="-7"/>
                            <w:sz w:val="14"/>
                          </w:rPr>
                          <w:t> </w:t>
                        </w:r>
                        <w:r>
                          <w:rPr>
                            <w:sz w:val="14"/>
                          </w:rPr>
                          <w:t>αποδοχής</w:t>
                        </w:r>
                        <w:r>
                          <w:rPr>
                            <w:spacing w:val="-6"/>
                            <w:sz w:val="14"/>
                          </w:rPr>
                          <w:t> </w:t>
                        </w:r>
                        <w:r>
                          <w:rPr>
                            <w:spacing w:val="-2"/>
                            <w:sz w:val="14"/>
                          </w:rPr>
                          <w:t>καταθέσεων.</w:t>
                        </w:r>
                      </w:p>
                      <w:p>
                        <w:pPr>
                          <w:spacing w:before="120"/>
                          <w:ind w:left="112" w:right="0" w:firstLine="0"/>
                          <w:jc w:val="left"/>
                          <w:rPr>
                            <w:sz w:val="14"/>
                          </w:rPr>
                        </w:pPr>
                        <w:r>
                          <w:rPr>
                            <w:sz w:val="14"/>
                          </w:rPr>
                          <w:t>**</w:t>
                        </w:r>
                        <w:r>
                          <w:rPr>
                            <w:spacing w:val="-5"/>
                            <w:sz w:val="14"/>
                          </w:rPr>
                          <w:t> </w:t>
                        </w:r>
                        <w:r>
                          <w:rPr>
                            <w:sz w:val="14"/>
                          </w:rPr>
                          <w:t>Βασικό</w:t>
                        </w:r>
                        <w:r>
                          <w:rPr>
                            <w:spacing w:val="-4"/>
                            <w:sz w:val="14"/>
                          </w:rPr>
                          <w:t> </w:t>
                        </w:r>
                        <w:r>
                          <w:rPr>
                            <w:sz w:val="14"/>
                          </w:rPr>
                          <w:t>επιτόκιο</w:t>
                        </w:r>
                        <w:r>
                          <w:rPr>
                            <w:spacing w:val="-4"/>
                            <w:sz w:val="14"/>
                          </w:rPr>
                          <w:t> </w:t>
                        </w:r>
                        <w:r>
                          <w:rPr>
                            <w:sz w:val="14"/>
                          </w:rPr>
                          <w:t>(άνω</w:t>
                        </w:r>
                        <w:r>
                          <w:rPr>
                            <w:spacing w:val="-5"/>
                            <w:sz w:val="14"/>
                          </w:rPr>
                          <w:t> </w:t>
                        </w:r>
                        <w:r>
                          <w:rPr>
                            <w:spacing w:val="-2"/>
                            <w:sz w:val="14"/>
                          </w:rPr>
                          <w:t>όριο)</w:t>
                        </w:r>
                      </w:p>
                      <w:p>
                        <w:pPr>
                          <w:spacing w:before="120"/>
                          <w:ind w:left="112" w:right="0" w:firstLine="0"/>
                          <w:jc w:val="left"/>
                          <w:rPr>
                            <w:sz w:val="14"/>
                          </w:rPr>
                        </w:pPr>
                        <w:r>
                          <w:rPr>
                            <w:sz w:val="14"/>
                          </w:rPr>
                          <w:t>***</w:t>
                        </w:r>
                        <w:r>
                          <w:rPr>
                            <w:spacing w:val="-5"/>
                            <w:sz w:val="14"/>
                          </w:rPr>
                          <w:t> </w:t>
                        </w:r>
                        <w:r>
                          <w:rPr>
                            <w:sz w:val="14"/>
                          </w:rPr>
                          <w:t>Βασικό</w:t>
                        </w:r>
                        <w:r>
                          <w:rPr>
                            <w:spacing w:val="-5"/>
                            <w:sz w:val="14"/>
                          </w:rPr>
                          <w:t> </w:t>
                        </w:r>
                        <w:r>
                          <w:rPr>
                            <w:spacing w:val="-2"/>
                            <w:sz w:val="14"/>
                          </w:rPr>
                          <w:t>επιτόκιο</w:t>
                        </w:r>
                      </w:p>
                    </w:txbxContent>
                  </v:textbox>
                  <w10:wrap type="none"/>
                </v:shape>
              </v:group>
            </w:pict>
          </mc:Fallback>
        </mc:AlternateContent>
      </w:r>
      <w:r>
        <w:rPr>
          <w:sz w:val="20"/>
        </w:rPr>
      </w:r>
    </w:p>
    <w:p>
      <w:pPr>
        <w:spacing w:after="0" w:line="240" w:lineRule="auto"/>
        <w:rPr>
          <w:sz w:val="20"/>
        </w:rPr>
        <w:sectPr>
          <w:pgSz w:w="11910" w:h="16850"/>
          <w:pgMar w:header="0" w:footer="1108" w:top="1840" w:bottom="1360" w:left="1417" w:right="850"/>
          <w:cols w:num="2" w:equalWidth="0">
            <w:col w:w="4257" w:space="61"/>
            <w:col w:w="5325"/>
          </w:cols>
        </w:sectPr>
      </w:pPr>
    </w:p>
    <w:p>
      <w:pPr>
        <w:pStyle w:val="BodyText"/>
        <w:spacing w:line="285" w:lineRule="auto"/>
        <w:ind w:left="172" w:right="956"/>
        <w:jc w:val="both"/>
      </w:pPr>
      <w:r>
        <w:rPr/>
        <mc:AlternateContent>
          <mc:Choice Requires="wps">
            <w:drawing>
              <wp:anchor distT="0" distB="0" distL="0" distR="0" allowOverlap="1" layoutInCell="1" locked="0" behindDoc="0" simplePos="0" relativeHeight="15755776">
                <wp:simplePos x="0" y="0"/>
                <wp:positionH relativeFrom="page">
                  <wp:posOffset>3735959</wp:posOffset>
                </wp:positionH>
                <wp:positionV relativeFrom="paragraph">
                  <wp:posOffset>963605</wp:posOffset>
                </wp:positionV>
                <wp:extent cx="2665095" cy="33845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665095" cy="338455"/>
                        </a:xfrm>
                        <a:prstGeom prst="rect">
                          <a:avLst/>
                        </a:prstGeom>
                        <a:solidFill>
                          <a:srgbClr val="1F487C"/>
                        </a:solidFill>
                      </wps:spPr>
                      <wps:txbx>
                        <w:txbxContent>
                          <w:p>
                            <w:pPr>
                              <w:spacing w:before="60"/>
                              <w:ind w:left="112" w:right="11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II.11</w:t>
                            </w:r>
                            <w:r>
                              <w:rPr>
                                <w:b/>
                                <w:smallCaps w:val="0"/>
                                <w:color w:val="FFFFFF"/>
                                <w:spacing w:val="-6"/>
                                <w:sz w:val="18"/>
                              </w:rPr>
                              <w:t> </w:t>
                            </w:r>
                            <w:r>
                              <w:rPr>
                                <w:b/>
                                <w:smallCaps w:val="0"/>
                                <w:color w:val="FFFFFF"/>
                                <w:sz w:val="18"/>
                              </w:rPr>
                              <w:t>Αποδόσε</w:t>
                            </w:r>
                            <w:r>
                              <w:rPr>
                                <w:b/>
                                <w:smallCaps/>
                                <w:color w:val="FFFFFF"/>
                                <w:sz w:val="18"/>
                              </w:rPr>
                              <w:t>ι</w:t>
                            </w:r>
                            <w:r>
                              <w:rPr>
                                <w:b/>
                                <w:smallCaps w:val="0"/>
                                <w:color w:val="FFFFFF"/>
                                <w:sz w:val="18"/>
                              </w:rPr>
                              <w:t>ς</w:t>
                            </w:r>
                            <w:r>
                              <w:rPr>
                                <w:b/>
                                <w:smallCaps w:val="0"/>
                                <w:color w:val="FFFFFF"/>
                                <w:spacing w:val="-8"/>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6"/>
                                <w:sz w:val="18"/>
                              </w:rPr>
                              <w:t> </w:t>
                            </w:r>
                            <w:r>
                              <w:rPr>
                                <w:b/>
                                <w:smallCaps w:val="0"/>
                                <w:color w:val="FFFFFF"/>
                                <w:sz w:val="18"/>
                              </w:rPr>
                              <w:t>κα</w:t>
                            </w:r>
                            <w:r>
                              <w:rPr>
                                <w:b/>
                                <w:smallCaps/>
                                <w:color w:val="FFFFFF"/>
                                <w:sz w:val="18"/>
                              </w:rPr>
                              <w:t>ι</w:t>
                            </w:r>
                            <w:r>
                              <w:rPr>
                                <w:b/>
                                <w:smallCaps w:val="0"/>
                                <w:color w:val="FFFFFF"/>
                                <w:spacing w:val="-7"/>
                                <w:sz w:val="18"/>
                              </w:rPr>
                              <w:t> </w:t>
                            </w:r>
                            <w:r>
                              <w:rPr>
                                <w:b/>
                                <w:smallCaps w:val="0"/>
                                <w:color w:val="FFFFFF"/>
                                <w:sz w:val="18"/>
                              </w:rPr>
                              <w:t>γερμαν</w:t>
                            </w:r>
                            <w:r>
                              <w:rPr>
                                <w:b/>
                                <w:smallCaps/>
                                <w:color w:val="FFFFFF"/>
                                <w:sz w:val="18"/>
                              </w:rPr>
                              <w:t>ι</w:t>
                            </w:r>
                            <w:r>
                              <w:rPr>
                                <w:b/>
                                <w:smallCaps w:val="0"/>
                                <w:color w:val="FFFFFF"/>
                                <w:sz w:val="18"/>
                              </w:rPr>
                              <w:t>-κών ομολόγων 10ετούς δ</w:t>
                            </w:r>
                            <w:r>
                              <w:rPr>
                                <w:b/>
                                <w:smallCaps/>
                                <w:color w:val="FFFFFF"/>
                                <w:sz w:val="18"/>
                              </w:rPr>
                              <w:t>ι</w:t>
                            </w:r>
                            <w:r>
                              <w:rPr>
                                <w:b/>
                                <w:smallCaps w:val="0"/>
                                <w:color w:val="FFFFFF"/>
                                <w:sz w:val="18"/>
                              </w:rPr>
                              <w:t>άρκε</w:t>
                            </w:r>
                            <w:r>
                              <w:rPr>
                                <w:b/>
                                <w:smallCaps/>
                                <w:color w:val="FFFFFF"/>
                                <w:sz w:val="18"/>
                              </w:rPr>
                              <w:t>ι</w:t>
                            </w:r>
                            <w:r>
                              <w:rPr>
                                <w:b/>
                                <w:smallCaps w:val="0"/>
                                <w:color w:val="FFFFFF"/>
                                <w:sz w:val="18"/>
                              </w:rPr>
                              <w:t>ας</w:t>
                            </w:r>
                          </w:p>
                        </w:txbxContent>
                      </wps:txbx>
                      <wps:bodyPr wrap="square" lIns="0" tIns="0" rIns="0" bIns="0" rtlCol="0">
                        <a:noAutofit/>
                      </wps:bodyPr>
                    </wps:wsp>
                  </a:graphicData>
                </a:graphic>
              </wp:anchor>
            </w:drawing>
          </mc:Choice>
          <mc:Fallback>
            <w:pict>
              <v:shape style="position:absolute;margin-left:294.170013pt;margin-top:75.874451pt;width:209.85pt;height:26.65pt;mso-position-horizontal-relative:page;mso-position-vertical-relative:paragraph;z-index:15755776" type="#_x0000_t202" id="docshape196" filled="true" fillcolor="#1f487c" stroked="false">
                <v:textbox inset="0,0,0,0">
                  <w:txbxContent>
                    <w:p>
                      <w:pPr>
                        <w:spacing w:before="60"/>
                        <w:ind w:left="112" w:right="11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II.11</w:t>
                      </w:r>
                      <w:r>
                        <w:rPr>
                          <w:b/>
                          <w:smallCaps w:val="0"/>
                          <w:color w:val="FFFFFF"/>
                          <w:spacing w:val="-6"/>
                          <w:sz w:val="18"/>
                        </w:rPr>
                        <w:t> </w:t>
                      </w:r>
                      <w:r>
                        <w:rPr>
                          <w:b/>
                          <w:smallCaps w:val="0"/>
                          <w:color w:val="FFFFFF"/>
                          <w:sz w:val="18"/>
                        </w:rPr>
                        <w:t>Αποδόσε</w:t>
                      </w:r>
                      <w:r>
                        <w:rPr>
                          <w:b/>
                          <w:smallCaps/>
                          <w:color w:val="FFFFFF"/>
                          <w:sz w:val="18"/>
                        </w:rPr>
                        <w:t>ι</w:t>
                      </w:r>
                      <w:r>
                        <w:rPr>
                          <w:b/>
                          <w:smallCaps w:val="0"/>
                          <w:color w:val="FFFFFF"/>
                          <w:sz w:val="18"/>
                        </w:rPr>
                        <w:t>ς</w:t>
                      </w:r>
                      <w:r>
                        <w:rPr>
                          <w:b/>
                          <w:smallCaps w:val="0"/>
                          <w:color w:val="FFFFFF"/>
                          <w:spacing w:val="-8"/>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6"/>
                          <w:sz w:val="18"/>
                        </w:rPr>
                        <w:t> </w:t>
                      </w:r>
                      <w:r>
                        <w:rPr>
                          <w:b/>
                          <w:smallCaps w:val="0"/>
                          <w:color w:val="FFFFFF"/>
                          <w:sz w:val="18"/>
                        </w:rPr>
                        <w:t>κα</w:t>
                      </w:r>
                      <w:r>
                        <w:rPr>
                          <w:b/>
                          <w:smallCaps/>
                          <w:color w:val="FFFFFF"/>
                          <w:sz w:val="18"/>
                        </w:rPr>
                        <w:t>ι</w:t>
                      </w:r>
                      <w:r>
                        <w:rPr>
                          <w:b/>
                          <w:smallCaps w:val="0"/>
                          <w:color w:val="FFFFFF"/>
                          <w:spacing w:val="-7"/>
                          <w:sz w:val="18"/>
                        </w:rPr>
                        <w:t> </w:t>
                      </w:r>
                      <w:r>
                        <w:rPr>
                          <w:b/>
                          <w:smallCaps w:val="0"/>
                          <w:color w:val="FFFFFF"/>
                          <w:sz w:val="18"/>
                        </w:rPr>
                        <w:t>γερμαν</w:t>
                      </w:r>
                      <w:r>
                        <w:rPr>
                          <w:b/>
                          <w:smallCaps/>
                          <w:color w:val="FFFFFF"/>
                          <w:sz w:val="18"/>
                        </w:rPr>
                        <w:t>ι</w:t>
                      </w:r>
                      <w:r>
                        <w:rPr>
                          <w:b/>
                          <w:smallCaps w:val="0"/>
                          <w:color w:val="FFFFFF"/>
                          <w:sz w:val="18"/>
                        </w:rPr>
                        <w:t>-κών ομολόγων 10ετούς δ</w:t>
                      </w:r>
                      <w:r>
                        <w:rPr>
                          <w:b/>
                          <w:smallCaps/>
                          <w:color w:val="FFFFFF"/>
                          <w:sz w:val="18"/>
                        </w:rPr>
                        <w:t>ι</w:t>
                      </w:r>
                      <w:r>
                        <w:rPr>
                          <w:b/>
                          <w:smallCaps w:val="0"/>
                          <w:color w:val="FFFFFF"/>
                          <w:sz w:val="18"/>
                        </w:rPr>
                        <w:t>άρκε</w:t>
                      </w:r>
                      <w:r>
                        <w:rPr>
                          <w:b/>
                          <w:smallCaps/>
                          <w:color w:val="FFFFFF"/>
                          <w:sz w:val="18"/>
                        </w:rPr>
                        <w:t>ι</w:t>
                      </w:r>
                      <w:r>
                        <w:rPr>
                          <w:b/>
                          <w:smallCaps w:val="0"/>
                          <w:color w:val="FFFFFF"/>
                          <w:sz w:val="18"/>
                        </w:rPr>
                        <w:t>ας</w:t>
                      </w:r>
                    </w:p>
                  </w:txbxContent>
                </v:textbox>
                <v:fill type="solid"/>
                <w10:wrap type="none"/>
              </v:shape>
            </w:pict>
          </mc:Fallback>
        </mc:AlternateContent>
      </w:r>
      <w:r>
        <w:rPr/>
        <w:t>λική</w:t>
      </w:r>
      <w:r>
        <w:rPr>
          <w:spacing w:val="-2"/>
        </w:rPr>
        <w:t> </w:t>
      </w:r>
      <w:r>
        <w:rPr/>
        <w:t>μείωση</w:t>
      </w:r>
      <w:r>
        <w:rPr>
          <w:spacing w:val="-4"/>
        </w:rPr>
        <w:t> </w:t>
      </w:r>
      <w:r>
        <w:rPr/>
        <w:t>του</w:t>
      </w:r>
      <w:r>
        <w:rPr>
          <w:spacing w:val="-2"/>
        </w:rPr>
        <w:t> </w:t>
      </w:r>
      <w:r>
        <w:rPr/>
        <w:t>βασικού</w:t>
      </w:r>
      <w:r>
        <w:rPr>
          <w:spacing w:val="-2"/>
        </w:rPr>
        <w:t> </w:t>
      </w:r>
      <w:r>
        <w:rPr/>
        <w:t>της</w:t>
      </w:r>
      <w:r>
        <w:rPr>
          <w:spacing w:val="-2"/>
        </w:rPr>
        <w:t> </w:t>
      </w:r>
      <w:r>
        <w:rPr/>
        <w:t>επιτοκίου</w:t>
      </w:r>
      <w:r>
        <w:rPr>
          <w:spacing w:val="-2"/>
        </w:rPr>
        <w:t> </w:t>
      </w:r>
      <w:r>
        <w:rPr/>
        <w:t>κατά</w:t>
      </w:r>
      <w:r>
        <w:rPr>
          <w:spacing w:val="-2"/>
        </w:rPr>
        <w:t> </w:t>
      </w:r>
      <w:r>
        <w:rPr/>
        <w:t>100</w:t>
      </w:r>
      <w:r>
        <w:rPr>
          <w:spacing w:val="-4"/>
        </w:rPr>
        <w:t> </w:t>
      </w:r>
      <w:r>
        <w:rPr/>
        <w:t>μονάδες</w:t>
      </w:r>
      <w:r>
        <w:rPr>
          <w:spacing w:val="-2"/>
        </w:rPr>
        <w:t> </w:t>
      </w:r>
      <w:r>
        <w:rPr/>
        <w:t>βάσης</w:t>
      </w:r>
      <w:r>
        <w:rPr>
          <w:spacing w:val="-4"/>
        </w:rPr>
        <w:t> </w:t>
      </w:r>
      <w:r>
        <w:rPr/>
        <w:t>σε τέσσερις</w:t>
      </w:r>
      <w:r>
        <w:rPr>
          <w:spacing w:val="-2"/>
        </w:rPr>
        <w:t> </w:t>
      </w:r>
      <w:r>
        <w:rPr/>
        <w:t>διαδοχικές φάσεις κατά τη διάρκεια του 2025, με το επιτόκιο να διαμορφώνεται στο 3,75%. Αντίστοιχα, η Ομο-σπονδιακή Τράπεζα</w:t>
      </w:r>
      <w:r>
        <w:rPr>
          <w:spacing w:val="-1"/>
        </w:rPr>
        <w:t> </w:t>
      </w:r>
      <w:r>
        <w:rPr/>
        <w:t>των ΗΠΑ</w:t>
      </w:r>
      <w:r>
        <w:rPr>
          <w:spacing w:val="-1"/>
        </w:rPr>
        <w:t> </w:t>
      </w:r>
      <w:r>
        <w:rPr/>
        <w:t>(Fed) μείωσε το</w:t>
      </w:r>
      <w:r>
        <w:rPr>
          <w:spacing w:val="-2"/>
        </w:rPr>
        <w:t> </w:t>
      </w:r>
      <w:r>
        <w:rPr/>
        <w:t>εύρος-στόχο</w:t>
      </w:r>
      <w:r>
        <w:rPr>
          <w:spacing w:val="-2"/>
        </w:rPr>
        <w:t> </w:t>
      </w:r>
      <w:r>
        <w:rPr/>
        <w:t>του</w:t>
      </w:r>
      <w:r>
        <w:rPr>
          <w:spacing w:val="-1"/>
        </w:rPr>
        <w:t> </w:t>
      </w:r>
      <w:r>
        <w:rPr/>
        <w:t>βασικού</w:t>
      </w:r>
      <w:r>
        <w:rPr>
          <w:spacing w:val="-2"/>
        </w:rPr>
        <w:t> </w:t>
      </w:r>
      <w:r>
        <w:rPr/>
        <w:t>της</w:t>
      </w:r>
      <w:r>
        <w:rPr>
          <w:spacing w:val="-1"/>
        </w:rPr>
        <w:t> </w:t>
      </w:r>
      <w:r>
        <w:rPr/>
        <w:t>επιτοκίου κατά</w:t>
      </w:r>
      <w:r>
        <w:rPr>
          <w:spacing w:val="-1"/>
        </w:rPr>
        <w:t> </w:t>
      </w:r>
      <w:r>
        <w:rPr/>
        <w:t>75 μονάδες</w:t>
      </w:r>
      <w:r>
        <w:rPr>
          <w:spacing w:val="-12"/>
        </w:rPr>
        <w:t> </w:t>
      </w:r>
      <w:r>
        <w:rPr/>
        <w:t>βάσης</w:t>
      </w:r>
      <w:r>
        <w:rPr>
          <w:spacing w:val="-12"/>
        </w:rPr>
        <w:t> </w:t>
      </w:r>
      <w:r>
        <w:rPr/>
        <w:t>το</w:t>
      </w:r>
      <w:r>
        <w:rPr>
          <w:spacing w:val="-11"/>
        </w:rPr>
        <w:t> </w:t>
      </w:r>
      <w:r>
        <w:rPr/>
        <w:t>2025,</w:t>
      </w:r>
      <w:r>
        <w:rPr>
          <w:spacing w:val="-11"/>
        </w:rPr>
        <w:t> </w:t>
      </w:r>
      <w:r>
        <w:rPr/>
        <w:t>με</w:t>
      </w:r>
      <w:r>
        <w:rPr>
          <w:spacing w:val="-10"/>
        </w:rPr>
        <w:t> </w:t>
      </w:r>
      <w:r>
        <w:rPr/>
        <w:t>τρεις</w:t>
      </w:r>
      <w:r>
        <w:rPr>
          <w:spacing w:val="-11"/>
        </w:rPr>
        <w:t> </w:t>
      </w:r>
      <w:r>
        <w:rPr/>
        <w:t>μειώσεις</w:t>
      </w:r>
      <w:r>
        <w:rPr>
          <w:spacing w:val="-11"/>
        </w:rPr>
        <w:t> </w:t>
      </w:r>
      <w:r>
        <w:rPr/>
        <w:t>των</w:t>
      </w:r>
      <w:r>
        <w:rPr>
          <w:spacing w:val="-10"/>
        </w:rPr>
        <w:t> </w:t>
      </w:r>
      <w:r>
        <w:rPr/>
        <w:t>25</w:t>
      </w:r>
      <w:r>
        <w:rPr>
          <w:spacing w:val="-11"/>
        </w:rPr>
        <w:t> </w:t>
      </w:r>
      <w:r>
        <w:rPr/>
        <w:t>μ.β.</w:t>
      </w:r>
      <w:r>
        <w:rPr>
          <w:spacing w:val="-11"/>
        </w:rPr>
        <w:t> </w:t>
      </w:r>
      <w:r>
        <w:rPr/>
        <w:t>εκάστη,</w:t>
      </w:r>
      <w:r>
        <w:rPr>
          <w:spacing w:val="-11"/>
        </w:rPr>
        <w:t> </w:t>
      </w:r>
      <w:r>
        <w:rPr/>
        <w:t>και</w:t>
      </w:r>
      <w:r>
        <w:rPr>
          <w:spacing w:val="-11"/>
        </w:rPr>
        <w:t> </w:t>
      </w:r>
      <w:r>
        <w:rPr/>
        <w:t>το</w:t>
      </w:r>
      <w:r>
        <w:rPr>
          <w:spacing w:val="-11"/>
        </w:rPr>
        <w:t> </w:t>
      </w:r>
      <w:r>
        <w:rPr/>
        <w:t>2026</w:t>
      </w:r>
      <w:r>
        <w:rPr>
          <w:spacing w:val="-11"/>
        </w:rPr>
        <w:t> </w:t>
      </w:r>
      <w:r>
        <w:rPr/>
        <w:t>διατήρησε</w:t>
      </w:r>
      <w:r>
        <w:rPr>
          <w:spacing w:val="-10"/>
        </w:rPr>
        <w:t> </w:t>
      </w:r>
      <w:r>
        <w:rPr/>
        <w:t>τα</w:t>
      </w:r>
      <w:r>
        <w:rPr>
          <w:spacing w:val="-11"/>
        </w:rPr>
        <w:t> </w:t>
      </w:r>
      <w:r>
        <w:rPr/>
        <w:t>επιτόκια αμετάβλητα στο εύρος 3,50%-3,75%.</w:t>
      </w:r>
    </w:p>
    <w:p>
      <w:pPr>
        <w:pStyle w:val="BodyText"/>
        <w:spacing w:line="285" w:lineRule="auto" w:before="69"/>
        <w:ind w:left="172" w:right="5351"/>
        <w:jc w:val="both"/>
      </w:pPr>
      <w:r>
        <w:rPr/>
        <w:t>Στη</w:t>
      </w:r>
      <w:r>
        <w:rPr>
          <w:spacing w:val="-14"/>
        </w:rPr>
        <w:t> </w:t>
      </w:r>
      <w:r>
        <w:rPr/>
        <w:t>ζώνη</w:t>
      </w:r>
      <w:r>
        <w:rPr>
          <w:spacing w:val="-14"/>
        </w:rPr>
        <w:t> </w:t>
      </w:r>
      <w:r>
        <w:rPr/>
        <w:t>του</w:t>
      </w:r>
      <w:r>
        <w:rPr>
          <w:spacing w:val="-14"/>
        </w:rPr>
        <w:t> </w:t>
      </w:r>
      <w:r>
        <w:rPr/>
        <w:t>ευρώ,</w:t>
      </w:r>
      <w:r>
        <w:rPr>
          <w:spacing w:val="-13"/>
        </w:rPr>
        <w:t> </w:t>
      </w:r>
      <w:r>
        <w:rPr/>
        <w:t>εντός</w:t>
      </w:r>
      <w:r>
        <w:rPr>
          <w:spacing w:val="-14"/>
        </w:rPr>
        <w:t> </w:t>
      </w:r>
      <w:r>
        <w:rPr/>
        <w:t>του</w:t>
      </w:r>
      <w:r>
        <w:rPr>
          <w:spacing w:val="-14"/>
        </w:rPr>
        <w:t> </w:t>
      </w:r>
      <w:r>
        <w:rPr/>
        <w:t>2025</w:t>
      </w:r>
      <w:r>
        <w:rPr>
          <w:spacing w:val="-14"/>
        </w:rPr>
        <w:t> </w:t>
      </w:r>
      <w:r>
        <w:rPr/>
        <w:t>αυξήθηκαν οι</w:t>
      </w:r>
      <w:r>
        <w:rPr>
          <w:spacing w:val="6"/>
        </w:rPr>
        <w:t> </w:t>
      </w:r>
      <w:r>
        <w:rPr/>
        <w:t>αποδόσεις</w:t>
      </w:r>
      <w:r>
        <w:rPr>
          <w:spacing w:val="6"/>
        </w:rPr>
        <w:t> </w:t>
      </w:r>
      <w:r>
        <w:rPr/>
        <w:t>των</w:t>
      </w:r>
      <w:r>
        <w:rPr>
          <w:spacing w:val="7"/>
        </w:rPr>
        <w:t> </w:t>
      </w:r>
      <w:r>
        <w:rPr/>
        <w:t>κρατικών</w:t>
      </w:r>
      <w:r>
        <w:rPr>
          <w:spacing w:val="5"/>
        </w:rPr>
        <w:t> </w:t>
      </w:r>
      <w:r>
        <w:rPr/>
        <w:t>ομολόγων</w:t>
      </w:r>
      <w:r>
        <w:rPr>
          <w:spacing w:val="7"/>
        </w:rPr>
        <w:t> </w:t>
      </w:r>
      <w:r>
        <w:rPr>
          <w:spacing w:val="-2"/>
        </w:rPr>
        <w:t>αναφο-</w:t>
      </w:r>
    </w:p>
    <w:p>
      <w:pPr>
        <w:pStyle w:val="BodyText"/>
        <w:spacing w:after="0" w:line="285" w:lineRule="auto"/>
        <w:jc w:val="both"/>
        <w:sectPr>
          <w:type w:val="continuous"/>
          <w:pgSz w:w="11910" w:h="16850"/>
          <w:pgMar w:header="0" w:footer="1108" w:top="1320" w:bottom="280" w:left="1417" w:right="850"/>
        </w:sectPr>
      </w:pPr>
    </w:p>
    <w:p>
      <w:pPr>
        <w:pStyle w:val="BodyText"/>
        <w:spacing w:line="285" w:lineRule="auto" w:before="34"/>
        <w:ind w:left="172"/>
        <w:jc w:val="both"/>
      </w:pPr>
      <w:r>
        <w:rPr/>
        <w:t>ράς για λόγους που σχετίζονται με εξελίξεις στη</w:t>
      </w:r>
      <w:r>
        <w:rPr>
          <w:spacing w:val="-9"/>
        </w:rPr>
        <w:t> </w:t>
      </w:r>
      <w:r>
        <w:rPr/>
        <w:t>Γερμανία</w:t>
      </w:r>
      <w:r>
        <w:rPr>
          <w:spacing w:val="-11"/>
        </w:rPr>
        <w:t> </w:t>
      </w:r>
      <w:r>
        <w:rPr/>
        <w:t>και</w:t>
      </w:r>
      <w:r>
        <w:rPr>
          <w:spacing w:val="-9"/>
        </w:rPr>
        <w:t> </w:t>
      </w:r>
      <w:r>
        <w:rPr/>
        <w:t>τη</w:t>
      </w:r>
      <w:r>
        <w:rPr>
          <w:spacing w:val="-9"/>
        </w:rPr>
        <w:t> </w:t>
      </w:r>
      <w:r>
        <w:rPr/>
        <w:t>Γαλλία.</w:t>
      </w:r>
      <w:r>
        <w:rPr>
          <w:spacing w:val="-9"/>
        </w:rPr>
        <w:t> </w:t>
      </w:r>
      <w:r>
        <w:rPr/>
        <w:t>Συγκεκριμένα,</w:t>
      </w:r>
      <w:r>
        <w:rPr>
          <w:spacing w:val="-9"/>
        </w:rPr>
        <w:t> </w:t>
      </w:r>
      <w:r>
        <w:rPr/>
        <w:t>οι αποδόσεις των γερμανικών κρατικών ομολό-γων αυξήθηκαν σημαντικά τον Μάρτιο του 2025,</w:t>
      </w:r>
      <w:r>
        <w:rPr>
          <w:spacing w:val="-5"/>
        </w:rPr>
        <w:t> </w:t>
      </w:r>
      <w:r>
        <w:rPr/>
        <w:t>μετά</w:t>
      </w:r>
      <w:r>
        <w:rPr>
          <w:spacing w:val="-6"/>
        </w:rPr>
        <w:t> </w:t>
      </w:r>
      <w:r>
        <w:rPr/>
        <w:t>την</w:t>
      </w:r>
      <w:r>
        <w:rPr>
          <w:spacing w:val="-4"/>
        </w:rPr>
        <w:t> </w:t>
      </w:r>
      <w:r>
        <w:rPr/>
        <w:t>ανακοίνωση</w:t>
      </w:r>
      <w:r>
        <w:rPr>
          <w:spacing w:val="-5"/>
        </w:rPr>
        <w:t> </w:t>
      </w:r>
      <w:r>
        <w:rPr/>
        <w:t>σχεδίων</w:t>
      </w:r>
      <w:r>
        <w:rPr>
          <w:spacing w:val="-4"/>
        </w:rPr>
        <w:t> </w:t>
      </w:r>
      <w:r>
        <w:rPr/>
        <w:t>δημοσιο-νομικής επέκτασης από την κυβέρνηση. Επί-σης, το γ΄ τρίμηνο του 2025 αυξήθηκαν οι α-ποδόσεις των γαλλικών κρατικών ομολόγων, καθώς</w:t>
      </w:r>
      <w:r>
        <w:rPr>
          <w:spacing w:val="-8"/>
        </w:rPr>
        <w:t> </w:t>
      </w:r>
      <w:r>
        <w:rPr/>
        <w:t>η</w:t>
      </w:r>
      <w:r>
        <w:rPr>
          <w:spacing w:val="-8"/>
        </w:rPr>
        <w:t> </w:t>
      </w:r>
      <w:r>
        <w:rPr/>
        <w:t>κυβερνητική</w:t>
      </w:r>
      <w:r>
        <w:rPr>
          <w:spacing w:val="-8"/>
        </w:rPr>
        <w:t> </w:t>
      </w:r>
      <w:r>
        <w:rPr/>
        <w:t>αστάθεια</w:t>
      </w:r>
      <w:r>
        <w:rPr>
          <w:spacing w:val="-8"/>
        </w:rPr>
        <w:t> </w:t>
      </w:r>
      <w:r>
        <w:rPr/>
        <w:t>επέτεινε,</w:t>
      </w:r>
      <w:r>
        <w:rPr>
          <w:spacing w:val="-8"/>
        </w:rPr>
        <w:t> </w:t>
      </w:r>
      <w:r>
        <w:rPr/>
        <w:t>έστω και πρόσκαιρα, τις ανησυχίες των επενδυτών σχετικά</w:t>
      </w:r>
      <w:r>
        <w:rPr>
          <w:spacing w:val="-4"/>
        </w:rPr>
        <w:t> </w:t>
      </w:r>
      <w:r>
        <w:rPr/>
        <w:t>με</w:t>
      </w:r>
      <w:r>
        <w:rPr>
          <w:spacing w:val="-1"/>
        </w:rPr>
        <w:t> </w:t>
      </w:r>
      <w:r>
        <w:rPr/>
        <w:t>την</w:t>
      </w:r>
      <w:r>
        <w:rPr>
          <w:spacing w:val="-2"/>
        </w:rPr>
        <w:t> </w:t>
      </w:r>
      <w:r>
        <w:rPr/>
        <w:t>ασκούμενη</w:t>
      </w:r>
      <w:r>
        <w:rPr>
          <w:spacing w:val="-4"/>
        </w:rPr>
        <w:t> </w:t>
      </w:r>
      <w:r>
        <w:rPr/>
        <w:t>δημοσιονομική</w:t>
      </w:r>
      <w:r>
        <w:rPr>
          <w:spacing w:val="-3"/>
        </w:rPr>
        <w:t> </w:t>
      </w:r>
      <w:r>
        <w:rPr>
          <w:spacing w:val="-5"/>
        </w:rPr>
        <w:t>πο-</w:t>
      </w:r>
    </w:p>
    <w:p>
      <w:pPr>
        <w:spacing w:line="154" w:lineRule="exact" w:before="0"/>
        <w:ind w:left="172" w:right="0" w:firstLine="0"/>
        <w:jc w:val="left"/>
        <w:rPr>
          <w:sz w:val="14"/>
        </w:rPr>
      </w:pPr>
      <w:r>
        <w:rPr/>
        <w:br w:type="column"/>
      </w:r>
      <w:r>
        <w:rPr>
          <w:color w:val="1F487C"/>
          <w:sz w:val="14"/>
        </w:rPr>
        <w:t>(1.1.2025-15.4.2026,</w:t>
      </w:r>
      <w:r>
        <w:rPr>
          <w:color w:val="1F487C"/>
          <w:spacing w:val="-5"/>
          <w:sz w:val="14"/>
        </w:rPr>
        <w:t> </w:t>
      </w:r>
      <w:r>
        <w:rPr>
          <w:color w:val="1F487C"/>
          <w:sz w:val="14"/>
        </w:rPr>
        <w:t>ημερήσιες</w:t>
      </w:r>
      <w:r>
        <w:rPr>
          <w:color w:val="1F487C"/>
          <w:spacing w:val="-6"/>
          <w:sz w:val="14"/>
        </w:rPr>
        <w:t> </w:t>
      </w:r>
      <w:r>
        <w:rPr>
          <w:color w:val="1F487C"/>
          <w:sz w:val="14"/>
        </w:rPr>
        <w:t>τιμές,</w:t>
      </w:r>
      <w:r>
        <w:rPr>
          <w:color w:val="1F487C"/>
          <w:spacing w:val="-4"/>
          <w:sz w:val="14"/>
        </w:rPr>
        <w:t> </w:t>
      </w:r>
      <w:r>
        <w:rPr>
          <w:color w:val="1F487C"/>
          <w:sz w:val="14"/>
        </w:rPr>
        <w:t>ποσοστά</w:t>
      </w:r>
      <w:r>
        <w:rPr>
          <w:color w:val="1F487C"/>
          <w:spacing w:val="-7"/>
          <w:sz w:val="14"/>
        </w:rPr>
        <w:t> </w:t>
      </w:r>
      <w:r>
        <w:rPr>
          <w:color w:val="1F487C"/>
          <w:spacing w:val="-5"/>
          <w:sz w:val="14"/>
        </w:rPr>
        <w:t>%)</w:t>
      </w:r>
    </w:p>
    <w:p>
      <w:pPr>
        <w:pStyle w:val="BodyText"/>
        <w:spacing w:before="5"/>
        <w:rPr>
          <w:sz w:val="5"/>
        </w:rPr>
      </w:pPr>
    </w:p>
    <w:p>
      <w:pPr>
        <w:spacing w:line="240" w:lineRule="auto"/>
        <w:ind w:left="113" w:right="0" w:firstLine="0"/>
        <w:rPr>
          <w:sz w:val="20"/>
        </w:rPr>
      </w:pPr>
      <w:r>
        <w:rPr>
          <w:sz w:val="20"/>
        </w:rPr>
        <mc:AlternateContent>
          <mc:Choice Requires="wps">
            <w:drawing>
              <wp:inline distT="0" distB="0" distL="0" distR="0">
                <wp:extent cx="2665730" cy="1918970"/>
                <wp:effectExtent l="0" t="0" r="0" b="5080"/>
                <wp:docPr id="213" name="Group 213"/>
                <wp:cNvGraphicFramePr>
                  <a:graphicFrameLocks/>
                </wp:cNvGraphicFramePr>
                <a:graphic>
                  <a:graphicData uri="http://schemas.microsoft.com/office/word/2010/wordprocessingGroup">
                    <wpg:wgp>
                      <wpg:cNvPr id="213" name="Group 213"/>
                      <wpg:cNvGrpSpPr/>
                      <wpg:grpSpPr>
                        <a:xfrm>
                          <a:off x="0" y="0"/>
                          <a:ext cx="2665730" cy="1918970"/>
                          <a:chExt cx="2665730" cy="1918970"/>
                        </a:xfrm>
                      </wpg:grpSpPr>
                      <wps:wsp>
                        <wps:cNvPr id="214" name="Graphic 214"/>
                        <wps:cNvSpPr/>
                        <wps:spPr>
                          <a:xfrm>
                            <a:off x="635" y="0"/>
                            <a:ext cx="2665095" cy="1918970"/>
                          </a:xfrm>
                          <a:custGeom>
                            <a:avLst/>
                            <a:gdLst/>
                            <a:ahLst/>
                            <a:cxnLst/>
                            <a:rect l="l" t="t" r="r" b="b"/>
                            <a:pathLst>
                              <a:path w="2665095" h="1918970">
                                <a:moveTo>
                                  <a:pt x="2664587" y="0"/>
                                </a:moveTo>
                                <a:lnTo>
                                  <a:pt x="0" y="0"/>
                                </a:lnTo>
                                <a:lnTo>
                                  <a:pt x="0" y="1702308"/>
                                </a:lnTo>
                                <a:lnTo>
                                  <a:pt x="0" y="1918716"/>
                                </a:lnTo>
                                <a:lnTo>
                                  <a:pt x="2664587" y="1918716"/>
                                </a:lnTo>
                                <a:lnTo>
                                  <a:pt x="2664587" y="1702308"/>
                                </a:lnTo>
                                <a:lnTo>
                                  <a:pt x="2664587" y="0"/>
                                </a:lnTo>
                                <a:close/>
                              </a:path>
                            </a:pathLst>
                          </a:custGeom>
                          <a:solidFill>
                            <a:srgbClr val="D9D9D9"/>
                          </a:solidFill>
                        </wps:spPr>
                        <wps:bodyPr wrap="square" lIns="0" tIns="0" rIns="0" bIns="0" rtlCol="0">
                          <a:prstTxWarp prst="textNoShape">
                            <a:avLst/>
                          </a:prstTxWarp>
                          <a:noAutofit/>
                        </wps:bodyPr>
                      </wps:wsp>
                      <pic:pic>
                        <pic:nvPicPr>
                          <pic:cNvPr id="215" name="Image 215"/>
                          <pic:cNvPicPr/>
                        </pic:nvPicPr>
                        <pic:blipFill>
                          <a:blip r:embed="rId41" cstate="print"/>
                          <a:stretch>
                            <a:fillRect/>
                          </a:stretch>
                        </pic:blipFill>
                        <pic:spPr>
                          <a:xfrm>
                            <a:off x="0" y="36576"/>
                            <a:ext cx="2660396" cy="1664843"/>
                          </a:xfrm>
                          <a:prstGeom prst="rect">
                            <a:avLst/>
                          </a:prstGeom>
                        </pic:spPr>
                      </pic:pic>
                      <wps:wsp>
                        <wps:cNvPr id="216" name="Textbox 216"/>
                        <wps:cNvSpPr txBox="1"/>
                        <wps:spPr>
                          <a:xfrm>
                            <a:off x="635" y="0"/>
                            <a:ext cx="2665095" cy="191897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62"/>
                                <w:rPr>
                                  <w:sz w:val="14"/>
                                </w:rPr>
                              </w:pPr>
                            </w:p>
                            <w:p>
                              <w:pPr>
                                <w:spacing w:before="1"/>
                                <w:ind w:left="112" w:right="0" w:firstLine="0"/>
                                <w:jc w:val="left"/>
                                <w:rPr>
                                  <w:sz w:val="14"/>
                                </w:rPr>
                              </w:pPr>
                              <w:r>
                                <w:rPr>
                                  <w:sz w:val="14"/>
                                </w:rPr>
                                <w:t>Πηγή:</w:t>
                              </w:r>
                              <w:r>
                                <w:rPr>
                                  <w:spacing w:val="-7"/>
                                  <w:sz w:val="14"/>
                                </w:rPr>
                                <w:t> </w:t>
                              </w:r>
                              <w:r>
                                <w:rPr>
                                  <w:sz w:val="14"/>
                                </w:rPr>
                                <w:t>Οργανισμός</w:t>
                              </w:r>
                              <w:r>
                                <w:rPr>
                                  <w:spacing w:val="-7"/>
                                  <w:sz w:val="14"/>
                                </w:rPr>
                                <w:t> </w:t>
                              </w:r>
                              <w:r>
                                <w:rPr>
                                  <w:sz w:val="14"/>
                                </w:rPr>
                                <w:t>Διαχείρισης</w:t>
                              </w:r>
                              <w:r>
                                <w:rPr>
                                  <w:spacing w:val="-7"/>
                                  <w:sz w:val="14"/>
                                </w:rPr>
                                <w:t> </w:t>
                              </w:r>
                              <w:r>
                                <w:rPr>
                                  <w:sz w:val="14"/>
                                </w:rPr>
                                <w:t>Δημοσίου</w:t>
                              </w:r>
                              <w:r>
                                <w:rPr>
                                  <w:spacing w:val="-4"/>
                                  <w:sz w:val="14"/>
                                </w:rPr>
                                <w:t> </w:t>
                              </w:r>
                              <w:r>
                                <w:rPr>
                                  <w:spacing w:val="-2"/>
                                  <w:sz w:val="14"/>
                                </w:rPr>
                                <w:t>Χρέους.</w:t>
                              </w:r>
                            </w:p>
                          </w:txbxContent>
                        </wps:txbx>
                        <wps:bodyPr wrap="square" lIns="0" tIns="0" rIns="0" bIns="0" rtlCol="0">
                          <a:noAutofit/>
                        </wps:bodyPr>
                      </wps:wsp>
                    </wpg:wgp>
                  </a:graphicData>
                </a:graphic>
              </wp:inline>
            </w:drawing>
          </mc:Choice>
          <mc:Fallback>
            <w:pict>
              <v:group style="width:209.9pt;height:151.1pt;mso-position-horizontal-relative:char;mso-position-vertical-relative:line" id="docshapegroup197" coordorigin="0,0" coordsize="4198,3022">
                <v:shape style="position:absolute;left:1;top:0;width:4197;height:3022" id="docshape198" coordorigin="1,0" coordsize="4197,3022" path="m4197,0l1,0,1,2681,1,3022,4197,3022,4197,2681,4197,0xe" filled="true" fillcolor="#d9d9d9" stroked="false">
                  <v:path arrowok="t"/>
                  <v:fill type="solid"/>
                </v:shape>
                <v:shape style="position:absolute;left:0;top:57;width:4190;height:2622" type="#_x0000_t75" id="docshape199" stroked="false">
                  <v:imagedata r:id="rId41" o:title=""/>
                </v:shape>
                <v:shape style="position:absolute;left:1;top:0;width:4197;height:3022" type="#_x0000_t202" id="docshape200"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62"/>
                          <w:rPr>
                            <w:sz w:val="14"/>
                          </w:rPr>
                        </w:pPr>
                      </w:p>
                      <w:p>
                        <w:pPr>
                          <w:spacing w:before="1"/>
                          <w:ind w:left="112" w:right="0" w:firstLine="0"/>
                          <w:jc w:val="left"/>
                          <w:rPr>
                            <w:sz w:val="14"/>
                          </w:rPr>
                        </w:pPr>
                        <w:r>
                          <w:rPr>
                            <w:sz w:val="14"/>
                          </w:rPr>
                          <w:t>Πηγή:</w:t>
                        </w:r>
                        <w:r>
                          <w:rPr>
                            <w:spacing w:val="-7"/>
                            <w:sz w:val="14"/>
                          </w:rPr>
                          <w:t> </w:t>
                        </w:r>
                        <w:r>
                          <w:rPr>
                            <w:sz w:val="14"/>
                          </w:rPr>
                          <w:t>Οργανισμός</w:t>
                        </w:r>
                        <w:r>
                          <w:rPr>
                            <w:spacing w:val="-7"/>
                            <w:sz w:val="14"/>
                          </w:rPr>
                          <w:t> </w:t>
                        </w:r>
                        <w:r>
                          <w:rPr>
                            <w:sz w:val="14"/>
                          </w:rPr>
                          <w:t>Διαχείρισης</w:t>
                        </w:r>
                        <w:r>
                          <w:rPr>
                            <w:spacing w:val="-7"/>
                            <w:sz w:val="14"/>
                          </w:rPr>
                          <w:t> </w:t>
                        </w:r>
                        <w:r>
                          <w:rPr>
                            <w:sz w:val="14"/>
                          </w:rPr>
                          <w:t>Δημοσίου</w:t>
                        </w:r>
                        <w:r>
                          <w:rPr>
                            <w:spacing w:val="-4"/>
                            <w:sz w:val="14"/>
                          </w:rPr>
                          <w:t> </w:t>
                        </w:r>
                        <w:r>
                          <w:rPr>
                            <w:spacing w:val="-2"/>
                            <w:sz w:val="14"/>
                          </w:rPr>
                          <w:t>Χρέους.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288" w:space="64"/>
            <w:col w:w="5291"/>
          </w:cols>
        </w:sectPr>
      </w:pPr>
    </w:p>
    <w:p>
      <w:pPr>
        <w:pStyle w:val="BodyText"/>
        <w:spacing w:line="285" w:lineRule="auto"/>
        <w:ind w:left="172" w:right="955"/>
        <w:jc w:val="both"/>
      </w:pPr>
      <w:r>
        <w:rPr/>
        <w:t>λιτική στη Γαλλία. Οι αποδόσεις των ομολόγων του Ελληνικού Δημοσίου παρουσίασαν μικρή άνοδο ενσωματώνοντας μόνο εν μέρει την ανοδική τάση που ακολούθησαν οι αποδόσεις των ομολόγων αναφοράς</w:t>
      </w:r>
      <w:r>
        <w:rPr>
          <w:spacing w:val="-1"/>
        </w:rPr>
        <w:t> </w:t>
      </w:r>
      <w:r>
        <w:rPr/>
        <w:t>της ζώνης</w:t>
      </w:r>
      <w:r>
        <w:rPr>
          <w:spacing w:val="-1"/>
        </w:rPr>
        <w:t> </w:t>
      </w:r>
      <w:r>
        <w:rPr/>
        <w:t>του</w:t>
      </w:r>
      <w:r>
        <w:rPr>
          <w:spacing w:val="-1"/>
        </w:rPr>
        <w:t> </w:t>
      </w:r>
      <w:r>
        <w:rPr/>
        <w:t>ευρώ (βλ. Διάγραμμα II.11). Έτσι, η διαφορά της απόδοσης (spread) του δεκαετούς ομολόγου του Ελληνικού Δημοσίου έναντι του αντίστοιχου γερμανικού (Bund) μειώθηκε από 85 μ.β. στις αρχές Ιανουαρίου 2025 σε 59 μ.β. στις 31 Δεκεμβρίου 2025, ενώ η σύρραξη στη Μέση Ανατολή είχε ως αποτέλεσμα την εκ νέου αύξησή της (15 Απρίλιου 2026: 74,5 μ.β.).</w:t>
      </w:r>
    </w:p>
    <w:p>
      <w:pPr>
        <w:pStyle w:val="BodyText"/>
        <w:spacing w:line="285" w:lineRule="auto" w:before="44"/>
        <w:ind w:left="172" w:right="955"/>
        <w:jc w:val="both"/>
      </w:pPr>
      <w:r>
        <w:rPr/>
        <w:t>Παράλληλα,</w:t>
      </w:r>
      <w:r>
        <w:rPr>
          <w:spacing w:val="-9"/>
        </w:rPr>
        <w:t> </w:t>
      </w:r>
      <w:r>
        <w:rPr/>
        <w:t>οι</w:t>
      </w:r>
      <w:r>
        <w:rPr>
          <w:spacing w:val="-7"/>
        </w:rPr>
        <w:t> </w:t>
      </w:r>
      <w:r>
        <w:rPr/>
        <w:t>αποδόσεις</w:t>
      </w:r>
      <w:r>
        <w:rPr>
          <w:spacing w:val="-8"/>
        </w:rPr>
        <w:t> </w:t>
      </w:r>
      <w:r>
        <w:rPr/>
        <w:t>των</w:t>
      </w:r>
      <w:r>
        <w:rPr>
          <w:spacing w:val="-10"/>
        </w:rPr>
        <w:t> </w:t>
      </w:r>
      <w:r>
        <w:rPr/>
        <w:t>ομολόγων</w:t>
      </w:r>
      <w:r>
        <w:rPr>
          <w:spacing w:val="-10"/>
        </w:rPr>
        <w:t> </w:t>
      </w:r>
      <w:r>
        <w:rPr/>
        <w:t>των</w:t>
      </w:r>
      <w:r>
        <w:rPr>
          <w:spacing w:val="-10"/>
        </w:rPr>
        <w:t> </w:t>
      </w:r>
      <w:r>
        <w:rPr/>
        <w:t>ελληνικών</w:t>
      </w:r>
      <w:r>
        <w:rPr>
          <w:spacing w:val="-10"/>
        </w:rPr>
        <w:t> </w:t>
      </w:r>
      <w:r>
        <w:rPr/>
        <w:t>τραπεζών</w:t>
      </w:r>
      <w:r>
        <w:rPr>
          <w:spacing w:val="-10"/>
        </w:rPr>
        <w:t> </w:t>
      </w:r>
      <w:r>
        <w:rPr/>
        <w:t>παρουσίασαν</w:t>
      </w:r>
      <w:r>
        <w:rPr>
          <w:spacing w:val="-10"/>
        </w:rPr>
        <w:t> </w:t>
      </w:r>
      <w:r>
        <w:rPr/>
        <w:t>μικρή</w:t>
      </w:r>
      <w:r>
        <w:rPr>
          <w:spacing w:val="-4"/>
        </w:rPr>
        <w:t> </w:t>
      </w:r>
      <w:r>
        <w:rPr/>
        <w:t>άνοδο</w:t>
      </w:r>
      <w:r>
        <w:rPr>
          <w:spacing w:val="-11"/>
        </w:rPr>
        <w:t> </w:t>
      </w:r>
      <w:r>
        <w:rPr/>
        <w:t>το 2025, η οποία συνεχίστηκε και το α΄ τρίμηνο του 2026. Ωστόσο, κατόπιν των αναβαθμίσεων, όλες</w:t>
      </w:r>
      <w:r>
        <w:rPr>
          <w:spacing w:val="-4"/>
        </w:rPr>
        <w:t> </w:t>
      </w:r>
      <w:r>
        <w:rPr/>
        <w:t>οι</w:t>
      </w:r>
      <w:r>
        <w:rPr>
          <w:spacing w:val="-5"/>
        </w:rPr>
        <w:t> </w:t>
      </w:r>
      <w:r>
        <w:rPr/>
        <w:t>ελληνικές</w:t>
      </w:r>
      <w:r>
        <w:rPr>
          <w:spacing w:val="-6"/>
        </w:rPr>
        <w:t> </w:t>
      </w:r>
      <w:r>
        <w:rPr/>
        <w:t>σημαντικές</w:t>
      </w:r>
      <w:r>
        <w:rPr>
          <w:spacing w:val="-3"/>
        </w:rPr>
        <w:t> </w:t>
      </w:r>
      <w:r>
        <w:rPr/>
        <w:t>τράπεζες</w:t>
      </w:r>
      <w:r>
        <w:rPr>
          <w:spacing w:val="-2"/>
        </w:rPr>
        <w:t> </w:t>
      </w:r>
      <w:r>
        <w:rPr/>
        <w:t>ανήκουν</w:t>
      </w:r>
      <w:r>
        <w:rPr>
          <w:spacing w:val="-2"/>
        </w:rPr>
        <w:t> </w:t>
      </w:r>
      <w:r>
        <w:rPr/>
        <w:t>πλέον</w:t>
      </w:r>
      <w:r>
        <w:rPr>
          <w:spacing w:val="-5"/>
        </w:rPr>
        <w:t> </w:t>
      </w:r>
      <w:r>
        <w:rPr/>
        <w:t>στην</w:t>
      </w:r>
      <w:r>
        <w:rPr>
          <w:spacing w:val="-5"/>
        </w:rPr>
        <w:t> </w:t>
      </w:r>
      <w:r>
        <w:rPr/>
        <w:t>επενδυτική</w:t>
      </w:r>
      <w:r>
        <w:rPr>
          <w:spacing w:val="-6"/>
        </w:rPr>
        <w:t> </w:t>
      </w:r>
      <w:r>
        <w:rPr/>
        <w:t>κατηγορία,</w:t>
      </w:r>
      <w:r>
        <w:rPr>
          <w:spacing w:val="-3"/>
        </w:rPr>
        <w:t> </w:t>
      </w:r>
      <w:r>
        <w:rPr/>
        <w:t>γεγονός</w:t>
      </w:r>
      <w:r>
        <w:rPr>
          <w:spacing w:val="-4"/>
        </w:rPr>
        <w:t> </w:t>
      </w:r>
      <w:r>
        <w:rPr/>
        <w:t>που</w:t>
      </w:r>
    </w:p>
    <w:p>
      <w:pPr>
        <w:pStyle w:val="BodyText"/>
        <w:spacing w:after="0" w:line="285" w:lineRule="auto"/>
        <w:jc w:val="both"/>
        <w:sectPr>
          <w:type w:val="continuous"/>
          <w:pgSz w:w="11910" w:h="16850"/>
          <w:pgMar w:header="0" w:footer="1108" w:top="1320" w:bottom="280" w:left="1417" w:right="850"/>
        </w:sectPr>
      </w:pPr>
    </w:p>
    <w:p>
      <w:pPr>
        <w:pStyle w:val="BodyText"/>
        <w:spacing w:line="285" w:lineRule="auto" w:before="66"/>
        <w:ind w:left="172" w:right="955"/>
        <w:jc w:val="both"/>
        <w:rPr>
          <w:position w:val="6"/>
          <w:sz w:val="10"/>
        </w:rPr>
      </w:pPr>
      <w:r>
        <w:rPr/>
        <w:t>λειτουργεί υποστηρικτικά εν μέσω αυξημένης αβεβαιότητας διεθνώς. Πλέον οι αποδόσεις των ομολόγων</w:t>
      </w:r>
      <w:r>
        <w:rPr>
          <w:spacing w:val="-5"/>
        </w:rPr>
        <w:t> </w:t>
      </w:r>
      <w:r>
        <w:rPr/>
        <w:t>υψηλής</w:t>
      </w:r>
      <w:r>
        <w:rPr>
          <w:spacing w:val="-7"/>
        </w:rPr>
        <w:t> </w:t>
      </w:r>
      <w:r>
        <w:rPr/>
        <w:t>εξοφλητικής</w:t>
      </w:r>
      <w:r>
        <w:rPr>
          <w:spacing w:val="-7"/>
        </w:rPr>
        <w:t> </w:t>
      </w:r>
      <w:r>
        <w:rPr/>
        <w:t>προτεραιότητας</w:t>
      </w:r>
      <w:r>
        <w:rPr>
          <w:spacing w:val="-7"/>
        </w:rPr>
        <w:t> </w:t>
      </w:r>
      <w:r>
        <w:rPr/>
        <w:t>των</w:t>
      </w:r>
      <w:r>
        <w:rPr>
          <w:spacing w:val="-7"/>
        </w:rPr>
        <w:t> </w:t>
      </w:r>
      <w:r>
        <w:rPr/>
        <w:t>ελληνικών</w:t>
      </w:r>
      <w:r>
        <w:rPr>
          <w:spacing w:val="-5"/>
        </w:rPr>
        <w:t> </w:t>
      </w:r>
      <w:r>
        <w:rPr/>
        <w:t>τραπεζών</w:t>
      </w:r>
      <w:r>
        <w:rPr>
          <w:spacing w:val="-5"/>
        </w:rPr>
        <w:t> </w:t>
      </w:r>
      <w:r>
        <w:rPr/>
        <w:t>μεταβάλλονται</w:t>
      </w:r>
      <w:r>
        <w:rPr>
          <w:spacing w:val="-8"/>
        </w:rPr>
        <w:t> </w:t>
      </w:r>
      <w:r>
        <w:rPr/>
        <w:t>σε</w:t>
      </w:r>
      <w:r>
        <w:rPr>
          <w:spacing w:val="-5"/>
        </w:rPr>
        <w:t> </w:t>
      </w:r>
      <w:r>
        <w:rPr/>
        <w:t>συ-νάρτηση</w:t>
      </w:r>
      <w:r>
        <w:rPr>
          <w:spacing w:val="-6"/>
        </w:rPr>
        <w:t> </w:t>
      </w:r>
      <w:r>
        <w:rPr/>
        <w:t>με</w:t>
      </w:r>
      <w:r>
        <w:rPr>
          <w:spacing w:val="-7"/>
        </w:rPr>
        <w:t> </w:t>
      </w:r>
      <w:r>
        <w:rPr/>
        <w:t>τις</w:t>
      </w:r>
      <w:r>
        <w:rPr>
          <w:spacing w:val="-6"/>
        </w:rPr>
        <w:t> </w:t>
      </w:r>
      <w:r>
        <w:rPr/>
        <w:t>αντίστοιχες</w:t>
      </w:r>
      <w:r>
        <w:rPr>
          <w:spacing w:val="-9"/>
        </w:rPr>
        <w:t> </w:t>
      </w:r>
      <w:r>
        <w:rPr/>
        <w:t>των</w:t>
      </w:r>
      <w:r>
        <w:rPr>
          <w:spacing w:val="-7"/>
        </w:rPr>
        <w:t> </w:t>
      </w:r>
      <w:r>
        <w:rPr/>
        <w:t>ευρωπαϊκών</w:t>
      </w:r>
      <w:r>
        <w:rPr>
          <w:spacing w:val="-5"/>
        </w:rPr>
        <w:t> </w:t>
      </w:r>
      <w:r>
        <w:rPr/>
        <w:t>τραπεζών</w:t>
      </w:r>
      <w:r>
        <w:rPr>
          <w:spacing w:val="-7"/>
        </w:rPr>
        <w:t> </w:t>
      </w:r>
      <w:r>
        <w:rPr/>
        <w:t>με</w:t>
      </w:r>
      <w:r>
        <w:rPr>
          <w:spacing w:val="-5"/>
        </w:rPr>
        <w:t> </w:t>
      </w:r>
      <w:r>
        <w:rPr/>
        <w:t>αξιολόγηση</w:t>
      </w:r>
      <w:r>
        <w:rPr>
          <w:spacing w:val="-6"/>
        </w:rPr>
        <w:t> </w:t>
      </w:r>
      <w:r>
        <w:rPr/>
        <w:t>ΒΒΒ.</w:t>
      </w:r>
      <w:r>
        <w:rPr>
          <w:spacing w:val="-6"/>
        </w:rPr>
        <w:t> </w:t>
      </w:r>
      <w:r>
        <w:rPr/>
        <w:t>Την περίοδο</w:t>
      </w:r>
      <w:r>
        <w:rPr>
          <w:spacing w:val="-8"/>
        </w:rPr>
        <w:t> </w:t>
      </w:r>
      <w:r>
        <w:rPr/>
        <w:t>Ιανου-αρίου</w:t>
      </w:r>
      <w:r>
        <w:rPr>
          <w:spacing w:val="-1"/>
        </w:rPr>
        <w:t> </w:t>
      </w:r>
      <w:r>
        <w:rPr/>
        <w:t>2025</w:t>
      </w:r>
      <w:r>
        <w:rPr>
          <w:spacing w:val="-2"/>
        </w:rPr>
        <w:t> </w:t>
      </w:r>
      <w:r>
        <w:rPr/>
        <w:t>-</w:t>
      </w:r>
      <w:r>
        <w:rPr>
          <w:spacing w:val="-1"/>
        </w:rPr>
        <w:t> </w:t>
      </w:r>
      <w:r>
        <w:rPr/>
        <w:t>Απριλίου</w:t>
      </w:r>
      <w:r>
        <w:rPr>
          <w:spacing w:val="-1"/>
        </w:rPr>
        <w:t> </w:t>
      </w:r>
      <w:r>
        <w:rPr/>
        <w:t>2026 οι</w:t>
      </w:r>
      <w:r>
        <w:rPr>
          <w:spacing w:val="-2"/>
        </w:rPr>
        <w:t> </w:t>
      </w:r>
      <w:r>
        <w:rPr/>
        <w:t>ελληνικές</w:t>
      </w:r>
      <w:r>
        <w:rPr>
          <w:spacing w:val="-1"/>
        </w:rPr>
        <w:t> </w:t>
      </w:r>
      <w:r>
        <w:rPr/>
        <w:t>τράπεζες άντλησαν συνολικά</w:t>
      </w:r>
      <w:r>
        <w:rPr>
          <w:spacing w:val="-1"/>
        </w:rPr>
        <w:t> </w:t>
      </w:r>
      <w:r>
        <w:rPr/>
        <w:t>περίπου 9,7 δισεκ.</w:t>
      </w:r>
      <w:r>
        <w:rPr>
          <w:spacing w:val="-2"/>
        </w:rPr>
        <w:t> </w:t>
      </w:r>
      <w:r>
        <w:rPr/>
        <w:t>ευρώ από</w:t>
      </w:r>
      <w:r>
        <w:rPr>
          <w:spacing w:val="-10"/>
        </w:rPr>
        <w:t> </w:t>
      </w:r>
      <w:r>
        <w:rPr/>
        <w:t>εκδόσεις</w:t>
      </w:r>
      <w:r>
        <w:rPr>
          <w:spacing w:val="-10"/>
        </w:rPr>
        <w:t> </w:t>
      </w:r>
      <w:r>
        <w:rPr/>
        <w:t>ομολόγων,</w:t>
      </w:r>
      <w:r>
        <w:rPr>
          <w:spacing w:val="-12"/>
        </w:rPr>
        <w:t> </w:t>
      </w:r>
      <w:r>
        <w:rPr/>
        <w:t>με</w:t>
      </w:r>
      <w:r>
        <w:rPr>
          <w:spacing w:val="-11"/>
        </w:rPr>
        <w:t> </w:t>
      </w:r>
      <w:r>
        <w:rPr/>
        <w:t>μέσο</w:t>
      </w:r>
      <w:r>
        <w:rPr>
          <w:spacing w:val="-12"/>
        </w:rPr>
        <w:t> </w:t>
      </w:r>
      <w:r>
        <w:rPr/>
        <w:t>επιτόκιο</w:t>
      </w:r>
      <w:r>
        <w:rPr>
          <w:spacing w:val="-12"/>
        </w:rPr>
        <w:t> </w:t>
      </w:r>
      <w:r>
        <w:rPr/>
        <w:t>έκδοσης</w:t>
      </w:r>
      <w:r>
        <w:rPr>
          <w:spacing w:val="-9"/>
        </w:rPr>
        <w:t> </w:t>
      </w:r>
      <w:r>
        <w:rPr/>
        <w:t>3,2%</w:t>
      </w:r>
      <w:r>
        <w:rPr>
          <w:spacing w:val="-11"/>
        </w:rPr>
        <w:t> </w:t>
      </w:r>
      <w:r>
        <w:rPr/>
        <w:t>(για</w:t>
      </w:r>
      <w:r>
        <w:rPr>
          <w:spacing w:val="-12"/>
        </w:rPr>
        <w:t> </w:t>
      </w:r>
      <w:r>
        <w:rPr/>
        <w:t>ομόλογα</w:t>
      </w:r>
      <w:r>
        <w:rPr>
          <w:spacing w:val="-11"/>
        </w:rPr>
        <w:t> </w:t>
      </w:r>
      <w:r>
        <w:rPr/>
        <w:t>υψηλής</w:t>
      </w:r>
      <w:r>
        <w:rPr>
          <w:spacing w:val="-11"/>
        </w:rPr>
        <w:t> </w:t>
      </w:r>
      <w:r>
        <w:rPr/>
        <w:t>εξοφλητικής</w:t>
      </w:r>
      <w:r>
        <w:rPr>
          <w:spacing w:val="-11"/>
        </w:rPr>
        <w:t> </w:t>
      </w:r>
      <w:r>
        <w:rPr/>
        <w:t>προ-τεραιότητας</w:t>
      </w:r>
      <w:r>
        <w:rPr>
          <w:spacing w:val="-12"/>
        </w:rPr>
        <w:t> </w:t>
      </w:r>
      <w:r>
        <w:rPr/>
        <w:t>–</w:t>
      </w:r>
      <w:r>
        <w:rPr>
          <w:spacing w:val="-11"/>
        </w:rPr>
        <w:t> </w:t>
      </w:r>
      <w:r>
        <w:rPr/>
        <w:t>senior),</w:t>
      </w:r>
      <w:r>
        <w:rPr>
          <w:spacing w:val="-11"/>
        </w:rPr>
        <w:t> </w:t>
      </w:r>
      <w:r>
        <w:rPr/>
        <w:t>4,72%</w:t>
      </w:r>
      <w:r>
        <w:rPr>
          <w:spacing w:val="-10"/>
        </w:rPr>
        <w:t> </w:t>
      </w:r>
      <w:r>
        <w:rPr/>
        <w:t>(για</w:t>
      </w:r>
      <w:r>
        <w:rPr>
          <w:spacing w:val="-11"/>
        </w:rPr>
        <w:t> </w:t>
      </w:r>
      <w:r>
        <w:rPr/>
        <w:t>μέσα</w:t>
      </w:r>
      <w:r>
        <w:rPr>
          <w:spacing w:val="-11"/>
        </w:rPr>
        <w:t> </w:t>
      </w:r>
      <w:r>
        <w:rPr/>
        <w:t>της</w:t>
      </w:r>
      <w:r>
        <w:rPr>
          <w:spacing w:val="-12"/>
        </w:rPr>
        <w:t> </w:t>
      </w:r>
      <w:r>
        <w:rPr/>
        <w:t>κατηγορίας</w:t>
      </w:r>
      <w:r>
        <w:rPr>
          <w:spacing w:val="-12"/>
        </w:rPr>
        <w:t> </w:t>
      </w:r>
      <w:r>
        <w:rPr/>
        <w:t>2</w:t>
      </w:r>
      <w:r>
        <w:rPr>
          <w:spacing w:val="-10"/>
        </w:rPr>
        <w:t> </w:t>
      </w:r>
      <w:r>
        <w:rPr/>
        <w:t>–</w:t>
      </w:r>
      <w:r>
        <w:rPr>
          <w:spacing w:val="-11"/>
        </w:rPr>
        <w:t> </w:t>
      </w:r>
      <w:r>
        <w:rPr/>
        <w:t>Tier</w:t>
      </w:r>
      <w:r>
        <w:rPr>
          <w:spacing w:val="-10"/>
        </w:rPr>
        <w:t> </w:t>
      </w:r>
      <w:r>
        <w:rPr/>
        <w:t>2)</w:t>
      </w:r>
      <w:r>
        <w:rPr>
          <w:spacing w:val="-10"/>
        </w:rPr>
        <w:t> </w:t>
      </w:r>
      <w:r>
        <w:rPr/>
        <w:t>και</w:t>
      </w:r>
      <w:r>
        <w:rPr>
          <w:spacing w:val="-11"/>
        </w:rPr>
        <w:t> </w:t>
      </w:r>
      <w:r>
        <w:rPr/>
        <w:t>6,07%</w:t>
      </w:r>
      <w:r>
        <w:rPr>
          <w:spacing w:val="-10"/>
        </w:rPr>
        <w:t> </w:t>
      </w:r>
      <w:r>
        <w:rPr/>
        <w:t>(για</w:t>
      </w:r>
      <w:r>
        <w:rPr>
          <w:spacing w:val="-11"/>
        </w:rPr>
        <w:t> </w:t>
      </w:r>
      <w:r>
        <w:rPr/>
        <w:t>πρόσθετα</w:t>
      </w:r>
      <w:r>
        <w:rPr>
          <w:spacing w:val="-11"/>
        </w:rPr>
        <w:t> </w:t>
      </w:r>
      <w:r>
        <w:rPr/>
        <w:t>μέσα της κατηγορίας 1 – Additional Tier 1), αντίστοιχα</w:t>
      </w:r>
      <w:hyperlink w:history="true" w:anchor="_bookmark46">
        <w:r>
          <w:rPr/>
          <w:t>.</w:t>
        </w:r>
        <w:r>
          <w:rPr>
            <w:position w:val="6"/>
            <w:sz w:val="10"/>
          </w:rPr>
          <w:t>32</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15488">
                <wp:simplePos x="0" y="0"/>
                <wp:positionH relativeFrom="page">
                  <wp:posOffset>1009192</wp:posOffset>
                </wp:positionH>
                <wp:positionV relativeFrom="paragraph">
                  <wp:posOffset>250384</wp:posOffset>
                </wp:positionV>
                <wp:extent cx="1829435" cy="7620"/>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9.715330pt;width:144.020pt;height:.60004pt;mso-position-horizontal-relative:page;mso-position-vertical-relative:paragraph;z-index:-15700992;mso-wrap-distance-left:0;mso-wrap-distance-right:0" id="docshape201" filled="true" fillcolor="#000000" stroked="false">
                <v:fill type="solid"/>
                <w10:wrap type="topAndBottom"/>
              </v:rect>
            </w:pict>
          </mc:Fallback>
        </mc:AlternateContent>
      </w:r>
    </w:p>
    <w:p>
      <w:pPr>
        <w:spacing w:before="167"/>
        <w:ind w:left="172" w:right="0" w:firstLine="0"/>
        <w:jc w:val="left"/>
        <w:rPr>
          <w:sz w:val="16"/>
        </w:rPr>
      </w:pPr>
      <w:bookmarkStart w:name="_bookmark46" w:id="47"/>
      <w:bookmarkEnd w:id="47"/>
      <w:r>
        <w:rPr/>
      </w:r>
      <w:r>
        <w:rPr>
          <w:sz w:val="16"/>
          <w:vertAlign w:val="superscript"/>
        </w:rPr>
        <w:t>32</w:t>
      </w:r>
      <w:r>
        <w:rPr>
          <w:spacing w:val="-4"/>
          <w:sz w:val="16"/>
          <w:vertAlign w:val="baseline"/>
        </w:rPr>
        <w:t> </w:t>
      </w:r>
      <w:r>
        <w:rPr>
          <w:sz w:val="16"/>
          <w:vertAlign w:val="baseline"/>
        </w:rPr>
        <w:t>Μεσοσταθμκά</w:t>
      </w:r>
      <w:r>
        <w:rPr>
          <w:spacing w:val="-3"/>
          <w:sz w:val="16"/>
          <w:vertAlign w:val="baseline"/>
        </w:rPr>
        <w:t> </w:t>
      </w:r>
      <w:r>
        <w:rPr>
          <w:spacing w:val="-2"/>
          <w:sz w:val="16"/>
          <w:vertAlign w:val="baseline"/>
        </w:rPr>
        <w:t>επιτόκια.</w:t>
      </w:r>
    </w:p>
    <w:p>
      <w:pPr>
        <w:spacing w:after="0"/>
        <w:jc w:val="left"/>
        <w:rPr>
          <w:sz w:val="16"/>
        </w:rPr>
        <w:sectPr>
          <w:pgSz w:w="11910" w:h="16850"/>
          <w:pgMar w:header="0" w:footer="1108" w:top="1840" w:bottom="1360" w:left="1417" w:right="850"/>
        </w:sectPr>
      </w:pPr>
    </w:p>
    <w:p>
      <w:pPr>
        <w:pStyle w:val="Heading1"/>
        <w:numPr>
          <w:ilvl w:val="0"/>
          <w:numId w:val="2"/>
        </w:numPr>
        <w:tabs>
          <w:tab w:pos="892" w:val="left" w:leader="none"/>
        </w:tabs>
        <w:spacing w:line="240" w:lineRule="auto" w:before="71" w:after="0"/>
        <w:ind w:left="892" w:right="0" w:hanging="720"/>
        <w:jc w:val="left"/>
      </w:pPr>
      <w:bookmarkStart w:name="_bookmark47" w:id="48"/>
      <w:bookmarkEnd w:id="48"/>
      <w:r>
        <w:rPr>
          <w:b w:val="0"/>
        </w:rPr>
      </w:r>
      <w:r>
        <w:rPr>
          <w:color w:val="1F487C"/>
          <w:spacing w:val="25"/>
        </w:rPr>
        <w:t>ΤΡΑΠΕΖΙΚΟΣ</w:t>
      </w:r>
      <w:r>
        <w:rPr>
          <w:color w:val="1F487C"/>
          <w:spacing w:val="65"/>
        </w:rPr>
        <w:t> </w:t>
      </w:r>
      <w:r>
        <w:rPr>
          <w:color w:val="1F487C"/>
          <w:spacing w:val="22"/>
        </w:rPr>
        <w:t>ΤΟΜΕΑΣ</w:t>
      </w:r>
    </w:p>
    <w:p>
      <w:pPr>
        <w:pStyle w:val="Heading2"/>
        <w:numPr>
          <w:ilvl w:val="1"/>
          <w:numId w:val="2"/>
        </w:numPr>
        <w:tabs>
          <w:tab w:pos="568" w:val="left" w:leader="none"/>
        </w:tabs>
        <w:spacing w:line="240" w:lineRule="auto" w:before="239" w:after="0"/>
        <w:ind w:left="568" w:right="0" w:hanging="396"/>
        <w:jc w:val="left"/>
        <w:rPr>
          <w:color w:val="1F487C"/>
        </w:rPr>
      </w:pPr>
      <w:bookmarkStart w:name="_bookmark48" w:id="49"/>
      <w:bookmarkEnd w:id="49"/>
      <w:r>
        <w:rPr>
          <w:b w:val="0"/>
        </w:rPr>
      </w:r>
      <w:r>
        <w:rPr>
          <w:color w:val="1F487C"/>
        </w:rPr>
        <w:t>ΕΞΕΛΙΞΗ</w:t>
      </w:r>
      <w:r>
        <w:rPr>
          <w:color w:val="1F487C"/>
          <w:spacing w:val="-5"/>
        </w:rPr>
        <w:t> </w:t>
      </w:r>
      <w:r>
        <w:rPr>
          <w:color w:val="1F487C"/>
        </w:rPr>
        <w:t>ΤΩΝ</w:t>
      </w:r>
      <w:r>
        <w:rPr>
          <w:color w:val="1F487C"/>
          <w:spacing w:val="-3"/>
        </w:rPr>
        <w:t> </w:t>
      </w:r>
      <w:r>
        <w:rPr>
          <w:color w:val="1F487C"/>
        </w:rPr>
        <w:t>ΒΑΣΙΚΩΝ</w:t>
      </w:r>
      <w:r>
        <w:rPr>
          <w:color w:val="1F487C"/>
          <w:spacing w:val="-4"/>
        </w:rPr>
        <w:t> </w:t>
      </w:r>
      <w:r>
        <w:rPr>
          <w:color w:val="1F487C"/>
        </w:rPr>
        <w:t>ΜΕΓΕΘΩΝ</w:t>
      </w:r>
      <w:r>
        <w:rPr>
          <w:color w:val="1F487C"/>
          <w:spacing w:val="-3"/>
        </w:rPr>
        <w:t> </w:t>
      </w:r>
      <w:r>
        <w:rPr>
          <w:color w:val="1F487C"/>
        </w:rPr>
        <w:t>ΤΟΥ</w:t>
      </w:r>
      <w:r>
        <w:rPr>
          <w:color w:val="1F487C"/>
          <w:spacing w:val="-2"/>
        </w:rPr>
        <w:t> ΙΣΟΛΟΓΙΣΜΟΥ</w:t>
      </w:r>
    </w:p>
    <w:p>
      <w:pPr>
        <w:pStyle w:val="BodyText"/>
        <w:spacing w:line="285" w:lineRule="auto" w:before="96"/>
        <w:ind w:left="172" w:right="473"/>
        <w:jc w:val="both"/>
      </w:pPr>
      <w:r>
        <w:rPr/>
        <mc:AlternateContent>
          <mc:Choice Requires="wps">
            <w:drawing>
              <wp:anchor distT="0" distB="0" distL="0" distR="0" allowOverlap="1" layoutInCell="1" locked="0" behindDoc="1" simplePos="0" relativeHeight="487616000">
                <wp:simplePos x="0" y="0"/>
                <wp:positionH relativeFrom="page">
                  <wp:posOffset>1009192</wp:posOffset>
                </wp:positionH>
                <wp:positionV relativeFrom="paragraph">
                  <wp:posOffset>838994</wp:posOffset>
                </wp:positionV>
                <wp:extent cx="5574665" cy="291465"/>
                <wp:effectExtent l="0" t="0" r="0" b="0"/>
                <wp:wrapTopAndBottom/>
                <wp:docPr id="218" name="Textbox 218"/>
                <wp:cNvGraphicFramePr>
                  <a:graphicFrameLocks/>
                </wp:cNvGraphicFramePr>
                <a:graphic>
                  <a:graphicData uri="http://schemas.microsoft.com/office/word/2010/wordprocessingShape">
                    <wps:wsp>
                      <wps:cNvPr id="218" name="Textbox 218"/>
                      <wps:cNvSpPr txBox="1"/>
                      <wps:spPr>
                        <a:xfrm>
                          <a:off x="0" y="0"/>
                          <a:ext cx="5574665" cy="291465"/>
                        </a:xfrm>
                        <a:prstGeom prst="rect">
                          <a:avLst/>
                        </a:prstGeom>
                        <a:solidFill>
                          <a:srgbClr val="1F487C"/>
                        </a:solidFill>
                      </wps:spPr>
                      <wps:txbx>
                        <w:txbxContent>
                          <w:p>
                            <w:pPr>
                              <w:spacing w:before="124"/>
                              <w:ind w:left="220" w:right="0" w:firstLine="0"/>
                              <w:jc w:val="left"/>
                              <w:rPr>
                                <w:b/>
                                <w:color w:val="000000"/>
                                <w:sz w:val="18"/>
                              </w:rPr>
                            </w:pPr>
                            <w:r>
                              <w:rPr>
                                <w:b/>
                                <w:color w:val="FFFFFF"/>
                                <w:sz w:val="18"/>
                              </w:rPr>
                              <w:t>Πίνακας</w:t>
                            </w:r>
                            <w:r>
                              <w:rPr>
                                <w:b/>
                                <w:color w:val="FFFFFF"/>
                                <w:spacing w:val="-1"/>
                                <w:sz w:val="18"/>
                              </w:rPr>
                              <w:t> </w:t>
                            </w:r>
                            <w:r>
                              <w:rPr>
                                <w:b/>
                                <w:color w:val="FFFFFF"/>
                                <w:sz w:val="18"/>
                              </w:rPr>
                              <w:t>III.1</w:t>
                            </w:r>
                            <w:r>
                              <w:rPr>
                                <w:b/>
                                <w:color w:val="FFFFFF"/>
                                <w:spacing w:val="-4"/>
                                <w:sz w:val="18"/>
                              </w:rPr>
                              <w:t> </w:t>
                            </w:r>
                            <w:r>
                              <w:rPr>
                                <w:b/>
                                <w:color w:val="FFFFFF"/>
                                <w:sz w:val="18"/>
                              </w:rPr>
                              <w:t>Δ</w:t>
                            </w:r>
                            <w:r>
                              <w:rPr>
                                <w:b/>
                                <w:smallCaps/>
                                <w:color w:val="FFFFFF"/>
                                <w:sz w:val="18"/>
                              </w:rPr>
                              <w:t>ι</w:t>
                            </w:r>
                            <w:r>
                              <w:rPr>
                                <w:b/>
                                <w:smallCaps w:val="0"/>
                                <w:color w:val="FFFFFF"/>
                                <w:sz w:val="18"/>
                              </w:rPr>
                              <w:t>άρθρωση</w:t>
                            </w:r>
                            <w:r>
                              <w:rPr>
                                <w:b/>
                                <w:smallCaps w:val="0"/>
                                <w:color w:val="FFFFFF"/>
                                <w:spacing w:val="-1"/>
                                <w:sz w:val="18"/>
                              </w:rPr>
                              <w:t> </w:t>
                            </w:r>
                            <w:r>
                              <w:rPr>
                                <w:b/>
                                <w:smallCaps w:val="0"/>
                                <w:color w:val="FFFFFF"/>
                                <w:sz w:val="18"/>
                              </w:rPr>
                              <w:t>του</w:t>
                            </w:r>
                            <w:r>
                              <w:rPr>
                                <w:b/>
                                <w:smallCaps w:val="0"/>
                                <w:color w:val="FFFFFF"/>
                                <w:spacing w:val="-3"/>
                                <w:sz w:val="18"/>
                              </w:rPr>
                              <w:t> </w:t>
                            </w:r>
                            <w:r>
                              <w:rPr>
                                <w:b/>
                                <w:smallCaps w:val="0"/>
                                <w:color w:val="FFFFFF"/>
                                <w:sz w:val="18"/>
                              </w:rPr>
                              <w:t>ενεργητ</w:t>
                            </w:r>
                            <w:r>
                              <w:rPr>
                                <w:b/>
                                <w:smallCaps/>
                                <w:color w:val="FFFFFF"/>
                                <w:sz w:val="18"/>
                              </w:rPr>
                              <w:t>ι</w:t>
                            </w:r>
                            <w:r>
                              <w:rPr>
                                <w:b/>
                                <w:smallCaps w:val="0"/>
                                <w:color w:val="FFFFFF"/>
                                <w:sz w:val="18"/>
                              </w:rPr>
                              <w:t>κού</w:t>
                            </w:r>
                            <w:r>
                              <w:rPr>
                                <w:b/>
                                <w:smallCaps w:val="0"/>
                                <w:color w:val="FFFFFF"/>
                                <w:spacing w:val="-2"/>
                                <w:sz w:val="18"/>
                              </w:rPr>
                              <w:t> </w:t>
                            </w:r>
                            <w:r>
                              <w:rPr>
                                <w:b/>
                                <w:smallCaps w:val="0"/>
                                <w:color w:val="FFFFFF"/>
                                <w:sz w:val="18"/>
                              </w:rPr>
                              <w:t>κα</w:t>
                            </w:r>
                            <w:r>
                              <w:rPr>
                                <w:b/>
                                <w:smallCaps/>
                                <w:color w:val="FFFFFF"/>
                                <w:sz w:val="18"/>
                              </w:rPr>
                              <w:t>ι</w:t>
                            </w:r>
                            <w:r>
                              <w:rPr>
                                <w:b/>
                                <w:smallCaps w:val="0"/>
                                <w:color w:val="FFFFFF"/>
                                <w:spacing w:val="-5"/>
                                <w:sz w:val="18"/>
                              </w:rPr>
                              <w:t> </w:t>
                            </w:r>
                            <w:r>
                              <w:rPr>
                                <w:b/>
                                <w:smallCaps w:val="0"/>
                                <w:color w:val="FFFFFF"/>
                                <w:sz w:val="18"/>
                              </w:rPr>
                              <w:t>του</w:t>
                            </w:r>
                            <w:r>
                              <w:rPr>
                                <w:b/>
                                <w:smallCaps w:val="0"/>
                                <w:color w:val="FFFFFF"/>
                                <w:spacing w:val="-4"/>
                                <w:sz w:val="18"/>
                              </w:rPr>
                              <w:t> </w:t>
                            </w:r>
                            <w:r>
                              <w:rPr>
                                <w:b/>
                                <w:smallCaps w:val="0"/>
                                <w:color w:val="FFFFFF"/>
                                <w:sz w:val="18"/>
                              </w:rPr>
                              <w:t>παθητ</w:t>
                            </w:r>
                            <w:r>
                              <w:rPr>
                                <w:b/>
                                <w:smallCaps/>
                                <w:color w:val="FFFFFF"/>
                                <w:sz w:val="18"/>
                              </w:rPr>
                              <w:t>ι</w:t>
                            </w:r>
                            <w:r>
                              <w:rPr>
                                <w:b/>
                                <w:smallCaps w:val="0"/>
                                <w:color w:val="FFFFFF"/>
                                <w:sz w:val="18"/>
                              </w:rPr>
                              <w:t>κού</w:t>
                            </w:r>
                            <w:r>
                              <w:rPr>
                                <w:b/>
                                <w:smallCaps w:val="0"/>
                                <w:color w:val="FFFFFF"/>
                                <w:spacing w:val="-5"/>
                                <w:sz w:val="18"/>
                              </w:rPr>
                              <w:t> </w:t>
                            </w:r>
                            <w:r>
                              <w:rPr>
                                <w:b/>
                                <w:smallCaps w:val="0"/>
                                <w:color w:val="FFFFFF"/>
                                <w:sz w:val="18"/>
                              </w:rPr>
                              <w:t>των</w:t>
                            </w:r>
                            <w:r>
                              <w:rPr>
                                <w:b/>
                                <w:smallCaps w:val="0"/>
                                <w:color w:val="FFFFFF"/>
                                <w:spacing w:val="-1"/>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4"/>
                                <w:sz w:val="18"/>
                              </w:rPr>
                              <w:t> </w:t>
                            </w:r>
                            <w:r>
                              <w:rPr>
                                <w:b/>
                                <w:smallCaps w:val="0"/>
                                <w:color w:val="FFFFFF"/>
                                <w:sz w:val="18"/>
                              </w:rPr>
                              <w:t>εμπορ</w:t>
                            </w:r>
                            <w:r>
                              <w:rPr>
                                <w:b/>
                                <w:smallCaps/>
                                <w:color w:val="FFFFFF"/>
                                <w:sz w:val="18"/>
                              </w:rPr>
                              <w:t>ι</w:t>
                            </w:r>
                            <w:r>
                              <w:rPr>
                                <w:b/>
                                <w:smallCaps w:val="0"/>
                                <w:color w:val="FFFFFF"/>
                                <w:sz w:val="18"/>
                              </w:rPr>
                              <w:t>κών</w:t>
                            </w:r>
                            <w:r>
                              <w:rPr>
                                <w:b/>
                                <w:smallCaps w:val="0"/>
                                <w:color w:val="FFFFFF"/>
                                <w:spacing w:val="-3"/>
                                <w:sz w:val="18"/>
                              </w:rPr>
                              <w:t> </w:t>
                            </w:r>
                            <w:r>
                              <w:rPr>
                                <w:b/>
                                <w:smallCaps w:val="0"/>
                                <w:color w:val="FFFFFF"/>
                                <w:sz w:val="18"/>
                              </w:rPr>
                              <w:t>τραπεζ</w:t>
                            </w:r>
                            <w:r>
                              <w:rPr>
                                <w:b/>
                                <w:smallCaps/>
                                <w:color w:val="FFFFFF"/>
                                <w:sz w:val="18"/>
                              </w:rPr>
                              <w:t>ι</w:t>
                            </w:r>
                            <w:r>
                              <w:rPr>
                                <w:b/>
                                <w:smallCaps w:val="0"/>
                                <w:color w:val="FFFFFF"/>
                                <w:sz w:val="18"/>
                              </w:rPr>
                              <w:t>κών</w:t>
                            </w:r>
                            <w:r>
                              <w:rPr>
                                <w:b/>
                                <w:smallCaps w:val="0"/>
                                <w:color w:val="FFFFFF"/>
                                <w:spacing w:val="-2"/>
                                <w:sz w:val="18"/>
                              </w:rPr>
                              <w:t> ομίλων</w:t>
                            </w:r>
                          </w:p>
                        </w:txbxContent>
                      </wps:txbx>
                      <wps:bodyPr wrap="square" lIns="0" tIns="0" rIns="0" bIns="0" rtlCol="0">
                        <a:noAutofit/>
                      </wps:bodyPr>
                    </wps:wsp>
                  </a:graphicData>
                </a:graphic>
              </wp:anchor>
            </w:drawing>
          </mc:Choice>
          <mc:Fallback>
            <w:pict>
              <v:shape style="position:absolute;margin-left:79.463997pt;margin-top:66.062538pt;width:438.95pt;height:22.95pt;mso-position-horizontal-relative:page;mso-position-vertical-relative:paragraph;z-index:-15700480;mso-wrap-distance-left:0;mso-wrap-distance-right:0" type="#_x0000_t202" id="docshape202" filled="true" fillcolor="#1f487c" stroked="false">
                <v:textbox inset="0,0,0,0">
                  <w:txbxContent>
                    <w:p>
                      <w:pPr>
                        <w:spacing w:before="124"/>
                        <w:ind w:left="220" w:right="0" w:firstLine="0"/>
                        <w:jc w:val="left"/>
                        <w:rPr>
                          <w:b/>
                          <w:color w:val="000000"/>
                          <w:sz w:val="18"/>
                        </w:rPr>
                      </w:pPr>
                      <w:r>
                        <w:rPr>
                          <w:b/>
                          <w:color w:val="FFFFFF"/>
                          <w:sz w:val="18"/>
                        </w:rPr>
                        <w:t>Πίνακας</w:t>
                      </w:r>
                      <w:r>
                        <w:rPr>
                          <w:b/>
                          <w:color w:val="FFFFFF"/>
                          <w:spacing w:val="-1"/>
                          <w:sz w:val="18"/>
                        </w:rPr>
                        <w:t> </w:t>
                      </w:r>
                      <w:r>
                        <w:rPr>
                          <w:b/>
                          <w:color w:val="FFFFFF"/>
                          <w:sz w:val="18"/>
                        </w:rPr>
                        <w:t>III.1</w:t>
                      </w:r>
                      <w:r>
                        <w:rPr>
                          <w:b/>
                          <w:color w:val="FFFFFF"/>
                          <w:spacing w:val="-4"/>
                          <w:sz w:val="18"/>
                        </w:rPr>
                        <w:t> </w:t>
                      </w:r>
                      <w:r>
                        <w:rPr>
                          <w:b/>
                          <w:color w:val="FFFFFF"/>
                          <w:sz w:val="18"/>
                        </w:rPr>
                        <w:t>Δ</w:t>
                      </w:r>
                      <w:r>
                        <w:rPr>
                          <w:b/>
                          <w:smallCaps/>
                          <w:color w:val="FFFFFF"/>
                          <w:sz w:val="18"/>
                        </w:rPr>
                        <w:t>ι</w:t>
                      </w:r>
                      <w:r>
                        <w:rPr>
                          <w:b/>
                          <w:smallCaps w:val="0"/>
                          <w:color w:val="FFFFFF"/>
                          <w:sz w:val="18"/>
                        </w:rPr>
                        <w:t>άρθρωση</w:t>
                      </w:r>
                      <w:r>
                        <w:rPr>
                          <w:b/>
                          <w:smallCaps w:val="0"/>
                          <w:color w:val="FFFFFF"/>
                          <w:spacing w:val="-1"/>
                          <w:sz w:val="18"/>
                        </w:rPr>
                        <w:t> </w:t>
                      </w:r>
                      <w:r>
                        <w:rPr>
                          <w:b/>
                          <w:smallCaps w:val="0"/>
                          <w:color w:val="FFFFFF"/>
                          <w:sz w:val="18"/>
                        </w:rPr>
                        <w:t>του</w:t>
                      </w:r>
                      <w:r>
                        <w:rPr>
                          <w:b/>
                          <w:smallCaps w:val="0"/>
                          <w:color w:val="FFFFFF"/>
                          <w:spacing w:val="-3"/>
                          <w:sz w:val="18"/>
                        </w:rPr>
                        <w:t> </w:t>
                      </w:r>
                      <w:r>
                        <w:rPr>
                          <w:b/>
                          <w:smallCaps w:val="0"/>
                          <w:color w:val="FFFFFF"/>
                          <w:sz w:val="18"/>
                        </w:rPr>
                        <w:t>ενεργητ</w:t>
                      </w:r>
                      <w:r>
                        <w:rPr>
                          <w:b/>
                          <w:smallCaps/>
                          <w:color w:val="FFFFFF"/>
                          <w:sz w:val="18"/>
                        </w:rPr>
                        <w:t>ι</w:t>
                      </w:r>
                      <w:r>
                        <w:rPr>
                          <w:b/>
                          <w:smallCaps w:val="0"/>
                          <w:color w:val="FFFFFF"/>
                          <w:sz w:val="18"/>
                        </w:rPr>
                        <w:t>κού</w:t>
                      </w:r>
                      <w:r>
                        <w:rPr>
                          <w:b/>
                          <w:smallCaps w:val="0"/>
                          <w:color w:val="FFFFFF"/>
                          <w:spacing w:val="-2"/>
                          <w:sz w:val="18"/>
                        </w:rPr>
                        <w:t> </w:t>
                      </w:r>
                      <w:r>
                        <w:rPr>
                          <w:b/>
                          <w:smallCaps w:val="0"/>
                          <w:color w:val="FFFFFF"/>
                          <w:sz w:val="18"/>
                        </w:rPr>
                        <w:t>κα</w:t>
                      </w:r>
                      <w:r>
                        <w:rPr>
                          <w:b/>
                          <w:smallCaps/>
                          <w:color w:val="FFFFFF"/>
                          <w:sz w:val="18"/>
                        </w:rPr>
                        <w:t>ι</w:t>
                      </w:r>
                      <w:r>
                        <w:rPr>
                          <w:b/>
                          <w:smallCaps w:val="0"/>
                          <w:color w:val="FFFFFF"/>
                          <w:spacing w:val="-5"/>
                          <w:sz w:val="18"/>
                        </w:rPr>
                        <w:t> </w:t>
                      </w:r>
                      <w:r>
                        <w:rPr>
                          <w:b/>
                          <w:smallCaps w:val="0"/>
                          <w:color w:val="FFFFFF"/>
                          <w:sz w:val="18"/>
                        </w:rPr>
                        <w:t>του</w:t>
                      </w:r>
                      <w:r>
                        <w:rPr>
                          <w:b/>
                          <w:smallCaps w:val="0"/>
                          <w:color w:val="FFFFFF"/>
                          <w:spacing w:val="-4"/>
                          <w:sz w:val="18"/>
                        </w:rPr>
                        <w:t> </w:t>
                      </w:r>
                      <w:r>
                        <w:rPr>
                          <w:b/>
                          <w:smallCaps w:val="0"/>
                          <w:color w:val="FFFFFF"/>
                          <w:sz w:val="18"/>
                        </w:rPr>
                        <w:t>παθητ</w:t>
                      </w:r>
                      <w:r>
                        <w:rPr>
                          <w:b/>
                          <w:smallCaps/>
                          <w:color w:val="FFFFFF"/>
                          <w:sz w:val="18"/>
                        </w:rPr>
                        <w:t>ι</w:t>
                      </w:r>
                      <w:r>
                        <w:rPr>
                          <w:b/>
                          <w:smallCaps w:val="0"/>
                          <w:color w:val="FFFFFF"/>
                          <w:sz w:val="18"/>
                        </w:rPr>
                        <w:t>κού</w:t>
                      </w:r>
                      <w:r>
                        <w:rPr>
                          <w:b/>
                          <w:smallCaps w:val="0"/>
                          <w:color w:val="FFFFFF"/>
                          <w:spacing w:val="-5"/>
                          <w:sz w:val="18"/>
                        </w:rPr>
                        <w:t> </w:t>
                      </w:r>
                      <w:r>
                        <w:rPr>
                          <w:b/>
                          <w:smallCaps w:val="0"/>
                          <w:color w:val="FFFFFF"/>
                          <w:sz w:val="18"/>
                        </w:rPr>
                        <w:t>των</w:t>
                      </w:r>
                      <w:r>
                        <w:rPr>
                          <w:b/>
                          <w:smallCaps w:val="0"/>
                          <w:color w:val="FFFFFF"/>
                          <w:spacing w:val="-1"/>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4"/>
                          <w:sz w:val="18"/>
                        </w:rPr>
                        <w:t> </w:t>
                      </w:r>
                      <w:r>
                        <w:rPr>
                          <w:b/>
                          <w:smallCaps w:val="0"/>
                          <w:color w:val="FFFFFF"/>
                          <w:sz w:val="18"/>
                        </w:rPr>
                        <w:t>εμπορ</w:t>
                      </w:r>
                      <w:r>
                        <w:rPr>
                          <w:b/>
                          <w:smallCaps/>
                          <w:color w:val="FFFFFF"/>
                          <w:sz w:val="18"/>
                        </w:rPr>
                        <w:t>ι</w:t>
                      </w:r>
                      <w:r>
                        <w:rPr>
                          <w:b/>
                          <w:smallCaps w:val="0"/>
                          <w:color w:val="FFFFFF"/>
                          <w:sz w:val="18"/>
                        </w:rPr>
                        <w:t>κών</w:t>
                      </w:r>
                      <w:r>
                        <w:rPr>
                          <w:b/>
                          <w:smallCaps w:val="0"/>
                          <w:color w:val="FFFFFF"/>
                          <w:spacing w:val="-3"/>
                          <w:sz w:val="18"/>
                        </w:rPr>
                        <w:t> </w:t>
                      </w:r>
                      <w:r>
                        <w:rPr>
                          <w:b/>
                          <w:smallCaps w:val="0"/>
                          <w:color w:val="FFFFFF"/>
                          <w:sz w:val="18"/>
                        </w:rPr>
                        <w:t>τραπεζ</w:t>
                      </w:r>
                      <w:r>
                        <w:rPr>
                          <w:b/>
                          <w:smallCaps/>
                          <w:color w:val="FFFFFF"/>
                          <w:sz w:val="18"/>
                        </w:rPr>
                        <w:t>ι</w:t>
                      </w:r>
                      <w:r>
                        <w:rPr>
                          <w:b/>
                          <w:smallCaps w:val="0"/>
                          <w:color w:val="FFFFFF"/>
                          <w:sz w:val="18"/>
                        </w:rPr>
                        <w:t>κών</w:t>
                      </w:r>
                      <w:r>
                        <w:rPr>
                          <w:b/>
                          <w:smallCaps w:val="0"/>
                          <w:color w:val="FFFFFF"/>
                          <w:spacing w:val="-2"/>
                          <w:sz w:val="18"/>
                        </w:rPr>
                        <w:t> ομίλων</w:t>
                      </w:r>
                    </w:p>
                  </w:txbxContent>
                </v:textbox>
                <v:fill type="solid"/>
                <w10:wrap type="topAndBottom"/>
              </v:shape>
            </w:pict>
          </mc:Fallback>
        </mc:AlternateContent>
      </w:r>
      <w:r>
        <w:rPr/>
        <w:t>Το</w:t>
      </w:r>
      <w:r>
        <w:rPr>
          <w:spacing w:val="-10"/>
        </w:rPr>
        <w:t> </w:t>
      </w:r>
      <w:r>
        <w:rPr/>
        <w:t>ενεργητικό</w:t>
      </w:r>
      <w:r>
        <w:rPr>
          <w:spacing w:val="-10"/>
        </w:rPr>
        <w:t> </w:t>
      </w:r>
      <w:r>
        <w:rPr/>
        <w:t>των</w:t>
      </w:r>
      <w:r>
        <w:rPr>
          <w:spacing w:val="-8"/>
        </w:rPr>
        <w:t> </w:t>
      </w:r>
      <w:r>
        <w:rPr/>
        <w:t>ελληνικών</w:t>
      </w:r>
      <w:r>
        <w:rPr>
          <w:spacing w:val="-9"/>
        </w:rPr>
        <w:t> </w:t>
      </w:r>
      <w:r>
        <w:rPr/>
        <w:t>τραπεζικών</w:t>
      </w:r>
      <w:r>
        <w:rPr>
          <w:spacing w:val="-9"/>
        </w:rPr>
        <w:t> </w:t>
      </w:r>
      <w:r>
        <w:rPr/>
        <w:t>ομίλων</w:t>
      </w:r>
      <w:r>
        <w:rPr>
          <w:spacing w:val="-7"/>
        </w:rPr>
        <w:t> </w:t>
      </w:r>
      <w:r>
        <w:rPr/>
        <w:t>διαμορφώθηκε</w:t>
      </w:r>
      <w:r>
        <w:rPr>
          <w:spacing w:val="-8"/>
        </w:rPr>
        <w:t> </w:t>
      </w:r>
      <w:r>
        <w:rPr/>
        <w:t>σε</w:t>
      </w:r>
      <w:r>
        <w:rPr>
          <w:spacing w:val="-9"/>
        </w:rPr>
        <w:t> </w:t>
      </w:r>
      <w:r>
        <w:rPr/>
        <w:t>375,2</w:t>
      </w:r>
      <w:r>
        <w:rPr>
          <w:spacing w:val="-9"/>
        </w:rPr>
        <w:t> </w:t>
      </w:r>
      <w:r>
        <w:rPr/>
        <w:t>δισεκ.</w:t>
      </w:r>
      <w:r>
        <w:rPr>
          <w:spacing w:val="-10"/>
        </w:rPr>
        <w:t> </w:t>
      </w:r>
      <w:r>
        <w:rPr/>
        <w:t>ευρώ</w:t>
      </w:r>
      <w:r>
        <w:rPr>
          <w:spacing w:val="-9"/>
        </w:rPr>
        <w:t> </w:t>
      </w:r>
      <w:r>
        <w:rPr/>
        <w:t>τον</w:t>
      </w:r>
      <w:r>
        <w:rPr>
          <w:spacing w:val="-9"/>
        </w:rPr>
        <w:t> </w:t>
      </w:r>
      <w:r>
        <w:rPr/>
        <w:t>Δεκέμβριο του</w:t>
      </w:r>
      <w:r>
        <w:rPr>
          <w:spacing w:val="-1"/>
        </w:rPr>
        <w:t> </w:t>
      </w:r>
      <w:r>
        <w:rPr/>
        <w:t>2025,</w:t>
      </w:r>
      <w:r>
        <w:rPr>
          <w:spacing w:val="-2"/>
        </w:rPr>
        <w:t> </w:t>
      </w:r>
      <w:r>
        <w:rPr/>
        <w:t>αυξημένο</w:t>
      </w:r>
      <w:r>
        <w:rPr>
          <w:spacing w:val="-2"/>
        </w:rPr>
        <w:t> </w:t>
      </w:r>
      <w:r>
        <w:rPr/>
        <w:t>κατά</w:t>
      </w:r>
      <w:r>
        <w:rPr>
          <w:spacing w:val="-3"/>
        </w:rPr>
        <w:t> </w:t>
      </w:r>
      <w:r>
        <w:rPr/>
        <w:t>8,8%</w:t>
      </w:r>
      <w:r>
        <w:rPr>
          <w:spacing w:val="-2"/>
        </w:rPr>
        <w:t> </w:t>
      </w:r>
      <w:r>
        <w:rPr/>
        <w:t>σε</w:t>
      </w:r>
      <w:r>
        <w:rPr>
          <w:spacing w:val="-1"/>
        </w:rPr>
        <w:t> </w:t>
      </w:r>
      <w:r>
        <w:rPr/>
        <w:t>σχέση</w:t>
      </w:r>
      <w:r>
        <w:rPr>
          <w:spacing w:val="-2"/>
        </w:rPr>
        <w:t> </w:t>
      </w:r>
      <w:r>
        <w:rPr/>
        <w:t>με</w:t>
      </w:r>
      <w:r>
        <w:rPr>
          <w:spacing w:val="-2"/>
        </w:rPr>
        <w:t> </w:t>
      </w:r>
      <w:r>
        <w:rPr/>
        <w:t>τον</w:t>
      </w:r>
      <w:r>
        <w:rPr>
          <w:spacing w:val="-1"/>
        </w:rPr>
        <w:t> </w:t>
      </w:r>
      <w:r>
        <w:rPr/>
        <w:t>Δεκέμβριο</w:t>
      </w:r>
      <w:r>
        <w:rPr>
          <w:spacing w:val="-2"/>
        </w:rPr>
        <w:t> </w:t>
      </w:r>
      <w:r>
        <w:rPr/>
        <w:t>του</w:t>
      </w:r>
      <w:r>
        <w:rPr>
          <w:spacing w:val="-1"/>
        </w:rPr>
        <w:t> </w:t>
      </w:r>
      <w:r>
        <w:rPr/>
        <w:t>2024</w:t>
      </w:r>
      <w:r>
        <w:rPr>
          <w:spacing w:val="-5"/>
        </w:rPr>
        <w:t> </w:t>
      </w:r>
      <w:r>
        <w:rPr/>
        <w:t>(βλ.</w:t>
      </w:r>
      <w:r>
        <w:rPr>
          <w:spacing w:val="-2"/>
        </w:rPr>
        <w:t> </w:t>
      </w:r>
      <w:r>
        <w:rPr/>
        <w:t>Πίνακα</w:t>
      </w:r>
      <w:r>
        <w:rPr>
          <w:spacing w:val="-5"/>
        </w:rPr>
        <w:t> </w:t>
      </w:r>
      <w:r>
        <w:rPr/>
        <w:t>ΙΙΙ.1),</w:t>
      </w:r>
      <w:r>
        <w:rPr>
          <w:spacing w:val="-2"/>
        </w:rPr>
        <w:t> </w:t>
      </w:r>
      <w:r>
        <w:rPr/>
        <w:t>κυρίως</w:t>
      </w:r>
      <w:r>
        <w:rPr>
          <w:spacing w:val="-3"/>
        </w:rPr>
        <w:t> </w:t>
      </w:r>
      <w:r>
        <w:rPr/>
        <w:t>λόγω της</w:t>
      </w:r>
      <w:r>
        <w:rPr>
          <w:spacing w:val="-8"/>
        </w:rPr>
        <w:t> </w:t>
      </w:r>
      <w:r>
        <w:rPr/>
        <w:t>οργανικής</w:t>
      </w:r>
      <w:r>
        <w:rPr>
          <w:spacing w:val="-9"/>
        </w:rPr>
        <w:t> </w:t>
      </w:r>
      <w:r>
        <w:rPr/>
        <w:t>επέκτασης,</w:t>
      </w:r>
      <w:r>
        <w:rPr>
          <w:spacing w:val="-7"/>
        </w:rPr>
        <w:t> </w:t>
      </w:r>
      <w:r>
        <w:rPr/>
        <w:t>ενώ</w:t>
      </w:r>
      <w:r>
        <w:rPr>
          <w:spacing w:val="-9"/>
        </w:rPr>
        <w:t> </w:t>
      </w:r>
      <w:r>
        <w:rPr/>
        <w:t>σε</w:t>
      </w:r>
      <w:r>
        <w:rPr>
          <w:spacing w:val="-6"/>
        </w:rPr>
        <w:t> </w:t>
      </w:r>
      <w:r>
        <w:rPr/>
        <w:t>μικρότερο</w:t>
      </w:r>
      <w:r>
        <w:rPr>
          <w:spacing w:val="-7"/>
        </w:rPr>
        <w:t> </w:t>
      </w:r>
      <w:r>
        <w:rPr/>
        <w:t>βαθμό</w:t>
      </w:r>
      <w:r>
        <w:rPr>
          <w:spacing w:val="-10"/>
        </w:rPr>
        <w:t> </w:t>
      </w:r>
      <w:r>
        <w:rPr/>
        <w:t>συνέβαλαν</w:t>
      </w:r>
      <w:r>
        <w:rPr>
          <w:spacing w:val="-6"/>
        </w:rPr>
        <w:t> </w:t>
      </w:r>
      <w:r>
        <w:rPr/>
        <w:t>οι</w:t>
      </w:r>
      <w:r>
        <w:rPr>
          <w:spacing w:val="-9"/>
        </w:rPr>
        <w:t> </w:t>
      </w:r>
      <w:r>
        <w:rPr/>
        <w:t>εξαγορές</w:t>
      </w:r>
      <w:r>
        <w:rPr>
          <w:spacing w:val="-5"/>
        </w:rPr>
        <w:t> </w:t>
      </w:r>
      <w:r>
        <w:rPr/>
        <w:t>(π.χ.</w:t>
      </w:r>
      <w:r>
        <w:rPr>
          <w:spacing w:val="-7"/>
        </w:rPr>
        <w:t> </w:t>
      </w:r>
      <w:r>
        <w:rPr/>
        <w:t>Εθνική</w:t>
      </w:r>
      <w:r>
        <w:rPr>
          <w:spacing w:val="-8"/>
        </w:rPr>
        <w:t> </w:t>
      </w:r>
      <w:r>
        <w:rPr/>
        <w:t>Ασφαλιστική, </w:t>
      </w:r>
      <w:r>
        <w:rPr>
          <w:spacing w:val="-2"/>
        </w:rPr>
        <w:t>Astrobank).</w:t>
      </w:r>
    </w:p>
    <w:p>
      <w:pPr>
        <w:spacing w:before="119"/>
        <w:ind w:left="337" w:right="0" w:firstLine="0"/>
        <w:jc w:val="left"/>
        <w:rPr>
          <w:sz w:val="14"/>
        </w:rPr>
      </w:pPr>
      <w:r>
        <w:rPr>
          <w:color w:val="1F487C"/>
          <w:sz w:val="14"/>
        </w:rPr>
        <w:t>(εκατ.</w:t>
      </w:r>
      <w:r>
        <w:rPr>
          <w:color w:val="1F487C"/>
          <w:spacing w:val="-4"/>
          <w:sz w:val="14"/>
        </w:rPr>
        <w:t> </w:t>
      </w:r>
      <w:r>
        <w:rPr>
          <w:color w:val="1F487C"/>
          <w:sz w:val="14"/>
        </w:rPr>
        <w:t>ευρώ,</w:t>
      </w:r>
      <w:r>
        <w:rPr>
          <w:color w:val="1F487C"/>
          <w:spacing w:val="-4"/>
          <w:sz w:val="14"/>
        </w:rPr>
        <w:t> </w:t>
      </w:r>
      <w:r>
        <w:rPr>
          <w:color w:val="1F487C"/>
          <w:spacing w:val="-2"/>
          <w:sz w:val="14"/>
        </w:rPr>
        <w:t>ποσοστά%)</w:t>
      </w:r>
    </w:p>
    <w:p>
      <w:pPr>
        <w:pStyle w:val="BodyText"/>
        <w:spacing w:before="3"/>
        <w:rPr>
          <w:sz w:val="5"/>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9"/>
        <w:gridCol w:w="1236"/>
        <w:gridCol w:w="534"/>
        <w:gridCol w:w="1003"/>
        <w:gridCol w:w="551"/>
        <w:gridCol w:w="1027"/>
      </w:tblGrid>
      <w:tr>
        <w:trPr>
          <w:trHeight w:val="584" w:hRule="atLeast"/>
        </w:trPr>
        <w:tc>
          <w:tcPr>
            <w:tcW w:w="4429" w:type="dxa"/>
            <w:tcBorders>
              <w:bottom w:val="single" w:sz="12" w:space="0" w:color="FFFFFF"/>
            </w:tcBorders>
            <w:shd w:val="clear" w:color="auto" w:fill="BEBEBE"/>
          </w:tcPr>
          <w:p>
            <w:pPr>
              <w:pStyle w:val="TableParagraph"/>
              <w:spacing w:before="129"/>
              <w:rPr>
                <w:sz w:val="18"/>
              </w:rPr>
            </w:pPr>
          </w:p>
          <w:p>
            <w:pPr>
              <w:pStyle w:val="TableParagraph"/>
              <w:ind w:left="108"/>
              <w:rPr>
                <w:b/>
                <w:sz w:val="18"/>
              </w:rPr>
            </w:pPr>
            <w:r>
              <w:rPr>
                <w:b/>
                <w:color w:val="1F487C"/>
                <w:spacing w:val="-2"/>
                <w:sz w:val="18"/>
              </w:rPr>
              <w:t>Ενεργητ</w:t>
            </w:r>
            <w:r>
              <w:rPr>
                <w:b/>
                <w:smallCaps/>
                <w:color w:val="1F487C"/>
                <w:spacing w:val="-2"/>
                <w:sz w:val="18"/>
              </w:rPr>
              <w:t>ι</w:t>
            </w:r>
            <w:r>
              <w:rPr>
                <w:b/>
                <w:smallCaps w:val="0"/>
                <w:color w:val="1F487C"/>
                <w:spacing w:val="-2"/>
                <w:sz w:val="18"/>
              </w:rPr>
              <w:t>κό</w:t>
            </w:r>
          </w:p>
        </w:tc>
        <w:tc>
          <w:tcPr>
            <w:tcW w:w="1236" w:type="dxa"/>
            <w:tcBorders>
              <w:bottom w:val="single" w:sz="12" w:space="0" w:color="FFFFFF"/>
            </w:tcBorders>
            <w:shd w:val="clear" w:color="auto" w:fill="BEBEBE"/>
          </w:tcPr>
          <w:p>
            <w:pPr>
              <w:pStyle w:val="TableParagraph"/>
              <w:spacing w:before="40"/>
              <w:ind w:right="23"/>
              <w:jc w:val="right"/>
              <w:rPr>
                <w:b/>
                <w:sz w:val="18"/>
              </w:rPr>
            </w:pPr>
            <w:r>
              <w:rPr>
                <w:b/>
                <w:color w:val="1F477B"/>
                <w:spacing w:val="-4"/>
                <w:sz w:val="18"/>
              </w:rPr>
              <w:t>2024</w:t>
            </w:r>
          </w:p>
        </w:tc>
        <w:tc>
          <w:tcPr>
            <w:tcW w:w="534" w:type="dxa"/>
            <w:tcBorders>
              <w:bottom w:val="single" w:sz="12" w:space="0" w:color="FFFFFF"/>
              <w:right w:val="single" w:sz="4" w:space="0" w:color="FFFFFF"/>
            </w:tcBorders>
            <w:shd w:val="clear" w:color="auto" w:fill="BEBEBE"/>
          </w:tcPr>
          <w:p>
            <w:pPr>
              <w:pStyle w:val="TableParagraph"/>
              <w:spacing w:before="129"/>
              <w:rPr>
                <w:sz w:val="18"/>
              </w:rPr>
            </w:pPr>
          </w:p>
          <w:p>
            <w:pPr>
              <w:pStyle w:val="TableParagraph"/>
              <w:ind w:left="110"/>
              <w:rPr>
                <w:b/>
                <w:sz w:val="18"/>
              </w:rPr>
            </w:pPr>
            <w:r>
              <w:rPr>
                <w:b/>
                <w:color w:val="1F477B"/>
                <w:spacing w:val="-10"/>
                <w:sz w:val="18"/>
              </w:rPr>
              <w:t>%</w:t>
            </w:r>
          </w:p>
        </w:tc>
        <w:tc>
          <w:tcPr>
            <w:tcW w:w="1003" w:type="dxa"/>
            <w:tcBorders>
              <w:left w:val="single" w:sz="4" w:space="0" w:color="FFFFFF"/>
              <w:bottom w:val="single" w:sz="12" w:space="0" w:color="FFFFFF"/>
            </w:tcBorders>
            <w:shd w:val="clear" w:color="auto" w:fill="BEBEBE"/>
          </w:tcPr>
          <w:p>
            <w:pPr>
              <w:pStyle w:val="TableParagraph"/>
              <w:spacing w:before="40"/>
              <w:ind w:right="41"/>
              <w:jc w:val="right"/>
              <w:rPr>
                <w:b/>
                <w:sz w:val="18"/>
              </w:rPr>
            </w:pPr>
            <w:r>
              <w:rPr>
                <w:b/>
                <w:color w:val="1F477B"/>
                <w:spacing w:val="-4"/>
                <w:sz w:val="18"/>
              </w:rPr>
              <w:t>2025</w:t>
            </w:r>
          </w:p>
        </w:tc>
        <w:tc>
          <w:tcPr>
            <w:tcW w:w="551" w:type="dxa"/>
            <w:tcBorders>
              <w:bottom w:val="single" w:sz="12" w:space="0" w:color="FFFFFF"/>
              <w:right w:val="single" w:sz="4" w:space="0" w:color="FFFFFF"/>
            </w:tcBorders>
            <w:shd w:val="clear" w:color="auto" w:fill="BEBEBE"/>
          </w:tcPr>
          <w:p>
            <w:pPr>
              <w:pStyle w:val="TableParagraph"/>
              <w:spacing w:before="129"/>
              <w:rPr>
                <w:sz w:val="18"/>
              </w:rPr>
            </w:pPr>
          </w:p>
          <w:p>
            <w:pPr>
              <w:pStyle w:val="TableParagraph"/>
              <w:ind w:left="126"/>
              <w:rPr>
                <w:b/>
                <w:sz w:val="18"/>
              </w:rPr>
            </w:pPr>
            <w:r>
              <w:rPr>
                <w:b/>
                <w:color w:val="1F477B"/>
                <w:spacing w:val="-10"/>
                <w:sz w:val="18"/>
              </w:rPr>
              <w:t>%</w:t>
            </w:r>
          </w:p>
        </w:tc>
        <w:tc>
          <w:tcPr>
            <w:tcW w:w="1027" w:type="dxa"/>
            <w:tcBorders>
              <w:left w:val="single" w:sz="4" w:space="0" w:color="FFFFFF"/>
              <w:bottom w:val="single" w:sz="12" w:space="0" w:color="FFFFFF"/>
            </w:tcBorders>
            <w:shd w:val="clear" w:color="auto" w:fill="BEBEBE"/>
          </w:tcPr>
          <w:p>
            <w:pPr>
              <w:pStyle w:val="TableParagraph"/>
              <w:spacing w:before="40"/>
              <w:ind w:right="106"/>
              <w:jc w:val="right"/>
              <w:rPr>
                <w:b/>
                <w:sz w:val="18"/>
              </w:rPr>
            </w:pPr>
            <w:r>
              <w:rPr>
                <w:b/>
                <w:color w:val="1F477B"/>
                <w:spacing w:val="-2"/>
                <w:sz w:val="18"/>
              </w:rPr>
              <w:t>Μεταβολή</w:t>
            </w:r>
          </w:p>
        </w:tc>
      </w:tr>
      <w:tr>
        <w:trPr>
          <w:trHeight w:val="334" w:hRule="atLeast"/>
        </w:trPr>
        <w:tc>
          <w:tcPr>
            <w:tcW w:w="4429" w:type="dxa"/>
            <w:tcBorders>
              <w:top w:val="single" w:sz="12" w:space="0" w:color="FFFFFF"/>
            </w:tcBorders>
            <w:shd w:val="clear" w:color="auto" w:fill="D9D9D9"/>
          </w:tcPr>
          <w:p>
            <w:pPr>
              <w:pStyle w:val="TableParagraph"/>
              <w:spacing w:before="74"/>
              <w:ind w:left="108"/>
              <w:rPr>
                <w:sz w:val="16"/>
              </w:rPr>
            </w:pPr>
            <w:r>
              <w:rPr>
                <w:sz w:val="16"/>
              </w:rPr>
              <w:t>Ταμείο</w:t>
            </w:r>
            <w:r>
              <w:rPr>
                <w:spacing w:val="-4"/>
                <w:sz w:val="16"/>
              </w:rPr>
              <w:t> </w:t>
            </w:r>
            <w:r>
              <w:rPr>
                <w:sz w:val="16"/>
              </w:rPr>
              <w:t>και</w:t>
            </w:r>
            <w:r>
              <w:rPr>
                <w:spacing w:val="-5"/>
                <w:sz w:val="16"/>
              </w:rPr>
              <w:t> </w:t>
            </w:r>
            <w:r>
              <w:rPr>
                <w:sz w:val="16"/>
              </w:rPr>
              <w:t>διαθέσιμα</w:t>
            </w:r>
            <w:r>
              <w:rPr>
                <w:spacing w:val="-3"/>
                <w:sz w:val="16"/>
              </w:rPr>
              <w:t> </w:t>
            </w:r>
            <w:r>
              <w:rPr>
                <w:sz w:val="16"/>
              </w:rPr>
              <w:t>στην</w:t>
            </w:r>
            <w:r>
              <w:rPr>
                <w:spacing w:val="-5"/>
                <w:sz w:val="16"/>
              </w:rPr>
              <w:t> </w:t>
            </w:r>
            <w:r>
              <w:rPr>
                <w:sz w:val="16"/>
              </w:rPr>
              <w:t>κεντρική</w:t>
            </w:r>
            <w:r>
              <w:rPr>
                <w:spacing w:val="-4"/>
                <w:sz w:val="16"/>
              </w:rPr>
              <w:t> </w:t>
            </w:r>
            <w:r>
              <w:rPr>
                <w:spacing w:val="-2"/>
                <w:sz w:val="16"/>
              </w:rPr>
              <w:t>τράπεζα</w:t>
            </w:r>
          </w:p>
        </w:tc>
        <w:tc>
          <w:tcPr>
            <w:tcW w:w="1236" w:type="dxa"/>
            <w:tcBorders>
              <w:top w:val="single" w:sz="12" w:space="0" w:color="FFFFFF"/>
            </w:tcBorders>
            <w:shd w:val="clear" w:color="auto" w:fill="D9D9D9"/>
          </w:tcPr>
          <w:p>
            <w:pPr>
              <w:pStyle w:val="TableParagraph"/>
              <w:spacing w:before="74"/>
              <w:ind w:left="551"/>
              <w:rPr>
                <w:sz w:val="16"/>
              </w:rPr>
            </w:pPr>
            <w:r>
              <w:rPr>
                <w:spacing w:val="-2"/>
                <w:sz w:val="16"/>
              </w:rPr>
              <w:t>34.335</w:t>
            </w:r>
          </w:p>
        </w:tc>
        <w:tc>
          <w:tcPr>
            <w:tcW w:w="534" w:type="dxa"/>
            <w:tcBorders>
              <w:top w:val="single" w:sz="12" w:space="0" w:color="FFFFFF"/>
              <w:right w:val="single" w:sz="4" w:space="0" w:color="FFFFFF"/>
            </w:tcBorders>
            <w:shd w:val="clear" w:color="auto" w:fill="D9D9D9"/>
          </w:tcPr>
          <w:p>
            <w:pPr>
              <w:pStyle w:val="TableParagraph"/>
              <w:spacing w:before="74"/>
              <w:ind w:right="96"/>
              <w:jc w:val="right"/>
              <w:rPr>
                <w:sz w:val="16"/>
              </w:rPr>
            </w:pPr>
            <w:r>
              <w:rPr>
                <w:spacing w:val="-4"/>
                <w:sz w:val="16"/>
              </w:rPr>
              <w:t>10,0</w:t>
            </w:r>
          </w:p>
        </w:tc>
        <w:tc>
          <w:tcPr>
            <w:tcW w:w="1003" w:type="dxa"/>
            <w:tcBorders>
              <w:top w:val="single" w:sz="12" w:space="0" w:color="FFFFFF"/>
              <w:left w:val="single" w:sz="4" w:space="0" w:color="FFFFFF"/>
            </w:tcBorders>
            <w:shd w:val="clear" w:color="auto" w:fill="D9D9D9"/>
          </w:tcPr>
          <w:p>
            <w:pPr>
              <w:pStyle w:val="TableParagraph"/>
              <w:spacing w:before="74"/>
              <w:ind w:left="329"/>
              <w:rPr>
                <w:sz w:val="16"/>
              </w:rPr>
            </w:pPr>
            <w:r>
              <w:rPr>
                <w:spacing w:val="-2"/>
                <w:sz w:val="16"/>
              </w:rPr>
              <w:t>35.023</w:t>
            </w:r>
          </w:p>
        </w:tc>
        <w:tc>
          <w:tcPr>
            <w:tcW w:w="551" w:type="dxa"/>
            <w:tcBorders>
              <w:top w:val="single" w:sz="12" w:space="0" w:color="FFFFFF"/>
              <w:right w:val="single" w:sz="4" w:space="0" w:color="FFFFFF"/>
            </w:tcBorders>
            <w:shd w:val="clear" w:color="auto" w:fill="D9D9D9"/>
          </w:tcPr>
          <w:p>
            <w:pPr>
              <w:pStyle w:val="TableParagraph"/>
              <w:spacing w:before="74"/>
              <w:ind w:right="97"/>
              <w:jc w:val="right"/>
              <w:rPr>
                <w:sz w:val="16"/>
              </w:rPr>
            </w:pPr>
            <w:r>
              <w:rPr>
                <w:spacing w:val="-5"/>
                <w:sz w:val="16"/>
              </w:rPr>
              <w:t>9,3</w:t>
            </w:r>
          </w:p>
        </w:tc>
        <w:tc>
          <w:tcPr>
            <w:tcW w:w="1027" w:type="dxa"/>
            <w:tcBorders>
              <w:top w:val="single" w:sz="12" w:space="0" w:color="FFFFFF"/>
              <w:left w:val="single" w:sz="4" w:space="0" w:color="FFFFFF"/>
            </w:tcBorders>
            <w:shd w:val="clear" w:color="auto" w:fill="D9D9D9"/>
          </w:tcPr>
          <w:p>
            <w:pPr>
              <w:pStyle w:val="TableParagraph"/>
              <w:spacing w:before="74"/>
              <w:ind w:right="106"/>
              <w:jc w:val="right"/>
              <w:rPr>
                <w:sz w:val="16"/>
              </w:rPr>
            </w:pPr>
            <w:r>
              <w:rPr>
                <w:spacing w:val="-5"/>
                <w:sz w:val="16"/>
              </w:rPr>
              <w:t>687</w:t>
            </w:r>
          </w:p>
        </w:tc>
      </w:tr>
      <w:tr>
        <w:trPr>
          <w:trHeight w:val="340" w:hRule="atLeast"/>
        </w:trPr>
        <w:tc>
          <w:tcPr>
            <w:tcW w:w="4429" w:type="dxa"/>
            <w:shd w:val="clear" w:color="auto" w:fill="BEBEBE"/>
          </w:tcPr>
          <w:p>
            <w:pPr>
              <w:pStyle w:val="TableParagraph"/>
              <w:spacing w:before="81"/>
              <w:ind w:left="108"/>
              <w:rPr>
                <w:sz w:val="16"/>
              </w:rPr>
            </w:pPr>
            <w:r>
              <w:rPr>
                <w:sz w:val="16"/>
              </w:rPr>
              <w:t>Απαιτήσεις</w:t>
            </w:r>
            <w:r>
              <w:rPr>
                <w:spacing w:val="-5"/>
                <w:sz w:val="16"/>
              </w:rPr>
              <w:t> </w:t>
            </w:r>
            <w:r>
              <w:rPr>
                <w:sz w:val="16"/>
              </w:rPr>
              <w:t>κατά</w:t>
            </w:r>
            <w:r>
              <w:rPr>
                <w:spacing w:val="-6"/>
                <w:sz w:val="16"/>
              </w:rPr>
              <w:t> </w:t>
            </w:r>
            <w:r>
              <w:rPr>
                <w:sz w:val="16"/>
              </w:rPr>
              <w:t>πιστωτικών</w:t>
            </w:r>
            <w:r>
              <w:rPr>
                <w:spacing w:val="-6"/>
                <w:sz w:val="16"/>
              </w:rPr>
              <w:t> </w:t>
            </w:r>
            <w:r>
              <w:rPr>
                <w:spacing w:val="-2"/>
                <w:sz w:val="16"/>
              </w:rPr>
              <w:t>ιδρυμάτων</w:t>
            </w:r>
          </w:p>
        </w:tc>
        <w:tc>
          <w:tcPr>
            <w:tcW w:w="1236" w:type="dxa"/>
            <w:shd w:val="clear" w:color="auto" w:fill="BEBEBE"/>
          </w:tcPr>
          <w:p>
            <w:pPr>
              <w:pStyle w:val="TableParagraph"/>
              <w:spacing w:before="81"/>
              <w:ind w:left="631"/>
              <w:rPr>
                <w:sz w:val="16"/>
              </w:rPr>
            </w:pPr>
            <w:r>
              <w:rPr>
                <w:spacing w:val="-2"/>
                <w:sz w:val="16"/>
              </w:rPr>
              <w:t>9.676</w:t>
            </w:r>
          </w:p>
        </w:tc>
        <w:tc>
          <w:tcPr>
            <w:tcW w:w="534" w:type="dxa"/>
            <w:tcBorders>
              <w:right w:val="single" w:sz="4" w:space="0" w:color="FFFFFF"/>
            </w:tcBorders>
            <w:shd w:val="clear" w:color="auto" w:fill="BEBEBE"/>
          </w:tcPr>
          <w:p>
            <w:pPr>
              <w:pStyle w:val="TableParagraph"/>
              <w:spacing w:before="81"/>
              <w:ind w:right="96"/>
              <w:jc w:val="right"/>
              <w:rPr>
                <w:sz w:val="16"/>
              </w:rPr>
            </w:pPr>
            <w:r>
              <w:rPr>
                <w:spacing w:val="-5"/>
                <w:sz w:val="16"/>
              </w:rPr>
              <w:t>2,8</w:t>
            </w:r>
          </w:p>
        </w:tc>
        <w:tc>
          <w:tcPr>
            <w:tcW w:w="1003" w:type="dxa"/>
            <w:tcBorders>
              <w:left w:val="single" w:sz="4" w:space="0" w:color="FFFFFF"/>
            </w:tcBorders>
            <w:shd w:val="clear" w:color="auto" w:fill="BEBEBE"/>
          </w:tcPr>
          <w:p>
            <w:pPr>
              <w:pStyle w:val="TableParagraph"/>
              <w:spacing w:before="81"/>
              <w:ind w:left="329"/>
              <w:rPr>
                <w:sz w:val="16"/>
              </w:rPr>
            </w:pPr>
            <w:r>
              <w:rPr>
                <w:spacing w:val="-2"/>
                <w:sz w:val="16"/>
              </w:rPr>
              <w:t>11.660</w:t>
            </w:r>
          </w:p>
        </w:tc>
        <w:tc>
          <w:tcPr>
            <w:tcW w:w="551" w:type="dxa"/>
            <w:tcBorders>
              <w:right w:val="single" w:sz="4" w:space="0" w:color="FFFFFF"/>
            </w:tcBorders>
            <w:shd w:val="clear" w:color="auto" w:fill="BEBEBE"/>
          </w:tcPr>
          <w:p>
            <w:pPr>
              <w:pStyle w:val="TableParagraph"/>
              <w:spacing w:before="81"/>
              <w:ind w:right="97"/>
              <w:jc w:val="right"/>
              <w:rPr>
                <w:sz w:val="16"/>
              </w:rPr>
            </w:pPr>
            <w:r>
              <w:rPr>
                <w:spacing w:val="-5"/>
                <w:sz w:val="16"/>
              </w:rPr>
              <w:t>3,1</w:t>
            </w:r>
          </w:p>
        </w:tc>
        <w:tc>
          <w:tcPr>
            <w:tcW w:w="1027" w:type="dxa"/>
            <w:tcBorders>
              <w:left w:val="single" w:sz="4" w:space="0" w:color="FFFFFF"/>
            </w:tcBorders>
            <w:shd w:val="clear" w:color="auto" w:fill="BEBEBE"/>
          </w:tcPr>
          <w:p>
            <w:pPr>
              <w:pStyle w:val="TableParagraph"/>
              <w:spacing w:before="81"/>
              <w:ind w:right="106"/>
              <w:jc w:val="right"/>
              <w:rPr>
                <w:sz w:val="16"/>
              </w:rPr>
            </w:pPr>
            <w:r>
              <w:rPr>
                <w:spacing w:val="-2"/>
                <w:sz w:val="16"/>
              </w:rPr>
              <w:t>1.984</w:t>
            </w:r>
          </w:p>
        </w:tc>
      </w:tr>
      <w:tr>
        <w:trPr>
          <w:trHeight w:val="340" w:hRule="atLeast"/>
        </w:trPr>
        <w:tc>
          <w:tcPr>
            <w:tcW w:w="4429" w:type="dxa"/>
            <w:shd w:val="clear" w:color="auto" w:fill="D9D9D9"/>
          </w:tcPr>
          <w:p>
            <w:pPr>
              <w:pStyle w:val="TableParagraph"/>
              <w:spacing w:before="78"/>
              <w:ind w:left="108"/>
              <w:rPr>
                <w:sz w:val="16"/>
              </w:rPr>
            </w:pPr>
            <w:r>
              <w:rPr>
                <w:sz w:val="16"/>
              </w:rPr>
              <w:t>Δάνεια</w:t>
            </w:r>
            <w:r>
              <w:rPr>
                <w:spacing w:val="-3"/>
                <w:sz w:val="16"/>
              </w:rPr>
              <w:t> </w:t>
            </w:r>
            <w:r>
              <w:rPr>
                <w:sz w:val="16"/>
              </w:rPr>
              <w:t>και</w:t>
            </w:r>
            <w:r>
              <w:rPr>
                <w:spacing w:val="-5"/>
                <w:sz w:val="16"/>
              </w:rPr>
              <w:t> </w:t>
            </w:r>
            <w:r>
              <w:rPr>
                <w:sz w:val="16"/>
              </w:rPr>
              <w:t>προκαταβολές</w:t>
            </w:r>
            <w:r>
              <w:rPr>
                <w:spacing w:val="-1"/>
                <w:sz w:val="16"/>
              </w:rPr>
              <w:t> </w:t>
            </w:r>
            <w:r>
              <w:rPr>
                <w:sz w:val="16"/>
              </w:rPr>
              <w:t>σε</w:t>
            </w:r>
            <w:r>
              <w:rPr>
                <w:spacing w:val="-6"/>
                <w:sz w:val="16"/>
              </w:rPr>
              <w:t> </w:t>
            </w:r>
            <w:r>
              <w:rPr>
                <w:sz w:val="16"/>
              </w:rPr>
              <w:t>πελάτες</w:t>
            </w:r>
            <w:r>
              <w:rPr>
                <w:spacing w:val="-6"/>
                <w:sz w:val="16"/>
              </w:rPr>
              <w:t> </w:t>
            </w:r>
            <w:r>
              <w:rPr>
                <w:sz w:val="16"/>
              </w:rPr>
              <w:t>(μετά</w:t>
            </w:r>
            <w:r>
              <w:rPr>
                <w:spacing w:val="-3"/>
                <w:sz w:val="16"/>
              </w:rPr>
              <w:t> </w:t>
            </w:r>
            <w:r>
              <w:rPr>
                <w:sz w:val="16"/>
              </w:rPr>
              <w:t>από</w:t>
            </w:r>
            <w:r>
              <w:rPr>
                <w:spacing w:val="-1"/>
                <w:sz w:val="16"/>
              </w:rPr>
              <w:t> </w:t>
            </w:r>
            <w:r>
              <w:rPr>
                <w:spacing w:val="-2"/>
                <w:sz w:val="16"/>
              </w:rPr>
              <w:t>προβλέψεις)</w:t>
            </w:r>
          </w:p>
        </w:tc>
        <w:tc>
          <w:tcPr>
            <w:tcW w:w="1236" w:type="dxa"/>
            <w:shd w:val="clear" w:color="auto" w:fill="D9D9D9"/>
          </w:tcPr>
          <w:p>
            <w:pPr>
              <w:pStyle w:val="TableParagraph"/>
              <w:spacing w:before="78"/>
              <w:ind w:left="469"/>
              <w:rPr>
                <w:sz w:val="16"/>
              </w:rPr>
            </w:pPr>
            <w:r>
              <w:rPr>
                <w:spacing w:val="-2"/>
                <w:sz w:val="16"/>
              </w:rPr>
              <w:t>177.270</w:t>
            </w:r>
          </w:p>
        </w:tc>
        <w:tc>
          <w:tcPr>
            <w:tcW w:w="534" w:type="dxa"/>
            <w:tcBorders>
              <w:right w:val="single" w:sz="4" w:space="0" w:color="FFFFFF"/>
            </w:tcBorders>
            <w:shd w:val="clear" w:color="auto" w:fill="D9D9D9"/>
          </w:tcPr>
          <w:p>
            <w:pPr>
              <w:pStyle w:val="TableParagraph"/>
              <w:spacing w:before="78"/>
              <w:ind w:right="96"/>
              <w:jc w:val="right"/>
              <w:rPr>
                <w:sz w:val="16"/>
              </w:rPr>
            </w:pPr>
            <w:r>
              <w:rPr>
                <w:spacing w:val="-4"/>
                <w:sz w:val="16"/>
              </w:rPr>
              <w:t>51,4</w:t>
            </w:r>
          </w:p>
        </w:tc>
        <w:tc>
          <w:tcPr>
            <w:tcW w:w="1003" w:type="dxa"/>
            <w:tcBorders>
              <w:left w:val="single" w:sz="4" w:space="0" w:color="FFFFFF"/>
            </w:tcBorders>
            <w:shd w:val="clear" w:color="auto" w:fill="D9D9D9"/>
          </w:tcPr>
          <w:p>
            <w:pPr>
              <w:pStyle w:val="TableParagraph"/>
              <w:spacing w:before="78"/>
              <w:ind w:left="248"/>
              <w:rPr>
                <w:sz w:val="16"/>
              </w:rPr>
            </w:pPr>
            <w:r>
              <w:rPr>
                <w:spacing w:val="-2"/>
                <w:sz w:val="16"/>
              </w:rPr>
              <w:t>193.726</w:t>
            </w:r>
          </w:p>
        </w:tc>
        <w:tc>
          <w:tcPr>
            <w:tcW w:w="551" w:type="dxa"/>
            <w:tcBorders>
              <w:right w:val="single" w:sz="4" w:space="0" w:color="FFFFFF"/>
            </w:tcBorders>
            <w:shd w:val="clear" w:color="auto" w:fill="D9D9D9"/>
          </w:tcPr>
          <w:p>
            <w:pPr>
              <w:pStyle w:val="TableParagraph"/>
              <w:spacing w:before="78"/>
              <w:ind w:right="97"/>
              <w:jc w:val="right"/>
              <w:rPr>
                <w:sz w:val="16"/>
              </w:rPr>
            </w:pPr>
            <w:r>
              <w:rPr>
                <w:spacing w:val="-4"/>
                <w:sz w:val="16"/>
              </w:rPr>
              <w:t>51,6</w:t>
            </w:r>
          </w:p>
        </w:tc>
        <w:tc>
          <w:tcPr>
            <w:tcW w:w="1027" w:type="dxa"/>
            <w:tcBorders>
              <w:left w:val="single" w:sz="4" w:space="0" w:color="FFFFFF"/>
            </w:tcBorders>
            <w:shd w:val="clear" w:color="auto" w:fill="D9D9D9"/>
          </w:tcPr>
          <w:p>
            <w:pPr>
              <w:pStyle w:val="TableParagraph"/>
              <w:spacing w:before="78"/>
              <w:ind w:right="106"/>
              <w:jc w:val="right"/>
              <w:rPr>
                <w:sz w:val="16"/>
              </w:rPr>
            </w:pPr>
            <w:r>
              <w:rPr>
                <w:spacing w:val="-2"/>
                <w:sz w:val="16"/>
              </w:rPr>
              <w:t>16.457</w:t>
            </w:r>
          </w:p>
        </w:tc>
      </w:tr>
      <w:tr>
        <w:trPr>
          <w:trHeight w:val="338" w:hRule="atLeast"/>
        </w:trPr>
        <w:tc>
          <w:tcPr>
            <w:tcW w:w="4429" w:type="dxa"/>
            <w:shd w:val="clear" w:color="auto" w:fill="BEBEBE"/>
          </w:tcPr>
          <w:p>
            <w:pPr>
              <w:pStyle w:val="TableParagraph"/>
              <w:spacing w:before="78"/>
              <w:ind w:left="108"/>
              <w:rPr>
                <w:sz w:val="16"/>
              </w:rPr>
            </w:pPr>
            <w:r>
              <w:rPr>
                <w:sz w:val="16"/>
              </w:rPr>
              <w:t>Παράγωγα</w:t>
            </w:r>
            <w:r>
              <w:rPr>
                <w:spacing w:val="-7"/>
                <w:sz w:val="16"/>
              </w:rPr>
              <w:t> </w:t>
            </w:r>
            <w:r>
              <w:rPr>
                <w:sz w:val="16"/>
              </w:rPr>
              <w:t>χρηματοπιστωτικά</w:t>
            </w:r>
            <w:r>
              <w:rPr>
                <w:spacing w:val="-7"/>
                <w:sz w:val="16"/>
              </w:rPr>
              <w:t> </w:t>
            </w:r>
            <w:r>
              <w:rPr>
                <w:spacing w:val="-4"/>
                <w:sz w:val="16"/>
              </w:rPr>
              <w:t>μέσα</w:t>
            </w:r>
          </w:p>
        </w:tc>
        <w:tc>
          <w:tcPr>
            <w:tcW w:w="1236" w:type="dxa"/>
            <w:shd w:val="clear" w:color="auto" w:fill="BEBEBE"/>
          </w:tcPr>
          <w:p>
            <w:pPr>
              <w:pStyle w:val="TableParagraph"/>
              <w:spacing w:before="78"/>
              <w:ind w:left="631"/>
              <w:rPr>
                <w:sz w:val="16"/>
              </w:rPr>
            </w:pPr>
            <w:r>
              <w:rPr>
                <w:spacing w:val="-2"/>
                <w:sz w:val="16"/>
              </w:rPr>
              <w:t>3.591</w:t>
            </w:r>
          </w:p>
        </w:tc>
        <w:tc>
          <w:tcPr>
            <w:tcW w:w="534" w:type="dxa"/>
            <w:tcBorders>
              <w:right w:val="single" w:sz="4" w:space="0" w:color="FFFFFF"/>
            </w:tcBorders>
            <w:shd w:val="clear" w:color="auto" w:fill="BEBEBE"/>
          </w:tcPr>
          <w:p>
            <w:pPr>
              <w:pStyle w:val="TableParagraph"/>
              <w:spacing w:before="78"/>
              <w:ind w:right="96"/>
              <w:jc w:val="right"/>
              <w:rPr>
                <w:sz w:val="16"/>
              </w:rPr>
            </w:pPr>
            <w:r>
              <w:rPr>
                <w:spacing w:val="-5"/>
                <w:sz w:val="16"/>
              </w:rPr>
              <w:t>1,0</w:t>
            </w:r>
          </w:p>
        </w:tc>
        <w:tc>
          <w:tcPr>
            <w:tcW w:w="1003" w:type="dxa"/>
            <w:tcBorders>
              <w:left w:val="single" w:sz="4" w:space="0" w:color="FFFFFF"/>
            </w:tcBorders>
            <w:shd w:val="clear" w:color="auto" w:fill="BEBEBE"/>
          </w:tcPr>
          <w:p>
            <w:pPr>
              <w:pStyle w:val="TableParagraph"/>
              <w:spacing w:before="78"/>
              <w:ind w:left="408"/>
              <w:rPr>
                <w:sz w:val="16"/>
              </w:rPr>
            </w:pPr>
            <w:r>
              <w:rPr>
                <w:spacing w:val="-2"/>
                <w:sz w:val="16"/>
              </w:rPr>
              <w:t>2.840</w:t>
            </w:r>
          </w:p>
        </w:tc>
        <w:tc>
          <w:tcPr>
            <w:tcW w:w="551" w:type="dxa"/>
            <w:tcBorders>
              <w:right w:val="single" w:sz="4" w:space="0" w:color="FFFFFF"/>
            </w:tcBorders>
            <w:shd w:val="clear" w:color="auto" w:fill="BEBEBE"/>
          </w:tcPr>
          <w:p>
            <w:pPr>
              <w:pStyle w:val="TableParagraph"/>
              <w:spacing w:before="78"/>
              <w:ind w:right="97"/>
              <w:jc w:val="right"/>
              <w:rPr>
                <w:sz w:val="16"/>
              </w:rPr>
            </w:pPr>
            <w:r>
              <w:rPr>
                <w:spacing w:val="-5"/>
                <w:sz w:val="16"/>
              </w:rPr>
              <w:t>0,8</w:t>
            </w:r>
          </w:p>
        </w:tc>
        <w:tc>
          <w:tcPr>
            <w:tcW w:w="1027" w:type="dxa"/>
            <w:tcBorders>
              <w:left w:val="single" w:sz="4" w:space="0" w:color="FFFFFF"/>
            </w:tcBorders>
            <w:shd w:val="clear" w:color="auto" w:fill="BEBEBE"/>
          </w:tcPr>
          <w:p>
            <w:pPr>
              <w:pStyle w:val="TableParagraph"/>
              <w:spacing w:before="78"/>
              <w:ind w:right="106"/>
              <w:jc w:val="right"/>
              <w:rPr>
                <w:sz w:val="16"/>
              </w:rPr>
            </w:pPr>
            <w:r>
              <w:rPr>
                <w:spacing w:val="-2"/>
                <w:sz w:val="16"/>
              </w:rPr>
              <w:t>-</w:t>
            </w:r>
            <w:r>
              <w:rPr>
                <w:spacing w:val="-5"/>
                <w:sz w:val="16"/>
              </w:rPr>
              <w:t>750</w:t>
            </w:r>
          </w:p>
        </w:tc>
      </w:tr>
      <w:tr>
        <w:trPr>
          <w:trHeight w:val="340" w:hRule="atLeast"/>
        </w:trPr>
        <w:tc>
          <w:tcPr>
            <w:tcW w:w="4429" w:type="dxa"/>
            <w:shd w:val="clear" w:color="auto" w:fill="D9D9D9"/>
          </w:tcPr>
          <w:p>
            <w:pPr>
              <w:pStyle w:val="TableParagraph"/>
              <w:spacing w:before="81"/>
              <w:ind w:left="108"/>
              <w:rPr>
                <w:sz w:val="16"/>
              </w:rPr>
            </w:pPr>
            <w:r>
              <w:rPr>
                <w:spacing w:val="-2"/>
                <w:sz w:val="16"/>
              </w:rPr>
              <w:t>Χρεόγραφα</w:t>
            </w:r>
          </w:p>
        </w:tc>
        <w:tc>
          <w:tcPr>
            <w:tcW w:w="1236" w:type="dxa"/>
            <w:shd w:val="clear" w:color="auto" w:fill="D9D9D9"/>
          </w:tcPr>
          <w:p>
            <w:pPr>
              <w:pStyle w:val="TableParagraph"/>
              <w:spacing w:before="81"/>
              <w:ind w:left="551"/>
              <w:rPr>
                <w:sz w:val="16"/>
              </w:rPr>
            </w:pPr>
            <w:r>
              <w:rPr>
                <w:spacing w:val="-2"/>
                <w:sz w:val="16"/>
              </w:rPr>
              <w:t>79.378</w:t>
            </w:r>
          </w:p>
        </w:tc>
        <w:tc>
          <w:tcPr>
            <w:tcW w:w="534" w:type="dxa"/>
            <w:tcBorders>
              <w:right w:val="single" w:sz="4" w:space="0" w:color="FFFFFF"/>
            </w:tcBorders>
            <w:shd w:val="clear" w:color="auto" w:fill="D9D9D9"/>
          </w:tcPr>
          <w:p>
            <w:pPr>
              <w:pStyle w:val="TableParagraph"/>
              <w:spacing w:before="81"/>
              <w:ind w:right="96"/>
              <w:jc w:val="right"/>
              <w:rPr>
                <w:sz w:val="16"/>
              </w:rPr>
            </w:pPr>
            <w:r>
              <w:rPr>
                <w:spacing w:val="-4"/>
                <w:sz w:val="16"/>
              </w:rPr>
              <w:t>23,0</w:t>
            </w:r>
          </w:p>
        </w:tc>
        <w:tc>
          <w:tcPr>
            <w:tcW w:w="1003" w:type="dxa"/>
            <w:tcBorders>
              <w:left w:val="single" w:sz="4" w:space="0" w:color="FFFFFF"/>
            </w:tcBorders>
            <w:shd w:val="clear" w:color="auto" w:fill="D9D9D9"/>
          </w:tcPr>
          <w:p>
            <w:pPr>
              <w:pStyle w:val="TableParagraph"/>
              <w:spacing w:before="81"/>
              <w:ind w:left="329"/>
              <w:rPr>
                <w:sz w:val="16"/>
              </w:rPr>
            </w:pPr>
            <w:r>
              <w:rPr>
                <w:spacing w:val="-2"/>
                <w:sz w:val="16"/>
              </w:rPr>
              <w:t>89.997</w:t>
            </w:r>
          </w:p>
        </w:tc>
        <w:tc>
          <w:tcPr>
            <w:tcW w:w="551" w:type="dxa"/>
            <w:tcBorders>
              <w:right w:val="single" w:sz="4" w:space="0" w:color="FFFFFF"/>
            </w:tcBorders>
            <w:shd w:val="clear" w:color="auto" w:fill="D9D9D9"/>
          </w:tcPr>
          <w:p>
            <w:pPr>
              <w:pStyle w:val="TableParagraph"/>
              <w:spacing w:before="81"/>
              <w:ind w:right="97"/>
              <w:jc w:val="right"/>
              <w:rPr>
                <w:sz w:val="16"/>
              </w:rPr>
            </w:pPr>
            <w:r>
              <w:rPr>
                <w:spacing w:val="-4"/>
                <w:sz w:val="16"/>
              </w:rPr>
              <w:t>24,0</w:t>
            </w:r>
          </w:p>
        </w:tc>
        <w:tc>
          <w:tcPr>
            <w:tcW w:w="1027" w:type="dxa"/>
            <w:tcBorders>
              <w:left w:val="single" w:sz="4" w:space="0" w:color="FFFFFF"/>
            </w:tcBorders>
            <w:shd w:val="clear" w:color="auto" w:fill="D9D9D9"/>
          </w:tcPr>
          <w:p>
            <w:pPr>
              <w:pStyle w:val="TableParagraph"/>
              <w:spacing w:before="81"/>
              <w:ind w:right="106"/>
              <w:jc w:val="right"/>
              <w:rPr>
                <w:sz w:val="16"/>
              </w:rPr>
            </w:pPr>
            <w:r>
              <w:rPr>
                <w:spacing w:val="-2"/>
                <w:sz w:val="16"/>
              </w:rPr>
              <w:t>10.620</w:t>
            </w:r>
          </w:p>
        </w:tc>
      </w:tr>
      <w:tr>
        <w:trPr>
          <w:trHeight w:val="340" w:hRule="atLeast"/>
        </w:trPr>
        <w:tc>
          <w:tcPr>
            <w:tcW w:w="4429" w:type="dxa"/>
            <w:shd w:val="clear" w:color="auto" w:fill="BEBEBE"/>
          </w:tcPr>
          <w:p>
            <w:pPr>
              <w:pStyle w:val="TableParagraph"/>
              <w:spacing w:before="78"/>
              <w:ind w:left="108"/>
              <w:rPr>
                <w:sz w:val="16"/>
              </w:rPr>
            </w:pPr>
            <w:r>
              <w:rPr>
                <w:sz w:val="16"/>
              </w:rPr>
              <w:t>Συμμετοχές,</w:t>
            </w:r>
            <w:r>
              <w:rPr>
                <w:spacing w:val="-4"/>
                <w:sz w:val="16"/>
              </w:rPr>
              <w:t> </w:t>
            </w:r>
            <w:r>
              <w:rPr>
                <w:sz w:val="16"/>
              </w:rPr>
              <w:t>ενσώματες</w:t>
            </w:r>
            <w:r>
              <w:rPr>
                <w:spacing w:val="-5"/>
                <w:sz w:val="16"/>
              </w:rPr>
              <w:t> </w:t>
            </w:r>
            <w:r>
              <w:rPr>
                <w:sz w:val="16"/>
              </w:rPr>
              <w:t>και</w:t>
            </w:r>
            <w:r>
              <w:rPr>
                <w:spacing w:val="-7"/>
                <w:sz w:val="16"/>
              </w:rPr>
              <w:t> </w:t>
            </w:r>
            <w:r>
              <w:rPr>
                <w:sz w:val="16"/>
              </w:rPr>
              <w:t>ασώματες</w:t>
            </w:r>
            <w:r>
              <w:rPr>
                <w:spacing w:val="-3"/>
                <w:sz w:val="16"/>
              </w:rPr>
              <w:t> </w:t>
            </w:r>
            <w:r>
              <w:rPr>
                <w:spacing w:val="-2"/>
                <w:sz w:val="16"/>
              </w:rPr>
              <w:t>ακινητοποιήσεις</w:t>
            </w:r>
          </w:p>
        </w:tc>
        <w:tc>
          <w:tcPr>
            <w:tcW w:w="1236" w:type="dxa"/>
            <w:shd w:val="clear" w:color="auto" w:fill="BEBEBE"/>
          </w:tcPr>
          <w:p>
            <w:pPr>
              <w:pStyle w:val="TableParagraph"/>
              <w:spacing w:before="78"/>
              <w:ind w:left="551"/>
              <w:rPr>
                <w:sz w:val="16"/>
              </w:rPr>
            </w:pPr>
            <w:r>
              <w:rPr>
                <w:spacing w:val="-2"/>
                <w:sz w:val="16"/>
              </w:rPr>
              <w:t>11.988</w:t>
            </w:r>
          </w:p>
        </w:tc>
        <w:tc>
          <w:tcPr>
            <w:tcW w:w="534" w:type="dxa"/>
            <w:tcBorders>
              <w:right w:val="single" w:sz="4" w:space="0" w:color="FFFFFF"/>
            </w:tcBorders>
            <w:shd w:val="clear" w:color="auto" w:fill="BEBEBE"/>
          </w:tcPr>
          <w:p>
            <w:pPr>
              <w:pStyle w:val="TableParagraph"/>
              <w:spacing w:before="78"/>
              <w:ind w:right="96"/>
              <w:jc w:val="right"/>
              <w:rPr>
                <w:sz w:val="16"/>
              </w:rPr>
            </w:pPr>
            <w:r>
              <w:rPr>
                <w:spacing w:val="-5"/>
                <w:sz w:val="16"/>
              </w:rPr>
              <w:t>3,5</w:t>
            </w:r>
          </w:p>
        </w:tc>
        <w:tc>
          <w:tcPr>
            <w:tcW w:w="1003" w:type="dxa"/>
            <w:tcBorders>
              <w:left w:val="single" w:sz="4" w:space="0" w:color="FFFFFF"/>
            </w:tcBorders>
            <w:shd w:val="clear" w:color="auto" w:fill="BEBEBE"/>
          </w:tcPr>
          <w:p>
            <w:pPr>
              <w:pStyle w:val="TableParagraph"/>
              <w:spacing w:before="78"/>
              <w:ind w:left="329"/>
              <w:rPr>
                <w:sz w:val="16"/>
              </w:rPr>
            </w:pPr>
            <w:r>
              <w:rPr>
                <w:spacing w:val="-2"/>
                <w:sz w:val="16"/>
              </w:rPr>
              <w:t>13.554</w:t>
            </w:r>
          </w:p>
        </w:tc>
        <w:tc>
          <w:tcPr>
            <w:tcW w:w="551" w:type="dxa"/>
            <w:tcBorders>
              <w:right w:val="single" w:sz="4" w:space="0" w:color="FFFFFF"/>
            </w:tcBorders>
            <w:shd w:val="clear" w:color="auto" w:fill="BEBEBE"/>
          </w:tcPr>
          <w:p>
            <w:pPr>
              <w:pStyle w:val="TableParagraph"/>
              <w:spacing w:before="78"/>
              <w:ind w:right="97"/>
              <w:jc w:val="right"/>
              <w:rPr>
                <w:sz w:val="16"/>
              </w:rPr>
            </w:pPr>
            <w:r>
              <w:rPr>
                <w:spacing w:val="-5"/>
                <w:sz w:val="16"/>
              </w:rPr>
              <w:t>3,6</w:t>
            </w:r>
          </w:p>
        </w:tc>
        <w:tc>
          <w:tcPr>
            <w:tcW w:w="1027" w:type="dxa"/>
            <w:tcBorders>
              <w:left w:val="single" w:sz="4" w:space="0" w:color="FFFFFF"/>
            </w:tcBorders>
            <w:shd w:val="clear" w:color="auto" w:fill="BEBEBE"/>
          </w:tcPr>
          <w:p>
            <w:pPr>
              <w:pStyle w:val="TableParagraph"/>
              <w:spacing w:before="78"/>
              <w:ind w:right="106"/>
              <w:jc w:val="right"/>
              <w:rPr>
                <w:sz w:val="16"/>
              </w:rPr>
            </w:pPr>
            <w:r>
              <w:rPr>
                <w:spacing w:val="-2"/>
                <w:sz w:val="16"/>
              </w:rPr>
              <w:t>1.565</w:t>
            </w:r>
          </w:p>
        </w:tc>
      </w:tr>
      <w:tr>
        <w:trPr>
          <w:trHeight w:val="338" w:hRule="atLeast"/>
        </w:trPr>
        <w:tc>
          <w:tcPr>
            <w:tcW w:w="4429" w:type="dxa"/>
            <w:shd w:val="clear" w:color="auto" w:fill="D9D9D9"/>
          </w:tcPr>
          <w:p>
            <w:pPr>
              <w:pStyle w:val="TableParagraph"/>
              <w:spacing w:before="78"/>
              <w:ind w:left="108"/>
              <w:rPr>
                <w:sz w:val="16"/>
              </w:rPr>
            </w:pPr>
            <w:r>
              <w:rPr>
                <w:sz w:val="16"/>
              </w:rPr>
              <w:t>Στοιχεία</w:t>
            </w:r>
            <w:r>
              <w:rPr>
                <w:spacing w:val="-5"/>
                <w:sz w:val="16"/>
              </w:rPr>
              <w:t> </w:t>
            </w:r>
            <w:r>
              <w:rPr>
                <w:sz w:val="16"/>
              </w:rPr>
              <w:t>ενεργητικού</w:t>
            </w:r>
            <w:r>
              <w:rPr>
                <w:spacing w:val="-7"/>
                <w:sz w:val="16"/>
              </w:rPr>
              <w:t> </w:t>
            </w:r>
            <w:r>
              <w:rPr>
                <w:sz w:val="16"/>
              </w:rPr>
              <w:t>διαθέσιμα</w:t>
            </w:r>
            <w:r>
              <w:rPr>
                <w:spacing w:val="-6"/>
                <w:sz w:val="16"/>
              </w:rPr>
              <w:t> </w:t>
            </w:r>
            <w:r>
              <w:rPr>
                <w:sz w:val="16"/>
              </w:rPr>
              <w:t>προς</w:t>
            </w:r>
            <w:r>
              <w:rPr>
                <w:spacing w:val="-5"/>
                <w:sz w:val="16"/>
              </w:rPr>
              <w:t> </w:t>
            </w:r>
            <w:r>
              <w:rPr>
                <w:spacing w:val="-2"/>
                <w:sz w:val="16"/>
              </w:rPr>
              <w:t>πώληση</w:t>
            </w:r>
          </w:p>
        </w:tc>
        <w:tc>
          <w:tcPr>
            <w:tcW w:w="1236" w:type="dxa"/>
            <w:shd w:val="clear" w:color="auto" w:fill="D9D9D9"/>
          </w:tcPr>
          <w:p>
            <w:pPr>
              <w:pStyle w:val="TableParagraph"/>
              <w:spacing w:before="78"/>
              <w:ind w:left="631"/>
              <w:rPr>
                <w:sz w:val="16"/>
              </w:rPr>
            </w:pPr>
            <w:r>
              <w:rPr>
                <w:spacing w:val="-2"/>
                <w:sz w:val="16"/>
              </w:rPr>
              <w:t>3.036</w:t>
            </w:r>
          </w:p>
        </w:tc>
        <w:tc>
          <w:tcPr>
            <w:tcW w:w="534" w:type="dxa"/>
            <w:tcBorders>
              <w:right w:val="single" w:sz="4" w:space="0" w:color="FFFFFF"/>
            </w:tcBorders>
            <w:shd w:val="clear" w:color="auto" w:fill="D9D9D9"/>
          </w:tcPr>
          <w:p>
            <w:pPr>
              <w:pStyle w:val="TableParagraph"/>
              <w:spacing w:before="78"/>
              <w:ind w:right="96"/>
              <w:jc w:val="right"/>
              <w:rPr>
                <w:sz w:val="16"/>
              </w:rPr>
            </w:pPr>
            <w:r>
              <w:rPr>
                <w:spacing w:val="-5"/>
                <w:sz w:val="16"/>
              </w:rPr>
              <w:t>0,9</w:t>
            </w:r>
          </w:p>
        </w:tc>
        <w:tc>
          <w:tcPr>
            <w:tcW w:w="1554" w:type="dxa"/>
            <w:gridSpan w:val="2"/>
            <w:tcBorders>
              <w:left w:val="single" w:sz="4" w:space="0" w:color="FFFFFF"/>
              <w:right w:val="single" w:sz="4" w:space="0" w:color="FFFFFF"/>
            </w:tcBorders>
            <w:shd w:val="clear" w:color="auto" w:fill="D9D9D9"/>
          </w:tcPr>
          <w:p>
            <w:pPr>
              <w:pStyle w:val="TableParagraph"/>
              <w:tabs>
                <w:tab w:pos="1244" w:val="left" w:leader="none"/>
              </w:tabs>
              <w:spacing w:before="78"/>
              <w:ind w:left="408"/>
              <w:rPr>
                <w:sz w:val="16"/>
              </w:rPr>
            </w:pPr>
            <w:r>
              <w:rPr>
                <w:spacing w:val="-2"/>
                <w:sz w:val="16"/>
              </w:rPr>
              <w:t>2.383</w:t>
            </w:r>
            <w:r>
              <w:rPr>
                <w:sz w:val="16"/>
              </w:rPr>
              <w:tab/>
            </w:r>
            <w:r>
              <w:rPr>
                <w:spacing w:val="-5"/>
                <w:sz w:val="16"/>
              </w:rPr>
              <w:t>0,6</w:t>
            </w:r>
          </w:p>
        </w:tc>
        <w:tc>
          <w:tcPr>
            <w:tcW w:w="1027" w:type="dxa"/>
            <w:tcBorders>
              <w:left w:val="single" w:sz="4" w:space="0" w:color="FFFFFF"/>
            </w:tcBorders>
            <w:shd w:val="clear" w:color="auto" w:fill="D9D9D9"/>
          </w:tcPr>
          <w:p>
            <w:pPr>
              <w:pStyle w:val="TableParagraph"/>
              <w:spacing w:before="78"/>
              <w:ind w:right="106"/>
              <w:jc w:val="right"/>
              <w:rPr>
                <w:sz w:val="16"/>
              </w:rPr>
            </w:pPr>
            <w:r>
              <w:rPr>
                <w:spacing w:val="-2"/>
                <w:sz w:val="16"/>
              </w:rPr>
              <w:t>-</w:t>
            </w:r>
            <w:r>
              <w:rPr>
                <w:spacing w:val="-5"/>
                <w:sz w:val="16"/>
              </w:rPr>
              <w:t>654</w:t>
            </w:r>
          </w:p>
        </w:tc>
      </w:tr>
      <w:tr>
        <w:trPr>
          <w:trHeight w:val="340" w:hRule="atLeast"/>
        </w:trPr>
        <w:tc>
          <w:tcPr>
            <w:tcW w:w="4429" w:type="dxa"/>
            <w:shd w:val="clear" w:color="auto" w:fill="BEBEBE"/>
          </w:tcPr>
          <w:p>
            <w:pPr>
              <w:pStyle w:val="TableParagraph"/>
              <w:spacing w:before="81"/>
              <w:ind w:left="108"/>
              <w:rPr>
                <w:sz w:val="16"/>
              </w:rPr>
            </w:pPr>
            <w:r>
              <w:rPr>
                <w:sz w:val="16"/>
              </w:rPr>
              <w:t>Λοιπά</w:t>
            </w:r>
            <w:r>
              <w:rPr>
                <w:spacing w:val="-5"/>
                <w:sz w:val="16"/>
              </w:rPr>
              <w:t> </w:t>
            </w:r>
            <w:r>
              <w:rPr>
                <w:sz w:val="16"/>
              </w:rPr>
              <w:t>στοιχεία</w:t>
            </w:r>
            <w:r>
              <w:rPr>
                <w:spacing w:val="-4"/>
                <w:sz w:val="16"/>
              </w:rPr>
              <w:t> </w:t>
            </w:r>
            <w:r>
              <w:rPr>
                <w:spacing w:val="-2"/>
                <w:sz w:val="16"/>
              </w:rPr>
              <w:t>ενεργητικού</w:t>
            </w:r>
          </w:p>
        </w:tc>
        <w:tc>
          <w:tcPr>
            <w:tcW w:w="1236" w:type="dxa"/>
            <w:shd w:val="clear" w:color="auto" w:fill="BEBEBE"/>
          </w:tcPr>
          <w:p>
            <w:pPr>
              <w:pStyle w:val="TableParagraph"/>
              <w:spacing w:before="81"/>
              <w:ind w:left="551"/>
              <w:rPr>
                <w:sz w:val="16"/>
              </w:rPr>
            </w:pPr>
            <w:r>
              <w:rPr>
                <w:spacing w:val="-2"/>
                <w:sz w:val="16"/>
              </w:rPr>
              <w:t>25.709</w:t>
            </w:r>
          </w:p>
        </w:tc>
        <w:tc>
          <w:tcPr>
            <w:tcW w:w="534" w:type="dxa"/>
            <w:tcBorders>
              <w:right w:val="single" w:sz="4" w:space="0" w:color="FFFFFF"/>
            </w:tcBorders>
            <w:shd w:val="clear" w:color="auto" w:fill="BEBEBE"/>
          </w:tcPr>
          <w:p>
            <w:pPr>
              <w:pStyle w:val="TableParagraph"/>
              <w:spacing w:before="81"/>
              <w:ind w:right="96"/>
              <w:jc w:val="right"/>
              <w:rPr>
                <w:sz w:val="16"/>
              </w:rPr>
            </w:pPr>
            <w:r>
              <w:rPr>
                <w:spacing w:val="-5"/>
                <w:sz w:val="16"/>
              </w:rPr>
              <w:t>7,5</w:t>
            </w:r>
          </w:p>
        </w:tc>
        <w:tc>
          <w:tcPr>
            <w:tcW w:w="1003" w:type="dxa"/>
            <w:tcBorders>
              <w:left w:val="single" w:sz="4" w:space="0" w:color="FFFFFF"/>
            </w:tcBorders>
            <w:shd w:val="clear" w:color="auto" w:fill="BEBEBE"/>
          </w:tcPr>
          <w:p>
            <w:pPr>
              <w:pStyle w:val="TableParagraph"/>
              <w:spacing w:before="81"/>
              <w:ind w:left="329"/>
              <w:rPr>
                <w:sz w:val="16"/>
              </w:rPr>
            </w:pPr>
            <w:r>
              <w:rPr>
                <w:spacing w:val="-2"/>
                <w:sz w:val="16"/>
              </w:rPr>
              <w:t>26.000</w:t>
            </w:r>
          </w:p>
        </w:tc>
        <w:tc>
          <w:tcPr>
            <w:tcW w:w="551" w:type="dxa"/>
            <w:tcBorders>
              <w:right w:val="single" w:sz="4" w:space="0" w:color="FFFFFF"/>
            </w:tcBorders>
            <w:shd w:val="clear" w:color="auto" w:fill="BEBEBE"/>
          </w:tcPr>
          <w:p>
            <w:pPr>
              <w:pStyle w:val="TableParagraph"/>
              <w:spacing w:before="81"/>
              <w:ind w:right="97"/>
              <w:jc w:val="right"/>
              <w:rPr>
                <w:sz w:val="16"/>
              </w:rPr>
            </w:pPr>
            <w:r>
              <w:rPr>
                <w:spacing w:val="-5"/>
                <w:sz w:val="16"/>
              </w:rPr>
              <w:t>6,9</w:t>
            </w:r>
          </w:p>
        </w:tc>
        <w:tc>
          <w:tcPr>
            <w:tcW w:w="1027" w:type="dxa"/>
            <w:tcBorders>
              <w:left w:val="single" w:sz="4" w:space="0" w:color="FFFFFF"/>
            </w:tcBorders>
            <w:shd w:val="clear" w:color="auto" w:fill="BEBEBE"/>
          </w:tcPr>
          <w:p>
            <w:pPr>
              <w:pStyle w:val="TableParagraph"/>
              <w:spacing w:before="81"/>
              <w:ind w:right="106"/>
              <w:jc w:val="right"/>
              <w:rPr>
                <w:sz w:val="16"/>
              </w:rPr>
            </w:pPr>
            <w:r>
              <w:rPr>
                <w:spacing w:val="-5"/>
                <w:sz w:val="16"/>
              </w:rPr>
              <w:t>291</w:t>
            </w:r>
          </w:p>
        </w:tc>
      </w:tr>
      <w:tr>
        <w:trPr>
          <w:trHeight w:val="340" w:hRule="atLeast"/>
        </w:trPr>
        <w:tc>
          <w:tcPr>
            <w:tcW w:w="4429" w:type="dxa"/>
            <w:shd w:val="clear" w:color="auto" w:fill="D9D9D9"/>
          </w:tcPr>
          <w:p>
            <w:pPr>
              <w:pStyle w:val="TableParagraph"/>
              <w:spacing w:before="67"/>
              <w:ind w:left="108"/>
              <w:rPr>
                <w:b/>
                <w:sz w:val="18"/>
              </w:rPr>
            </w:pPr>
            <w:r>
              <w:rPr>
                <w:b/>
                <w:color w:val="1F487C"/>
                <w:spacing w:val="-2"/>
                <w:sz w:val="18"/>
              </w:rPr>
              <w:t>Σύνολο</w:t>
            </w:r>
          </w:p>
        </w:tc>
        <w:tc>
          <w:tcPr>
            <w:tcW w:w="1236" w:type="dxa"/>
            <w:shd w:val="clear" w:color="auto" w:fill="D9D9D9"/>
          </w:tcPr>
          <w:p>
            <w:pPr>
              <w:pStyle w:val="TableParagraph"/>
              <w:spacing w:before="67"/>
              <w:ind w:left="405"/>
              <w:rPr>
                <w:b/>
                <w:sz w:val="18"/>
              </w:rPr>
            </w:pPr>
            <w:r>
              <w:rPr>
                <w:b/>
                <w:color w:val="1F477B"/>
                <w:spacing w:val="-2"/>
                <w:sz w:val="18"/>
              </w:rPr>
              <w:t>344.983</w:t>
            </w:r>
          </w:p>
        </w:tc>
        <w:tc>
          <w:tcPr>
            <w:tcW w:w="534" w:type="dxa"/>
            <w:tcBorders>
              <w:right w:val="single" w:sz="4" w:space="0" w:color="FFFFFF"/>
            </w:tcBorders>
            <w:shd w:val="clear" w:color="auto" w:fill="D9D9D9"/>
          </w:tcPr>
          <w:p>
            <w:pPr>
              <w:pStyle w:val="TableParagraph"/>
              <w:spacing w:before="67"/>
              <w:ind w:right="96"/>
              <w:jc w:val="right"/>
              <w:rPr>
                <w:b/>
                <w:sz w:val="18"/>
              </w:rPr>
            </w:pPr>
            <w:r>
              <w:rPr>
                <w:b/>
                <w:color w:val="1F477B"/>
                <w:spacing w:val="-2"/>
                <w:sz w:val="18"/>
              </w:rPr>
              <w:t>100,0</w:t>
            </w:r>
          </w:p>
        </w:tc>
        <w:tc>
          <w:tcPr>
            <w:tcW w:w="1003" w:type="dxa"/>
            <w:tcBorders>
              <w:left w:val="single" w:sz="4" w:space="0" w:color="FFFFFF"/>
            </w:tcBorders>
            <w:shd w:val="clear" w:color="auto" w:fill="D9D9D9"/>
          </w:tcPr>
          <w:p>
            <w:pPr>
              <w:pStyle w:val="TableParagraph"/>
              <w:spacing w:before="67"/>
              <w:ind w:left="183"/>
              <w:rPr>
                <w:b/>
                <w:sz w:val="18"/>
              </w:rPr>
            </w:pPr>
            <w:r>
              <w:rPr>
                <w:b/>
                <w:color w:val="1F477B"/>
                <w:spacing w:val="-2"/>
                <w:sz w:val="18"/>
              </w:rPr>
              <w:t>375.183</w:t>
            </w:r>
          </w:p>
        </w:tc>
        <w:tc>
          <w:tcPr>
            <w:tcW w:w="551" w:type="dxa"/>
            <w:tcBorders>
              <w:right w:val="single" w:sz="4" w:space="0" w:color="FFFFFF"/>
            </w:tcBorders>
            <w:shd w:val="clear" w:color="auto" w:fill="D9D9D9"/>
          </w:tcPr>
          <w:p>
            <w:pPr>
              <w:pStyle w:val="TableParagraph"/>
              <w:spacing w:before="67"/>
              <w:ind w:right="98"/>
              <w:jc w:val="right"/>
              <w:rPr>
                <w:b/>
                <w:sz w:val="18"/>
              </w:rPr>
            </w:pPr>
            <w:r>
              <w:rPr>
                <w:b/>
                <w:color w:val="1F477B"/>
                <w:spacing w:val="-2"/>
                <w:sz w:val="18"/>
              </w:rPr>
              <w:t>100,0</w:t>
            </w:r>
          </w:p>
        </w:tc>
        <w:tc>
          <w:tcPr>
            <w:tcW w:w="1027" w:type="dxa"/>
            <w:tcBorders>
              <w:left w:val="single" w:sz="4" w:space="0" w:color="FFFFFF"/>
            </w:tcBorders>
            <w:shd w:val="clear" w:color="auto" w:fill="D9D9D9"/>
          </w:tcPr>
          <w:p>
            <w:pPr>
              <w:pStyle w:val="TableParagraph"/>
              <w:spacing w:before="67"/>
              <w:ind w:right="106"/>
              <w:jc w:val="right"/>
              <w:rPr>
                <w:b/>
                <w:sz w:val="18"/>
              </w:rPr>
            </w:pPr>
            <w:r>
              <w:rPr>
                <w:b/>
                <w:color w:val="1F477B"/>
                <w:spacing w:val="-2"/>
                <w:sz w:val="18"/>
              </w:rPr>
              <w:t>30.200</w:t>
            </w:r>
          </w:p>
        </w:tc>
      </w:tr>
      <w:tr>
        <w:trPr>
          <w:trHeight w:val="549" w:hRule="atLeast"/>
        </w:trPr>
        <w:tc>
          <w:tcPr>
            <w:tcW w:w="6199" w:type="dxa"/>
            <w:gridSpan w:val="3"/>
            <w:tcBorders>
              <w:bottom w:val="single" w:sz="8" w:space="0" w:color="FFFFFF"/>
              <w:right w:val="single" w:sz="4" w:space="0" w:color="FFFFFF"/>
            </w:tcBorders>
            <w:shd w:val="clear" w:color="auto" w:fill="BEBEBE"/>
          </w:tcPr>
          <w:p>
            <w:pPr>
              <w:pStyle w:val="TableParagraph"/>
              <w:spacing w:line="205" w:lineRule="exact" w:before="43"/>
              <w:ind w:right="554"/>
              <w:jc w:val="right"/>
              <w:rPr>
                <w:b/>
                <w:sz w:val="18"/>
              </w:rPr>
            </w:pPr>
            <w:r>
              <w:rPr>
                <w:b/>
                <w:color w:val="1F477B"/>
                <w:spacing w:val="-4"/>
                <w:sz w:val="18"/>
              </w:rPr>
              <w:t>2024</w:t>
            </w:r>
          </w:p>
          <w:p>
            <w:pPr>
              <w:pStyle w:val="TableParagraph"/>
              <w:tabs>
                <w:tab w:pos="5789" w:val="left" w:leader="none"/>
              </w:tabs>
              <w:spacing w:line="255" w:lineRule="exact"/>
              <w:ind w:left="108"/>
              <w:rPr>
                <w:position w:val="5"/>
                <w:sz w:val="18"/>
              </w:rPr>
            </w:pPr>
            <w:r>
              <w:rPr>
                <w:b/>
                <w:color w:val="1F487C"/>
                <w:spacing w:val="-2"/>
                <w:sz w:val="18"/>
              </w:rPr>
              <w:t>Παθητ</w:t>
            </w:r>
            <w:r>
              <w:rPr>
                <w:b/>
                <w:smallCaps/>
                <w:color w:val="1F487C"/>
                <w:spacing w:val="-2"/>
                <w:sz w:val="18"/>
              </w:rPr>
              <w:t>ι</w:t>
            </w:r>
            <w:r>
              <w:rPr>
                <w:b/>
                <w:smallCaps w:val="0"/>
                <w:color w:val="1F487C"/>
                <w:spacing w:val="-2"/>
                <w:sz w:val="18"/>
              </w:rPr>
              <w:t>κό</w:t>
            </w:r>
            <w:r>
              <w:rPr>
                <w:b/>
                <w:smallCaps w:val="0"/>
                <w:color w:val="1F487C"/>
                <w:sz w:val="18"/>
              </w:rPr>
              <w:tab/>
            </w:r>
            <w:r>
              <w:rPr>
                <w:smallCaps w:val="0"/>
                <w:color w:val="1F487C"/>
                <w:spacing w:val="-10"/>
                <w:position w:val="5"/>
                <w:sz w:val="18"/>
              </w:rPr>
              <w:t>%</w:t>
            </w:r>
          </w:p>
        </w:tc>
        <w:tc>
          <w:tcPr>
            <w:tcW w:w="1003" w:type="dxa"/>
            <w:tcBorders>
              <w:left w:val="single" w:sz="4" w:space="0" w:color="FFFFFF"/>
              <w:bottom w:val="single" w:sz="8" w:space="0" w:color="FFFFFF"/>
            </w:tcBorders>
            <w:shd w:val="clear" w:color="auto" w:fill="BEBEBE"/>
          </w:tcPr>
          <w:p>
            <w:pPr>
              <w:pStyle w:val="TableParagraph"/>
              <w:spacing w:before="43"/>
              <w:ind w:right="41"/>
              <w:jc w:val="right"/>
              <w:rPr>
                <w:b/>
                <w:sz w:val="18"/>
              </w:rPr>
            </w:pPr>
            <w:r>
              <w:rPr>
                <w:b/>
                <w:color w:val="1F487C"/>
                <w:spacing w:val="-4"/>
                <w:sz w:val="18"/>
              </w:rPr>
              <w:t>2025</w:t>
            </w:r>
          </w:p>
        </w:tc>
        <w:tc>
          <w:tcPr>
            <w:tcW w:w="551" w:type="dxa"/>
            <w:tcBorders>
              <w:bottom w:val="single" w:sz="8" w:space="0" w:color="FFFFFF"/>
              <w:right w:val="single" w:sz="4" w:space="0" w:color="FFFFFF"/>
            </w:tcBorders>
            <w:shd w:val="clear" w:color="auto" w:fill="BEBEBE"/>
          </w:tcPr>
          <w:p>
            <w:pPr>
              <w:pStyle w:val="TableParagraph"/>
              <w:spacing w:before="42"/>
              <w:rPr>
                <w:sz w:val="18"/>
              </w:rPr>
            </w:pPr>
          </w:p>
          <w:p>
            <w:pPr>
              <w:pStyle w:val="TableParagraph"/>
              <w:spacing w:before="1"/>
              <w:ind w:left="140"/>
              <w:rPr>
                <w:sz w:val="18"/>
              </w:rPr>
            </w:pPr>
            <w:r>
              <w:rPr>
                <w:color w:val="1F487C"/>
                <w:spacing w:val="-10"/>
                <w:sz w:val="18"/>
              </w:rPr>
              <w:t>%</w:t>
            </w:r>
          </w:p>
        </w:tc>
        <w:tc>
          <w:tcPr>
            <w:tcW w:w="1027" w:type="dxa"/>
            <w:tcBorders>
              <w:left w:val="single" w:sz="4" w:space="0" w:color="FFFFFF"/>
              <w:bottom w:val="single" w:sz="8" w:space="0" w:color="FFFFFF"/>
            </w:tcBorders>
            <w:shd w:val="clear" w:color="auto" w:fill="BEBEBE"/>
          </w:tcPr>
          <w:p>
            <w:pPr>
              <w:pStyle w:val="TableParagraph"/>
              <w:spacing w:before="43"/>
              <w:ind w:right="106"/>
              <w:jc w:val="right"/>
              <w:rPr>
                <w:b/>
                <w:sz w:val="18"/>
              </w:rPr>
            </w:pPr>
            <w:r>
              <w:rPr>
                <w:b/>
                <w:color w:val="1F487C"/>
                <w:spacing w:val="-2"/>
                <w:sz w:val="18"/>
              </w:rPr>
              <w:t>Μεταβολή</w:t>
            </w:r>
          </w:p>
        </w:tc>
      </w:tr>
      <w:tr>
        <w:trPr>
          <w:trHeight w:val="340" w:hRule="atLeast"/>
        </w:trPr>
        <w:tc>
          <w:tcPr>
            <w:tcW w:w="4429" w:type="dxa"/>
            <w:tcBorders>
              <w:top w:val="single" w:sz="8" w:space="0" w:color="FFFFFF"/>
            </w:tcBorders>
            <w:shd w:val="clear" w:color="auto" w:fill="D9D9D9"/>
          </w:tcPr>
          <w:p>
            <w:pPr>
              <w:pStyle w:val="TableParagraph"/>
              <w:spacing w:before="78"/>
              <w:ind w:left="108"/>
              <w:rPr>
                <w:sz w:val="16"/>
              </w:rPr>
            </w:pPr>
            <w:r>
              <w:rPr>
                <w:sz w:val="16"/>
              </w:rPr>
              <w:t>Καταθέσεις</w:t>
            </w:r>
            <w:r>
              <w:rPr>
                <w:spacing w:val="-6"/>
                <w:sz w:val="16"/>
              </w:rPr>
              <w:t> </w:t>
            </w:r>
            <w:r>
              <w:rPr>
                <w:spacing w:val="-2"/>
                <w:sz w:val="16"/>
              </w:rPr>
              <w:t>πελατών</w:t>
            </w:r>
          </w:p>
        </w:tc>
        <w:tc>
          <w:tcPr>
            <w:tcW w:w="1236" w:type="dxa"/>
            <w:tcBorders>
              <w:top w:val="single" w:sz="8" w:space="0" w:color="FFFFFF"/>
            </w:tcBorders>
            <w:shd w:val="clear" w:color="auto" w:fill="D9D9D9"/>
          </w:tcPr>
          <w:p>
            <w:pPr>
              <w:pStyle w:val="TableParagraph"/>
              <w:spacing w:before="78"/>
              <w:ind w:left="469"/>
              <w:rPr>
                <w:sz w:val="16"/>
              </w:rPr>
            </w:pPr>
            <w:r>
              <w:rPr>
                <w:spacing w:val="-2"/>
                <w:sz w:val="16"/>
              </w:rPr>
              <w:t>263.186</w:t>
            </w:r>
          </w:p>
        </w:tc>
        <w:tc>
          <w:tcPr>
            <w:tcW w:w="534" w:type="dxa"/>
            <w:tcBorders>
              <w:top w:val="single" w:sz="8" w:space="0" w:color="FFFFFF"/>
            </w:tcBorders>
            <w:shd w:val="clear" w:color="auto" w:fill="D9D9D9"/>
          </w:tcPr>
          <w:p>
            <w:pPr>
              <w:pStyle w:val="TableParagraph"/>
              <w:spacing w:before="78"/>
              <w:ind w:right="101"/>
              <w:jc w:val="right"/>
              <w:rPr>
                <w:sz w:val="16"/>
              </w:rPr>
            </w:pPr>
            <w:r>
              <w:rPr>
                <w:spacing w:val="-4"/>
                <w:sz w:val="16"/>
              </w:rPr>
              <w:t>76,3</w:t>
            </w:r>
          </w:p>
        </w:tc>
        <w:tc>
          <w:tcPr>
            <w:tcW w:w="1003" w:type="dxa"/>
            <w:tcBorders>
              <w:top w:val="single" w:sz="8" w:space="0" w:color="FFFFFF"/>
            </w:tcBorders>
            <w:shd w:val="clear" w:color="auto" w:fill="D9D9D9"/>
          </w:tcPr>
          <w:p>
            <w:pPr>
              <w:pStyle w:val="TableParagraph"/>
              <w:spacing w:before="78"/>
              <w:ind w:left="253"/>
              <w:rPr>
                <w:sz w:val="16"/>
              </w:rPr>
            </w:pPr>
            <w:r>
              <w:rPr>
                <w:spacing w:val="-2"/>
                <w:sz w:val="16"/>
              </w:rPr>
              <w:t>280.109</w:t>
            </w:r>
          </w:p>
        </w:tc>
        <w:tc>
          <w:tcPr>
            <w:tcW w:w="551" w:type="dxa"/>
            <w:tcBorders>
              <w:top w:val="single" w:sz="8" w:space="0" w:color="FFFFFF"/>
            </w:tcBorders>
            <w:shd w:val="clear" w:color="auto" w:fill="D9D9D9"/>
          </w:tcPr>
          <w:p>
            <w:pPr>
              <w:pStyle w:val="TableParagraph"/>
              <w:spacing w:before="78"/>
              <w:ind w:right="102"/>
              <w:jc w:val="right"/>
              <w:rPr>
                <w:sz w:val="16"/>
              </w:rPr>
            </w:pPr>
            <w:r>
              <w:rPr>
                <w:spacing w:val="-4"/>
                <w:sz w:val="16"/>
              </w:rPr>
              <w:t>74,7</w:t>
            </w:r>
          </w:p>
        </w:tc>
        <w:tc>
          <w:tcPr>
            <w:tcW w:w="1027" w:type="dxa"/>
            <w:tcBorders>
              <w:top w:val="single" w:sz="8" w:space="0" w:color="FFFFFF"/>
            </w:tcBorders>
            <w:shd w:val="clear" w:color="auto" w:fill="D9D9D9"/>
          </w:tcPr>
          <w:p>
            <w:pPr>
              <w:pStyle w:val="TableParagraph"/>
              <w:spacing w:before="78"/>
              <w:ind w:right="106"/>
              <w:jc w:val="right"/>
              <w:rPr>
                <w:sz w:val="16"/>
              </w:rPr>
            </w:pPr>
            <w:r>
              <w:rPr>
                <w:spacing w:val="-2"/>
                <w:sz w:val="16"/>
              </w:rPr>
              <w:t>16.923</w:t>
            </w:r>
          </w:p>
        </w:tc>
      </w:tr>
      <w:tr>
        <w:trPr>
          <w:trHeight w:val="340" w:hRule="atLeast"/>
        </w:trPr>
        <w:tc>
          <w:tcPr>
            <w:tcW w:w="4429" w:type="dxa"/>
            <w:shd w:val="clear" w:color="auto" w:fill="BEBEBE"/>
          </w:tcPr>
          <w:p>
            <w:pPr>
              <w:pStyle w:val="TableParagraph"/>
              <w:spacing w:before="78"/>
              <w:ind w:left="108"/>
              <w:rPr>
                <w:sz w:val="16"/>
              </w:rPr>
            </w:pPr>
            <w:r>
              <w:rPr>
                <w:sz w:val="16"/>
              </w:rPr>
              <w:t>Υποχρεώσεις</w:t>
            </w:r>
            <w:r>
              <w:rPr>
                <w:spacing w:val="-5"/>
                <w:sz w:val="16"/>
              </w:rPr>
              <w:t> </w:t>
            </w:r>
            <w:r>
              <w:rPr>
                <w:sz w:val="16"/>
              </w:rPr>
              <w:t>προς</w:t>
            </w:r>
            <w:r>
              <w:rPr>
                <w:spacing w:val="-5"/>
                <w:sz w:val="16"/>
              </w:rPr>
              <w:t> </w:t>
            </w:r>
            <w:r>
              <w:rPr>
                <w:sz w:val="16"/>
              </w:rPr>
              <w:t>πιστωτικά</w:t>
            </w:r>
            <w:r>
              <w:rPr>
                <w:spacing w:val="-5"/>
                <w:sz w:val="16"/>
              </w:rPr>
              <w:t> </w:t>
            </w:r>
            <w:r>
              <w:rPr>
                <w:spacing w:val="-2"/>
                <w:sz w:val="16"/>
              </w:rPr>
              <w:t>ιδρύματα</w:t>
            </w:r>
          </w:p>
        </w:tc>
        <w:tc>
          <w:tcPr>
            <w:tcW w:w="1236" w:type="dxa"/>
            <w:shd w:val="clear" w:color="auto" w:fill="BEBEBE"/>
          </w:tcPr>
          <w:p>
            <w:pPr>
              <w:pStyle w:val="TableParagraph"/>
              <w:spacing w:before="78"/>
              <w:ind w:left="551"/>
              <w:rPr>
                <w:sz w:val="16"/>
              </w:rPr>
            </w:pPr>
            <w:r>
              <w:rPr>
                <w:spacing w:val="-2"/>
                <w:sz w:val="16"/>
              </w:rPr>
              <w:t>13.598</w:t>
            </w:r>
          </w:p>
        </w:tc>
        <w:tc>
          <w:tcPr>
            <w:tcW w:w="534" w:type="dxa"/>
            <w:shd w:val="clear" w:color="auto" w:fill="BEBEBE"/>
          </w:tcPr>
          <w:p>
            <w:pPr>
              <w:pStyle w:val="TableParagraph"/>
              <w:spacing w:before="78"/>
              <w:ind w:right="101"/>
              <w:jc w:val="right"/>
              <w:rPr>
                <w:sz w:val="16"/>
              </w:rPr>
            </w:pPr>
            <w:r>
              <w:rPr>
                <w:spacing w:val="-5"/>
                <w:sz w:val="16"/>
              </w:rPr>
              <w:t>3,9</w:t>
            </w:r>
          </w:p>
        </w:tc>
        <w:tc>
          <w:tcPr>
            <w:tcW w:w="1003" w:type="dxa"/>
            <w:shd w:val="clear" w:color="auto" w:fill="BEBEBE"/>
          </w:tcPr>
          <w:p>
            <w:pPr>
              <w:pStyle w:val="TableParagraph"/>
              <w:spacing w:before="78"/>
              <w:ind w:left="334"/>
              <w:rPr>
                <w:sz w:val="16"/>
              </w:rPr>
            </w:pPr>
            <w:r>
              <w:rPr>
                <w:spacing w:val="-2"/>
                <w:sz w:val="16"/>
              </w:rPr>
              <w:t>17.240</w:t>
            </w:r>
          </w:p>
        </w:tc>
        <w:tc>
          <w:tcPr>
            <w:tcW w:w="551" w:type="dxa"/>
            <w:shd w:val="clear" w:color="auto" w:fill="BEBEBE"/>
          </w:tcPr>
          <w:p>
            <w:pPr>
              <w:pStyle w:val="TableParagraph"/>
              <w:spacing w:before="78"/>
              <w:ind w:right="102"/>
              <w:jc w:val="right"/>
              <w:rPr>
                <w:sz w:val="16"/>
              </w:rPr>
            </w:pPr>
            <w:r>
              <w:rPr>
                <w:spacing w:val="-5"/>
                <w:sz w:val="16"/>
              </w:rPr>
              <w:t>4,6</w:t>
            </w:r>
          </w:p>
        </w:tc>
        <w:tc>
          <w:tcPr>
            <w:tcW w:w="1027" w:type="dxa"/>
            <w:shd w:val="clear" w:color="auto" w:fill="BEBEBE"/>
          </w:tcPr>
          <w:p>
            <w:pPr>
              <w:pStyle w:val="TableParagraph"/>
              <w:spacing w:before="78"/>
              <w:ind w:right="106"/>
              <w:jc w:val="right"/>
              <w:rPr>
                <w:sz w:val="16"/>
              </w:rPr>
            </w:pPr>
            <w:r>
              <w:rPr>
                <w:spacing w:val="-2"/>
                <w:sz w:val="16"/>
              </w:rPr>
              <w:t>3.642</w:t>
            </w:r>
          </w:p>
        </w:tc>
      </w:tr>
      <w:tr>
        <w:trPr>
          <w:trHeight w:val="338" w:hRule="atLeast"/>
        </w:trPr>
        <w:tc>
          <w:tcPr>
            <w:tcW w:w="4429" w:type="dxa"/>
            <w:shd w:val="clear" w:color="auto" w:fill="D9D9D9"/>
          </w:tcPr>
          <w:p>
            <w:pPr>
              <w:pStyle w:val="TableParagraph"/>
              <w:spacing w:before="78"/>
              <w:ind w:left="108"/>
              <w:rPr>
                <w:sz w:val="16"/>
              </w:rPr>
            </w:pPr>
            <w:r>
              <w:rPr>
                <w:sz w:val="16"/>
              </w:rPr>
              <w:t>Παράγωγα</w:t>
            </w:r>
            <w:r>
              <w:rPr>
                <w:spacing w:val="-7"/>
                <w:sz w:val="16"/>
              </w:rPr>
              <w:t> </w:t>
            </w:r>
            <w:r>
              <w:rPr>
                <w:sz w:val="16"/>
              </w:rPr>
              <w:t>χρηματοπιστωτικά</w:t>
            </w:r>
            <w:r>
              <w:rPr>
                <w:spacing w:val="-7"/>
                <w:sz w:val="16"/>
              </w:rPr>
              <w:t> </w:t>
            </w:r>
            <w:r>
              <w:rPr>
                <w:spacing w:val="-4"/>
                <w:sz w:val="16"/>
              </w:rPr>
              <w:t>μέσα</w:t>
            </w:r>
          </w:p>
        </w:tc>
        <w:tc>
          <w:tcPr>
            <w:tcW w:w="1236" w:type="dxa"/>
            <w:shd w:val="clear" w:color="auto" w:fill="D9D9D9"/>
          </w:tcPr>
          <w:p>
            <w:pPr>
              <w:pStyle w:val="TableParagraph"/>
              <w:spacing w:before="78"/>
              <w:ind w:left="631"/>
              <w:rPr>
                <w:sz w:val="16"/>
              </w:rPr>
            </w:pPr>
            <w:r>
              <w:rPr>
                <w:spacing w:val="-2"/>
                <w:sz w:val="16"/>
              </w:rPr>
              <w:t>3.585</w:t>
            </w:r>
          </w:p>
        </w:tc>
        <w:tc>
          <w:tcPr>
            <w:tcW w:w="534" w:type="dxa"/>
            <w:shd w:val="clear" w:color="auto" w:fill="D9D9D9"/>
          </w:tcPr>
          <w:p>
            <w:pPr>
              <w:pStyle w:val="TableParagraph"/>
              <w:spacing w:before="78"/>
              <w:ind w:right="101"/>
              <w:jc w:val="right"/>
              <w:rPr>
                <w:sz w:val="16"/>
              </w:rPr>
            </w:pPr>
            <w:r>
              <w:rPr>
                <w:spacing w:val="-5"/>
                <w:sz w:val="16"/>
              </w:rPr>
              <w:t>1,0</w:t>
            </w:r>
          </w:p>
        </w:tc>
        <w:tc>
          <w:tcPr>
            <w:tcW w:w="1003" w:type="dxa"/>
            <w:shd w:val="clear" w:color="auto" w:fill="D9D9D9"/>
          </w:tcPr>
          <w:p>
            <w:pPr>
              <w:pStyle w:val="TableParagraph"/>
              <w:spacing w:before="78"/>
              <w:ind w:left="413"/>
              <w:rPr>
                <w:sz w:val="16"/>
              </w:rPr>
            </w:pPr>
            <w:r>
              <w:rPr>
                <w:spacing w:val="-2"/>
                <w:sz w:val="16"/>
              </w:rPr>
              <w:t>3.001</w:t>
            </w:r>
          </w:p>
        </w:tc>
        <w:tc>
          <w:tcPr>
            <w:tcW w:w="551" w:type="dxa"/>
            <w:shd w:val="clear" w:color="auto" w:fill="D9D9D9"/>
          </w:tcPr>
          <w:p>
            <w:pPr>
              <w:pStyle w:val="TableParagraph"/>
              <w:spacing w:before="78"/>
              <w:ind w:right="102"/>
              <w:jc w:val="right"/>
              <w:rPr>
                <w:sz w:val="16"/>
              </w:rPr>
            </w:pPr>
            <w:r>
              <w:rPr>
                <w:spacing w:val="-5"/>
                <w:sz w:val="16"/>
              </w:rPr>
              <w:t>0,8</w:t>
            </w:r>
          </w:p>
        </w:tc>
        <w:tc>
          <w:tcPr>
            <w:tcW w:w="1027" w:type="dxa"/>
            <w:shd w:val="clear" w:color="auto" w:fill="D9D9D9"/>
          </w:tcPr>
          <w:p>
            <w:pPr>
              <w:pStyle w:val="TableParagraph"/>
              <w:spacing w:before="78"/>
              <w:ind w:right="106"/>
              <w:jc w:val="right"/>
              <w:rPr>
                <w:sz w:val="16"/>
              </w:rPr>
            </w:pPr>
            <w:r>
              <w:rPr>
                <w:spacing w:val="-2"/>
                <w:sz w:val="16"/>
              </w:rPr>
              <w:t>-</w:t>
            </w:r>
            <w:r>
              <w:rPr>
                <w:spacing w:val="-5"/>
                <w:sz w:val="16"/>
              </w:rPr>
              <w:t>584</w:t>
            </w:r>
          </w:p>
        </w:tc>
      </w:tr>
      <w:tr>
        <w:trPr>
          <w:trHeight w:val="340" w:hRule="atLeast"/>
        </w:trPr>
        <w:tc>
          <w:tcPr>
            <w:tcW w:w="4429" w:type="dxa"/>
            <w:shd w:val="clear" w:color="auto" w:fill="BEBEBE"/>
          </w:tcPr>
          <w:p>
            <w:pPr>
              <w:pStyle w:val="TableParagraph"/>
              <w:spacing w:before="78"/>
              <w:ind w:left="108"/>
              <w:rPr>
                <w:sz w:val="16"/>
              </w:rPr>
            </w:pPr>
            <w:r>
              <w:rPr>
                <w:sz w:val="16"/>
              </w:rPr>
              <w:t>Εκδοθείσες</w:t>
            </w:r>
            <w:r>
              <w:rPr>
                <w:spacing w:val="-6"/>
                <w:sz w:val="16"/>
              </w:rPr>
              <w:t> </w:t>
            </w:r>
            <w:r>
              <w:rPr>
                <w:sz w:val="16"/>
              </w:rPr>
              <w:t>ομολογίες</w:t>
            </w:r>
            <w:r>
              <w:rPr>
                <w:spacing w:val="-6"/>
                <w:sz w:val="16"/>
              </w:rPr>
              <w:t> </w:t>
            </w:r>
            <w:r>
              <w:rPr>
                <w:sz w:val="16"/>
              </w:rPr>
              <w:t>και</w:t>
            </w:r>
            <w:r>
              <w:rPr>
                <w:spacing w:val="-7"/>
                <w:sz w:val="16"/>
              </w:rPr>
              <w:t> </w:t>
            </w:r>
            <w:r>
              <w:rPr>
                <w:sz w:val="16"/>
              </w:rPr>
              <w:t>λοιπές</w:t>
            </w:r>
            <w:r>
              <w:rPr>
                <w:spacing w:val="-6"/>
                <w:sz w:val="16"/>
              </w:rPr>
              <w:t> </w:t>
            </w:r>
            <w:r>
              <w:rPr>
                <w:sz w:val="16"/>
              </w:rPr>
              <w:t>δανειακές</w:t>
            </w:r>
            <w:r>
              <w:rPr>
                <w:spacing w:val="-4"/>
                <w:sz w:val="16"/>
              </w:rPr>
              <w:t> </w:t>
            </w:r>
            <w:r>
              <w:rPr>
                <w:spacing w:val="-2"/>
                <w:sz w:val="16"/>
              </w:rPr>
              <w:t>υποχρεώσεις</w:t>
            </w:r>
          </w:p>
        </w:tc>
        <w:tc>
          <w:tcPr>
            <w:tcW w:w="1236" w:type="dxa"/>
            <w:shd w:val="clear" w:color="auto" w:fill="BEBEBE"/>
          </w:tcPr>
          <w:p>
            <w:pPr>
              <w:pStyle w:val="TableParagraph"/>
              <w:spacing w:before="78"/>
              <w:ind w:left="551"/>
              <w:rPr>
                <w:sz w:val="16"/>
              </w:rPr>
            </w:pPr>
            <w:r>
              <w:rPr>
                <w:spacing w:val="-2"/>
                <w:sz w:val="16"/>
              </w:rPr>
              <w:t>18.675</w:t>
            </w:r>
          </w:p>
        </w:tc>
        <w:tc>
          <w:tcPr>
            <w:tcW w:w="534" w:type="dxa"/>
            <w:shd w:val="clear" w:color="auto" w:fill="BEBEBE"/>
          </w:tcPr>
          <w:p>
            <w:pPr>
              <w:pStyle w:val="TableParagraph"/>
              <w:spacing w:before="78"/>
              <w:ind w:right="101"/>
              <w:jc w:val="right"/>
              <w:rPr>
                <w:sz w:val="16"/>
              </w:rPr>
            </w:pPr>
            <w:r>
              <w:rPr>
                <w:spacing w:val="-5"/>
                <w:sz w:val="16"/>
              </w:rPr>
              <w:t>5,4</w:t>
            </w:r>
          </w:p>
        </w:tc>
        <w:tc>
          <w:tcPr>
            <w:tcW w:w="1003" w:type="dxa"/>
            <w:shd w:val="clear" w:color="auto" w:fill="BEBEBE"/>
          </w:tcPr>
          <w:p>
            <w:pPr>
              <w:pStyle w:val="TableParagraph"/>
              <w:spacing w:before="78"/>
              <w:ind w:left="334"/>
              <w:rPr>
                <w:sz w:val="16"/>
              </w:rPr>
            </w:pPr>
            <w:r>
              <w:rPr>
                <w:spacing w:val="-2"/>
                <w:sz w:val="16"/>
              </w:rPr>
              <w:t>21.491</w:t>
            </w:r>
          </w:p>
        </w:tc>
        <w:tc>
          <w:tcPr>
            <w:tcW w:w="551" w:type="dxa"/>
            <w:shd w:val="clear" w:color="auto" w:fill="BEBEBE"/>
          </w:tcPr>
          <w:p>
            <w:pPr>
              <w:pStyle w:val="TableParagraph"/>
              <w:spacing w:before="78"/>
              <w:ind w:right="102"/>
              <w:jc w:val="right"/>
              <w:rPr>
                <w:sz w:val="16"/>
              </w:rPr>
            </w:pPr>
            <w:r>
              <w:rPr>
                <w:spacing w:val="-5"/>
                <w:sz w:val="16"/>
              </w:rPr>
              <w:t>5,7</w:t>
            </w:r>
          </w:p>
        </w:tc>
        <w:tc>
          <w:tcPr>
            <w:tcW w:w="1027" w:type="dxa"/>
            <w:shd w:val="clear" w:color="auto" w:fill="BEBEBE"/>
          </w:tcPr>
          <w:p>
            <w:pPr>
              <w:pStyle w:val="TableParagraph"/>
              <w:spacing w:before="78"/>
              <w:ind w:right="106"/>
              <w:jc w:val="right"/>
              <w:rPr>
                <w:sz w:val="16"/>
              </w:rPr>
            </w:pPr>
            <w:r>
              <w:rPr>
                <w:spacing w:val="-2"/>
                <w:sz w:val="16"/>
              </w:rPr>
              <w:t>2.816</w:t>
            </w:r>
          </w:p>
        </w:tc>
      </w:tr>
      <w:tr>
        <w:trPr>
          <w:trHeight w:val="340" w:hRule="atLeast"/>
        </w:trPr>
        <w:tc>
          <w:tcPr>
            <w:tcW w:w="4429" w:type="dxa"/>
            <w:shd w:val="clear" w:color="auto" w:fill="D9D9D9"/>
          </w:tcPr>
          <w:p>
            <w:pPr>
              <w:pStyle w:val="TableParagraph"/>
              <w:spacing w:before="78"/>
              <w:ind w:left="108"/>
              <w:rPr>
                <w:sz w:val="16"/>
              </w:rPr>
            </w:pPr>
            <w:r>
              <w:rPr>
                <w:sz w:val="16"/>
              </w:rPr>
              <w:t>Στοιχεία</w:t>
            </w:r>
            <w:r>
              <w:rPr>
                <w:spacing w:val="-4"/>
                <w:sz w:val="16"/>
              </w:rPr>
              <w:t> </w:t>
            </w:r>
            <w:r>
              <w:rPr>
                <w:sz w:val="16"/>
              </w:rPr>
              <w:t>παθητικού</w:t>
            </w:r>
            <w:r>
              <w:rPr>
                <w:spacing w:val="-6"/>
                <w:sz w:val="16"/>
              </w:rPr>
              <w:t> </w:t>
            </w:r>
            <w:r>
              <w:rPr>
                <w:sz w:val="16"/>
              </w:rPr>
              <w:t>διαθέσιμα</w:t>
            </w:r>
            <w:r>
              <w:rPr>
                <w:spacing w:val="-6"/>
                <w:sz w:val="16"/>
              </w:rPr>
              <w:t> </w:t>
            </w:r>
            <w:r>
              <w:rPr>
                <w:sz w:val="16"/>
              </w:rPr>
              <w:t>προς</w:t>
            </w:r>
            <w:r>
              <w:rPr>
                <w:spacing w:val="-4"/>
                <w:sz w:val="16"/>
              </w:rPr>
              <w:t> </w:t>
            </w:r>
            <w:r>
              <w:rPr>
                <w:spacing w:val="-2"/>
                <w:sz w:val="16"/>
              </w:rPr>
              <w:t>πώληση</w:t>
            </w:r>
          </w:p>
        </w:tc>
        <w:tc>
          <w:tcPr>
            <w:tcW w:w="1236" w:type="dxa"/>
            <w:shd w:val="clear" w:color="auto" w:fill="D9D9D9"/>
          </w:tcPr>
          <w:p>
            <w:pPr>
              <w:pStyle w:val="TableParagraph"/>
              <w:spacing w:before="78"/>
              <w:ind w:left="631"/>
              <w:rPr>
                <w:sz w:val="16"/>
              </w:rPr>
            </w:pPr>
            <w:r>
              <w:rPr>
                <w:spacing w:val="-2"/>
                <w:sz w:val="16"/>
              </w:rPr>
              <w:t>1.186</w:t>
            </w:r>
          </w:p>
        </w:tc>
        <w:tc>
          <w:tcPr>
            <w:tcW w:w="534" w:type="dxa"/>
            <w:shd w:val="clear" w:color="auto" w:fill="D9D9D9"/>
          </w:tcPr>
          <w:p>
            <w:pPr>
              <w:pStyle w:val="TableParagraph"/>
              <w:spacing w:before="78"/>
              <w:ind w:right="101"/>
              <w:jc w:val="right"/>
              <w:rPr>
                <w:sz w:val="16"/>
              </w:rPr>
            </w:pPr>
            <w:r>
              <w:rPr>
                <w:spacing w:val="-5"/>
                <w:sz w:val="16"/>
              </w:rPr>
              <w:t>0,3</w:t>
            </w:r>
          </w:p>
        </w:tc>
        <w:tc>
          <w:tcPr>
            <w:tcW w:w="1003" w:type="dxa"/>
            <w:shd w:val="clear" w:color="auto" w:fill="D9D9D9"/>
          </w:tcPr>
          <w:p>
            <w:pPr>
              <w:pStyle w:val="TableParagraph"/>
              <w:spacing w:before="78"/>
              <w:ind w:left="413"/>
              <w:rPr>
                <w:sz w:val="16"/>
              </w:rPr>
            </w:pPr>
            <w:r>
              <w:rPr>
                <w:spacing w:val="-2"/>
                <w:sz w:val="16"/>
              </w:rPr>
              <w:t>1.285</w:t>
            </w:r>
          </w:p>
        </w:tc>
        <w:tc>
          <w:tcPr>
            <w:tcW w:w="551" w:type="dxa"/>
            <w:shd w:val="clear" w:color="auto" w:fill="D9D9D9"/>
          </w:tcPr>
          <w:p>
            <w:pPr>
              <w:pStyle w:val="TableParagraph"/>
              <w:spacing w:before="78"/>
              <w:ind w:right="102"/>
              <w:jc w:val="right"/>
              <w:rPr>
                <w:sz w:val="16"/>
              </w:rPr>
            </w:pPr>
            <w:r>
              <w:rPr>
                <w:spacing w:val="-5"/>
                <w:sz w:val="16"/>
              </w:rPr>
              <w:t>0,3</w:t>
            </w:r>
          </w:p>
        </w:tc>
        <w:tc>
          <w:tcPr>
            <w:tcW w:w="1027" w:type="dxa"/>
            <w:shd w:val="clear" w:color="auto" w:fill="D9D9D9"/>
          </w:tcPr>
          <w:p>
            <w:pPr>
              <w:pStyle w:val="TableParagraph"/>
              <w:spacing w:before="78"/>
              <w:ind w:right="105"/>
              <w:jc w:val="right"/>
              <w:rPr>
                <w:sz w:val="16"/>
              </w:rPr>
            </w:pPr>
            <w:r>
              <w:rPr>
                <w:spacing w:val="-5"/>
                <w:sz w:val="16"/>
              </w:rPr>
              <w:t>99</w:t>
            </w:r>
          </w:p>
        </w:tc>
      </w:tr>
      <w:tr>
        <w:trPr>
          <w:trHeight w:val="338" w:hRule="atLeast"/>
        </w:trPr>
        <w:tc>
          <w:tcPr>
            <w:tcW w:w="4429" w:type="dxa"/>
            <w:shd w:val="clear" w:color="auto" w:fill="BEBEBE"/>
          </w:tcPr>
          <w:p>
            <w:pPr>
              <w:pStyle w:val="TableParagraph"/>
              <w:spacing w:before="78"/>
              <w:ind w:left="108"/>
              <w:rPr>
                <w:sz w:val="16"/>
              </w:rPr>
            </w:pPr>
            <w:r>
              <w:rPr>
                <w:sz w:val="16"/>
              </w:rPr>
              <w:t>Λοιπές</w:t>
            </w:r>
            <w:r>
              <w:rPr>
                <w:spacing w:val="-4"/>
                <w:sz w:val="16"/>
              </w:rPr>
              <w:t> </w:t>
            </w:r>
            <w:r>
              <w:rPr>
                <w:spacing w:val="-2"/>
                <w:sz w:val="16"/>
              </w:rPr>
              <w:t>υποχρεώσεις</w:t>
            </w:r>
          </w:p>
        </w:tc>
        <w:tc>
          <w:tcPr>
            <w:tcW w:w="1236" w:type="dxa"/>
            <w:shd w:val="clear" w:color="auto" w:fill="BEBEBE"/>
          </w:tcPr>
          <w:p>
            <w:pPr>
              <w:pStyle w:val="TableParagraph"/>
              <w:spacing w:before="78"/>
              <w:ind w:left="631"/>
              <w:rPr>
                <w:sz w:val="16"/>
              </w:rPr>
            </w:pPr>
            <w:r>
              <w:rPr>
                <w:spacing w:val="-2"/>
                <w:sz w:val="16"/>
              </w:rPr>
              <w:t>8.998</w:t>
            </w:r>
          </w:p>
        </w:tc>
        <w:tc>
          <w:tcPr>
            <w:tcW w:w="534" w:type="dxa"/>
            <w:shd w:val="clear" w:color="auto" w:fill="BEBEBE"/>
          </w:tcPr>
          <w:p>
            <w:pPr>
              <w:pStyle w:val="TableParagraph"/>
              <w:spacing w:before="78"/>
              <w:ind w:right="101"/>
              <w:jc w:val="right"/>
              <w:rPr>
                <w:sz w:val="16"/>
              </w:rPr>
            </w:pPr>
            <w:r>
              <w:rPr>
                <w:spacing w:val="-5"/>
                <w:sz w:val="16"/>
              </w:rPr>
              <w:t>2,6</w:t>
            </w:r>
          </w:p>
        </w:tc>
        <w:tc>
          <w:tcPr>
            <w:tcW w:w="1003" w:type="dxa"/>
            <w:shd w:val="clear" w:color="auto" w:fill="BEBEBE"/>
          </w:tcPr>
          <w:p>
            <w:pPr>
              <w:pStyle w:val="TableParagraph"/>
              <w:spacing w:before="78"/>
              <w:ind w:left="334"/>
              <w:rPr>
                <w:sz w:val="16"/>
              </w:rPr>
            </w:pPr>
            <w:r>
              <w:rPr>
                <w:spacing w:val="-2"/>
                <w:sz w:val="16"/>
              </w:rPr>
              <w:t>11.986</w:t>
            </w:r>
          </w:p>
        </w:tc>
        <w:tc>
          <w:tcPr>
            <w:tcW w:w="551" w:type="dxa"/>
            <w:shd w:val="clear" w:color="auto" w:fill="BEBEBE"/>
          </w:tcPr>
          <w:p>
            <w:pPr>
              <w:pStyle w:val="TableParagraph"/>
              <w:spacing w:before="78"/>
              <w:ind w:right="102"/>
              <w:jc w:val="right"/>
              <w:rPr>
                <w:sz w:val="16"/>
              </w:rPr>
            </w:pPr>
            <w:r>
              <w:rPr>
                <w:spacing w:val="-5"/>
                <w:sz w:val="16"/>
              </w:rPr>
              <w:t>3,2</w:t>
            </w:r>
          </w:p>
        </w:tc>
        <w:tc>
          <w:tcPr>
            <w:tcW w:w="1027" w:type="dxa"/>
            <w:shd w:val="clear" w:color="auto" w:fill="BEBEBE"/>
          </w:tcPr>
          <w:p>
            <w:pPr>
              <w:pStyle w:val="TableParagraph"/>
              <w:spacing w:before="78"/>
              <w:ind w:right="106"/>
              <w:jc w:val="right"/>
              <w:rPr>
                <w:sz w:val="16"/>
              </w:rPr>
            </w:pPr>
            <w:r>
              <w:rPr>
                <w:spacing w:val="-2"/>
                <w:sz w:val="16"/>
              </w:rPr>
              <w:t>2.988</w:t>
            </w:r>
          </w:p>
        </w:tc>
      </w:tr>
      <w:tr>
        <w:trPr>
          <w:trHeight w:val="340" w:hRule="atLeast"/>
        </w:trPr>
        <w:tc>
          <w:tcPr>
            <w:tcW w:w="4429" w:type="dxa"/>
            <w:shd w:val="clear" w:color="auto" w:fill="D9D9D9"/>
          </w:tcPr>
          <w:p>
            <w:pPr>
              <w:pStyle w:val="TableParagraph"/>
              <w:spacing w:before="78"/>
              <w:ind w:left="108"/>
              <w:rPr>
                <w:sz w:val="16"/>
              </w:rPr>
            </w:pPr>
            <w:r>
              <w:rPr>
                <w:sz w:val="16"/>
              </w:rPr>
              <w:t>Ίδια</w:t>
            </w:r>
            <w:r>
              <w:rPr>
                <w:spacing w:val="-5"/>
                <w:sz w:val="16"/>
              </w:rPr>
              <w:t> </w:t>
            </w:r>
            <w:r>
              <w:rPr>
                <w:spacing w:val="-2"/>
                <w:sz w:val="16"/>
              </w:rPr>
              <w:t>κεφάλαια</w:t>
            </w:r>
          </w:p>
        </w:tc>
        <w:tc>
          <w:tcPr>
            <w:tcW w:w="1236" w:type="dxa"/>
            <w:shd w:val="clear" w:color="auto" w:fill="D9D9D9"/>
          </w:tcPr>
          <w:p>
            <w:pPr>
              <w:pStyle w:val="TableParagraph"/>
              <w:spacing w:before="78"/>
              <w:ind w:left="551"/>
              <w:rPr>
                <w:sz w:val="16"/>
              </w:rPr>
            </w:pPr>
            <w:r>
              <w:rPr>
                <w:spacing w:val="-2"/>
                <w:sz w:val="16"/>
              </w:rPr>
              <w:t>35.755</w:t>
            </w:r>
          </w:p>
        </w:tc>
        <w:tc>
          <w:tcPr>
            <w:tcW w:w="534" w:type="dxa"/>
            <w:shd w:val="clear" w:color="auto" w:fill="D9D9D9"/>
          </w:tcPr>
          <w:p>
            <w:pPr>
              <w:pStyle w:val="TableParagraph"/>
              <w:spacing w:before="78"/>
              <w:ind w:right="101"/>
              <w:jc w:val="right"/>
              <w:rPr>
                <w:sz w:val="16"/>
              </w:rPr>
            </w:pPr>
            <w:r>
              <w:rPr>
                <w:spacing w:val="-4"/>
                <w:sz w:val="16"/>
              </w:rPr>
              <w:t>10,4</w:t>
            </w:r>
          </w:p>
        </w:tc>
        <w:tc>
          <w:tcPr>
            <w:tcW w:w="1003" w:type="dxa"/>
            <w:shd w:val="clear" w:color="auto" w:fill="D9D9D9"/>
          </w:tcPr>
          <w:p>
            <w:pPr>
              <w:pStyle w:val="TableParagraph"/>
              <w:spacing w:before="78"/>
              <w:ind w:left="334"/>
              <w:rPr>
                <w:sz w:val="16"/>
              </w:rPr>
            </w:pPr>
            <w:r>
              <w:rPr>
                <w:spacing w:val="-2"/>
                <w:sz w:val="16"/>
              </w:rPr>
              <w:t>40.072</w:t>
            </w:r>
          </w:p>
        </w:tc>
        <w:tc>
          <w:tcPr>
            <w:tcW w:w="551" w:type="dxa"/>
            <w:shd w:val="clear" w:color="auto" w:fill="D9D9D9"/>
          </w:tcPr>
          <w:p>
            <w:pPr>
              <w:pStyle w:val="TableParagraph"/>
              <w:spacing w:before="78"/>
              <w:ind w:right="102"/>
              <w:jc w:val="right"/>
              <w:rPr>
                <w:sz w:val="16"/>
              </w:rPr>
            </w:pPr>
            <w:r>
              <w:rPr>
                <w:spacing w:val="-4"/>
                <w:sz w:val="16"/>
              </w:rPr>
              <w:t>10,7</w:t>
            </w:r>
          </w:p>
        </w:tc>
        <w:tc>
          <w:tcPr>
            <w:tcW w:w="1027" w:type="dxa"/>
            <w:shd w:val="clear" w:color="auto" w:fill="D9D9D9"/>
          </w:tcPr>
          <w:p>
            <w:pPr>
              <w:pStyle w:val="TableParagraph"/>
              <w:spacing w:before="78"/>
              <w:ind w:right="106"/>
              <w:jc w:val="right"/>
              <w:rPr>
                <w:sz w:val="16"/>
              </w:rPr>
            </w:pPr>
            <w:r>
              <w:rPr>
                <w:spacing w:val="-2"/>
                <w:sz w:val="16"/>
              </w:rPr>
              <w:t>4.317</w:t>
            </w:r>
          </w:p>
        </w:tc>
      </w:tr>
      <w:tr>
        <w:trPr>
          <w:trHeight w:val="340" w:hRule="atLeast"/>
        </w:trPr>
        <w:tc>
          <w:tcPr>
            <w:tcW w:w="4429" w:type="dxa"/>
            <w:shd w:val="clear" w:color="auto" w:fill="BEBEBE"/>
          </w:tcPr>
          <w:p>
            <w:pPr>
              <w:pStyle w:val="TableParagraph"/>
              <w:spacing w:before="67"/>
              <w:ind w:left="108"/>
              <w:rPr>
                <w:b/>
                <w:sz w:val="18"/>
              </w:rPr>
            </w:pPr>
            <w:r>
              <w:rPr>
                <w:b/>
                <w:color w:val="1F487C"/>
                <w:spacing w:val="-2"/>
                <w:sz w:val="18"/>
              </w:rPr>
              <w:t>Σύνολο</w:t>
            </w:r>
          </w:p>
        </w:tc>
        <w:tc>
          <w:tcPr>
            <w:tcW w:w="1236" w:type="dxa"/>
            <w:shd w:val="clear" w:color="auto" w:fill="BEBEBE"/>
          </w:tcPr>
          <w:p>
            <w:pPr>
              <w:pStyle w:val="TableParagraph"/>
              <w:spacing w:before="67"/>
              <w:ind w:left="405"/>
              <w:rPr>
                <w:b/>
                <w:sz w:val="18"/>
              </w:rPr>
            </w:pPr>
            <w:r>
              <w:rPr>
                <w:b/>
                <w:color w:val="1F477B"/>
                <w:spacing w:val="-2"/>
                <w:sz w:val="18"/>
              </w:rPr>
              <w:t>344.983</w:t>
            </w:r>
          </w:p>
        </w:tc>
        <w:tc>
          <w:tcPr>
            <w:tcW w:w="534" w:type="dxa"/>
            <w:shd w:val="clear" w:color="auto" w:fill="BEBEBE"/>
          </w:tcPr>
          <w:p>
            <w:pPr>
              <w:pStyle w:val="TableParagraph"/>
              <w:spacing w:before="67"/>
              <w:ind w:right="101"/>
              <w:jc w:val="right"/>
              <w:rPr>
                <w:b/>
                <w:sz w:val="18"/>
              </w:rPr>
            </w:pPr>
            <w:r>
              <w:rPr>
                <w:b/>
                <w:color w:val="1F477B"/>
                <w:spacing w:val="-2"/>
                <w:sz w:val="18"/>
              </w:rPr>
              <w:t>100,0</w:t>
            </w:r>
          </w:p>
        </w:tc>
        <w:tc>
          <w:tcPr>
            <w:tcW w:w="1003" w:type="dxa"/>
            <w:shd w:val="clear" w:color="auto" w:fill="BEBEBE"/>
          </w:tcPr>
          <w:p>
            <w:pPr>
              <w:pStyle w:val="TableParagraph"/>
              <w:spacing w:before="67"/>
              <w:ind w:left="188"/>
              <w:rPr>
                <w:b/>
                <w:sz w:val="18"/>
              </w:rPr>
            </w:pPr>
            <w:r>
              <w:rPr>
                <w:b/>
                <w:color w:val="1F477B"/>
                <w:spacing w:val="-2"/>
                <w:sz w:val="18"/>
              </w:rPr>
              <w:t>375.183</w:t>
            </w:r>
          </w:p>
        </w:tc>
        <w:tc>
          <w:tcPr>
            <w:tcW w:w="551" w:type="dxa"/>
            <w:shd w:val="clear" w:color="auto" w:fill="BEBEBE"/>
          </w:tcPr>
          <w:p>
            <w:pPr>
              <w:pStyle w:val="TableParagraph"/>
              <w:spacing w:before="67"/>
              <w:ind w:right="103"/>
              <w:jc w:val="right"/>
              <w:rPr>
                <w:b/>
                <w:sz w:val="18"/>
              </w:rPr>
            </w:pPr>
            <w:r>
              <w:rPr>
                <w:b/>
                <w:color w:val="1F477B"/>
                <w:spacing w:val="-2"/>
                <w:sz w:val="18"/>
              </w:rPr>
              <w:t>100,0</w:t>
            </w:r>
          </w:p>
        </w:tc>
        <w:tc>
          <w:tcPr>
            <w:tcW w:w="1027" w:type="dxa"/>
            <w:shd w:val="clear" w:color="auto" w:fill="BEBEBE"/>
          </w:tcPr>
          <w:p>
            <w:pPr>
              <w:pStyle w:val="TableParagraph"/>
              <w:spacing w:before="67"/>
              <w:ind w:right="106"/>
              <w:jc w:val="right"/>
              <w:rPr>
                <w:b/>
                <w:sz w:val="18"/>
              </w:rPr>
            </w:pPr>
            <w:r>
              <w:rPr>
                <w:b/>
                <w:color w:val="1F477B"/>
                <w:spacing w:val="-2"/>
                <w:sz w:val="18"/>
              </w:rPr>
              <w:t>30.200</w:t>
            </w:r>
          </w:p>
        </w:tc>
      </w:tr>
      <w:tr>
        <w:trPr>
          <w:trHeight w:val="782" w:hRule="atLeast"/>
        </w:trPr>
        <w:tc>
          <w:tcPr>
            <w:tcW w:w="8780" w:type="dxa"/>
            <w:gridSpan w:val="6"/>
            <w:shd w:val="clear" w:color="auto" w:fill="D9D9D9"/>
          </w:tcPr>
          <w:p>
            <w:pPr>
              <w:pStyle w:val="TableParagraph"/>
              <w:spacing w:before="118"/>
              <w:ind w:left="220"/>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p>
            <w:pPr>
              <w:pStyle w:val="TableParagraph"/>
              <w:spacing w:before="120"/>
              <w:ind w:left="220" w:right="156" w:firstLine="36"/>
              <w:rPr>
                <w:sz w:val="14"/>
              </w:rPr>
            </w:pPr>
            <w:r>
              <w:rPr>
                <w:sz w:val="14"/>
              </w:rPr>
              <w:t>Σημείωση:</w:t>
            </w:r>
            <w:r>
              <w:rPr>
                <w:spacing w:val="-3"/>
                <w:sz w:val="14"/>
              </w:rPr>
              <w:t> </w:t>
            </w:r>
            <w:r>
              <w:rPr>
                <w:sz w:val="14"/>
              </w:rPr>
              <w:t>Τα</w:t>
            </w:r>
            <w:r>
              <w:rPr>
                <w:spacing w:val="-5"/>
                <w:sz w:val="14"/>
              </w:rPr>
              <w:t> </w:t>
            </w:r>
            <w:r>
              <w:rPr>
                <w:sz w:val="14"/>
              </w:rPr>
              <w:t>συγκριτικά</w:t>
            </w:r>
            <w:r>
              <w:rPr>
                <w:spacing w:val="-5"/>
                <w:sz w:val="14"/>
              </w:rPr>
              <w:t> </w:t>
            </w:r>
            <w:r>
              <w:rPr>
                <w:sz w:val="14"/>
              </w:rPr>
              <w:t>οικονομικά</w:t>
            </w:r>
            <w:r>
              <w:rPr>
                <w:spacing w:val="-5"/>
                <w:sz w:val="14"/>
              </w:rPr>
              <w:t> </w:t>
            </w:r>
            <w:r>
              <w:rPr>
                <w:sz w:val="14"/>
              </w:rPr>
              <w:t>μεγέθη</w:t>
            </w:r>
            <w:r>
              <w:rPr>
                <w:spacing w:val="-4"/>
                <w:sz w:val="14"/>
              </w:rPr>
              <w:t> </w:t>
            </w:r>
            <w:r>
              <w:rPr>
                <w:sz w:val="14"/>
              </w:rPr>
              <w:t>εμφανίζονται</w:t>
            </w:r>
            <w:r>
              <w:rPr>
                <w:spacing w:val="-3"/>
                <w:sz w:val="14"/>
              </w:rPr>
              <w:t> </w:t>
            </w:r>
            <w:r>
              <w:rPr>
                <w:sz w:val="14"/>
              </w:rPr>
              <w:t>αναμορφωμένα</w:t>
            </w:r>
            <w:r>
              <w:rPr>
                <w:spacing w:val="-5"/>
                <w:sz w:val="14"/>
              </w:rPr>
              <w:t> </w:t>
            </w:r>
            <w:r>
              <w:rPr>
                <w:sz w:val="14"/>
              </w:rPr>
              <w:t>ως</w:t>
            </w:r>
            <w:r>
              <w:rPr>
                <w:spacing w:val="-4"/>
                <w:sz w:val="14"/>
              </w:rPr>
              <w:t> </w:t>
            </w:r>
            <w:r>
              <w:rPr>
                <w:sz w:val="14"/>
              </w:rPr>
              <w:t>αποτέλεσμα</w:t>
            </w:r>
            <w:r>
              <w:rPr>
                <w:spacing w:val="-5"/>
                <w:sz w:val="14"/>
              </w:rPr>
              <w:t> </w:t>
            </w:r>
            <w:r>
              <w:rPr>
                <w:sz w:val="14"/>
              </w:rPr>
              <w:t>αναταξινομήσεων</w:t>
            </w:r>
            <w:r>
              <w:rPr>
                <w:spacing w:val="-4"/>
                <w:sz w:val="14"/>
              </w:rPr>
              <w:t> </w:t>
            </w:r>
            <w:r>
              <w:rPr>
                <w:sz w:val="14"/>
              </w:rPr>
              <w:t>που</w:t>
            </w:r>
            <w:r>
              <w:rPr>
                <w:spacing w:val="-3"/>
                <w:sz w:val="14"/>
              </w:rPr>
              <w:t> </w:t>
            </w:r>
            <w:r>
              <w:rPr>
                <w:sz w:val="14"/>
              </w:rPr>
              <w:t>πραγματοποιήθηκαν</w:t>
            </w:r>
            <w:r>
              <w:rPr>
                <w:spacing w:val="-4"/>
                <w:sz w:val="14"/>
              </w:rPr>
              <w:t> </w:t>
            </w:r>
            <w:r>
              <w:rPr>
                <w:sz w:val="14"/>
              </w:rPr>
              <w:t>στις</w:t>
            </w:r>
            <w:r>
              <w:rPr>
                <w:spacing w:val="-4"/>
                <w:sz w:val="14"/>
              </w:rPr>
              <w:t> </w:t>
            </w:r>
            <w:r>
              <w:rPr>
                <w:sz w:val="14"/>
              </w:rPr>
              <w:t>Οικονο-μικές</w:t>
            </w:r>
            <w:r>
              <w:rPr>
                <w:spacing w:val="-6"/>
                <w:sz w:val="14"/>
              </w:rPr>
              <w:t> </w:t>
            </w:r>
            <w:r>
              <w:rPr>
                <w:sz w:val="14"/>
              </w:rPr>
              <w:t>Καταστάσεις.</w:t>
            </w:r>
          </w:p>
        </w:tc>
      </w:tr>
    </w:tbl>
    <w:p>
      <w:pPr>
        <w:pStyle w:val="BodyText"/>
        <w:spacing w:line="285" w:lineRule="auto" w:before="108"/>
        <w:ind w:left="172" w:right="478"/>
        <w:jc w:val="both"/>
      </w:pPr>
      <w:r>
        <w:rPr/>
        <w:t>Αναλυτικότερα, οι μεταβολές στο ύψος και στη διάρθρωση του ενεργητικού (βλ. Διάγραμμα ΙΙΙ.1) οφείλονται κυρίως:</w:t>
      </w:r>
    </w:p>
    <w:p>
      <w:pPr>
        <w:pStyle w:val="BodyText"/>
        <w:spacing w:line="285" w:lineRule="auto" w:before="58"/>
        <w:ind w:left="172" w:right="470"/>
        <w:jc w:val="both"/>
      </w:pPr>
      <w:r>
        <w:rPr/>
        <w:t>α) στην αύξηση των υπολοίπων των δανείων μετά από προβλέψεις κατά 16,5 δισεκ. ευρώ, καθώς οι εκταμιεύσεις</w:t>
      </w:r>
      <w:r>
        <w:rPr>
          <w:spacing w:val="-8"/>
        </w:rPr>
        <w:t> </w:t>
      </w:r>
      <w:r>
        <w:rPr/>
        <w:t>δανείων</w:t>
      </w:r>
      <w:r>
        <w:rPr>
          <w:spacing w:val="-9"/>
        </w:rPr>
        <w:t> </w:t>
      </w:r>
      <w:r>
        <w:rPr/>
        <w:t>υπερέβησαν</w:t>
      </w:r>
      <w:r>
        <w:rPr>
          <w:spacing w:val="-7"/>
        </w:rPr>
        <w:t> </w:t>
      </w:r>
      <w:r>
        <w:rPr/>
        <w:t>τη</w:t>
      </w:r>
      <w:r>
        <w:rPr>
          <w:spacing w:val="-5"/>
        </w:rPr>
        <w:t> </w:t>
      </w:r>
      <w:r>
        <w:rPr/>
        <w:t>μείωση</w:t>
      </w:r>
      <w:r>
        <w:rPr>
          <w:spacing w:val="-10"/>
        </w:rPr>
        <w:t> </w:t>
      </w:r>
      <w:r>
        <w:rPr/>
        <w:t>των</w:t>
      </w:r>
      <w:r>
        <w:rPr>
          <w:spacing w:val="-9"/>
        </w:rPr>
        <w:t> </w:t>
      </w:r>
      <w:r>
        <w:rPr/>
        <w:t>υπολοίπων</w:t>
      </w:r>
      <w:r>
        <w:rPr>
          <w:spacing w:val="-9"/>
        </w:rPr>
        <w:t> </w:t>
      </w:r>
      <w:r>
        <w:rPr/>
        <w:t>εξαιτίας</w:t>
      </w:r>
      <w:r>
        <w:rPr>
          <w:spacing w:val="-8"/>
        </w:rPr>
        <w:t> </w:t>
      </w:r>
      <w:r>
        <w:rPr/>
        <w:t>των</w:t>
      </w:r>
      <w:r>
        <w:rPr>
          <w:spacing w:val="-6"/>
        </w:rPr>
        <w:t> </w:t>
      </w:r>
      <w:r>
        <w:rPr/>
        <w:t>αποπληρωμών.</w:t>
      </w:r>
      <w:r>
        <w:rPr>
          <w:spacing w:val="-3"/>
        </w:rPr>
        <w:t> </w:t>
      </w:r>
      <w:r>
        <w:rPr/>
        <w:t>Κατά</w:t>
      </w:r>
      <w:r>
        <w:rPr>
          <w:spacing w:val="-10"/>
        </w:rPr>
        <w:t> </w:t>
      </w:r>
      <w:r>
        <w:rPr/>
        <w:t>συνέ-πεια,</w:t>
      </w:r>
      <w:r>
        <w:rPr>
          <w:spacing w:val="-12"/>
        </w:rPr>
        <w:t> </w:t>
      </w:r>
      <w:r>
        <w:rPr/>
        <w:t>το</w:t>
      </w:r>
      <w:r>
        <w:rPr>
          <w:spacing w:val="-12"/>
        </w:rPr>
        <w:t> </w:t>
      </w:r>
      <w:r>
        <w:rPr/>
        <w:t>ποσοστό</w:t>
      </w:r>
      <w:r>
        <w:rPr>
          <w:spacing w:val="-14"/>
        </w:rPr>
        <w:t> </w:t>
      </w:r>
      <w:r>
        <w:rPr/>
        <w:t>συμμετοχής</w:t>
      </w:r>
      <w:r>
        <w:rPr>
          <w:spacing w:val="-13"/>
        </w:rPr>
        <w:t> </w:t>
      </w:r>
      <w:r>
        <w:rPr/>
        <w:t>των</w:t>
      </w:r>
      <w:r>
        <w:rPr>
          <w:spacing w:val="-13"/>
        </w:rPr>
        <w:t> </w:t>
      </w:r>
      <w:r>
        <w:rPr/>
        <w:t>δανείων</w:t>
      </w:r>
      <w:r>
        <w:rPr>
          <w:spacing w:val="-13"/>
        </w:rPr>
        <w:t> </w:t>
      </w:r>
      <w:r>
        <w:rPr/>
        <w:t>στο</w:t>
      </w:r>
      <w:r>
        <w:rPr>
          <w:spacing w:val="-14"/>
        </w:rPr>
        <w:t> </w:t>
      </w:r>
      <w:r>
        <w:rPr/>
        <w:t>σύνολο</w:t>
      </w:r>
      <w:r>
        <w:rPr>
          <w:spacing w:val="-14"/>
        </w:rPr>
        <w:t> </w:t>
      </w:r>
      <w:r>
        <w:rPr/>
        <w:t>του</w:t>
      </w:r>
      <w:r>
        <w:rPr>
          <w:spacing w:val="-13"/>
        </w:rPr>
        <w:t> </w:t>
      </w:r>
      <w:r>
        <w:rPr/>
        <w:t>ενεργητικού</w:t>
      </w:r>
      <w:r>
        <w:rPr>
          <w:spacing w:val="-11"/>
        </w:rPr>
        <w:t> </w:t>
      </w:r>
      <w:r>
        <w:rPr/>
        <w:t>αυξήθηκε</w:t>
      </w:r>
      <w:r>
        <w:rPr>
          <w:spacing w:val="-10"/>
        </w:rPr>
        <w:t> </w:t>
      </w:r>
      <w:r>
        <w:rPr/>
        <w:t>οριακά</w:t>
      </w:r>
      <w:r>
        <w:rPr>
          <w:spacing w:val="-12"/>
        </w:rPr>
        <w:t> </w:t>
      </w:r>
      <w:r>
        <w:rPr/>
        <w:t>(Δεκέμβριος 2025: 51,6%, Δεκέμβριος 2024: 51,4%),</w:t>
      </w:r>
    </w:p>
    <w:p>
      <w:pPr>
        <w:pStyle w:val="BodyText"/>
        <w:spacing w:after="0" w:line="285" w:lineRule="auto"/>
        <w:jc w:val="both"/>
        <w:sectPr>
          <w:pgSz w:w="11910" w:h="16850"/>
          <w:pgMar w:header="0" w:footer="1108" w:top="1800" w:bottom="1300" w:left="1417" w:right="850"/>
        </w:sectPr>
      </w:pPr>
    </w:p>
    <w:p>
      <w:pPr>
        <w:pStyle w:val="BodyText"/>
        <w:spacing w:line="285" w:lineRule="auto" w:before="66" w:after="22"/>
        <w:ind w:left="172" w:right="473"/>
        <w:jc w:val="both"/>
      </w:pPr>
      <w:r>
        <w:rPr/>
        <w:t>β)</w:t>
      </w:r>
      <w:r>
        <w:rPr>
          <w:spacing w:val="-3"/>
        </w:rPr>
        <w:t> </w:t>
      </w:r>
      <w:r>
        <w:rPr/>
        <w:t>στην</w:t>
      </w:r>
      <w:r>
        <w:rPr>
          <w:spacing w:val="-1"/>
        </w:rPr>
        <w:t> </w:t>
      </w:r>
      <w:r>
        <w:rPr/>
        <w:t>αύξηση</w:t>
      </w:r>
      <w:r>
        <w:rPr>
          <w:spacing w:val="-4"/>
        </w:rPr>
        <w:t> </w:t>
      </w:r>
      <w:r>
        <w:rPr/>
        <w:t>των</w:t>
      </w:r>
      <w:r>
        <w:rPr>
          <w:spacing w:val="-4"/>
        </w:rPr>
        <w:t> </w:t>
      </w:r>
      <w:r>
        <w:rPr/>
        <w:t>χρεογράφων</w:t>
      </w:r>
      <w:r>
        <w:rPr>
          <w:spacing w:val="-4"/>
        </w:rPr>
        <w:t> </w:t>
      </w:r>
      <w:r>
        <w:rPr/>
        <w:t>κατά</w:t>
      </w:r>
      <w:r>
        <w:rPr>
          <w:spacing w:val="-2"/>
        </w:rPr>
        <w:t> </w:t>
      </w:r>
      <w:r>
        <w:rPr/>
        <w:t>10,6</w:t>
      </w:r>
      <w:r>
        <w:rPr>
          <w:spacing w:val="-5"/>
        </w:rPr>
        <w:t> </w:t>
      </w:r>
      <w:r>
        <w:rPr/>
        <w:t>δισεκ.</w:t>
      </w:r>
      <w:r>
        <w:rPr>
          <w:spacing w:val="-5"/>
        </w:rPr>
        <w:t> </w:t>
      </w:r>
      <w:r>
        <w:rPr/>
        <w:t>ευρώ,</w:t>
      </w:r>
      <w:r>
        <w:rPr>
          <w:spacing w:val="-2"/>
        </w:rPr>
        <w:t> </w:t>
      </w:r>
      <w:r>
        <w:rPr/>
        <w:t>κυρίως</w:t>
      </w:r>
      <w:r>
        <w:rPr>
          <w:spacing w:val="-3"/>
        </w:rPr>
        <w:t> </w:t>
      </w:r>
      <w:r>
        <w:rPr/>
        <w:t>από</w:t>
      </w:r>
      <w:r>
        <w:rPr>
          <w:spacing w:val="-2"/>
        </w:rPr>
        <w:t> </w:t>
      </w:r>
      <w:r>
        <w:rPr/>
        <w:t>την</w:t>
      </w:r>
      <w:r>
        <w:rPr>
          <w:spacing w:val="-1"/>
        </w:rPr>
        <w:t> </w:t>
      </w:r>
      <w:r>
        <w:rPr/>
        <w:t>αύξηση</w:t>
      </w:r>
      <w:r>
        <w:rPr>
          <w:spacing w:val="-6"/>
        </w:rPr>
        <w:t> </w:t>
      </w:r>
      <w:r>
        <w:rPr/>
        <w:t>των</w:t>
      </w:r>
      <w:r>
        <w:rPr>
          <w:spacing w:val="-4"/>
        </w:rPr>
        <w:t> </w:t>
      </w:r>
      <w:r>
        <w:rPr/>
        <w:t>θέσεων</w:t>
      </w:r>
      <w:r>
        <w:rPr>
          <w:spacing w:val="-4"/>
        </w:rPr>
        <w:t> </w:t>
      </w:r>
      <w:r>
        <w:rPr/>
        <w:t>σε</w:t>
      </w:r>
      <w:r>
        <w:rPr>
          <w:spacing w:val="-4"/>
        </w:rPr>
        <w:t> </w:t>
      </w:r>
      <w:r>
        <w:rPr/>
        <w:t>ομό-λογα</w:t>
      </w:r>
      <w:r>
        <w:rPr>
          <w:spacing w:val="-5"/>
        </w:rPr>
        <w:t> </w:t>
      </w:r>
      <w:r>
        <w:rPr/>
        <w:t>ξένων</w:t>
      </w:r>
      <w:r>
        <w:rPr>
          <w:spacing w:val="-4"/>
        </w:rPr>
        <w:t> </w:t>
      </w:r>
      <w:r>
        <w:rPr/>
        <w:t>κρατών,</w:t>
      </w:r>
      <w:r>
        <w:rPr>
          <w:spacing w:val="-4"/>
        </w:rPr>
        <w:t> </w:t>
      </w:r>
      <w:r>
        <w:rPr/>
        <w:t>με</w:t>
      </w:r>
      <w:r>
        <w:rPr>
          <w:spacing w:val="-4"/>
        </w:rPr>
        <w:t> </w:t>
      </w:r>
      <w:r>
        <w:rPr/>
        <w:t>αποτέλεσμα</w:t>
      </w:r>
      <w:r>
        <w:rPr>
          <w:spacing w:val="-8"/>
        </w:rPr>
        <w:t> </w:t>
      </w:r>
      <w:r>
        <w:rPr/>
        <w:t>να</w:t>
      </w:r>
      <w:r>
        <w:rPr>
          <w:spacing w:val="-5"/>
        </w:rPr>
        <w:t> </w:t>
      </w:r>
      <w:r>
        <w:rPr/>
        <w:t>αυξηθεί</w:t>
      </w:r>
      <w:r>
        <w:rPr>
          <w:spacing w:val="-2"/>
        </w:rPr>
        <w:t> </w:t>
      </w:r>
      <w:r>
        <w:rPr/>
        <w:t>το</w:t>
      </w:r>
      <w:r>
        <w:rPr>
          <w:spacing w:val="-5"/>
        </w:rPr>
        <w:t> </w:t>
      </w:r>
      <w:r>
        <w:rPr/>
        <w:t>ποσοστό</w:t>
      </w:r>
      <w:r>
        <w:rPr>
          <w:spacing w:val="-6"/>
        </w:rPr>
        <w:t> </w:t>
      </w:r>
      <w:r>
        <w:rPr/>
        <w:t>συμμετοχής</w:t>
      </w:r>
      <w:r>
        <w:rPr>
          <w:spacing w:val="-6"/>
        </w:rPr>
        <w:t> </w:t>
      </w:r>
      <w:r>
        <w:rPr/>
        <w:t>των</w:t>
      </w:r>
      <w:r>
        <w:rPr>
          <w:spacing w:val="-4"/>
        </w:rPr>
        <w:t> </w:t>
      </w:r>
      <w:r>
        <w:rPr/>
        <w:t>χρεογράφων</w:t>
      </w:r>
      <w:r>
        <w:rPr>
          <w:spacing w:val="-6"/>
        </w:rPr>
        <w:t> </w:t>
      </w:r>
      <w:r>
        <w:rPr/>
        <w:t>στο</w:t>
      </w:r>
      <w:r>
        <w:rPr>
          <w:spacing w:val="-5"/>
        </w:rPr>
        <w:t> </w:t>
      </w:r>
      <w:r>
        <w:rPr/>
        <w:t>σύνολο του ενεργητικού (Δεκέμβριος 2025: 24,0%, Δεκέμβριος 2024: 23,0%).</w:t>
      </w: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2"/>
        <w:gridCol w:w="4253"/>
      </w:tblGrid>
      <w:tr>
        <w:trPr>
          <w:trHeight w:val="532" w:hRule="atLeast"/>
        </w:trPr>
        <w:tc>
          <w:tcPr>
            <w:tcW w:w="4252" w:type="dxa"/>
            <w:tcBorders>
              <w:right w:val="single" w:sz="48" w:space="0" w:color="FFFFFF"/>
            </w:tcBorders>
            <w:shd w:val="clear" w:color="auto" w:fill="1F487C"/>
          </w:tcPr>
          <w:p>
            <w:pPr>
              <w:pStyle w:val="TableParagraph"/>
              <w:spacing w:before="60"/>
              <w:ind w:left="112" w:right="-15"/>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3"/>
                <w:sz w:val="18"/>
              </w:rPr>
              <w:t> </w:t>
            </w:r>
            <w:r>
              <w:rPr>
                <w:b/>
                <w:smallCaps w:val="0"/>
                <w:color w:val="FFFFFF"/>
                <w:sz w:val="18"/>
              </w:rPr>
              <w:t>III.1</w:t>
            </w:r>
            <w:r>
              <w:rPr>
                <w:b/>
                <w:smallCaps w:val="0"/>
                <w:color w:val="FFFFFF"/>
                <w:spacing w:val="-5"/>
                <w:sz w:val="18"/>
              </w:rPr>
              <w:t> </w:t>
            </w:r>
            <w:r>
              <w:rPr>
                <w:b/>
                <w:smallCaps w:val="0"/>
                <w:color w:val="FFFFFF"/>
                <w:sz w:val="18"/>
              </w:rPr>
              <w:t>Δ</w:t>
            </w:r>
            <w:r>
              <w:rPr>
                <w:b/>
                <w:smallCaps/>
                <w:color w:val="FFFFFF"/>
                <w:sz w:val="18"/>
              </w:rPr>
              <w:t>ι</w:t>
            </w:r>
            <w:r>
              <w:rPr>
                <w:b/>
                <w:smallCaps w:val="0"/>
                <w:color w:val="FFFFFF"/>
                <w:sz w:val="18"/>
              </w:rPr>
              <w:t>άρθρωση</w:t>
            </w:r>
            <w:r>
              <w:rPr>
                <w:b/>
                <w:smallCaps w:val="0"/>
                <w:color w:val="FFFFFF"/>
                <w:spacing w:val="-3"/>
                <w:sz w:val="18"/>
              </w:rPr>
              <w:t> </w:t>
            </w:r>
            <w:r>
              <w:rPr>
                <w:b/>
                <w:smallCaps w:val="0"/>
                <w:color w:val="FFFFFF"/>
                <w:sz w:val="18"/>
              </w:rPr>
              <w:t>του</w:t>
            </w:r>
            <w:r>
              <w:rPr>
                <w:b/>
                <w:smallCaps w:val="0"/>
                <w:color w:val="FFFFFF"/>
                <w:spacing w:val="-4"/>
                <w:sz w:val="18"/>
              </w:rPr>
              <w:t> </w:t>
            </w:r>
            <w:r>
              <w:rPr>
                <w:b/>
                <w:smallCaps w:val="0"/>
                <w:color w:val="FFFFFF"/>
                <w:sz w:val="18"/>
              </w:rPr>
              <w:t>ενεργητ</w:t>
            </w:r>
            <w:r>
              <w:rPr>
                <w:b/>
                <w:smallCaps/>
                <w:color w:val="FFFFFF"/>
                <w:sz w:val="18"/>
              </w:rPr>
              <w:t>ι</w:t>
            </w:r>
            <w:r>
              <w:rPr>
                <w:b/>
                <w:smallCaps w:val="0"/>
                <w:color w:val="FFFFFF"/>
                <w:sz w:val="18"/>
              </w:rPr>
              <w:t>κού</w:t>
            </w:r>
            <w:r>
              <w:rPr>
                <w:b/>
                <w:smallCaps w:val="0"/>
                <w:color w:val="FFFFFF"/>
                <w:spacing w:val="-6"/>
                <w:sz w:val="18"/>
              </w:rPr>
              <w:t> </w:t>
            </w:r>
            <w:r>
              <w:rPr>
                <w:b/>
                <w:smallCaps w:val="0"/>
                <w:color w:val="FFFFFF"/>
                <w:sz w:val="18"/>
              </w:rPr>
              <w:t>των</w:t>
            </w:r>
            <w:r>
              <w:rPr>
                <w:b/>
                <w:smallCaps w:val="0"/>
                <w:color w:val="FFFFFF"/>
                <w:spacing w:val="-5"/>
                <w:sz w:val="18"/>
              </w:rPr>
              <w:t> </w:t>
            </w:r>
            <w:r>
              <w:rPr>
                <w:b/>
                <w:smallCaps w:val="0"/>
                <w:color w:val="FFFFFF"/>
                <w:sz w:val="18"/>
              </w:rPr>
              <w:t>ελ-λην</w:t>
            </w:r>
            <w:r>
              <w:rPr>
                <w:b/>
                <w:smallCaps/>
                <w:color w:val="FFFFFF"/>
                <w:sz w:val="18"/>
              </w:rPr>
              <w:t>ι</w:t>
            </w:r>
            <w:r>
              <w:rPr>
                <w:b/>
                <w:smallCaps w:val="0"/>
                <w:color w:val="FFFFFF"/>
                <w:sz w:val="18"/>
              </w:rPr>
              <w:t>κών τραπεζ</w:t>
            </w:r>
            <w:r>
              <w:rPr>
                <w:b/>
                <w:smallCaps/>
                <w:color w:val="FFFFFF"/>
                <w:sz w:val="18"/>
              </w:rPr>
              <w:t>ι</w:t>
            </w:r>
            <w:r>
              <w:rPr>
                <w:b/>
                <w:smallCaps w:val="0"/>
                <w:color w:val="FFFFFF"/>
                <w:sz w:val="18"/>
              </w:rPr>
              <w:t>κών ομίλων</w:t>
            </w:r>
          </w:p>
        </w:tc>
        <w:tc>
          <w:tcPr>
            <w:tcW w:w="4253" w:type="dxa"/>
            <w:tcBorders>
              <w:left w:val="single" w:sz="48" w:space="0" w:color="FFFFFF"/>
            </w:tcBorders>
            <w:shd w:val="clear" w:color="auto" w:fill="1F487C"/>
          </w:tcPr>
          <w:p>
            <w:pPr>
              <w:pStyle w:val="TableParagraph"/>
              <w:spacing w:before="60"/>
              <w:ind w:left="104" w:right="123"/>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III.2</w:t>
            </w:r>
            <w:r>
              <w:rPr>
                <w:b/>
                <w:smallCaps w:val="0"/>
                <w:color w:val="FFFFFF"/>
                <w:spacing w:val="-7"/>
                <w:sz w:val="18"/>
              </w:rPr>
              <w:t> </w:t>
            </w:r>
            <w:r>
              <w:rPr>
                <w:b/>
                <w:smallCaps w:val="0"/>
                <w:color w:val="FFFFFF"/>
                <w:sz w:val="18"/>
              </w:rPr>
              <w:t>Δ</w:t>
            </w:r>
            <w:r>
              <w:rPr>
                <w:b/>
                <w:smallCaps/>
                <w:color w:val="FFFFFF"/>
                <w:sz w:val="18"/>
              </w:rPr>
              <w:t>ι</w:t>
            </w:r>
            <w:r>
              <w:rPr>
                <w:b/>
                <w:smallCaps w:val="0"/>
                <w:color w:val="FFFFFF"/>
                <w:sz w:val="18"/>
              </w:rPr>
              <w:t>άρθρωση</w:t>
            </w:r>
            <w:r>
              <w:rPr>
                <w:b/>
                <w:smallCaps w:val="0"/>
                <w:color w:val="FFFFFF"/>
                <w:spacing w:val="-5"/>
                <w:sz w:val="18"/>
              </w:rPr>
              <w:t> </w:t>
            </w:r>
            <w:r>
              <w:rPr>
                <w:b/>
                <w:smallCaps w:val="0"/>
                <w:color w:val="FFFFFF"/>
                <w:sz w:val="18"/>
              </w:rPr>
              <w:t>του</w:t>
            </w:r>
            <w:r>
              <w:rPr>
                <w:b/>
                <w:smallCaps w:val="0"/>
                <w:color w:val="FFFFFF"/>
                <w:spacing w:val="-6"/>
                <w:sz w:val="18"/>
              </w:rPr>
              <w:t> </w:t>
            </w:r>
            <w:r>
              <w:rPr>
                <w:b/>
                <w:smallCaps w:val="0"/>
                <w:color w:val="FFFFFF"/>
                <w:sz w:val="18"/>
              </w:rPr>
              <w:t>παθητ</w:t>
            </w:r>
            <w:r>
              <w:rPr>
                <w:b/>
                <w:smallCaps/>
                <w:color w:val="FFFFFF"/>
                <w:sz w:val="18"/>
              </w:rPr>
              <w:t>ι</w:t>
            </w:r>
            <w:r>
              <w:rPr>
                <w:b/>
                <w:smallCaps w:val="0"/>
                <w:color w:val="FFFFFF"/>
                <w:sz w:val="18"/>
              </w:rPr>
              <w:t>κού</w:t>
            </w:r>
            <w:r>
              <w:rPr>
                <w:b/>
                <w:smallCaps w:val="0"/>
                <w:color w:val="FFFFFF"/>
                <w:spacing w:val="-6"/>
                <w:sz w:val="18"/>
              </w:rPr>
              <w:t> </w:t>
            </w:r>
            <w:r>
              <w:rPr>
                <w:b/>
                <w:smallCaps w:val="0"/>
                <w:color w:val="FFFFFF"/>
                <w:sz w:val="18"/>
              </w:rPr>
              <w:t>των</w:t>
            </w:r>
            <w:r>
              <w:rPr>
                <w:b/>
                <w:smallCaps w:val="0"/>
                <w:color w:val="FFFFFF"/>
                <w:spacing w:val="-5"/>
                <w:sz w:val="18"/>
              </w:rPr>
              <w:t> </w:t>
            </w:r>
            <w:r>
              <w:rPr>
                <w:b/>
                <w:smallCaps w:val="0"/>
                <w:color w:val="FFFFFF"/>
                <w:sz w:val="18"/>
              </w:rPr>
              <w:t>ελ-λην</w:t>
            </w:r>
            <w:r>
              <w:rPr>
                <w:b/>
                <w:smallCaps/>
                <w:color w:val="FFFFFF"/>
                <w:sz w:val="18"/>
              </w:rPr>
              <w:t>ι</w:t>
            </w:r>
            <w:r>
              <w:rPr>
                <w:b/>
                <w:smallCaps w:val="0"/>
                <w:color w:val="FFFFFF"/>
                <w:sz w:val="18"/>
              </w:rPr>
              <w:t>κών τραπεζ</w:t>
            </w:r>
            <w:r>
              <w:rPr>
                <w:b/>
                <w:smallCaps/>
                <w:color w:val="FFFFFF"/>
                <w:sz w:val="18"/>
              </w:rPr>
              <w:t>ι</w:t>
            </w:r>
            <w:r>
              <w:rPr>
                <w:b/>
                <w:smallCaps w:val="0"/>
                <w:color w:val="FFFFFF"/>
                <w:sz w:val="18"/>
              </w:rPr>
              <w:t>κών ομίλων</w:t>
            </w:r>
          </w:p>
        </w:tc>
      </w:tr>
      <w:tr>
        <w:trPr>
          <w:trHeight w:val="340" w:hRule="atLeast"/>
        </w:trPr>
        <w:tc>
          <w:tcPr>
            <w:tcW w:w="4252" w:type="dxa"/>
            <w:tcBorders>
              <w:right w:val="single" w:sz="48" w:space="0" w:color="FFFFFF"/>
            </w:tcBorders>
          </w:tcPr>
          <w:p>
            <w:pPr>
              <w:pStyle w:val="TableParagraph"/>
              <w:spacing w:before="119"/>
              <w:ind w:left="57"/>
              <w:rPr>
                <w:sz w:val="14"/>
              </w:rPr>
            </w:pPr>
            <w:r>
              <w:rPr>
                <w:color w:val="1F487C"/>
                <w:spacing w:val="-2"/>
                <w:sz w:val="14"/>
              </w:rPr>
              <w:t>(ποσοστά)</w:t>
            </w:r>
          </w:p>
        </w:tc>
        <w:tc>
          <w:tcPr>
            <w:tcW w:w="4253" w:type="dxa"/>
            <w:tcBorders>
              <w:left w:val="single" w:sz="48" w:space="0" w:color="FFFFFF"/>
            </w:tcBorders>
          </w:tcPr>
          <w:p>
            <w:pPr>
              <w:pStyle w:val="TableParagraph"/>
              <w:spacing w:before="119"/>
              <w:ind w:left="49"/>
              <w:rPr>
                <w:sz w:val="14"/>
              </w:rPr>
            </w:pPr>
            <w:r>
              <w:rPr>
                <w:color w:val="1F487C"/>
                <w:spacing w:val="-2"/>
                <w:sz w:val="14"/>
              </w:rPr>
              <w:t>(ποσοστά)</w:t>
            </w:r>
          </w:p>
        </w:tc>
      </w:tr>
      <w:tr>
        <w:trPr>
          <w:trHeight w:val="4689" w:hRule="atLeast"/>
        </w:trPr>
        <w:tc>
          <w:tcPr>
            <w:tcW w:w="4252" w:type="dxa"/>
            <w:tcBorders>
              <w:right w:val="single" w:sz="48" w:space="0" w:color="FFFFFF"/>
            </w:tcBorders>
            <w:shd w:val="clear" w:color="auto" w:fill="D9D9D9"/>
          </w:tcPr>
          <w:p>
            <w:pPr>
              <w:pStyle w:val="TableParagraph"/>
              <w:ind w:left="-1" w:right="-44"/>
              <w:rPr>
                <w:sz w:val="20"/>
              </w:rPr>
            </w:pPr>
            <w:r>
              <w:rPr>
                <w:sz w:val="20"/>
              </w:rPr>
              <w:drawing>
                <wp:inline distT="0" distB="0" distL="0" distR="0">
                  <wp:extent cx="2661474" cy="2935224"/>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42" cstate="print"/>
                          <a:stretch>
                            <a:fillRect/>
                          </a:stretch>
                        </pic:blipFill>
                        <pic:spPr>
                          <a:xfrm>
                            <a:off x="0" y="0"/>
                            <a:ext cx="2661474" cy="2935224"/>
                          </a:xfrm>
                          <a:prstGeom prst="rect">
                            <a:avLst/>
                          </a:prstGeom>
                        </pic:spPr>
                      </pic:pic>
                    </a:graphicData>
                  </a:graphic>
                </wp:inline>
              </w:drawing>
            </w:r>
            <w:r>
              <w:rPr>
                <w:sz w:val="20"/>
              </w:rPr>
            </w:r>
          </w:p>
        </w:tc>
        <w:tc>
          <w:tcPr>
            <w:tcW w:w="4253" w:type="dxa"/>
            <w:tcBorders>
              <w:left w:val="single" w:sz="48" w:space="0" w:color="FFFFFF"/>
            </w:tcBorders>
            <w:shd w:val="clear" w:color="auto" w:fill="D9D9D9"/>
          </w:tcPr>
          <w:p>
            <w:pPr>
              <w:pStyle w:val="TableParagraph"/>
              <w:ind w:left="-9" w:right="-44"/>
              <w:rPr>
                <w:sz w:val="20"/>
              </w:rPr>
            </w:pPr>
            <w:r>
              <w:rPr>
                <w:sz w:val="20"/>
              </w:rPr>
              <w:drawing>
                <wp:inline distT="0" distB="0" distL="0" distR="0">
                  <wp:extent cx="2661267" cy="2907792"/>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43" cstate="print"/>
                          <a:stretch>
                            <a:fillRect/>
                          </a:stretch>
                        </pic:blipFill>
                        <pic:spPr>
                          <a:xfrm>
                            <a:off x="0" y="0"/>
                            <a:ext cx="2661267" cy="2907792"/>
                          </a:xfrm>
                          <a:prstGeom prst="rect">
                            <a:avLst/>
                          </a:prstGeom>
                        </pic:spPr>
                      </pic:pic>
                    </a:graphicData>
                  </a:graphic>
                </wp:inline>
              </w:drawing>
            </w:r>
            <w:r>
              <w:rPr>
                <w:sz w:val="20"/>
              </w:rPr>
            </w:r>
          </w:p>
        </w:tc>
      </w:tr>
      <w:tr>
        <w:trPr>
          <w:trHeight w:val="279" w:hRule="atLeast"/>
        </w:trPr>
        <w:tc>
          <w:tcPr>
            <w:tcW w:w="4252" w:type="dxa"/>
            <w:tcBorders>
              <w:right w:val="single" w:sz="48" w:space="0" w:color="FFFFFF"/>
            </w:tcBorders>
            <w:shd w:val="clear" w:color="auto" w:fill="D9D9D9"/>
          </w:tcPr>
          <w:p>
            <w:pPr>
              <w:pStyle w:val="TableParagraph"/>
              <w:spacing w:before="57"/>
              <w:ind w:left="112"/>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tc>
        <w:tc>
          <w:tcPr>
            <w:tcW w:w="4253" w:type="dxa"/>
            <w:tcBorders>
              <w:left w:val="single" w:sz="48" w:space="0" w:color="FFFFFF"/>
            </w:tcBorders>
            <w:shd w:val="clear" w:color="auto" w:fill="D9D9D9"/>
          </w:tcPr>
          <w:p>
            <w:pPr>
              <w:pStyle w:val="TableParagraph"/>
              <w:spacing w:before="57"/>
              <w:ind w:left="104"/>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BodyText"/>
        <w:spacing w:before="97"/>
        <w:ind w:left="172"/>
        <w:jc w:val="both"/>
      </w:pPr>
      <w:r>
        <w:rPr/>
        <w:t>Η</w:t>
      </w:r>
      <w:r>
        <w:rPr>
          <w:spacing w:val="-7"/>
        </w:rPr>
        <w:t> </w:t>
      </w:r>
      <w:r>
        <w:rPr/>
        <w:t>μεταβολή</w:t>
      </w:r>
      <w:r>
        <w:rPr>
          <w:spacing w:val="-7"/>
        </w:rPr>
        <w:t> </w:t>
      </w:r>
      <w:r>
        <w:rPr/>
        <w:t>στην</w:t>
      </w:r>
      <w:r>
        <w:rPr>
          <w:spacing w:val="-3"/>
        </w:rPr>
        <w:t> </w:t>
      </w:r>
      <w:r>
        <w:rPr/>
        <w:t>πλευρά</w:t>
      </w:r>
      <w:r>
        <w:rPr>
          <w:spacing w:val="-4"/>
        </w:rPr>
        <w:t> </w:t>
      </w:r>
      <w:r>
        <w:rPr/>
        <w:t>του</w:t>
      </w:r>
      <w:r>
        <w:rPr>
          <w:spacing w:val="-3"/>
        </w:rPr>
        <w:t> </w:t>
      </w:r>
      <w:r>
        <w:rPr/>
        <w:t>παθητικού</w:t>
      </w:r>
      <w:r>
        <w:rPr>
          <w:spacing w:val="-1"/>
        </w:rPr>
        <w:t> </w:t>
      </w:r>
      <w:r>
        <w:rPr/>
        <w:t>(βλ.</w:t>
      </w:r>
      <w:r>
        <w:rPr>
          <w:spacing w:val="-4"/>
        </w:rPr>
        <w:t> </w:t>
      </w:r>
      <w:r>
        <w:rPr/>
        <w:t>Διάγραμμα</w:t>
      </w:r>
      <w:r>
        <w:rPr>
          <w:spacing w:val="-4"/>
        </w:rPr>
        <w:t> </w:t>
      </w:r>
      <w:r>
        <w:rPr/>
        <w:t>ΙΙΙ.2)</w:t>
      </w:r>
      <w:r>
        <w:rPr>
          <w:spacing w:val="-3"/>
        </w:rPr>
        <w:t> </w:t>
      </w:r>
      <w:r>
        <w:rPr/>
        <w:t>οφείλεται</w:t>
      </w:r>
      <w:r>
        <w:rPr>
          <w:spacing w:val="-3"/>
        </w:rPr>
        <w:t> </w:t>
      </w:r>
      <w:r>
        <w:rPr>
          <w:spacing w:val="-2"/>
        </w:rPr>
        <w:t>κυρίως:</w:t>
      </w:r>
    </w:p>
    <w:p>
      <w:pPr>
        <w:pStyle w:val="BodyText"/>
        <w:spacing w:line="285" w:lineRule="auto" w:before="107"/>
        <w:ind w:left="172" w:right="613"/>
        <w:jc w:val="both"/>
      </w:pPr>
      <w:r>
        <w:rPr/>
        <w:t>α) στην αύξηση των καταθέσεων πελατών κατά 16,9 δισεκ. ευρώ κυρίως στην Ελλάδα. Ωστόσο, η συμμετοχή</w:t>
      </w:r>
      <w:r>
        <w:rPr>
          <w:spacing w:val="-9"/>
        </w:rPr>
        <w:t> </w:t>
      </w:r>
      <w:r>
        <w:rPr/>
        <w:t>των</w:t>
      </w:r>
      <w:r>
        <w:rPr>
          <w:spacing w:val="-9"/>
        </w:rPr>
        <w:t> </w:t>
      </w:r>
      <w:r>
        <w:rPr/>
        <w:t>καταθέσεων</w:t>
      </w:r>
      <w:r>
        <w:rPr>
          <w:spacing w:val="-9"/>
        </w:rPr>
        <w:t> </w:t>
      </w:r>
      <w:r>
        <w:rPr/>
        <w:t>ως</w:t>
      </w:r>
      <w:r>
        <w:rPr>
          <w:spacing w:val="-11"/>
        </w:rPr>
        <w:t> </w:t>
      </w:r>
      <w:r>
        <w:rPr/>
        <w:t>ποσοστό</w:t>
      </w:r>
      <w:r>
        <w:rPr>
          <w:spacing w:val="-9"/>
        </w:rPr>
        <w:t> </w:t>
      </w:r>
      <w:r>
        <w:rPr/>
        <w:t>του</w:t>
      </w:r>
      <w:r>
        <w:rPr>
          <w:spacing w:val="-9"/>
        </w:rPr>
        <w:t> </w:t>
      </w:r>
      <w:r>
        <w:rPr/>
        <w:t>παθητικού</w:t>
      </w:r>
      <w:r>
        <w:rPr>
          <w:spacing w:val="-6"/>
        </w:rPr>
        <w:t> </w:t>
      </w:r>
      <w:r>
        <w:rPr/>
        <w:t>μειώθηκε</w:t>
      </w:r>
      <w:r>
        <w:rPr>
          <w:spacing w:val="-8"/>
        </w:rPr>
        <w:t> </w:t>
      </w:r>
      <w:r>
        <w:rPr/>
        <w:t>(Δεκέμβριος</w:t>
      </w:r>
      <w:r>
        <w:rPr>
          <w:spacing w:val="-10"/>
        </w:rPr>
        <w:t> </w:t>
      </w:r>
      <w:r>
        <w:rPr/>
        <w:t>2025:</w:t>
      </w:r>
      <w:r>
        <w:rPr>
          <w:spacing w:val="-9"/>
        </w:rPr>
        <w:t> </w:t>
      </w:r>
      <w:r>
        <w:rPr/>
        <w:t>74,7%,</w:t>
      </w:r>
      <w:r>
        <w:rPr>
          <w:spacing w:val="-10"/>
        </w:rPr>
        <w:t> </w:t>
      </w:r>
      <w:r>
        <w:rPr/>
        <w:t>Δεκέμ-βριος 2024: 76,3%),</w:t>
      </w:r>
    </w:p>
    <w:p>
      <w:pPr>
        <w:pStyle w:val="BodyText"/>
        <w:spacing w:line="285" w:lineRule="auto" w:before="57"/>
        <w:ind w:left="172" w:right="612"/>
        <w:jc w:val="both"/>
      </w:pPr>
      <w:r>
        <w:rPr/>
        <w:t>β) στην αύξηση των ιδίων κεφαλαίων των τραπεζικών ομίλων κατά 4,3 δισεκ. ευρώ, κυρίως λόγω της αύξησης των αποτελεσμάτων εις</w:t>
      </w:r>
      <w:r>
        <w:rPr>
          <w:spacing w:val="-1"/>
        </w:rPr>
        <w:t> </w:t>
      </w:r>
      <w:r>
        <w:rPr/>
        <w:t>νέον και της</w:t>
      </w:r>
      <w:r>
        <w:rPr>
          <w:spacing w:val="-1"/>
        </w:rPr>
        <w:t> </w:t>
      </w:r>
      <w:r>
        <w:rPr/>
        <w:t>έκδοσης πρόσθετων κεφαλαιακών μέσων της κα-τηγορίας 1 (Additional Tier 1 capital instruments). Αυτό οδήγησε σε αύξηση του ποσοστού συμμε-τοχής</w:t>
      </w:r>
      <w:r>
        <w:rPr>
          <w:spacing w:val="-7"/>
        </w:rPr>
        <w:t> </w:t>
      </w:r>
      <w:r>
        <w:rPr/>
        <w:t>των</w:t>
      </w:r>
      <w:r>
        <w:rPr>
          <w:spacing w:val="-5"/>
        </w:rPr>
        <w:t> </w:t>
      </w:r>
      <w:r>
        <w:rPr/>
        <w:t>ιδίων</w:t>
      </w:r>
      <w:r>
        <w:rPr>
          <w:spacing w:val="-5"/>
        </w:rPr>
        <w:t> </w:t>
      </w:r>
      <w:r>
        <w:rPr/>
        <w:t>κεφαλαίων</w:t>
      </w:r>
      <w:r>
        <w:rPr>
          <w:spacing w:val="-8"/>
        </w:rPr>
        <w:t> </w:t>
      </w:r>
      <w:r>
        <w:rPr/>
        <w:t>στο</w:t>
      </w:r>
      <w:r>
        <w:rPr>
          <w:spacing w:val="-6"/>
        </w:rPr>
        <w:t> </w:t>
      </w:r>
      <w:r>
        <w:rPr/>
        <w:t>σύνολο</w:t>
      </w:r>
      <w:r>
        <w:rPr>
          <w:spacing w:val="-6"/>
        </w:rPr>
        <w:t> </w:t>
      </w:r>
      <w:r>
        <w:rPr/>
        <w:t>του</w:t>
      </w:r>
      <w:r>
        <w:rPr>
          <w:spacing w:val="-5"/>
        </w:rPr>
        <w:t> </w:t>
      </w:r>
      <w:r>
        <w:rPr/>
        <w:t>παθητικού</w:t>
      </w:r>
      <w:r>
        <w:rPr>
          <w:spacing w:val="-7"/>
        </w:rPr>
        <w:t> </w:t>
      </w:r>
      <w:r>
        <w:rPr/>
        <w:t>(Δεκέμβριος</w:t>
      </w:r>
      <w:r>
        <w:rPr>
          <w:spacing w:val="-7"/>
        </w:rPr>
        <w:t> </w:t>
      </w:r>
      <w:r>
        <w:rPr/>
        <w:t>2025:</w:t>
      </w:r>
      <w:r>
        <w:rPr>
          <w:spacing w:val="-5"/>
        </w:rPr>
        <w:t> </w:t>
      </w:r>
      <w:r>
        <w:rPr/>
        <w:t>10,7%,</w:t>
      </w:r>
      <w:r>
        <w:rPr>
          <w:spacing w:val="-9"/>
        </w:rPr>
        <w:t> </w:t>
      </w:r>
      <w:r>
        <w:rPr/>
        <w:t>Δεκέμβριος</w:t>
      </w:r>
      <w:r>
        <w:rPr>
          <w:spacing w:val="-7"/>
        </w:rPr>
        <w:t> </w:t>
      </w:r>
      <w:r>
        <w:rPr/>
        <w:t>2024: </w:t>
      </w:r>
      <w:r>
        <w:rPr>
          <w:spacing w:val="-2"/>
        </w:rPr>
        <w:t>10,4%),</w:t>
      </w:r>
    </w:p>
    <w:p>
      <w:pPr>
        <w:pStyle w:val="BodyText"/>
        <w:spacing w:line="285" w:lineRule="auto" w:before="55"/>
        <w:ind w:left="172" w:right="616"/>
        <w:jc w:val="both"/>
      </w:pPr>
      <w:r>
        <w:rPr/>
        <w:t>γ)</w:t>
      </w:r>
      <w:r>
        <w:rPr>
          <w:spacing w:val="-9"/>
        </w:rPr>
        <w:t> </w:t>
      </w:r>
      <w:r>
        <w:rPr/>
        <w:t>στην</w:t>
      </w:r>
      <w:r>
        <w:rPr>
          <w:spacing w:val="-9"/>
        </w:rPr>
        <w:t> </w:t>
      </w:r>
      <w:r>
        <w:rPr/>
        <w:t>αύξηση</w:t>
      </w:r>
      <w:r>
        <w:rPr>
          <w:spacing w:val="-9"/>
        </w:rPr>
        <w:t> </w:t>
      </w:r>
      <w:r>
        <w:rPr/>
        <w:t>των</w:t>
      </w:r>
      <w:r>
        <w:rPr>
          <w:spacing w:val="-11"/>
        </w:rPr>
        <w:t> </w:t>
      </w:r>
      <w:r>
        <w:rPr/>
        <w:t>υποχρεώσεων</w:t>
      </w:r>
      <w:r>
        <w:rPr>
          <w:spacing w:val="-9"/>
        </w:rPr>
        <w:t> </w:t>
      </w:r>
      <w:r>
        <w:rPr/>
        <w:t>προς</w:t>
      </w:r>
      <w:r>
        <w:rPr>
          <w:spacing w:val="-10"/>
        </w:rPr>
        <w:t> </w:t>
      </w:r>
      <w:r>
        <w:rPr/>
        <w:t>πιστωτικά</w:t>
      </w:r>
      <w:r>
        <w:rPr>
          <w:spacing w:val="-10"/>
        </w:rPr>
        <w:t> </w:t>
      </w:r>
      <w:r>
        <w:rPr/>
        <w:t>ιδρύματα</w:t>
      </w:r>
      <w:r>
        <w:rPr>
          <w:spacing w:val="-10"/>
        </w:rPr>
        <w:t> </w:t>
      </w:r>
      <w:r>
        <w:rPr/>
        <w:t>κατά</w:t>
      </w:r>
      <w:r>
        <w:rPr>
          <w:spacing w:val="-8"/>
        </w:rPr>
        <w:t> </w:t>
      </w:r>
      <w:r>
        <w:rPr/>
        <w:t>3,6</w:t>
      </w:r>
      <w:r>
        <w:rPr>
          <w:spacing w:val="-9"/>
        </w:rPr>
        <w:t> </w:t>
      </w:r>
      <w:r>
        <w:rPr/>
        <w:t>δισεκ.</w:t>
      </w:r>
      <w:r>
        <w:rPr>
          <w:spacing w:val="-9"/>
        </w:rPr>
        <w:t> </w:t>
      </w:r>
      <w:r>
        <w:rPr/>
        <w:t>ευρώ</w:t>
      </w:r>
      <w:r>
        <w:rPr>
          <w:spacing w:val="-10"/>
        </w:rPr>
        <w:t> </w:t>
      </w:r>
      <w:r>
        <w:rPr/>
        <w:t>λόγω</w:t>
      </w:r>
      <w:r>
        <w:rPr>
          <w:spacing w:val="-9"/>
        </w:rPr>
        <w:t> </w:t>
      </w:r>
      <w:r>
        <w:rPr/>
        <w:t>της</w:t>
      </w:r>
      <w:r>
        <w:rPr>
          <w:spacing w:val="-11"/>
        </w:rPr>
        <w:t> </w:t>
      </w:r>
      <w:r>
        <w:rPr/>
        <w:t>αύξησης των συμφωνιών επαναγοράς. Συνεπώς, αυξήθηκε το ποσοστό συμμετοχής των υποχρεώσεων προς πιστωτικά ιδρύματα στο σύνολο του παθητικού (Δεκέμβριος 2025: 4,6%, Δεκέμβριος 2024: 3,9%),</w:t>
      </w:r>
    </w:p>
    <w:p>
      <w:pPr>
        <w:pStyle w:val="BodyText"/>
        <w:spacing w:line="285" w:lineRule="auto" w:before="57"/>
        <w:ind w:left="172" w:right="616"/>
        <w:jc w:val="both"/>
      </w:pPr>
      <w:r>
        <w:rPr/>
        <w:t>δ) στην αύξηση των λοιπών υποχρεώσεων κατά 3,0 δισεκ. ευρώ λόγω ενσωμάτωσης στοιχείων πα-θητικού</w:t>
      </w:r>
      <w:r>
        <w:rPr>
          <w:spacing w:val="-8"/>
        </w:rPr>
        <w:t> </w:t>
      </w:r>
      <w:r>
        <w:rPr/>
        <w:t>από</w:t>
      </w:r>
      <w:r>
        <w:rPr>
          <w:spacing w:val="-10"/>
        </w:rPr>
        <w:t> </w:t>
      </w:r>
      <w:r>
        <w:rPr/>
        <w:t>συγχωνεύσεις</w:t>
      </w:r>
      <w:r>
        <w:rPr>
          <w:spacing w:val="-10"/>
        </w:rPr>
        <w:t> </w:t>
      </w:r>
      <w:r>
        <w:rPr/>
        <w:t>και</w:t>
      </w:r>
      <w:r>
        <w:rPr>
          <w:spacing w:val="-7"/>
        </w:rPr>
        <w:t> </w:t>
      </w:r>
      <w:r>
        <w:rPr/>
        <w:t>εξαγορές,</w:t>
      </w:r>
      <w:r>
        <w:rPr>
          <w:spacing w:val="-7"/>
        </w:rPr>
        <w:t> </w:t>
      </w:r>
      <w:r>
        <w:rPr/>
        <w:t>με</w:t>
      </w:r>
      <w:r>
        <w:rPr>
          <w:spacing w:val="-9"/>
        </w:rPr>
        <w:t> </w:t>
      </w:r>
      <w:r>
        <w:rPr/>
        <w:t>αποτέλεσμα</w:t>
      </w:r>
      <w:r>
        <w:rPr>
          <w:spacing w:val="-8"/>
        </w:rPr>
        <w:t> </w:t>
      </w:r>
      <w:r>
        <w:rPr/>
        <w:t>την</w:t>
      </w:r>
      <w:r>
        <w:rPr>
          <w:spacing w:val="-9"/>
        </w:rPr>
        <w:t> </w:t>
      </w:r>
      <w:r>
        <w:rPr/>
        <w:t>αύξηση</w:t>
      </w:r>
      <w:r>
        <w:rPr>
          <w:spacing w:val="-10"/>
        </w:rPr>
        <w:t> </w:t>
      </w:r>
      <w:r>
        <w:rPr/>
        <w:t>του</w:t>
      </w:r>
      <w:r>
        <w:rPr>
          <w:spacing w:val="-8"/>
        </w:rPr>
        <w:t> </w:t>
      </w:r>
      <w:r>
        <w:rPr/>
        <w:t>ποσοστού</w:t>
      </w:r>
      <w:r>
        <w:rPr>
          <w:spacing w:val="-6"/>
        </w:rPr>
        <w:t> </w:t>
      </w:r>
      <w:r>
        <w:rPr/>
        <w:t>των</w:t>
      </w:r>
      <w:r>
        <w:rPr>
          <w:spacing w:val="-9"/>
        </w:rPr>
        <w:t> </w:t>
      </w:r>
      <w:r>
        <w:rPr/>
        <w:t>λοιπών</w:t>
      </w:r>
      <w:r>
        <w:rPr>
          <w:spacing w:val="-9"/>
        </w:rPr>
        <w:t> </w:t>
      </w:r>
      <w:r>
        <w:rPr/>
        <w:t>υπο-χρεώσεων στο σύνολο του παθητικού (Δεκέμβριος 2025: 3,2%, Δεκέμβριος 2024: 2,6%),</w:t>
      </w:r>
    </w:p>
    <w:p>
      <w:pPr>
        <w:pStyle w:val="BodyText"/>
        <w:spacing w:line="285" w:lineRule="auto" w:before="57"/>
        <w:ind w:left="172" w:right="615"/>
        <w:jc w:val="both"/>
      </w:pPr>
      <w:r>
        <w:rPr/>
        <w:t>ε) Στην αύξηση των εκδοθεισών ομολογιών και λοιπών δανειακών υποχρεώσεων κατά 2,8 δισεκ. ευρώ. Κατά συνέπεια, το ποσοστό συμμετοχής των εκδοθεισών ομολογιών και λοιπών δανειακών υποχρεώσεων στο σύνολο του παθητικού αυξήθηκε (Δεκέμβριος 2025: 5,7%, Δεκέμβριος 2024: </w:t>
      </w:r>
      <w:r>
        <w:rPr>
          <w:spacing w:val="-2"/>
        </w:rPr>
        <w:t>5,4%).</w:t>
      </w:r>
    </w:p>
    <w:p>
      <w:pPr>
        <w:pStyle w:val="BodyText"/>
        <w:spacing w:after="0" w:line="285" w:lineRule="auto"/>
        <w:jc w:val="both"/>
        <w:sectPr>
          <w:pgSz w:w="11910" w:h="16850"/>
          <w:pgMar w:header="0" w:footer="1108" w:top="1840" w:bottom="1300" w:left="1417" w:right="850"/>
        </w:sectPr>
      </w:pPr>
    </w:p>
    <w:p>
      <w:pPr>
        <w:pStyle w:val="Heading2"/>
        <w:numPr>
          <w:ilvl w:val="1"/>
          <w:numId w:val="2"/>
        </w:numPr>
        <w:tabs>
          <w:tab w:pos="568" w:val="left" w:leader="none"/>
        </w:tabs>
        <w:spacing w:line="240" w:lineRule="auto" w:before="70" w:after="0"/>
        <w:ind w:left="568" w:right="0" w:hanging="396"/>
        <w:jc w:val="left"/>
        <w:rPr>
          <w:color w:val="1F487C"/>
        </w:rPr>
      </w:pPr>
      <w:bookmarkStart w:name="_bookmark49" w:id="50"/>
      <w:bookmarkEnd w:id="50"/>
      <w:r>
        <w:rPr>
          <w:b w:val="0"/>
        </w:rPr>
      </w:r>
      <w:r>
        <w:rPr>
          <w:color w:val="1F487C"/>
        </w:rPr>
        <w:t>ΤΡΑΠΕΖΙΚΟΙ</w:t>
      </w:r>
      <w:r>
        <w:rPr>
          <w:color w:val="1F487C"/>
          <w:spacing w:val="-4"/>
        </w:rPr>
        <w:t> </w:t>
      </w:r>
      <w:r>
        <w:rPr>
          <w:color w:val="1F487C"/>
          <w:spacing w:val="-2"/>
        </w:rPr>
        <w:t>ΚΙΝΔΥΝΟΙ</w:t>
      </w:r>
    </w:p>
    <w:p>
      <w:pPr>
        <w:pStyle w:val="Heading3"/>
        <w:numPr>
          <w:ilvl w:val="2"/>
          <w:numId w:val="2"/>
        </w:numPr>
        <w:tabs>
          <w:tab w:pos="738" w:val="left" w:leader="none"/>
        </w:tabs>
        <w:spacing w:line="240" w:lineRule="auto" w:before="122" w:after="0"/>
        <w:ind w:left="738" w:right="0" w:hanging="566"/>
        <w:jc w:val="left"/>
        <w:rPr>
          <w:color w:val="1F487C"/>
        </w:rPr>
      </w:pPr>
      <w:bookmarkStart w:name="_bookmark50" w:id="51"/>
      <w:bookmarkEnd w:id="51"/>
      <w:r>
        <w:rPr>
          <w:b w:val="0"/>
        </w:rPr>
      </w:r>
      <w:r>
        <w:rPr>
          <w:color w:val="1F487C"/>
        </w:rPr>
        <w:t>ΠΙΣΤΩΤΙΚΟΣ</w:t>
      </w:r>
      <w:r>
        <w:rPr>
          <w:color w:val="1F487C"/>
          <w:spacing w:val="-9"/>
        </w:rPr>
        <w:t> </w:t>
      </w:r>
      <w:r>
        <w:rPr>
          <w:color w:val="1F487C"/>
          <w:spacing w:val="-2"/>
        </w:rPr>
        <w:t>ΚΙΝΔΥΝΟΣ</w:t>
      </w:r>
    </w:p>
    <w:p>
      <w:pPr>
        <w:pStyle w:val="Heading4"/>
        <w:spacing w:before="93"/>
      </w:pPr>
      <w:r>
        <w:rPr>
          <w:color w:val="1F487C"/>
        </w:rPr>
        <w:t>Εξέλ</w:t>
      </w:r>
      <w:r>
        <w:rPr>
          <w:smallCaps/>
          <w:color w:val="1F487C"/>
        </w:rPr>
        <w:t>ι</w:t>
      </w:r>
      <w:r>
        <w:rPr>
          <w:smallCaps w:val="0"/>
          <w:color w:val="1F487C"/>
        </w:rPr>
        <w:t>ξη</w:t>
      </w:r>
      <w:r>
        <w:rPr>
          <w:smallCaps w:val="0"/>
          <w:color w:val="1F487C"/>
          <w:spacing w:val="-8"/>
        </w:rPr>
        <w:t> </w:t>
      </w:r>
      <w:r>
        <w:rPr>
          <w:smallCaps w:val="0"/>
          <w:color w:val="1F487C"/>
        </w:rPr>
        <w:t>βασ</w:t>
      </w:r>
      <w:r>
        <w:rPr>
          <w:smallCaps/>
          <w:color w:val="1F487C"/>
        </w:rPr>
        <w:t>ι</w:t>
      </w:r>
      <w:r>
        <w:rPr>
          <w:smallCaps w:val="0"/>
          <w:color w:val="1F487C"/>
        </w:rPr>
        <w:t>κών</w:t>
      </w:r>
      <w:r>
        <w:rPr>
          <w:smallCaps w:val="0"/>
          <w:color w:val="1F487C"/>
          <w:spacing w:val="-6"/>
        </w:rPr>
        <w:t> </w:t>
      </w:r>
      <w:r>
        <w:rPr>
          <w:smallCaps w:val="0"/>
          <w:color w:val="1F487C"/>
          <w:spacing w:val="-2"/>
        </w:rPr>
        <w:t>μεγεθών</w:t>
      </w:r>
    </w:p>
    <w:p>
      <w:pPr>
        <w:pStyle w:val="BodyText"/>
        <w:spacing w:line="285" w:lineRule="auto" w:before="107"/>
        <w:ind w:left="172" w:right="956"/>
        <w:jc w:val="both"/>
      </w:pPr>
      <w:r>
        <w:rPr/>
        <w:t>Το 2025 η ποιότητα του δανειακού χαρτοφυλακίου των πιστωτικών ιδρυμάτων στην Ελλάδα βελτιώθηκε</w:t>
      </w:r>
      <w:r>
        <w:rPr>
          <w:spacing w:val="-10"/>
        </w:rPr>
        <w:t> </w:t>
      </w:r>
      <w:r>
        <w:rPr/>
        <w:t>περαιτέρω.</w:t>
      </w:r>
      <w:r>
        <w:rPr>
          <w:spacing w:val="-10"/>
        </w:rPr>
        <w:t> </w:t>
      </w:r>
      <w:r>
        <w:rPr/>
        <w:t>Το</w:t>
      </w:r>
      <w:r>
        <w:rPr>
          <w:spacing w:val="-13"/>
        </w:rPr>
        <w:t> </w:t>
      </w:r>
      <w:r>
        <w:rPr/>
        <w:t>απόθεμα</w:t>
      </w:r>
      <w:r>
        <w:rPr>
          <w:spacing w:val="-11"/>
        </w:rPr>
        <w:t> </w:t>
      </w:r>
      <w:r>
        <w:rPr/>
        <w:t>των</w:t>
      </w:r>
      <w:r>
        <w:rPr>
          <w:spacing w:val="-10"/>
        </w:rPr>
        <w:t> </w:t>
      </w:r>
      <w:r>
        <w:rPr/>
        <w:t>μη</w:t>
      </w:r>
      <w:r>
        <w:rPr>
          <w:spacing w:val="-11"/>
        </w:rPr>
        <w:t> </w:t>
      </w:r>
      <w:r>
        <w:rPr/>
        <w:t>εξυπηρετούμενων</w:t>
      </w:r>
      <w:r>
        <w:rPr>
          <w:spacing w:val="-10"/>
        </w:rPr>
        <w:t> </w:t>
      </w:r>
      <w:r>
        <w:rPr/>
        <w:t>δανείων</w:t>
      </w:r>
      <w:r>
        <w:rPr>
          <w:spacing w:val="-12"/>
        </w:rPr>
        <w:t> </w:t>
      </w:r>
      <w:r>
        <w:rPr/>
        <w:t>(ΜΕΔ)</w:t>
      </w:r>
      <w:r>
        <w:rPr>
          <w:spacing w:val="-10"/>
        </w:rPr>
        <w:t> </w:t>
      </w:r>
      <w:r>
        <w:rPr/>
        <w:t>διαμορφώθηκε</w:t>
      </w:r>
      <w:r>
        <w:rPr>
          <w:spacing w:val="-12"/>
        </w:rPr>
        <w:t> </w:t>
      </w:r>
      <w:r>
        <w:rPr/>
        <w:t>σε 5,7</w:t>
      </w:r>
      <w:r>
        <w:rPr>
          <w:spacing w:val="-2"/>
        </w:rPr>
        <w:t> </w:t>
      </w:r>
      <w:r>
        <w:rPr/>
        <w:t>δισεκ.</w:t>
      </w:r>
      <w:r>
        <w:rPr>
          <w:spacing w:val="-2"/>
        </w:rPr>
        <w:t> </w:t>
      </w:r>
      <w:r>
        <w:rPr/>
        <w:t>ευρώ,</w:t>
      </w:r>
      <w:r>
        <w:rPr>
          <w:spacing w:val="-2"/>
        </w:rPr>
        <w:t> </w:t>
      </w:r>
      <w:r>
        <w:rPr/>
        <w:t>μειωμένο</w:t>
      </w:r>
      <w:r>
        <w:rPr>
          <w:spacing w:val="-5"/>
        </w:rPr>
        <w:t> </w:t>
      </w:r>
      <w:r>
        <w:rPr/>
        <w:t>κατά</w:t>
      </w:r>
      <w:r>
        <w:rPr>
          <w:spacing w:val="-3"/>
        </w:rPr>
        <w:t> </w:t>
      </w:r>
      <w:r>
        <w:rPr/>
        <w:t>5,2%</w:t>
      </w:r>
      <w:r>
        <w:rPr>
          <w:spacing w:val="-2"/>
        </w:rPr>
        <w:t> </w:t>
      </w:r>
      <w:r>
        <w:rPr/>
        <w:t>ή</w:t>
      </w:r>
      <w:r>
        <w:rPr>
          <w:spacing w:val="-5"/>
        </w:rPr>
        <w:t> </w:t>
      </w:r>
      <w:r>
        <w:rPr/>
        <w:t>310</w:t>
      </w:r>
      <w:r>
        <w:rPr>
          <w:spacing w:val="-3"/>
        </w:rPr>
        <w:t> </w:t>
      </w:r>
      <w:r>
        <w:rPr/>
        <w:t>εκατ.</w:t>
      </w:r>
      <w:r>
        <w:rPr>
          <w:spacing w:val="-5"/>
        </w:rPr>
        <w:t> </w:t>
      </w:r>
      <w:r>
        <w:rPr/>
        <w:t>ευρώ</w:t>
      </w:r>
      <w:r>
        <w:rPr>
          <w:spacing w:val="-1"/>
        </w:rPr>
        <w:t> </w:t>
      </w:r>
      <w:r>
        <w:rPr/>
        <w:t>σε</w:t>
      </w:r>
      <w:r>
        <w:rPr>
          <w:spacing w:val="-4"/>
        </w:rPr>
        <w:t> </w:t>
      </w:r>
      <w:r>
        <w:rPr/>
        <w:t>σχέση</w:t>
      </w:r>
      <w:r>
        <w:rPr>
          <w:spacing w:val="-2"/>
        </w:rPr>
        <w:t> </w:t>
      </w:r>
      <w:r>
        <w:rPr/>
        <w:t>με</w:t>
      </w:r>
      <w:r>
        <w:rPr>
          <w:spacing w:val="-2"/>
        </w:rPr>
        <w:t> </w:t>
      </w:r>
      <w:r>
        <w:rPr/>
        <w:t>τον</w:t>
      </w:r>
      <w:r>
        <w:rPr>
          <w:spacing w:val="-1"/>
        </w:rPr>
        <w:t> </w:t>
      </w:r>
      <w:r>
        <w:rPr/>
        <w:t>Δεκέμβριο</w:t>
      </w:r>
      <w:r>
        <w:rPr>
          <w:spacing w:val="-2"/>
        </w:rPr>
        <w:t> </w:t>
      </w:r>
      <w:r>
        <w:rPr/>
        <w:t>του 2024</w:t>
      </w:r>
      <w:r>
        <w:rPr>
          <w:spacing w:val="-2"/>
        </w:rPr>
        <w:t> </w:t>
      </w:r>
      <w:r>
        <w:rPr/>
        <w:t>με στοιχεία</w:t>
      </w:r>
      <w:r>
        <w:rPr>
          <w:spacing w:val="-2"/>
        </w:rPr>
        <w:t> </w:t>
      </w:r>
      <w:r>
        <w:rPr/>
        <w:t>σε</w:t>
      </w:r>
      <w:r>
        <w:rPr>
          <w:spacing w:val="-2"/>
        </w:rPr>
        <w:t> </w:t>
      </w:r>
      <w:r>
        <w:rPr/>
        <w:t>ατομική</w:t>
      </w:r>
      <w:r>
        <w:rPr>
          <w:spacing w:val="-2"/>
        </w:rPr>
        <w:t> </w:t>
      </w:r>
      <w:r>
        <w:rPr/>
        <w:t>βάση,</w:t>
      </w:r>
      <w:r>
        <w:rPr>
          <w:spacing w:val="-5"/>
        </w:rPr>
        <w:t> </w:t>
      </w:r>
      <w:r>
        <w:rPr/>
        <w:t>εντός</w:t>
      </w:r>
      <w:r>
        <w:rPr>
          <w:spacing w:val="-3"/>
        </w:rPr>
        <w:t> </w:t>
      </w:r>
      <w:r>
        <w:rPr/>
        <w:t>ισολογισμού</w:t>
      </w:r>
      <w:hyperlink w:history="true" w:anchor="_bookmark51">
        <w:r>
          <w:rPr>
            <w:position w:val="6"/>
            <w:sz w:val="10"/>
          </w:rPr>
          <w:t>33</w:t>
        </w:r>
      </w:hyperlink>
      <w:r>
        <w:rPr>
          <w:spacing w:val="30"/>
          <w:position w:val="6"/>
          <w:sz w:val="10"/>
        </w:rPr>
        <w:t> </w:t>
      </w:r>
      <w:r>
        <w:rPr/>
        <w:t>(βλ.</w:t>
      </w:r>
      <w:r>
        <w:rPr>
          <w:spacing w:val="-3"/>
        </w:rPr>
        <w:t> </w:t>
      </w:r>
      <w:r>
        <w:rPr/>
        <w:t>Πίνακα III.2). Σημειώνεται ότι</w:t>
      </w:r>
      <w:r>
        <w:rPr>
          <w:spacing w:val="-2"/>
        </w:rPr>
        <w:t> </w:t>
      </w:r>
      <w:r>
        <w:rPr/>
        <w:t>η σωρευτική μείωση των ΜΕΔ σε σχέση με το υψηλότερο επίπεδό τους, που καταγράφηκε τον Μάρτιο του 2016, έφθασε το 94,7% ή 101,5 δισεκ. ευρώ.</w:t>
      </w:r>
    </w:p>
    <w:p>
      <w:pPr>
        <w:pStyle w:val="BodyText"/>
        <w:spacing w:before="10"/>
        <w:rPr>
          <w:sz w:val="6"/>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12"/>
        <w:gridCol w:w="1806"/>
        <w:gridCol w:w="1186"/>
      </w:tblGrid>
      <w:tr>
        <w:trPr>
          <w:trHeight w:val="396" w:hRule="atLeast"/>
        </w:trPr>
        <w:tc>
          <w:tcPr>
            <w:tcW w:w="8504" w:type="dxa"/>
            <w:gridSpan w:val="3"/>
            <w:shd w:val="clear" w:color="auto" w:fill="1F487C"/>
          </w:tcPr>
          <w:p>
            <w:pPr>
              <w:pStyle w:val="TableParagraph"/>
              <w:spacing w:before="96"/>
              <w:ind w:left="112"/>
              <w:rPr>
                <w:b/>
                <w:sz w:val="18"/>
              </w:rPr>
            </w:pPr>
            <w:r>
              <w:rPr>
                <w:b/>
                <w:color w:val="FFFFFF"/>
                <w:sz w:val="18"/>
              </w:rPr>
              <w:t>Πίνακας III.2</w:t>
            </w:r>
            <w:r>
              <w:rPr>
                <w:b/>
                <w:color w:val="FFFFFF"/>
                <w:spacing w:val="-2"/>
                <w:sz w:val="18"/>
              </w:rPr>
              <w:t> </w:t>
            </w:r>
            <w:r>
              <w:rPr>
                <w:b/>
                <w:color w:val="FFFFFF"/>
                <w:sz w:val="18"/>
              </w:rPr>
              <w:t>Βασ</w:t>
            </w:r>
            <w:r>
              <w:rPr>
                <w:b/>
                <w:smallCaps/>
                <w:color w:val="FFFFFF"/>
                <w:sz w:val="18"/>
              </w:rPr>
              <w:t>ι</w:t>
            </w:r>
            <w:r>
              <w:rPr>
                <w:b/>
                <w:smallCaps w:val="0"/>
                <w:color w:val="FFFFFF"/>
                <w:sz w:val="18"/>
              </w:rPr>
              <w:t>κά</w:t>
            </w:r>
            <w:r>
              <w:rPr>
                <w:b/>
                <w:smallCaps w:val="0"/>
                <w:color w:val="FFFFFF"/>
                <w:spacing w:val="-3"/>
                <w:sz w:val="18"/>
              </w:rPr>
              <w:t> </w:t>
            </w:r>
            <w:r>
              <w:rPr>
                <w:b/>
                <w:smallCaps w:val="0"/>
                <w:color w:val="FFFFFF"/>
                <w:sz w:val="18"/>
              </w:rPr>
              <w:t>μεγέθη</w:t>
            </w:r>
            <w:r>
              <w:rPr>
                <w:b/>
                <w:smallCaps w:val="0"/>
                <w:color w:val="FFFFFF"/>
                <w:spacing w:val="-1"/>
                <w:sz w:val="18"/>
              </w:rPr>
              <w:t> </w:t>
            </w:r>
            <w:r>
              <w:rPr>
                <w:b/>
                <w:smallCaps w:val="0"/>
                <w:color w:val="FFFFFF"/>
                <w:sz w:val="18"/>
              </w:rPr>
              <w:t>–</w:t>
            </w:r>
            <w:r>
              <w:rPr>
                <w:b/>
                <w:smallCaps w:val="0"/>
                <w:color w:val="FFFFFF"/>
                <w:spacing w:val="-2"/>
                <w:sz w:val="18"/>
              </w:rPr>
              <w:t> </w:t>
            </w:r>
            <w:r>
              <w:rPr>
                <w:b/>
                <w:smallCaps w:val="0"/>
                <w:color w:val="FFFFFF"/>
                <w:sz w:val="18"/>
              </w:rPr>
              <w:t>Συνολ</w:t>
            </w:r>
            <w:r>
              <w:rPr>
                <w:b/>
                <w:smallCaps/>
                <w:color w:val="FFFFFF"/>
                <w:sz w:val="18"/>
              </w:rPr>
              <w:t>ι</w:t>
            </w:r>
            <w:r>
              <w:rPr>
                <w:b/>
                <w:smallCaps w:val="0"/>
                <w:color w:val="FFFFFF"/>
                <w:sz w:val="18"/>
              </w:rPr>
              <w:t>κό </w:t>
            </w:r>
            <w:r>
              <w:rPr>
                <w:b/>
                <w:smallCaps w:val="0"/>
                <w:color w:val="FFFFFF"/>
                <w:spacing w:val="-2"/>
                <w:sz w:val="18"/>
              </w:rPr>
              <w:t>χαρτοφυλάκ</w:t>
            </w:r>
            <w:r>
              <w:rPr>
                <w:b/>
                <w:smallCaps/>
                <w:color w:val="FFFFFF"/>
                <w:spacing w:val="-2"/>
                <w:sz w:val="18"/>
              </w:rPr>
              <w:t>ιο</w:t>
            </w:r>
          </w:p>
        </w:tc>
      </w:tr>
      <w:tr>
        <w:trPr>
          <w:trHeight w:val="340" w:hRule="atLeast"/>
        </w:trPr>
        <w:tc>
          <w:tcPr>
            <w:tcW w:w="5512" w:type="dxa"/>
            <w:shd w:val="clear" w:color="auto" w:fill="BEBEBE"/>
          </w:tcPr>
          <w:p>
            <w:pPr>
              <w:pStyle w:val="TableParagraph"/>
              <w:spacing w:before="119"/>
              <w:ind w:left="57"/>
              <w:rPr>
                <w:sz w:val="14"/>
              </w:rPr>
            </w:pPr>
            <w:r>
              <w:rPr>
                <w:color w:val="1F487C"/>
                <w:sz w:val="14"/>
              </w:rPr>
              <w:t>(εκατ.</w:t>
            </w:r>
            <w:r>
              <w:rPr>
                <w:color w:val="1F487C"/>
                <w:spacing w:val="-4"/>
                <w:sz w:val="14"/>
              </w:rPr>
              <w:t> </w:t>
            </w:r>
            <w:r>
              <w:rPr>
                <w:color w:val="1F487C"/>
                <w:sz w:val="14"/>
              </w:rPr>
              <w:t>ευρώ,</w:t>
            </w:r>
            <w:r>
              <w:rPr>
                <w:color w:val="1F487C"/>
                <w:spacing w:val="-3"/>
                <w:sz w:val="14"/>
              </w:rPr>
              <w:t> </w:t>
            </w:r>
            <w:r>
              <w:rPr>
                <w:color w:val="1F487C"/>
                <w:sz w:val="14"/>
              </w:rPr>
              <w:t>στοιχεία</w:t>
            </w:r>
            <w:r>
              <w:rPr>
                <w:color w:val="1F487C"/>
                <w:spacing w:val="-5"/>
                <w:sz w:val="14"/>
              </w:rPr>
              <w:t> </w:t>
            </w:r>
            <w:r>
              <w:rPr>
                <w:color w:val="1F487C"/>
                <w:sz w:val="14"/>
              </w:rPr>
              <w:t>εντός</w:t>
            </w:r>
            <w:r>
              <w:rPr>
                <w:color w:val="1F487C"/>
                <w:spacing w:val="-5"/>
                <w:sz w:val="14"/>
              </w:rPr>
              <w:t> </w:t>
            </w:r>
            <w:r>
              <w:rPr>
                <w:color w:val="1F487C"/>
                <w:spacing w:val="-2"/>
                <w:sz w:val="14"/>
              </w:rPr>
              <w:t>ισολογισμού)</w:t>
            </w:r>
          </w:p>
        </w:tc>
        <w:tc>
          <w:tcPr>
            <w:tcW w:w="1806" w:type="dxa"/>
            <w:shd w:val="clear" w:color="auto" w:fill="BEBEBE"/>
          </w:tcPr>
          <w:p>
            <w:pPr>
              <w:pStyle w:val="TableParagraph"/>
              <w:spacing w:before="67"/>
              <w:ind w:right="208"/>
              <w:jc w:val="right"/>
              <w:rPr>
                <w:b/>
                <w:sz w:val="18"/>
              </w:rPr>
            </w:pPr>
            <w:r>
              <w:rPr>
                <w:b/>
                <w:color w:val="1F487C"/>
                <w:sz w:val="18"/>
              </w:rPr>
              <w:t>Δεκ.</w:t>
            </w:r>
            <w:r>
              <w:rPr>
                <w:b/>
                <w:color w:val="1F487C"/>
                <w:spacing w:val="-2"/>
                <w:sz w:val="18"/>
              </w:rPr>
              <w:t> </w:t>
            </w:r>
            <w:r>
              <w:rPr>
                <w:b/>
                <w:color w:val="1F487C"/>
                <w:spacing w:val="-4"/>
                <w:sz w:val="18"/>
              </w:rPr>
              <w:t>2024</w:t>
            </w:r>
          </w:p>
        </w:tc>
        <w:tc>
          <w:tcPr>
            <w:tcW w:w="1186" w:type="dxa"/>
            <w:shd w:val="clear" w:color="auto" w:fill="BEBEBE"/>
          </w:tcPr>
          <w:p>
            <w:pPr>
              <w:pStyle w:val="TableParagraph"/>
              <w:spacing w:before="67"/>
              <w:ind w:right="232"/>
              <w:jc w:val="right"/>
              <w:rPr>
                <w:b/>
                <w:sz w:val="18"/>
              </w:rPr>
            </w:pPr>
            <w:r>
              <w:rPr>
                <w:b/>
                <w:color w:val="1F487C"/>
                <w:sz w:val="18"/>
              </w:rPr>
              <w:t>Δεκ.</w:t>
            </w:r>
            <w:r>
              <w:rPr>
                <w:b/>
                <w:color w:val="1F487C"/>
                <w:spacing w:val="-2"/>
                <w:sz w:val="18"/>
              </w:rPr>
              <w:t> </w:t>
            </w:r>
            <w:r>
              <w:rPr>
                <w:b/>
                <w:color w:val="1F487C"/>
                <w:spacing w:val="-4"/>
                <w:sz w:val="18"/>
              </w:rPr>
              <w:t>2025</w:t>
            </w:r>
          </w:p>
        </w:tc>
      </w:tr>
      <w:tr>
        <w:trPr>
          <w:trHeight w:val="256" w:hRule="atLeast"/>
        </w:trPr>
        <w:tc>
          <w:tcPr>
            <w:tcW w:w="8504" w:type="dxa"/>
            <w:gridSpan w:val="3"/>
            <w:shd w:val="clear" w:color="auto" w:fill="D9D9D9"/>
          </w:tcPr>
          <w:p>
            <w:pPr>
              <w:pStyle w:val="TableParagraph"/>
              <w:spacing w:line="189" w:lineRule="exact" w:before="48"/>
              <w:rPr>
                <w:b/>
                <w:sz w:val="18"/>
              </w:rPr>
            </w:pPr>
            <w:r>
              <w:rPr>
                <w:b/>
                <w:color w:val="1F487C"/>
                <w:sz w:val="18"/>
              </w:rPr>
              <w:t>Ανάλυση</w:t>
            </w:r>
            <w:r>
              <w:rPr>
                <w:b/>
                <w:color w:val="1F487C"/>
                <w:spacing w:val="-3"/>
                <w:sz w:val="18"/>
              </w:rPr>
              <w:t> </w:t>
            </w:r>
            <w:r>
              <w:rPr>
                <w:b/>
                <w:color w:val="1F487C"/>
                <w:spacing w:val="-5"/>
                <w:sz w:val="18"/>
              </w:rPr>
              <w:t>ΜΕΔ</w:t>
            </w:r>
          </w:p>
        </w:tc>
      </w:tr>
      <w:tr>
        <w:trPr>
          <w:trHeight w:val="254" w:hRule="atLeast"/>
        </w:trPr>
        <w:tc>
          <w:tcPr>
            <w:tcW w:w="5512" w:type="dxa"/>
            <w:shd w:val="clear" w:color="auto" w:fill="BEBEBE"/>
          </w:tcPr>
          <w:p>
            <w:pPr>
              <w:pStyle w:val="TableParagraph"/>
              <w:spacing w:line="186" w:lineRule="exact" w:before="48"/>
              <w:rPr>
                <w:sz w:val="18"/>
              </w:rPr>
            </w:pPr>
            <w:r>
              <w:rPr>
                <w:sz w:val="18"/>
              </w:rPr>
              <w:t>Σύνολο</w:t>
            </w:r>
            <w:r>
              <w:rPr>
                <w:spacing w:val="-2"/>
                <w:sz w:val="18"/>
              </w:rPr>
              <w:t> δανείων</w:t>
            </w:r>
          </w:p>
        </w:tc>
        <w:tc>
          <w:tcPr>
            <w:tcW w:w="1806" w:type="dxa"/>
            <w:shd w:val="clear" w:color="auto" w:fill="BEBEBE"/>
          </w:tcPr>
          <w:p>
            <w:pPr>
              <w:pStyle w:val="TableParagraph"/>
              <w:ind w:right="222"/>
              <w:jc w:val="right"/>
              <w:rPr>
                <w:sz w:val="18"/>
              </w:rPr>
            </w:pPr>
            <w:r>
              <w:rPr>
                <w:spacing w:val="-2"/>
                <w:sz w:val="18"/>
              </w:rPr>
              <w:t>158.797</w:t>
            </w:r>
          </w:p>
        </w:tc>
        <w:tc>
          <w:tcPr>
            <w:tcW w:w="1186" w:type="dxa"/>
            <w:shd w:val="clear" w:color="auto" w:fill="BEBEBE"/>
          </w:tcPr>
          <w:p>
            <w:pPr>
              <w:pStyle w:val="TableParagraph"/>
              <w:ind w:right="278"/>
              <w:jc w:val="right"/>
              <w:rPr>
                <w:sz w:val="18"/>
              </w:rPr>
            </w:pPr>
            <w:r>
              <w:rPr>
                <w:spacing w:val="-2"/>
                <w:sz w:val="18"/>
              </w:rPr>
              <w:t>171.853</w:t>
            </w:r>
          </w:p>
        </w:tc>
      </w:tr>
      <w:tr>
        <w:trPr>
          <w:trHeight w:val="254" w:hRule="atLeast"/>
        </w:trPr>
        <w:tc>
          <w:tcPr>
            <w:tcW w:w="5512" w:type="dxa"/>
            <w:shd w:val="clear" w:color="auto" w:fill="D9D9D9"/>
          </w:tcPr>
          <w:p>
            <w:pPr>
              <w:pStyle w:val="TableParagraph"/>
              <w:spacing w:line="186" w:lineRule="exact" w:before="48"/>
              <w:ind w:left="283"/>
              <w:rPr>
                <w:sz w:val="18"/>
              </w:rPr>
            </w:pPr>
            <w:r>
              <w:rPr>
                <w:sz w:val="18"/>
              </w:rPr>
              <w:t>Εξυπηρετούμενα</w:t>
            </w:r>
            <w:r>
              <w:rPr>
                <w:spacing w:val="-6"/>
                <w:sz w:val="18"/>
              </w:rPr>
              <w:t> </w:t>
            </w:r>
            <w:r>
              <w:rPr>
                <w:spacing w:val="-2"/>
                <w:sz w:val="18"/>
              </w:rPr>
              <w:t>δάνεια</w:t>
            </w:r>
          </w:p>
        </w:tc>
        <w:tc>
          <w:tcPr>
            <w:tcW w:w="1806" w:type="dxa"/>
            <w:shd w:val="clear" w:color="auto" w:fill="D9D9D9"/>
          </w:tcPr>
          <w:p>
            <w:pPr>
              <w:pStyle w:val="TableParagraph"/>
              <w:ind w:right="222"/>
              <w:jc w:val="right"/>
              <w:rPr>
                <w:sz w:val="18"/>
              </w:rPr>
            </w:pPr>
            <w:r>
              <w:rPr>
                <w:spacing w:val="-2"/>
                <w:sz w:val="18"/>
              </w:rPr>
              <w:t>152.808</w:t>
            </w:r>
          </w:p>
        </w:tc>
        <w:tc>
          <w:tcPr>
            <w:tcW w:w="1186" w:type="dxa"/>
            <w:shd w:val="clear" w:color="auto" w:fill="D9D9D9"/>
          </w:tcPr>
          <w:p>
            <w:pPr>
              <w:pStyle w:val="TableParagraph"/>
              <w:ind w:right="278"/>
              <w:jc w:val="right"/>
              <w:rPr>
                <w:sz w:val="18"/>
              </w:rPr>
            </w:pPr>
            <w:r>
              <w:rPr>
                <w:spacing w:val="-2"/>
                <w:sz w:val="18"/>
              </w:rPr>
              <w:t>166.175</w:t>
            </w:r>
          </w:p>
        </w:tc>
      </w:tr>
      <w:tr>
        <w:trPr>
          <w:trHeight w:val="254" w:hRule="atLeast"/>
        </w:trPr>
        <w:tc>
          <w:tcPr>
            <w:tcW w:w="5512" w:type="dxa"/>
            <w:shd w:val="clear" w:color="auto" w:fill="BEBEBE"/>
          </w:tcPr>
          <w:p>
            <w:pPr>
              <w:pStyle w:val="TableParagraph"/>
              <w:spacing w:line="186" w:lineRule="exact" w:before="48"/>
              <w:ind w:left="283"/>
              <w:rPr>
                <w:sz w:val="18"/>
              </w:rPr>
            </w:pPr>
            <w:r>
              <w:rPr>
                <w:sz w:val="18"/>
              </w:rPr>
              <w:t>Μη</w:t>
            </w:r>
            <w:r>
              <w:rPr>
                <w:spacing w:val="-3"/>
                <w:sz w:val="18"/>
              </w:rPr>
              <w:t> </w:t>
            </w:r>
            <w:r>
              <w:rPr>
                <w:sz w:val="18"/>
              </w:rPr>
              <w:t>εξυπηρετούμενα</w:t>
            </w:r>
            <w:r>
              <w:rPr>
                <w:spacing w:val="-2"/>
                <w:sz w:val="18"/>
              </w:rPr>
              <w:t> δάνεια</w:t>
            </w:r>
          </w:p>
        </w:tc>
        <w:tc>
          <w:tcPr>
            <w:tcW w:w="1806" w:type="dxa"/>
            <w:shd w:val="clear" w:color="auto" w:fill="BEBEBE"/>
          </w:tcPr>
          <w:p>
            <w:pPr>
              <w:pStyle w:val="TableParagraph"/>
              <w:ind w:right="222"/>
              <w:jc w:val="right"/>
              <w:rPr>
                <w:sz w:val="18"/>
              </w:rPr>
            </w:pPr>
            <w:r>
              <w:rPr>
                <w:spacing w:val="-2"/>
                <w:sz w:val="18"/>
              </w:rPr>
              <w:t>5.988</w:t>
            </w:r>
          </w:p>
        </w:tc>
        <w:tc>
          <w:tcPr>
            <w:tcW w:w="1186" w:type="dxa"/>
            <w:shd w:val="clear" w:color="auto" w:fill="BEBEBE"/>
          </w:tcPr>
          <w:p>
            <w:pPr>
              <w:pStyle w:val="TableParagraph"/>
              <w:ind w:right="277"/>
              <w:jc w:val="right"/>
              <w:rPr>
                <w:sz w:val="18"/>
              </w:rPr>
            </w:pPr>
            <w:r>
              <w:rPr>
                <w:spacing w:val="-2"/>
                <w:sz w:val="18"/>
              </w:rPr>
              <w:t>5.679</w:t>
            </w:r>
          </w:p>
        </w:tc>
      </w:tr>
      <w:tr>
        <w:trPr>
          <w:trHeight w:val="256" w:hRule="atLeast"/>
        </w:trPr>
        <w:tc>
          <w:tcPr>
            <w:tcW w:w="5512" w:type="dxa"/>
            <w:shd w:val="clear" w:color="auto" w:fill="D9D9D9"/>
          </w:tcPr>
          <w:p>
            <w:pPr>
              <w:pStyle w:val="TableParagraph"/>
              <w:spacing w:line="189" w:lineRule="exact" w:before="48"/>
              <w:ind w:left="566"/>
              <w:rPr>
                <w:i/>
                <w:sz w:val="18"/>
              </w:rPr>
            </w:pPr>
            <w:r>
              <w:rPr>
                <w:i/>
                <w:sz w:val="18"/>
              </w:rPr>
              <w:t>Αβέβαιης</w:t>
            </w:r>
            <w:r>
              <w:rPr>
                <w:i/>
                <w:spacing w:val="-3"/>
                <w:sz w:val="18"/>
              </w:rPr>
              <w:t> </w:t>
            </w:r>
            <w:r>
              <w:rPr>
                <w:i/>
                <w:spacing w:val="-2"/>
                <w:sz w:val="18"/>
              </w:rPr>
              <w:t>είσπραξης</w:t>
            </w:r>
          </w:p>
        </w:tc>
        <w:tc>
          <w:tcPr>
            <w:tcW w:w="1806" w:type="dxa"/>
            <w:shd w:val="clear" w:color="auto" w:fill="D9D9D9"/>
          </w:tcPr>
          <w:p>
            <w:pPr>
              <w:pStyle w:val="TableParagraph"/>
              <w:ind w:right="222"/>
              <w:jc w:val="right"/>
              <w:rPr>
                <w:sz w:val="18"/>
              </w:rPr>
            </w:pPr>
            <w:r>
              <w:rPr>
                <w:spacing w:val="-2"/>
                <w:sz w:val="18"/>
              </w:rPr>
              <w:t>2.015</w:t>
            </w:r>
          </w:p>
        </w:tc>
        <w:tc>
          <w:tcPr>
            <w:tcW w:w="1186" w:type="dxa"/>
            <w:shd w:val="clear" w:color="auto" w:fill="D9D9D9"/>
          </w:tcPr>
          <w:p>
            <w:pPr>
              <w:pStyle w:val="TableParagraph"/>
              <w:ind w:right="277"/>
              <w:jc w:val="right"/>
              <w:rPr>
                <w:sz w:val="18"/>
              </w:rPr>
            </w:pPr>
            <w:r>
              <w:rPr>
                <w:spacing w:val="-2"/>
                <w:sz w:val="18"/>
              </w:rPr>
              <w:t>1.945</w:t>
            </w:r>
          </w:p>
        </w:tc>
      </w:tr>
      <w:tr>
        <w:trPr>
          <w:trHeight w:val="254" w:hRule="atLeast"/>
        </w:trPr>
        <w:tc>
          <w:tcPr>
            <w:tcW w:w="5512" w:type="dxa"/>
            <w:tcBorders>
              <w:bottom w:val="single" w:sz="4" w:space="0" w:color="FFFFFF"/>
            </w:tcBorders>
            <w:shd w:val="clear" w:color="auto" w:fill="BEBEBE"/>
          </w:tcPr>
          <w:p>
            <w:pPr>
              <w:pStyle w:val="TableParagraph"/>
              <w:spacing w:line="186" w:lineRule="exact" w:before="48"/>
              <w:ind w:left="566"/>
              <w:rPr>
                <w:i/>
                <w:sz w:val="18"/>
              </w:rPr>
            </w:pPr>
            <w:r>
              <w:rPr>
                <w:i/>
                <w:sz w:val="18"/>
              </w:rPr>
              <w:t>Σε</w:t>
            </w:r>
            <w:r>
              <w:rPr>
                <w:i/>
                <w:spacing w:val="-1"/>
                <w:sz w:val="18"/>
              </w:rPr>
              <w:t> </w:t>
            </w:r>
            <w:r>
              <w:rPr>
                <w:i/>
                <w:sz w:val="18"/>
              </w:rPr>
              <w:t>καθυστέρηση</w:t>
            </w:r>
            <w:r>
              <w:rPr>
                <w:i/>
                <w:spacing w:val="-2"/>
                <w:sz w:val="18"/>
              </w:rPr>
              <w:t> </w:t>
            </w:r>
            <w:r>
              <w:rPr>
                <w:i/>
                <w:sz w:val="18"/>
              </w:rPr>
              <w:t>&gt;</w:t>
            </w:r>
            <w:r>
              <w:rPr>
                <w:i/>
                <w:spacing w:val="-4"/>
                <w:sz w:val="18"/>
              </w:rPr>
              <w:t> </w:t>
            </w:r>
            <w:r>
              <w:rPr>
                <w:i/>
                <w:sz w:val="18"/>
              </w:rPr>
              <w:t>90</w:t>
            </w:r>
            <w:r>
              <w:rPr>
                <w:i/>
                <w:spacing w:val="2"/>
                <w:sz w:val="18"/>
              </w:rPr>
              <w:t> </w:t>
            </w:r>
            <w:r>
              <w:rPr>
                <w:i/>
                <w:spacing w:val="-2"/>
                <w:sz w:val="18"/>
              </w:rPr>
              <w:t>ημερών</w:t>
            </w:r>
          </w:p>
        </w:tc>
        <w:tc>
          <w:tcPr>
            <w:tcW w:w="1806" w:type="dxa"/>
            <w:tcBorders>
              <w:bottom w:val="single" w:sz="4" w:space="0" w:color="FFFFFF"/>
            </w:tcBorders>
            <w:shd w:val="clear" w:color="auto" w:fill="BEBEBE"/>
          </w:tcPr>
          <w:p>
            <w:pPr>
              <w:pStyle w:val="TableParagraph"/>
              <w:ind w:right="222"/>
              <w:jc w:val="right"/>
              <w:rPr>
                <w:sz w:val="18"/>
              </w:rPr>
            </w:pPr>
            <w:r>
              <w:rPr>
                <w:spacing w:val="-2"/>
                <w:sz w:val="18"/>
              </w:rPr>
              <w:t>2.395</w:t>
            </w:r>
          </w:p>
        </w:tc>
        <w:tc>
          <w:tcPr>
            <w:tcW w:w="1186" w:type="dxa"/>
            <w:tcBorders>
              <w:bottom w:val="single" w:sz="4" w:space="0" w:color="FFFFFF"/>
            </w:tcBorders>
            <w:shd w:val="clear" w:color="auto" w:fill="BEBEBE"/>
          </w:tcPr>
          <w:p>
            <w:pPr>
              <w:pStyle w:val="TableParagraph"/>
              <w:ind w:right="277"/>
              <w:jc w:val="right"/>
              <w:rPr>
                <w:sz w:val="18"/>
              </w:rPr>
            </w:pPr>
            <w:r>
              <w:rPr>
                <w:spacing w:val="-2"/>
                <w:sz w:val="18"/>
              </w:rPr>
              <w:t>2.062</w:t>
            </w:r>
          </w:p>
        </w:tc>
      </w:tr>
      <w:tr>
        <w:trPr>
          <w:trHeight w:val="254" w:hRule="atLeast"/>
        </w:trPr>
        <w:tc>
          <w:tcPr>
            <w:tcW w:w="5512" w:type="dxa"/>
            <w:tcBorders>
              <w:top w:val="single" w:sz="4" w:space="0" w:color="FFFFFF"/>
            </w:tcBorders>
            <w:shd w:val="clear" w:color="auto" w:fill="D9D9D9"/>
          </w:tcPr>
          <w:p>
            <w:pPr>
              <w:pStyle w:val="TableParagraph"/>
              <w:spacing w:line="186" w:lineRule="exact" w:before="47"/>
              <w:ind w:left="1355"/>
              <w:rPr>
                <w:i/>
                <w:sz w:val="18"/>
              </w:rPr>
            </w:pPr>
            <w:r>
              <w:rPr>
                <w:i/>
                <w:sz w:val="18"/>
              </w:rPr>
              <w:t>91-180</w:t>
            </w:r>
            <w:r>
              <w:rPr>
                <w:i/>
                <w:spacing w:val="-3"/>
                <w:sz w:val="18"/>
              </w:rPr>
              <w:t> </w:t>
            </w:r>
            <w:r>
              <w:rPr>
                <w:i/>
                <w:spacing w:val="-2"/>
                <w:sz w:val="18"/>
              </w:rPr>
              <w:t>ημέρες</w:t>
            </w:r>
          </w:p>
        </w:tc>
        <w:tc>
          <w:tcPr>
            <w:tcW w:w="1806" w:type="dxa"/>
            <w:tcBorders>
              <w:top w:val="single" w:sz="4" w:space="0" w:color="FFFFFF"/>
            </w:tcBorders>
            <w:shd w:val="clear" w:color="auto" w:fill="D9D9D9"/>
          </w:tcPr>
          <w:p>
            <w:pPr>
              <w:pStyle w:val="TableParagraph"/>
              <w:spacing w:line="207" w:lineRule="exact"/>
              <w:ind w:right="226"/>
              <w:jc w:val="right"/>
              <w:rPr>
                <w:sz w:val="18"/>
              </w:rPr>
            </w:pPr>
            <w:r>
              <w:rPr>
                <w:spacing w:val="-5"/>
                <w:sz w:val="18"/>
              </w:rPr>
              <w:t>310</w:t>
            </w:r>
          </w:p>
        </w:tc>
        <w:tc>
          <w:tcPr>
            <w:tcW w:w="1186" w:type="dxa"/>
            <w:tcBorders>
              <w:top w:val="single" w:sz="4" w:space="0" w:color="FFFFFF"/>
            </w:tcBorders>
            <w:shd w:val="clear" w:color="auto" w:fill="D9D9D9"/>
          </w:tcPr>
          <w:p>
            <w:pPr>
              <w:pStyle w:val="TableParagraph"/>
              <w:spacing w:line="207" w:lineRule="exact"/>
              <w:ind w:right="250"/>
              <w:jc w:val="right"/>
              <w:rPr>
                <w:sz w:val="18"/>
              </w:rPr>
            </w:pPr>
            <w:r>
              <w:rPr>
                <w:spacing w:val="-5"/>
                <w:sz w:val="18"/>
              </w:rPr>
              <w:t>362</w:t>
            </w:r>
          </w:p>
        </w:tc>
      </w:tr>
      <w:tr>
        <w:trPr>
          <w:trHeight w:val="256" w:hRule="atLeast"/>
        </w:trPr>
        <w:tc>
          <w:tcPr>
            <w:tcW w:w="5512" w:type="dxa"/>
            <w:shd w:val="clear" w:color="auto" w:fill="BEBEBE"/>
          </w:tcPr>
          <w:p>
            <w:pPr>
              <w:pStyle w:val="TableParagraph"/>
              <w:spacing w:line="189" w:lineRule="exact" w:before="48"/>
              <w:ind w:left="1355"/>
              <w:rPr>
                <w:i/>
                <w:sz w:val="18"/>
              </w:rPr>
            </w:pPr>
            <w:r>
              <w:rPr>
                <w:i/>
                <w:sz w:val="18"/>
              </w:rPr>
              <w:t>181-360</w:t>
            </w:r>
            <w:r>
              <w:rPr>
                <w:i/>
                <w:spacing w:val="-2"/>
                <w:sz w:val="18"/>
              </w:rPr>
              <w:t> ημέρες</w:t>
            </w:r>
          </w:p>
        </w:tc>
        <w:tc>
          <w:tcPr>
            <w:tcW w:w="1806" w:type="dxa"/>
            <w:shd w:val="clear" w:color="auto" w:fill="BEBEBE"/>
          </w:tcPr>
          <w:p>
            <w:pPr>
              <w:pStyle w:val="TableParagraph"/>
              <w:ind w:right="226"/>
              <w:jc w:val="right"/>
              <w:rPr>
                <w:sz w:val="18"/>
              </w:rPr>
            </w:pPr>
            <w:r>
              <w:rPr>
                <w:spacing w:val="-5"/>
                <w:sz w:val="18"/>
              </w:rPr>
              <w:t>324</w:t>
            </w:r>
          </w:p>
        </w:tc>
        <w:tc>
          <w:tcPr>
            <w:tcW w:w="1186" w:type="dxa"/>
            <w:shd w:val="clear" w:color="auto" w:fill="BEBEBE"/>
          </w:tcPr>
          <w:p>
            <w:pPr>
              <w:pStyle w:val="TableParagraph"/>
              <w:ind w:right="250"/>
              <w:jc w:val="right"/>
              <w:rPr>
                <w:sz w:val="18"/>
              </w:rPr>
            </w:pPr>
            <w:r>
              <w:rPr>
                <w:spacing w:val="-5"/>
                <w:sz w:val="18"/>
              </w:rPr>
              <w:t>356</w:t>
            </w:r>
          </w:p>
        </w:tc>
      </w:tr>
      <w:tr>
        <w:trPr>
          <w:trHeight w:val="254" w:hRule="atLeast"/>
        </w:trPr>
        <w:tc>
          <w:tcPr>
            <w:tcW w:w="5512" w:type="dxa"/>
            <w:tcBorders>
              <w:bottom w:val="single" w:sz="4" w:space="0" w:color="FFFFFF"/>
            </w:tcBorders>
            <w:shd w:val="clear" w:color="auto" w:fill="D9D9D9"/>
          </w:tcPr>
          <w:p>
            <w:pPr>
              <w:pStyle w:val="TableParagraph"/>
              <w:spacing w:line="186" w:lineRule="exact" w:before="48"/>
              <w:ind w:left="1355"/>
              <w:rPr>
                <w:i/>
                <w:sz w:val="18"/>
              </w:rPr>
            </w:pPr>
            <w:r>
              <w:rPr>
                <w:i/>
                <w:sz w:val="18"/>
              </w:rPr>
              <w:t>&gt;1</w:t>
            </w:r>
            <w:r>
              <w:rPr>
                <w:i/>
                <w:spacing w:val="-1"/>
                <w:sz w:val="18"/>
              </w:rPr>
              <w:t> </w:t>
            </w:r>
            <w:r>
              <w:rPr>
                <w:i/>
                <w:spacing w:val="-4"/>
                <w:sz w:val="18"/>
              </w:rPr>
              <w:t>έτος</w:t>
            </w:r>
          </w:p>
        </w:tc>
        <w:tc>
          <w:tcPr>
            <w:tcW w:w="1806" w:type="dxa"/>
            <w:tcBorders>
              <w:bottom w:val="single" w:sz="4" w:space="0" w:color="FFFFFF"/>
            </w:tcBorders>
            <w:shd w:val="clear" w:color="auto" w:fill="D9D9D9"/>
          </w:tcPr>
          <w:p>
            <w:pPr>
              <w:pStyle w:val="TableParagraph"/>
              <w:ind w:right="229"/>
              <w:jc w:val="right"/>
              <w:rPr>
                <w:sz w:val="18"/>
              </w:rPr>
            </w:pPr>
            <w:r>
              <w:rPr>
                <w:spacing w:val="-2"/>
                <w:sz w:val="18"/>
              </w:rPr>
              <w:t>1.761</w:t>
            </w:r>
          </w:p>
        </w:tc>
        <w:tc>
          <w:tcPr>
            <w:tcW w:w="1186" w:type="dxa"/>
            <w:tcBorders>
              <w:bottom w:val="single" w:sz="4" w:space="0" w:color="FFFFFF"/>
            </w:tcBorders>
            <w:shd w:val="clear" w:color="auto" w:fill="D9D9D9"/>
          </w:tcPr>
          <w:p>
            <w:pPr>
              <w:pStyle w:val="TableParagraph"/>
              <w:ind w:right="253"/>
              <w:jc w:val="right"/>
              <w:rPr>
                <w:sz w:val="18"/>
              </w:rPr>
            </w:pPr>
            <w:r>
              <w:rPr>
                <w:spacing w:val="-2"/>
                <w:sz w:val="18"/>
              </w:rPr>
              <w:t>1.344</w:t>
            </w:r>
          </w:p>
        </w:tc>
      </w:tr>
      <w:tr>
        <w:trPr>
          <w:trHeight w:val="254" w:hRule="atLeast"/>
        </w:trPr>
        <w:tc>
          <w:tcPr>
            <w:tcW w:w="5512" w:type="dxa"/>
            <w:tcBorders>
              <w:top w:val="single" w:sz="4" w:space="0" w:color="FFFFFF"/>
            </w:tcBorders>
            <w:shd w:val="clear" w:color="auto" w:fill="BEBEBE"/>
          </w:tcPr>
          <w:p>
            <w:pPr>
              <w:pStyle w:val="TableParagraph"/>
              <w:spacing w:line="186" w:lineRule="exact" w:before="47"/>
              <w:ind w:left="566"/>
              <w:rPr>
                <w:i/>
                <w:sz w:val="18"/>
              </w:rPr>
            </w:pPr>
            <w:r>
              <w:rPr>
                <w:i/>
                <w:sz w:val="18"/>
              </w:rPr>
              <w:t>Καταγγελμένες</w:t>
            </w:r>
            <w:r>
              <w:rPr>
                <w:i/>
                <w:spacing w:val="-6"/>
                <w:sz w:val="18"/>
              </w:rPr>
              <w:t> </w:t>
            </w:r>
            <w:r>
              <w:rPr>
                <w:i/>
                <w:spacing w:val="-2"/>
                <w:sz w:val="18"/>
              </w:rPr>
              <w:t>απαιτήσεις</w:t>
            </w:r>
          </w:p>
        </w:tc>
        <w:tc>
          <w:tcPr>
            <w:tcW w:w="1806" w:type="dxa"/>
            <w:tcBorders>
              <w:top w:val="single" w:sz="4" w:space="0" w:color="FFFFFF"/>
            </w:tcBorders>
            <w:shd w:val="clear" w:color="auto" w:fill="BEBEBE"/>
          </w:tcPr>
          <w:p>
            <w:pPr>
              <w:pStyle w:val="TableParagraph"/>
              <w:spacing w:line="207" w:lineRule="exact"/>
              <w:ind w:right="222"/>
              <w:jc w:val="right"/>
              <w:rPr>
                <w:sz w:val="18"/>
              </w:rPr>
            </w:pPr>
            <w:r>
              <w:rPr>
                <w:spacing w:val="-2"/>
                <w:sz w:val="18"/>
              </w:rPr>
              <w:t>1.579</w:t>
            </w:r>
          </w:p>
        </w:tc>
        <w:tc>
          <w:tcPr>
            <w:tcW w:w="1186" w:type="dxa"/>
            <w:tcBorders>
              <w:top w:val="single" w:sz="4" w:space="0" w:color="FFFFFF"/>
            </w:tcBorders>
            <w:shd w:val="clear" w:color="auto" w:fill="BEBEBE"/>
          </w:tcPr>
          <w:p>
            <w:pPr>
              <w:pStyle w:val="TableParagraph"/>
              <w:spacing w:line="207" w:lineRule="exact"/>
              <w:ind w:right="277"/>
              <w:jc w:val="right"/>
              <w:rPr>
                <w:sz w:val="18"/>
              </w:rPr>
            </w:pPr>
            <w:r>
              <w:rPr>
                <w:spacing w:val="-2"/>
                <w:sz w:val="18"/>
              </w:rPr>
              <w:t>1.671</w:t>
            </w:r>
          </w:p>
        </w:tc>
      </w:tr>
      <w:tr>
        <w:trPr>
          <w:trHeight w:val="398" w:hRule="atLeast"/>
        </w:trPr>
        <w:tc>
          <w:tcPr>
            <w:tcW w:w="8504" w:type="dxa"/>
            <w:gridSpan w:val="3"/>
            <w:shd w:val="clear" w:color="auto" w:fill="D9D9D9"/>
          </w:tcPr>
          <w:p>
            <w:pPr>
              <w:pStyle w:val="TableParagraph"/>
              <w:spacing w:line="189" w:lineRule="exact" w:before="189"/>
              <w:rPr>
                <w:b/>
                <w:sz w:val="18"/>
              </w:rPr>
            </w:pPr>
            <w:r>
              <w:rPr>
                <w:b/>
                <w:color w:val="1F487C"/>
                <w:sz w:val="18"/>
              </w:rPr>
              <w:t>Ανάλυση</w:t>
            </w:r>
            <w:r>
              <w:rPr>
                <w:b/>
                <w:color w:val="1F487C"/>
                <w:spacing w:val="-6"/>
                <w:sz w:val="18"/>
              </w:rPr>
              <w:t> </w:t>
            </w:r>
            <w:r>
              <w:rPr>
                <w:b/>
                <w:color w:val="1F487C"/>
                <w:sz w:val="18"/>
              </w:rPr>
              <w:t>δανείων υπό</w:t>
            </w:r>
            <w:r>
              <w:rPr>
                <w:b/>
                <w:color w:val="1F487C"/>
                <w:spacing w:val="-2"/>
                <w:sz w:val="18"/>
              </w:rPr>
              <w:t> ρύθμ</w:t>
            </w:r>
            <w:r>
              <w:rPr>
                <w:b/>
                <w:smallCaps/>
                <w:color w:val="1F487C"/>
                <w:spacing w:val="-2"/>
                <w:sz w:val="18"/>
              </w:rPr>
              <w:t>ι</w:t>
            </w:r>
            <w:r>
              <w:rPr>
                <w:b/>
                <w:smallCaps w:val="0"/>
                <w:color w:val="1F487C"/>
                <w:spacing w:val="-2"/>
                <w:sz w:val="18"/>
              </w:rPr>
              <w:t>ση</w:t>
            </w:r>
          </w:p>
        </w:tc>
      </w:tr>
      <w:tr>
        <w:trPr>
          <w:trHeight w:val="254" w:hRule="atLeast"/>
        </w:trPr>
        <w:tc>
          <w:tcPr>
            <w:tcW w:w="5512" w:type="dxa"/>
            <w:shd w:val="clear" w:color="auto" w:fill="BEBEBE"/>
          </w:tcPr>
          <w:p>
            <w:pPr>
              <w:pStyle w:val="TableParagraph"/>
              <w:spacing w:line="186" w:lineRule="exact" w:before="48"/>
              <w:rPr>
                <w:sz w:val="18"/>
              </w:rPr>
            </w:pPr>
            <w:r>
              <w:rPr>
                <w:sz w:val="18"/>
              </w:rPr>
              <w:t>Ρυθμισμένα</w:t>
            </w:r>
            <w:r>
              <w:rPr>
                <w:spacing w:val="-8"/>
                <w:sz w:val="18"/>
              </w:rPr>
              <w:t> </w:t>
            </w:r>
            <w:r>
              <w:rPr>
                <w:spacing w:val="-2"/>
                <w:sz w:val="18"/>
              </w:rPr>
              <w:t>δάνεια</w:t>
            </w:r>
          </w:p>
        </w:tc>
        <w:tc>
          <w:tcPr>
            <w:tcW w:w="1806" w:type="dxa"/>
            <w:shd w:val="clear" w:color="auto" w:fill="BEBEBE"/>
          </w:tcPr>
          <w:p>
            <w:pPr>
              <w:pStyle w:val="TableParagraph"/>
              <w:ind w:right="222"/>
              <w:jc w:val="right"/>
              <w:rPr>
                <w:sz w:val="18"/>
              </w:rPr>
            </w:pPr>
            <w:r>
              <w:rPr>
                <w:spacing w:val="-2"/>
                <w:sz w:val="18"/>
              </w:rPr>
              <w:t>5.459</w:t>
            </w:r>
          </w:p>
        </w:tc>
        <w:tc>
          <w:tcPr>
            <w:tcW w:w="1186" w:type="dxa"/>
            <w:shd w:val="clear" w:color="auto" w:fill="BEBEBE"/>
          </w:tcPr>
          <w:p>
            <w:pPr>
              <w:pStyle w:val="TableParagraph"/>
              <w:ind w:right="246"/>
              <w:jc w:val="right"/>
              <w:rPr>
                <w:sz w:val="18"/>
              </w:rPr>
            </w:pPr>
            <w:r>
              <w:rPr>
                <w:spacing w:val="-2"/>
                <w:sz w:val="18"/>
              </w:rPr>
              <w:t>4.051</w:t>
            </w:r>
          </w:p>
        </w:tc>
      </w:tr>
      <w:tr>
        <w:trPr>
          <w:trHeight w:val="254" w:hRule="atLeast"/>
        </w:trPr>
        <w:tc>
          <w:tcPr>
            <w:tcW w:w="5512" w:type="dxa"/>
            <w:shd w:val="clear" w:color="auto" w:fill="D9D9D9"/>
          </w:tcPr>
          <w:p>
            <w:pPr>
              <w:pStyle w:val="TableParagraph"/>
              <w:spacing w:line="186" w:lineRule="exact" w:before="48"/>
              <w:ind w:left="360"/>
              <w:rPr>
                <w:i/>
                <w:sz w:val="18"/>
              </w:rPr>
            </w:pPr>
            <w:r>
              <w:rPr>
                <w:i/>
                <w:sz w:val="18"/>
              </w:rPr>
              <w:t>Ρυθμισμένα</w:t>
            </w:r>
            <w:r>
              <w:rPr>
                <w:i/>
                <w:spacing w:val="-4"/>
                <w:sz w:val="18"/>
              </w:rPr>
              <w:t> </w:t>
            </w:r>
            <w:r>
              <w:rPr>
                <w:i/>
                <w:sz w:val="18"/>
              </w:rPr>
              <w:t>εξυπηρετούμενα</w:t>
            </w:r>
            <w:r>
              <w:rPr>
                <w:i/>
                <w:spacing w:val="-4"/>
                <w:sz w:val="18"/>
              </w:rPr>
              <w:t> </w:t>
            </w:r>
            <w:r>
              <w:rPr>
                <w:i/>
                <w:spacing w:val="-2"/>
                <w:sz w:val="18"/>
              </w:rPr>
              <w:t>δάνεια</w:t>
            </w:r>
          </w:p>
        </w:tc>
        <w:tc>
          <w:tcPr>
            <w:tcW w:w="1806" w:type="dxa"/>
            <w:shd w:val="clear" w:color="auto" w:fill="D9D9D9"/>
          </w:tcPr>
          <w:p>
            <w:pPr>
              <w:pStyle w:val="TableParagraph"/>
              <w:ind w:right="222"/>
              <w:jc w:val="right"/>
              <w:rPr>
                <w:sz w:val="18"/>
              </w:rPr>
            </w:pPr>
            <w:r>
              <w:rPr>
                <w:spacing w:val="-2"/>
                <w:sz w:val="18"/>
              </w:rPr>
              <w:t>3.405</w:t>
            </w:r>
          </w:p>
        </w:tc>
        <w:tc>
          <w:tcPr>
            <w:tcW w:w="1186" w:type="dxa"/>
            <w:shd w:val="clear" w:color="auto" w:fill="D9D9D9"/>
          </w:tcPr>
          <w:p>
            <w:pPr>
              <w:pStyle w:val="TableParagraph"/>
              <w:ind w:right="246"/>
              <w:jc w:val="right"/>
              <w:rPr>
                <w:sz w:val="18"/>
              </w:rPr>
            </w:pPr>
            <w:r>
              <w:rPr>
                <w:spacing w:val="-2"/>
                <w:sz w:val="18"/>
              </w:rPr>
              <w:t>2.059</w:t>
            </w:r>
          </w:p>
        </w:tc>
      </w:tr>
      <w:tr>
        <w:trPr>
          <w:trHeight w:val="271" w:hRule="atLeast"/>
        </w:trPr>
        <w:tc>
          <w:tcPr>
            <w:tcW w:w="5512" w:type="dxa"/>
            <w:shd w:val="clear" w:color="auto" w:fill="BEBEBE"/>
          </w:tcPr>
          <w:p>
            <w:pPr>
              <w:pStyle w:val="TableParagraph"/>
              <w:spacing w:line="189" w:lineRule="exact" w:before="62"/>
              <w:ind w:left="360"/>
              <w:rPr>
                <w:i/>
                <w:sz w:val="18"/>
              </w:rPr>
            </w:pPr>
            <w:r>
              <w:rPr>
                <w:i/>
                <w:sz w:val="18"/>
              </w:rPr>
              <w:t>Ρυθμισμένα</w:t>
            </w:r>
            <w:r>
              <w:rPr>
                <w:i/>
                <w:spacing w:val="-4"/>
                <w:sz w:val="18"/>
              </w:rPr>
              <w:t> </w:t>
            </w:r>
            <w:r>
              <w:rPr>
                <w:i/>
                <w:sz w:val="18"/>
              </w:rPr>
              <w:t>μη</w:t>
            </w:r>
            <w:r>
              <w:rPr>
                <w:i/>
                <w:spacing w:val="-4"/>
                <w:sz w:val="18"/>
              </w:rPr>
              <w:t> </w:t>
            </w:r>
            <w:r>
              <w:rPr>
                <w:i/>
                <w:sz w:val="18"/>
              </w:rPr>
              <w:t>εξυπηρετούμενα</w:t>
            </w:r>
            <w:r>
              <w:rPr>
                <w:i/>
                <w:spacing w:val="-3"/>
                <w:sz w:val="18"/>
              </w:rPr>
              <w:t> </w:t>
            </w:r>
            <w:r>
              <w:rPr>
                <w:i/>
                <w:spacing w:val="-2"/>
                <w:sz w:val="18"/>
              </w:rPr>
              <w:t>δάνεια</w:t>
            </w:r>
          </w:p>
        </w:tc>
        <w:tc>
          <w:tcPr>
            <w:tcW w:w="1806" w:type="dxa"/>
            <w:shd w:val="clear" w:color="auto" w:fill="BEBEBE"/>
          </w:tcPr>
          <w:p>
            <w:pPr>
              <w:pStyle w:val="TableParagraph"/>
              <w:ind w:right="222"/>
              <w:jc w:val="right"/>
              <w:rPr>
                <w:sz w:val="18"/>
              </w:rPr>
            </w:pPr>
            <w:r>
              <w:rPr>
                <w:spacing w:val="-2"/>
                <w:sz w:val="18"/>
              </w:rPr>
              <w:t>2.055</w:t>
            </w:r>
          </w:p>
        </w:tc>
        <w:tc>
          <w:tcPr>
            <w:tcW w:w="1186" w:type="dxa"/>
            <w:shd w:val="clear" w:color="auto" w:fill="BEBEBE"/>
          </w:tcPr>
          <w:p>
            <w:pPr>
              <w:pStyle w:val="TableParagraph"/>
              <w:ind w:right="246"/>
              <w:jc w:val="right"/>
              <w:rPr>
                <w:sz w:val="18"/>
              </w:rPr>
            </w:pPr>
            <w:r>
              <w:rPr>
                <w:spacing w:val="-2"/>
                <w:sz w:val="18"/>
              </w:rPr>
              <w:t>1.992</w:t>
            </w:r>
          </w:p>
        </w:tc>
      </w:tr>
      <w:tr>
        <w:trPr>
          <w:trHeight w:val="453" w:hRule="atLeast"/>
        </w:trPr>
        <w:tc>
          <w:tcPr>
            <w:tcW w:w="8504" w:type="dxa"/>
            <w:gridSpan w:val="3"/>
            <w:shd w:val="clear" w:color="auto" w:fill="D9D9D9"/>
          </w:tcPr>
          <w:p>
            <w:pPr>
              <w:pStyle w:val="TableParagraph"/>
              <w:spacing w:before="40"/>
              <w:rPr>
                <w:sz w:val="18"/>
              </w:rPr>
            </w:pPr>
          </w:p>
          <w:p>
            <w:pPr>
              <w:pStyle w:val="TableParagraph"/>
              <w:spacing w:line="186" w:lineRule="exact"/>
              <w:rPr>
                <w:b/>
                <w:sz w:val="18"/>
              </w:rPr>
            </w:pPr>
            <w:r>
              <w:rPr>
                <w:b/>
                <w:color w:val="1F487C"/>
                <w:sz w:val="18"/>
              </w:rPr>
              <w:t>Ανάλυση</w:t>
            </w:r>
            <w:r>
              <w:rPr>
                <w:b/>
                <w:color w:val="1F487C"/>
                <w:spacing w:val="-5"/>
                <w:sz w:val="18"/>
              </w:rPr>
              <w:t> </w:t>
            </w:r>
            <w:r>
              <w:rPr>
                <w:b/>
                <w:color w:val="1F487C"/>
                <w:sz w:val="18"/>
              </w:rPr>
              <w:t>συσσωρευμένων</w:t>
            </w:r>
            <w:r>
              <w:rPr>
                <w:b/>
                <w:color w:val="1F487C"/>
                <w:spacing w:val="-1"/>
                <w:sz w:val="18"/>
              </w:rPr>
              <w:t> </w:t>
            </w:r>
            <w:r>
              <w:rPr>
                <w:b/>
                <w:color w:val="1F487C"/>
                <w:sz w:val="18"/>
              </w:rPr>
              <w:t>προβλέψεων</w:t>
            </w:r>
            <w:r>
              <w:rPr>
                <w:b/>
                <w:color w:val="1F487C"/>
                <w:spacing w:val="-3"/>
                <w:sz w:val="18"/>
              </w:rPr>
              <w:t> </w:t>
            </w:r>
            <w:r>
              <w:rPr>
                <w:b/>
                <w:color w:val="1F487C"/>
                <w:sz w:val="18"/>
              </w:rPr>
              <w:t>κα</w:t>
            </w:r>
            <w:r>
              <w:rPr>
                <w:b/>
                <w:smallCaps/>
                <w:color w:val="1F487C"/>
                <w:sz w:val="18"/>
              </w:rPr>
              <w:t>ι</w:t>
            </w:r>
            <w:r>
              <w:rPr>
                <w:b/>
                <w:smallCaps w:val="0"/>
                <w:color w:val="1F487C"/>
                <w:spacing w:val="-2"/>
                <w:sz w:val="18"/>
              </w:rPr>
              <w:t> εξασφαλίσεων</w:t>
            </w:r>
          </w:p>
        </w:tc>
      </w:tr>
      <w:tr>
        <w:trPr>
          <w:trHeight w:val="254" w:hRule="atLeast"/>
        </w:trPr>
        <w:tc>
          <w:tcPr>
            <w:tcW w:w="5512" w:type="dxa"/>
            <w:shd w:val="clear" w:color="auto" w:fill="BEBEBE"/>
          </w:tcPr>
          <w:p>
            <w:pPr>
              <w:pStyle w:val="TableParagraph"/>
              <w:spacing w:before="24"/>
              <w:rPr>
                <w:sz w:val="18"/>
              </w:rPr>
            </w:pPr>
            <w:r>
              <w:rPr>
                <w:sz w:val="18"/>
              </w:rPr>
              <w:t>Συσσωρευμένες</w:t>
            </w:r>
            <w:r>
              <w:rPr>
                <w:spacing w:val="-4"/>
                <w:sz w:val="18"/>
              </w:rPr>
              <w:t> </w:t>
            </w:r>
            <w:r>
              <w:rPr>
                <w:sz w:val="18"/>
              </w:rPr>
              <w:t>προβλέψεις</w:t>
            </w:r>
            <w:r>
              <w:rPr>
                <w:spacing w:val="-3"/>
                <w:sz w:val="18"/>
              </w:rPr>
              <w:t> </w:t>
            </w:r>
            <w:r>
              <w:rPr>
                <w:sz w:val="18"/>
              </w:rPr>
              <w:t>για</w:t>
            </w:r>
            <w:r>
              <w:rPr>
                <w:spacing w:val="-4"/>
                <w:sz w:val="18"/>
              </w:rPr>
              <w:t> </w:t>
            </w:r>
            <w:r>
              <w:rPr>
                <w:sz w:val="18"/>
              </w:rPr>
              <w:t>μη</w:t>
            </w:r>
            <w:r>
              <w:rPr>
                <w:spacing w:val="-3"/>
                <w:sz w:val="18"/>
              </w:rPr>
              <w:t> </w:t>
            </w:r>
            <w:r>
              <w:rPr>
                <w:sz w:val="18"/>
              </w:rPr>
              <w:t>εξυπηρετούμενα</w:t>
            </w:r>
            <w:r>
              <w:rPr>
                <w:spacing w:val="-3"/>
                <w:sz w:val="18"/>
              </w:rPr>
              <w:t> </w:t>
            </w:r>
            <w:r>
              <w:rPr>
                <w:spacing w:val="-2"/>
                <w:sz w:val="18"/>
              </w:rPr>
              <w:t>δάνεια</w:t>
            </w:r>
          </w:p>
        </w:tc>
        <w:tc>
          <w:tcPr>
            <w:tcW w:w="1806" w:type="dxa"/>
            <w:shd w:val="clear" w:color="auto" w:fill="BEBEBE"/>
          </w:tcPr>
          <w:p>
            <w:pPr>
              <w:pStyle w:val="TableParagraph"/>
              <w:ind w:right="222"/>
              <w:jc w:val="right"/>
              <w:rPr>
                <w:sz w:val="18"/>
              </w:rPr>
            </w:pPr>
            <w:r>
              <w:rPr>
                <w:spacing w:val="-2"/>
                <w:sz w:val="18"/>
              </w:rPr>
              <w:t>2.441</w:t>
            </w:r>
          </w:p>
        </w:tc>
        <w:tc>
          <w:tcPr>
            <w:tcW w:w="1186" w:type="dxa"/>
            <w:shd w:val="clear" w:color="auto" w:fill="BEBEBE"/>
          </w:tcPr>
          <w:p>
            <w:pPr>
              <w:pStyle w:val="TableParagraph"/>
              <w:ind w:right="246"/>
              <w:jc w:val="right"/>
              <w:rPr>
                <w:sz w:val="18"/>
              </w:rPr>
            </w:pPr>
            <w:r>
              <w:rPr>
                <w:spacing w:val="-2"/>
                <w:sz w:val="18"/>
              </w:rPr>
              <w:t>2.170</w:t>
            </w:r>
          </w:p>
        </w:tc>
      </w:tr>
      <w:tr>
        <w:trPr>
          <w:trHeight w:val="254" w:hRule="atLeast"/>
        </w:trPr>
        <w:tc>
          <w:tcPr>
            <w:tcW w:w="5512" w:type="dxa"/>
            <w:shd w:val="clear" w:color="auto" w:fill="D9D9D9"/>
          </w:tcPr>
          <w:p>
            <w:pPr>
              <w:pStyle w:val="TableParagraph"/>
              <w:spacing w:before="24"/>
              <w:rPr>
                <w:sz w:val="18"/>
              </w:rPr>
            </w:pPr>
            <w:r>
              <w:rPr>
                <w:sz w:val="18"/>
              </w:rPr>
              <w:t>Σύνολο</w:t>
            </w:r>
            <w:r>
              <w:rPr>
                <w:spacing w:val="-2"/>
                <w:sz w:val="18"/>
              </w:rPr>
              <w:t> εξασφαλίσεων</w:t>
            </w:r>
          </w:p>
        </w:tc>
        <w:tc>
          <w:tcPr>
            <w:tcW w:w="1806" w:type="dxa"/>
            <w:shd w:val="clear" w:color="auto" w:fill="D9D9D9"/>
          </w:tcPr>
          <w:p>
            <w:pPr>
              <w:pStyle w:val="TableParagraph"/>
              <w:ind w:right="222"/>
              <w:jc w:val="right"/>
              <w:rPr>
                <w:sz w:val="18"/>
              </w:rPr>
            </w:pPr>
            <w:r>
              <w:rPr>
                <w:spacing w:val="-2"/>
                <w:sz w:val="18"/>
              </w:rPr>
              <w:t>99.285</w:t>
            </w:r>
          </w:p>
        </w:tc>
        <w:tc>
          <w:tcPr>
            <w:tcW w:w="1186" w:type="dxa"/>
            <w:shd w:val="clear" w:color="auto" w:fill="D9D9D9"/>
          </w:tcPr>
          <w:p>
            <w:pPr>
              <w:pStyle w:val="TableParagraph"/>
              <w:ind w:right="246"/>
              <w:jc w:val="right"/>
              <w:rPr>
                <w:sz w:val="18"/>
              </w:rPr>
            </w:pPr>
            <w:r>
              <w:rPr>
                <w:spacing w:val="-2"/>
                <w:sz w:val="18"/>
              </w:rPr>
              <w:t>98.844</w:t>
            </w:r>
          </w:p>
        </w:tc>
      </w:tr>
      <w:tr>
        <w:trPr>
          <w:trHeight w:val="256" w:hRule="atLeast"/>
        </w:trPr>
        <w:tc>
          <w:tcPr>
            <w:tcW w:w="5512" w:type="dxa"/>
            <w:shd w:val="clear" w:color="auto" w:fill="BEBEBE"/>
          </w:tcPr>
          <w:p>
            <w:pPr>
              <w:pStyle w:val="TableParagraph"/>
              <w:spacing w:before="24"/>
              <w:ind w:left="283"/>
              <w:rPr>
                <w:sz w:val="18"/>
              </w:rPr>
            </w:pPr>
            <w:r>
              <w:rPr>
                <w:sz w:val="18"/>
              </w:rPr>
              <w:t>Εξασφαλίσεις</w:t>
            </w:r>
            <w:r>
              <w:rPr>
                <w:spacing w:val="-5"/>
                <w:sz w:val="18"/>
              </w:rPr>
              <w:t> </w:t>
            </w:r>
            <w:r>
              <w:rPr>
                <w:sz w:val="18"/>
              </w:rPr>
              <w:t>σε</w:t>
            </w:r>
            <w:r>
              <w:rPr>
                <w:spacing w:val="-4"/>
                <w:sz w:val="18"/>
              </w:rPr>
              <w:t> </w:t>
            </w:r>
            <w:r>
              <w:rPr>
                <w:sz w:val="18"/>
              </w:rPr>
              <w:t>εξυπηρετούμενα</w:t>
            </w:r>
            <w:r>
              <w:rPr>
                <w:spacing w:val="-5"/>
                <w:sz w:val="18"/>
              </w:rPr>
              <w:t> </w:t>
            </w:r>
            <w:r>
              <w:rPr>
                <w:spacing w:val="-2"/>
                <w:sz w:val="18"/>
              </w:rPr>
              <w:t>δάνεια</w:t>
            </w:r>
          </w:p>
        </w:tc>
        <w:tc>
          <w:tcPr>
            <w:tcW w:w="1806" w:type="dxa"/>
            <w:shd w:val="clear" w:color="auto" w:fill="BEBEBE"/>
          </w:tcPr>
          <w:p>
            <w:pPr>
              <w:pStyle w:val="TableParagraph"/>
              <w:ind w:right="222"/>
              <w:jc w:val="right"/>
              <w:rPr>
                <w:sz w:val="18"/>
              </w:rPr>
            </w:pPr>
            <w:r>
              <w:rPr>
                <w:spacing w:val="-2"/>
                <w:sz w:val="18"/>
              </w:rPr>
              <w:t>95.231</w:t>
            </w:r>
          </w:p>
        </w:tc>
        <w:tc>
          <w:tcPr>
            <w:tcW w:w="1186" w:type="dxa"/>
            <w:shd w:val="clear" w:color="auto" w:fill="BEBEBE"/>
          </w:tcPr>
          <w:p>
            <w:pPr>
              <w:pStyle w:val="TableParagraph"/>
              <w:ind w:right="246"/>
              <w:jc w:val="right"/>
              <w:rPr>
                <w:sz w:val="18"/>
              </w:rPr>
            </w:pPr>
            <w:r>
              <w:rPr>
                <w:spacing w:val="-2"/>
                <w:sz w:val="18"/>
              </w:rPr>
              <w:t>94.815</w:t>
            </w:r>
          </w:p>
        </w:tc>
      </w:tr>
      <w:tr>
        <w:trPr>
          <w:trHeight w:val="254" w:hRule="atLeast"/>
        </w:trPr>
        <w:tc>
          <w:tcPr>
            <w:tcW w:w="5512" w:type="dxa"/>
            <w:tcBorders>
              <w:bottom w:val="single" w:sz="4" w:space="0" w:color="FFFFFF"/>
            </w:tcBorders>
            <w:shd w:val="clear" w:color="auto" w:fill="D9D9D9"/>
          </w:tcPr>
          <w:p>
            <w:pPr>
              <w:pStyle w:val="TableParagraph"/>
              <w:spacing w:before="24"/>
              <w:ind w:left="283"/>
              <w:rPr>
                <w:sz w:val="18"/>
              </w:rPr>
            </w:pPr>
            <w:r>
              <w:rPr>
                <w:sz w:val="18"/>
              </w:rPr>
              <w:t>Εξασφαλίσεις</w:t>
            </w:r>
            <w:r>
              <w:rPr>
                <w:spacing w:val="-3"/>
                <w:sz w:val="18"/>
              </w:rPr>
              <w:t> </w:t>
            </w:r>
            <w:r>
              <w:rPr>
                <w:sz w:val="18"/>
              </w:rPr>
              <w:t>σε</w:t>
            </w:r>
            <w:r>
              <w:rPr>
                <w:spacing w:val="-2"/>
                <w:sz w:val="18"/>
              </w:rPr>
              <w:t> </w:t>
            </w:r>
            <w:r>
              <w:rPr>
                <w:sz w:val="18"/>
              </w:rPr>
              <w:t>μη</w:t>
            </w:r>
            <w:r>
              <w:rPr>
                <w:spacing w:val="-4"/>
                <w:sz w:val="18"/>
              </w:rPr>
              <w:t> </w:t>
            </w:r>
            <w:r>
              <w:rPr>
                <w:sz w:val="18"/>
              </w:rPr>
              <w:t>εξυπηρετούμενα</w:t>
            </w:r>
            <w:r>
              <w:rPr>
                <w:spacing w:val="-2"/>
                <w:sz w:val="18"/>
              </w:rPr>
              <w:t> δάνεια</w:t>
            </w:r>
          </w:p>
        </w:tc>
        <w:tc>
          <w:tcPr>
            <w:tcW w:w="1806" w:type="dxa"/>
            <w:tcBorders>
              <w:bottom w:val="single" w:sz="4" w:space="0" w:color="FFFFFF"/>
            </w:tcBorders>
            <w:shd w:val="clear" w:color="auto" w:fill="D9D9D9"/>
          </w:tcPr>
          <w:p>
            <w:pPr>
              <w:pStyle w:val="TableParagraph"/>
              <w:ind w:right="222"/>
              <w:jc w:val="right"/>
              <w:rPr>
                <w:sz w:val="18"/>
              </w:rPr>
            </w:pPr>
            <w:r>
              <w:rPr>
                <w:spacing w:val="-2"/>
                <w:sz w:val="18"/>
              </w:rPr>
              <w:t>4.054</w:t>
            </w:r>
          </w:p>
        </w:tc>
        <w:tc>
          <w:tcPr>
            <w:tcW w:w="1186" w:type="dxa"/>
            <w:tcBorders>
              <w:bottom w:val="single" w:sz="4" w:space="0" w:color="FFFFFF"/>
            </w:tcBorders>
            <w:shd w:val="clear" w:color="auto" w:fill="D9D9D9"/>
          </w:tcPr>
          <w:p>
            <w:pPr>
              <w:pStyle w:val="TableParagraph"/>
              <w:ind w:right="246"/>
              <w:jc w:val="right"/>
              <w:rPr>
                <w:sz w:val="18"/>
              </w:rPr>
            </w:pPr>
            <w:r>
              <w:rPr>
                <w:spacing w:val="-2"/>
                <w:sz w:val="18"/>
              </w:rPr>
              <w:t>4.029</w:t>
            </w:r>
          </w:p>
        </w:tc>
      </w:tr>
      <w:tr>
        <w:trPr>
          <w:trHeight w:val="254" w:hRule="atLeast"/>
        </w:trPr>
        <w:tc>
          <w:tcPr>
            <w:tcW w:w="5512" w:type="dxa"/>
            <w:tcBorders>
              <w:top w:val="single" w:sz="4" w:space="0" w:color="FFFFFF"/>
            </w:tcBorders>
            <w:shd w:val="clear" w:color="auto" w:fill="BEBEBE"/>
          </w:tcPr>
          <w:p>
            <w:pPr>
              <w:pStyle w:val="TableParagraph"/>
              <w:spacing w:before="23"/>
              <w:ind w:left="635"/>
              <w:rPr>
                <w:i/>
                <w:sz w:val="18"/>
              </w:rPr>
            </w:pPr>
            <w:r>
              <w:rPr>
                <w:i/>
                <w:sz w:val="18"/>
              </w:rPr>
              <w:t>Αβέβαιης</w:t>
            </w:r>
            <w:r>
              <w:rPr>
                <w:i/>
                <w:spacing w:val="-3"/>
                <w:sz w:val="18"/>
              </w:rPr>
              <w:t> </w:t>
            </w:r>
            <w:r>
              <w:rPr>
                <w:i/>
                <w:spacing w:val="-2"/>
                <w:sz w:val="18"/>
              </w:rPr>
              <w:t>είσπραξης</w:t>
            </w:r>
          </w:p>
        </w:tc>
        <w:tc>
          <w:tcPr>
            <w:tcW w:w="1806" w:type="dxa"/>
            <w:tcBorders>
              <w:top w:val="single" w:sz="4" w:space="0" w:color="FFFFFF"/>
            </w:tcBorders>
            <w:shd w:val="clear" w:color="auto" w:fill="BEBEBE"/>
          </w:tcPr>
          <w:p>
            <w:pPr>
              <w:pStyle w:val="TableParagraph"/>
              <w:spacing w:line="207" w:lineRule="exact"/>
              <w:ind w:right="222"/>
              <w:jc w:val="right"/>
              <w:rPr>
                <w:sz w:val="18"/>
              </w:rPr>
            </w:pPr>
            <w:r>
              <w:rPr>
                <w:spacing w:val="-2"/>
                <w:sz w:val="18"/>
              </w:rPr>
              <w:t>1.392</w:t>
            </w:r>
          </w:p>
        </w:tc>
        <w:tc>
          <w:tcPr>
            <w:tcW w:w="1186" w:type="dxa"/>
            <w:tcBorders>
              <w:top w:val="single" w:sz="4" w:space="0" w:color="FFFFFF"/>
            </w:tcBorders>
            <w:shd w:val="clear" w:color="auto" w:fill="BEBEBE"/>
          </w:tcPr>
          <w:p>
            <w:pPr>
              <w:pStyle w:val="TableParagraph"/>
              <w:spacing w:line="207" w:lineRule="exact"/>
              <w:ind w:right="246"/>
              <w:jc w:val="right"/>
              <w:rPr>
                <w:sz w:val="18"/>
              </w:rPr>
            </w:pPr>
            <w:r>
              <w:rPr>
                <w:spacing w:val="-2"/>
                <w:sz w:val="18"/>
              </w:rPr>
              <w:t>1.506</w:t>
            </w:r>
          </w:p>
        </w:tc>
      </w:tr>
      <w:tr>
        <w:trPr>
          <w:trHeight w:val="256" w:hRule="atLeast"/>
        </w:trPr>
        <w:tc>
          <w:tcPr>
            <w:tcW w:w="5512" w:type="dxa"/>
            <w:shd w:val="clear" w:color="auto" w:fill="D9D9D9"/>
          </w:tcPr>
          <w:p>
            <w:pPr>
              <w:pStyle w:val="TableParagraph"/>
              <w:spacing w:before="24"/>
              <w:ind w:left="635"/>
              <w:rPr>
                <w:i/>
                <w:sz w:val="18"/>
              </w:rPr>
            </w:pPr>
            <w:r>
              <w:rPr>
                <w:i/>
                <w:sz w:val="18"/>
              </w:rPr>
              <w:t>Σε</w:t>
            </w:r>
            <w:r>
              <w:rPr>
                <w:i/>
                <w:spacing w:val="-1"/>
                <w:sz w:val="18"/>
              </w:rPr>
              <w:t> </w:t>
            </w:r>
            <w:r>
              <w:rPr>
                <w:i/>
                <w:sz w:val="18"/>
              </w:rPr>
              <w:t>καθυστέρηση</w:t>
            </w:r>
            <w:r>
              <w:rPr>
                <w:i/>
                <w:spacing w:val="-3"/>
                <w:sz w:val="18"/>
              </w:rPr>
              <w:t> </w:t>
            </w:r>
            <w:r>
              <w:rPr>
                <w:i/>
                <w:sz w:val="18"/>
              </w:rPr>
              <w:t>&gt;</w:t>
            </w:r>
            <w:r>
              <w:rPr>
                <w:i/>
                <w:spacing w:val="-3"/>
                <w:sz w:val="18"/>
              </w:rPr>
              <w:t> </w:t>
            </w:r>
            <w:r>
              <w:rPr>
                <w:i/>
                <w:sz w:val="18"/>
              </w:rPr>
              <w:t>90 </w:t>
            </w:r>
            <w:r>
              <w:rPr>
                <w:i/>
                <w:spacing w:val="-2"/>
                <w:sz w:val="18"/>
              </w:rPr>
              <w:t>ημερών</w:t>
            </w:r>
          </w:p>
        </w:tc>
        <w:tc>
          <w:tcPr>
            <w:tcW w:w="1806" w:type="dxa"/>
            <w:shd w:val="clear" w:color="auto" w:fill="D9D9D9"/>
          </w:tcPr>
          <w:p>
            <w:pPr>
              <w:pStyle w:val="TableParagraph"/>
              <w:ind w:right="222"/>
              <w:jc w:val="right"/>
              <w:rPr>
                <w:sz w:val="18"/>
              </w:rPr>
            </w:pPr>
            <w:r>
              <w:rPr>
                <w:spacing w:val="-2"/>
                <w:sz w:val="18"/>
              </w:rPr>
              <w:t>1.546</w:t>
            </w:r>
          </w:p>
        </w:tc>
        <w:tc>
          <w:tcPr>
            <w:tcW w:w="1186" w:type="dxa"/>
            <w:shd w:val="clear" w:color="auto" w:fill="D9D9D9"/>
          </w:tcPr>
          <w:p>
            <w:pPr>
              <w:pStyle w:val="TableParagraph"/>
              <w:ind w:right="246"/>
              <w:jc w:val="right"/>
              <w:rPr>
                <w:sz w:val="18"/>
              </w:rPr>
            </w:pPr>
            <w:r>
              <w:rPr>
                <w:spacing w:val="-2"/>
                <w:sz w:val="18"/>
              </w:rPr>
              <w:t>1.334</w:t>
            </w:r>
          </w:p>
        </w:tc>
      </w:tr>
      <w:tr>
        <w:trPr>
          <w:trHeight w:val="254" w:hRule="atLeast"/>
        </w:trPr>
        <w:tc>
          <w:tcPr>
            <w:tcW w:w="5512" w:type="dxa"/>
            <w:tcBorders>
              <w:bottom w:val="single" w:sz="4" w:space="0" w:color="FFFFFF"/>
            </w:tcBorders>
            <w:shd w:val="clear" w:color="auto" w:fill="BEBEBE"/>
          </w:tcPr>
          <w:p>
            <w:pPr>
              <w:pStyle w:val="TableParagraph"/>
              <w:spacing w:before="24"/>
              <w:ind w:left="635"/>
              <w:rPr>
                <w:i/>
                <w:sz w:val="18"/>
              </w:rPr>
            </w:pPr>
            <w:r>
              <w:rPr>
                <w:i/>
                <w:sz w:val="18"/>
              </w:rPr>
              <w:t>Καταγγελμένες</w:t>
            </w:r>
            <w:r>
              <w:rPr>
                <w:i/>
                <w:spacing w:val="-6"/>
                <w:sz w:val="18"/>
              </w:rPr>
              <w:t> </w:t>
            </w:r>
            <w:r>
              <w:rPr>
                <w:i/>
                <w:spacing w:val="-2"/>
                <w:sz w:val="18"/>
              </w:rPr>
              <w:t>απαιτήσεις</w:t>
            </w:r>
          </w:p>
        </w:tc>
        <w:tc>
          <w:tcPr>
            <w:tcW w:w="1806" w:type="dxa"/>
            <w:tcBorders>
              <w:bottom w:val="single" w:sz="4" w:space="0" w:color="FFFFFF"/>
            </w:tcBorders>
            <w:shd w:val="clear" w:color="auto" w:fill="BEBEBE"/>
          </w:tcPr>
          <w:p>
            <w:pPr>
              <w:pStyle w:val="TableParagraph"/>
              <w:ind w:right="222"/>
              <w:jc w:val="right"/>
              <w:rPr>
                <w:sz w:val="18"/>
              </w:rPr>
            </w:pPr>
            <w:r>
              <w:rPr>
                <w:spacing w:val="-2"/>
                <w:sz w:val="18"/>
              </w:rPr>
              <w:t>1.116</w:t>
            </w:r>
          </w:p>
        </w:tc>
        <w:tc>
          <w:tcPr>
            <w:tcW w:w="1186" w:type="dxa"/>
            <w:tcBorders>
              <w:bottom w:val="single" w:sz="4" w:space="0" w:color="FFFFFF"/>
            </w:tcBorders>
            <w:shd w:val="clear" w:color="auto" w:fill="BEBEBE"/>
          </w:tcPr>
          <w:p>
            <w:pPr>
              <w:pStyle w:val="TableParagraph"/>
              <w:ind w:right="246"/>
              <w:jc w:val="right"/>
              <w:rPr>
                <w:sz w:val="18"/>
              </w:rPr>
            </w:pPr>
            <w:r>
              <w:rPr>
                <w:spacing w:val="-2"/>
                <w:sz w:val="18"/>
              </w:rPr>
              <w:t>1.188</w:t>
            </w:r>
          </w:p>
        </w:tc>
      </w:tr>
      <w:tr>
        <w:trPr>
          <w:trHeight w:val="254" w:hRule="atLeast"/>
        </w:trPr>
        <w:tc>
          <w:tcPr>
            <w:tcW w:w="5512" w:type="dxa"/>
            <w:tcBorders>
              <w:top w:val="single" w:sz="4" w:space="0" w:color="FFFFFF"/>
            </w:tcBorders>
            <w:shd w:val="clear" w:color="auto" w:fill="D9D9D9"/>
          </w:tcPr>
          <w:p>
            <w:pPr>
              <w:pStyle w:val="TableParagraph"/>
              <w:spacing w:before="23"/>
              <w:rPr>
                <w:sz w:val="18"/>
              </w:rPr>
            </w:pPr>
            <w:r>
              <w:rPr>
                <w:sz w:val="18"/>
              </w:rPr>
              <w:t>Εξασφαλίσεις</w:t>
            </w:r>
            <w:r>
              <w:rPr>
                <w:spacing w:val="-2"/>
                <w:sz w:val="18"/>
              </w:rPr>
              <w:t> </w:t>
            </w:r>
            <w:r>
              <w:rPr>
                <w:sz w:val="18"/>
              </w:rPr>
              <w:t>σε</w:t>
            </w:r>
            <w:r>
              <w:rPr>
                <w:spacing w:val="-2"/>
                <w:sz w:val="18"/>
              </w:rPr>
              <w:t> </w:t>
            </w:r>
            <w:r>
              <w:rPr>
                <w:sz w:val="18"/>
              </w:rPr>
              <w:t>μη</w:t>
            </w:r>
            <w:r>
              <w:rPr>
                <w:spacing w:val="-2"/>
                <w:sz w:val="18"/>
              </w:rPr>
              <w:t> </w:t>
            </w:r>
            <w:r>
              <w:rPr>
                <w:sz w:val="18"/>
              </w:rPr>
              <w:t>εξυπηρετούμενα</w:t>
            </w:r>
            <w:r>
              <w:rPr>
                <w:spacing w:val="-2"/>
                <w:sz w:val="18"/>
              </w:rPr>
              <w:t> </w:t>
            </w:r>
            <w:r>
              <w:rPr>
                <w:sz w:val="18"/>
              </w:rPr>
              <w:t>δάνεια</w:t>
            </w:r>
            <w:r>
              <w:rPr>
                <w:spacing w:val="-3"/>
                <w:sz w:val="18"/>
              </w:rPr>
              <w:t> </w:t>
            </w:r>
            <w:r>
              <w:rPr>
                <w:sz w:val="18"/>
              </w:rPr>
              <w:t>υπό</w:t>
            </w:r>
            <w:r>
              <w:rPr>
                <w:spacing w:val="-1"/>
                <w:sz w:val="18"/>
              </w:rPr>
              <w:t> </w:t>
            </w:r>
            <w:r>
              <w:rPr>
                <w:spacing w:val="-2"/>
                <w:sz w:val="18"/>
              </w:rPr>
              <w:t>ρύθμιση</w:t>
            </w:r>
          </w:p>
        </w:tc>
        <w:tc>
          <w:tcPr>
            <w:tcW w:w="1806" w:type="dxa"/>
            <w:tcBorders>
              <w:top w:val="single" w:sz="4" w:space="0" w:color="FFFFFF"/>
            </w:tcBorders>
            <w:shd w:val="clear" w:color="auto" w:fill="D9D9D9"/>
          </w:tcPr>
          <w:p>
            <w:pPr>
              <w:pStyle w:val="TableParagraph"/>
              <w:spacing w:line="207" w:lineRule="exact"/>
              <w:ind w:right="222"/>
              <w:jc w:val="right"/>
              <w:rPr>
                <w:sz w:val="18"/>
              </w:rPr>
            </w:pPr>
            <w:r>
              <w:rPr>
                <w:spacing w:val="-2"/>
                <w:sz w:val="18"/>
              </w:rPr>
              <w:t>1.398</w:t>
            </w:r>
          </w:p>
        </w:tc>
        <w:tc>
          <w:tcPr>
            <w:tcW w:w="1186" w:type="dxa"/>
            <w:tcBorders>
              <w:top w:val="single" w:sz="4" w:space="0" w:color="FFFFFF"/>
            </w:tcBorders>
            <w:shd w:val="clear" w:color="auto" w:fill="D9D9D9"/>
          </w:tcPr>
          <w:p>
            <w:pPr>
              <w:pStyle w:val="TableParagraph"/>
              <w:spacing w:line="207" w:lineRule="exact"/>
              <w:ind w:right="246"/>
              <w:jc w:val="right"/>
              <w:rPr>
                <w:sz w:val="18"/>
              </w:rPr>
            </w:pPr>
            <w:r>
              <w:rPr>
                <w:spacing w:val="-2"/>
                <w:sz w:val="18"/>
              </w:rPr>
              <w:t>1.554</w:t>
            </w:r>
          </w:p>
        </w:tc>
      </w:tr>
      <w:tr>
        <w:trPr>
          <w:trHeight w:val="453" w:hRule="atLeast"/>
        </w:trPr>
        <w:tc>
          <w:tcPr>
            <w:tcW w:w="5512" w:type="dxa"/>
            <w:shd w:val="clear" w:color="auto" w:fill="BEBEBE"/>
          </w:tcPr>
          <w:p>
            <w:pPr>
              <w:pStyle w:val="TableParagraph"/>
              <w:spacing w:before="40"/>
              <w:rPr>
                <w:sz w:val="18"/>
              </w:rPr>
            </w:pPr>
          </w:p>
          <w:p>
            <w:pPr>
              <w:pStyle w:val="TableParagraph"/>
              <w:spacing w:line="187" w:lineRule="exact"/>
              <w:rPr>
                <w:b/>
                <w:sz w:val="18"/>
              </w:rPr>
            </w:pPr>
            <w:r>
              <w:rPr>
                <w:b/>
                <w:color w:val="1F487C"/>
                <w:sz w:val="18"/>
              </w:rPr>
              <w:t>Ανάλυση</w:t>
            </w:r>
            <w:r>
              <w:rPr>
                <w:b/>
                <w:color w:val="1F487C"/>
                <w:spacing w:val="-5"/>
                <w:sz w:val="18"/>
              </w:rPr>
              <w:t> </w:t>
            </w:r>
            <w:r>
              <w:rPr>
                <w:b/>
                <w:color w:val="1F487C"/>
                <w:sz w:val="18"/>
              </w:rPr>
              <w:t>ροών</w:t>
            </w:r>
            <w:r>
              <w:rPr>
                <w:b/>
                <w:color w:val="1F487C"/>
                <w:spacing w:val="-1"/>
                <w:sz w:val="18"/>
              </w:rPr>
              <w:t> </w:t>
            </w:r>
            <w:r>
              <w:rPr>
                <w:b/>
                <w:color w:val="1F487C"/>
                <w:sz w:val="18"/>
              </w:rPr>
              <w:t>μη</w:t>
            </w:r>
            <w:r>
              <w:rPr>
                <w:b/>
                <w:color w:val="1F487C"/>
                <w:spacing w:val="-1"/>
                <w:sz w:val="18"/>
              </w:rPr>
              <w:t> </w:t>
            </w:r>
            <w:r>
              <w:rPr>
                <w:b/>
                <w:color w:val="1F487C"/>
                <w:sz w:val="18"/>
              </w:rPr>
              <w:t>εξυπηρετούμενων</w:t>
            </w:r>
            <w:r>
              <w:rPr>
                <w:b/>
                <w:color w:val="1F487C"/>
                <w:spacing w:val="-2"/>
                <w:sz w:val="18"/>
              </w:rPr>
              <w:t> </w:t>
            </w:r>
            <w:r>
              <w:rPr>
                <w:b/>
                <w:color w:val="1F487C"/>
                <w:sz w:val="18"/>
              </w:rPr>
              <w:t>δανείων</w:t>
            </w:r>
            <w:r>
              <w:rPr>
                <w:b/>
                <w:color w:val="1F487C"/>
                <w:spacing w:val="-3"/>
                <w:sz w:val="18"/>
              </w:rPr>
              <w:t> </w:t>
            </w:r>
            <w:r>
              <w:rPr>
                <w:b/>
                <w:color w:val="1F487C"/>
                <w:sz w:val="18"/>
              </w:rPr>
              <w:t>κα</w:t>
            </w:r>
            <w:r>
              <w:rPr>
                <w:b/>
                <w:smallCaps/>
                <w:color w:val="1F487C"/>
                <w:sz w:val="18"/>
              </w:rPr>
              <w:t>ι</w:t>
            </w:r>
            <w:r>
              <w:rPr>
                <w:b/>
                <w:smallCaps w:val="0"/>
                <w:color w:val="1F487C"/>
                <w:spacing w:val="-2"/>
                <w:sz w:val="18"/>
              </w:rPr>
              <w:t> δ</w:t>
            </w:r>
            <w:r>
              <w:rPr>
                <w:b/>
                <w:smallCaps/>
                <w:color w:val="1F487C"/>
                <w:spacing w:val="-2"/>
                <w:sz w:val="18"/>
              </w:rPr>
              <w:t>ι</w:t>
            </w:r>
            <w:r>
              <w:rPr>
                <w:b/>
                <w:smallCaps w:val="0"/>
                <w:color w:val="1F487C"/>
                <w:spacing w:val="-2"/>
                <w:sz w:val="18"/>
              </w:rPr>
              <w:t>αγραφών</w:t>
            </w:r>
          </w:p>
        </w:tc>
        <w:tc>
          <w:tcPr>
            <w:tcW w:w="1806" w:type="dxa"/>
            <w:shd w:val="clear" w:color="auto" w:fill="BEBEBE"/>
          </w:tcPr>
          <w:p>
            <w:pPr>
              <w:pStyle w:val="TableParagraph"/>
              <w:spacing w:before="40"/>
              <w:rPr>
                <w:sz w:val="18"/>
              </w:rPr>
            </w:pPr>
          </w:p>
          <w:p>
            <w:pPr>
              <w:pStyle w:val="TableParagraph"/>
              <w:spacing w:line="187" w:lineRule="exact"/>
              <w:ind w:right="208"/>
              <w:jc w:val="right"/>
              <w:rPr>
                <w:b/>
                <w:sz w:val="18"/>
              </w:rPr>
            </w:pPr>
            <w:r>
              <w:rPr>
                <w:b/>
                <w:color w:val="1F487C"/>
                <w:sz w:val="18"/>
              </w:rPr>
              <w:t>Δεκ.</w:t>
            </w:r>
            <w:r>
              <w:rPr>
                <w:b/>
                <w:color w:val="1F487C"/>
                <w:spacing w:val="-2"/>
                <w:sz w:val="18"/>
              </w:rPr>
              <w:t> </w:t>
            </w:r>
            <w:r>
              <w:rPr>
                <w:b/>
                <w:color w:val="1F487C"/>
                <w:spacing w:val="-4"/>
                <w:sz w:val="18"/>
              </w:rPr>
              <w:t>2024</w:t>
            </w:r>
          </w:p>
        </w:tc>
        <w:tc>
          <w:tcPr>
            <w:tcW w:w="1186" w:type="dxa"/>
            <w:shd w:val="clear" w:color="auto" w:fill="BEBEBE"/>
          </w:tcPr>
          <w:p>
            <w:pPr>
              <w:pStyle w:val="TableParagraph"/>
              <w:spacing w:before="40"/>
              <w:rPr>
                <w:sz w:val="18"/>
              </w:rPr>
            </w:pPr>
          </w:p>
          <w:p>
            <w:pPr>
              <w:pStyle w:val="TableParagraph"/>
              <w:spacing w:line="187" w:lineRule="exact"/>
              <w:ind w:right="232"/>
              <w:jc w:val="right"/>
              <w:rPr>
                <w:b/>
                <w:sz w:val="18"/>
              </w:rPr>
            </w:pPr>
            <w:r>
              <w:rPr>
                <w:b/>
                <w:color w:val="1F487C"/>
                <w:sz w:val="18"/>
              </w:rPr>
              <w:t>Δεκ.</w:t>
            </w:r>
            <w:r>
              <w:rPr>
                <w:b/>
                <w:color w:val="1F487C"/>
                <w:spacing w:val="-2"/>
                <w:sz w:val="18"/>
              </w:rPr>
              <w:t> </w:t>
            </w:r>
            <w:r>
              <w:rPr>
                <w:b/>
                <w:color w:val="1F487C"/>
                <w:spacing w:val="-4"/>
                <w:sz w:val="18"/>
              </w:rPr>
              <w:t>2025</w:t>
            </w:r>
          </w:p>
        </w:tc>
      </w:tr>
      <w:tr>
        <w:trPr>
          <w:trHeight w:val="257" w:hRule="atLeast"/>
        </w:trPr>
        <w:tc>
          <w:tcPr>
            <w:tcW w:w="5512" w:type="dxa"/>
            <w:shd w:val="clear" w:color="auto" w:fill="D9D9D9"/>
          </w:tcPr>
          <w:p>
            <w:pPr>
              <w:pStyle w:val="TableParagraph"/>
              <w:spacing w:before="24"/>
              <w:rPr>
                <w:sz w:val="18"/>
              </w:rPr>
            </w:pPr>
            <w:r>
              <w:rPr>
                <w:sz w:val="18"/>
              </w:rPr>
              <w:t>Ροές</w:t>
            </w:r>
            <w:r>
              <w:rPr>
                <w:spacing w:val="-4"/>
                <w:sz w:val="18"/>
              </w:rPr>
              <w:t> </w:t>
            </w:r>
            <w:r>
              <w:rPr>
                <w:sz w:val="18"/>
              </w:rPr>
              <w:t>μη</w:t>
            </w:r>
            <w:r>
              <w:rPr>
                <w:spacing w:val="-3"/>
                <w:sz w:val="18"/>
              </w:rPr>
              <w:t> </w:t>
            </w:r>
            <w:r>
              <w:rPr>
                <w:sz w:val="18"/>
              </w:rPr>
              <w:t>εξυπηρετούμενων</w:t>
            </w:r>
            <w:r>
              <w:rPr>
                <w:spacing w:val="-3"/>
                <w:sz w:val="18"/>
              </w:rPr>
              <w:t> </w:t>
            </w:r>
            <w:r>
              <w:rPr>
                <w:sz w:val="18"/>
              </w:rPr>
              <w:t>δανείων</w:t>
            </w:r>
            <w:r>
              <w:rPr>
                <w:spacing w:val="-3"/>
                <w:sz w:val="18"/>
              </w:rPr>
              <w:t> </w:t>
            </w:r>
            <w:r>
              <w:rPr>
                <w:spacing w:val="-2"/>
                <w:sz w:val="18"/>
              </w:rPr>
              <w:t>περιόδου</w:t>
            </w:r>
          </w:p>
        </w:tc>
        <w:tc>
          <w:tcPr>
            <w:tcW w:w="1806" w:type="dxa"/>
            <w:shd w:val="clear" w:color="auto" w:fill="D9D9D9"/>
          </w:tcPr>
          <w:p>
            <w:pPr>
              <w:pStyle w:val="TableParagraph"/>
              <w:ind w:right="222"/>
              <w:jc w:val="right"/>
              <w:rPr>
                <w:sz w:val="18"/>
              </w:rPr>
            </w:pPr>
            <w:r>
              <w:rPr>
                <w:spacing w:val="-2"/>
                <w:sz w:val="18"/>
              </w:rPr>
              <w:t>1.025</w:t>
            </w:r>
          </w:p>
        </w:tc>
        <w:tc>
          <w:tcPr>
            <w:tcW w:w="1186" w:type="dxa"/>
            <w:shd w:val="clear" w:color="auto" w:fill="D9D9D9"/>
          </w:tcPr>
          <w:p>
            <w:pPr>
              <w:pStyle w:val="TableParagraph"/>
              <w:ind w:right="246"/>
              <w:jc w:val="right"/>
              <w:rPr>
                <w:sz w:val="18"/>
              </w:rPr>
            </w:pPr>
            <w:r>
              <w:rPr>
                <w:spacing w:val="-2"/>
                <w:sz w:val="18"/>
              </w:rPr>
              <w:t>1.357</w:t>
            </w:r>
          </w:p>
        </w:tc>
      </w:tr>
      <w:tr>
        <w:trPr>
          <w:trHeight w:val="254" w:hRule="atLeast"/>
        </w:trPr>
        <w:tc>
          <w:tcPr>
            <w:tcW w:w="5512" w:type="dxa"/>
            <w:shd w:val="clear" w:color="auto" w:fill="BEBEBE"/>
          </w:tcPr>
          <w:p>
            <w:pPr>
              <w:pStyle w:val="TableParagraph"/>
              <w:spacing w:before="24"/>
              <w:ind w:left="360"/>
              <w:rPr>
                <w:sz w:val="18"/>
              </w:rPr>
            </w:pPr>
            <w:r>
              <w:rPr>
                <w:sz w:val="18"/>
              </w:rPr>
              <w:t>Ροές</w:t>
            </w:r>
            <w:r>
              <w:rPr>
                <w:spacing w:val="-3"/>
                <w:sz w:val="18"/>
              </w:rPr>
              <w:t> </w:t>
            </w:r>
            <w:r>
              <w:rPr>
                <w:sz w:val="18"/>
              </w:rPr>
              <w:t>προς</w:t>
            </w:r>
            <w:r>
              <w:rPr>
                <w:spacing w:val="-4"/>
                <w:sz w:val="18"/>
              </w:rPr>
              <w:t> </w:t>
            </w:r>
            <w:r>
              <w:rPr>
                <w:sz w:val="18"/>
              </w:rPr>
              <w:t>εξυπηρετούμενα</w:t>
            </w:r>
            <w:r>
              <w:rPr>
                <w:spacing w:val="-2"/>
                <w:sz w:val="18"/>
              </w:rPr>
              <w:t> </w:t>
            </w:r>
            <w:r>
              <w:rPr>
                <w:sz w:val="18"/>
              </w:rPr>
              <w:t>δάνεια</w:t>
            </w:r>
            <w:r>
              <w:rPr>
                <w:spacing w:val="-3"/>
                <w:sz w:val="18"/>
              </w:rPr>
              <w:t> </w:t>
            </w:r>
            <w:r>
              <w:rPr>
                <w:spacing w:val="-2"/>
                <w:sz w:val="18"/>
              </w:rPr>
              <w:t>περιόδου</w:t>
            </w:r>
          </w:p>
        </w:tc>
        <w:tc>
          <w:tcPr>
            <w:tcW w:w="1806" w:type="dxa"/>
            <w:shd w:val="clear" w:color="auto" w:fill="BEBEBE"/>
          </w:tcPr>
          <w:p>
            <w:pPr>
              <w:pStyle w:val="TableParagraph"/>
              <w:ind w:right="220"/>
              <w:jc w:val="right"/>
              <w:rPr>
                <w:sz w:val="18"/>
              </w:rPr>
            </w:pPr>
            <w:r>
              <w:rPr>
                <w:sz w:val="18"/>
              </w:rPr>
              <w:t>-</w:t>
            </w:r>
            <w:r>
              <w:rPr>
                <w:spacing w:val="-2"/>
                <w:sz w:val="18"/>
              </w:rPr>
              <w:t>1.314</w:t>
            </w:r>
          </w:p>
        </w:tc>
        <w:tc>
          <w:tcPr>
            <w:tcW w:w="1186" w:type="dxa"/>
            <w:shd w:val="clear" w:color="auto" w:fill="BEBEBE"/>
          </w:tcPr>
          <w:p>
            <w:pPr>
              <w:pStyle w:val="TableParagraph"/>
              <w:ind w:right="245"/>
              <w:jc w:val="right"/>
              <w:rPr>
                <w:sz w:val="18"/>
              </w:rPr>
            </w:pPr>
            <w:r>
              <w:rPr>
                <w:sz w:val="18"/>
              </w:rPr>
              <w:t>-</w:t>
            </w:r>
            <w:r>
              <w:rPr>
                <w:spacing w:val="-5"/>
                <w:sz w:val="18"/>
              </w:rPr>
              <w:t>836</w:t>
            </w:r>
          </w:p>
        </w:tc>
      </w:tr>
      <w:tr>
        <w:trPr>
          <w:trHeight w:val="254" w:hRule="atLeast"/>
        </w:trPr>
        <w:tc>
          <w:tcPr>
            <w:tcW w:w="5512" w:type="dxa"/>
            <w:shd w:val="clear" w:color="auto" w:fill="D9D9D9"/>
          </w:tcPr>
          <w:p>
            <w:pPr>
              <w:pStyle w:val="TableParagraph"/>
              <w:spacing w:before="24"/>
              <w:ind w:left="360"/>
              <w:rPr>
                <w:sz w:val="18"/>
              </w:rPr>
            </w:pPr>
            <w:r>
              <w:rPr>
                <w:sz w:val="18"/>
              </w:rPr>
              <w:t>Ροές</w:t>
            </w:r>
            <w:r>
              <w:rPr>
                <w:spacing w:val="-2"/>
                <w:sz w:val="18"/>
              </w:rPr>
              <w:t> </w:t>
            </w:r>
            <w:r>
              <w:rPr>
                <w:sz w:val="18"/>
              </w:rPr>
              <w:t>από</w:t>
            </w:r>
            <w:r>
              <w:rPr>
                <w:spacing w:val="-3"/>
                <w:sz w:val="18"/>
              </w:rPr>
              <w:t> </w:t>
            </w:r>
            <w:r>
              <w:rPr>
                <w:sz w:val="18"/>
              </w:rPr>
              <w:t>εξυπηρετούμενα</w:t>
            </w:r>
            <w:r>
              <w:rPr>
                <w:spacing w:val="-2"/>
                <w:sz w:val="18"/>
              </w:rPr>
              <w:t> </w:t>
            </w:r>
            <w:r>
              <w:rPr>
                <w:sz w:val="18"/>
              </w:rPr>
              <w:t>δάνεια</w:t>
            </w:r>
            <w:r>
              <w:rPr>
                <w:spacing w:val="-2"/>
                <w:sz w:val="18"/>
              </w:rPr>
              <w:t> περιόδου</w:t>
            </w:r>
          </w:p>
        </w:tc>
        <w:tc>
          <w:tcPr>
            <w:tcW w:w="1806" w:type="dxa"/>
            <w:shd w:val="clear" w:color="auto" w:fill="D9D9D9"/>
          </w:tcPr>
          <w:p>
            <w:pPr>
              <w:pStyle w:val="TableParagraph"/>
              <w:ind w:right="222"/>
              <w:jc w:val="right"/>
              <w:rPr>
                <w:sz w:val="18"/>
              </w:rPr>
            </w:pPr>
            <w:r>
              <w:rPr>
                <w:spacing w:val="-2"/>
                <w:sz w:val="18"/>
              </w:rPr>
              <w:t>2.339</w:t>
            </w:r>
          </w:p>
        </w:tc>
        <w:tc>
          <w:tcPr>
            <w:tcW w:w="1186" w:type="dxa"/>
            <w:shd w:val="clear" w:color="auto" w:fill="D9D9D9"/>
          </w:tcPr>
          <w:p>
            <w:pPr>
              <w:pStyle w:val="TableParagraph"/>
              <w:ind w:right="246"/>
              <w:jc w:val="right"/>
              <w:rPr>
                <w:sz w:val="18"/>
              </w:rPr>
            </w:pPr>
            <w:r>
              <w:rPr>
                <w:spacing w:val="-2"/>
                <w:sz w:val="18"/>
              </w:rPr>
              <w:t>2.193</w:t>
            </w:r>
          </w:p>
        </w:tc>
      </w:tr>
      <w:tr>
        <w:trPr>
          <w:trHeight w:val="254" w:hRule="atLeast"/>
        </w:trPr>
        <w:tc>
          <w:tcPr>
            <w:tcW w:w="5512" w:type="dxa"/>
            <w:shd w:val="clear" w:color="auto" w:fill="BEBEBE"/>
          </w:tcPr>
          <w:p>
            <w:pPr>
              <w:pStyle w:val="TableParagraph"/>
              <w:spacing w:before="24"/>
              <w:rPr>
                <w:sz w:val="18"/>
              </w:rPr>
            </w:pPr>
            <w:r>
              <w:rPr>
                <w:sz w:val="18"/>
              </w:rPr>
              <w:t>Διαγραφές</w:t>
            </w:r>
            <w:r>
              <w:rPr>
                <w:spacing w:val="-4"/>
                <w:sz w:val="18"/>
              </w:rPr>
              <w:t> </w:t>
            </w:r>
            <w:r>
              <w:rPr>
                <w:spacing w:val="-2"/>
                <w:sz w:val="18"/>
              </w:rPr>
              <w:t>περιόδου</w:t>
            </w:r>
          </w:p>
        </w:tc>
        <w:tc>
          <w:tcPr>
            <w:tcW w:w="1806" w:type="dxa"/>
            <w:shd w:val="clear" w:color="auto" w:fill="BEBEBE"/>
          </w:tcPr>
          <w:p>
            <w:pPr>
              <w:pStyle w:val="TableParagraph"/>
              <w:ind w:right="219"/>
              <w:jc w:val="right"/>
              <w:rPr>
                <w:sz w:val="18"/>
              </w:rPr>
            </w:pPr>
            <w:r>
              <w:rPr>
                <w:spacing w:val="-5"/>
                <w:sz w:val="18"/>
              </w:rPr>
              <w:t>419</w:t>
            </w:r>
          </w:p>
        </w:tc>
        <w:tc>
          <w:tcPr>
            <w:tcW w:w="1186" w:type="dxa"/>
            <w:shd w:val="clear" w:color="auto" w:fill="BEBEBE"/>
          </w:tcPr>
          <w:p>
            <w:pPr>
              <w:pStyle w:val="TableParagraph"/>
              <w:ind w:right="243"/>
              <w:jc w:val="right"/>
              <w:rPr>
                <w:sz w:val="18"/>
              </w:rPr>
            </w:pPr>
            <w:r>
              <w:rPr>
                <w:spacing w:val="-5"/>
                <w:sz w:val="18"/>
              </w:rPr>
              <w:t>299</w:t>
            </w:r>
          </w:p>
        </w:tc>
      </w:tr>
      <w:tr>
        <w:trPr>
          <w:trHeight w:val="256" w:hRule="atLeast"/>
        </w:trPr>
        <w:tc>
          <w:tcPr>
            <w:tcW w:w="5512" w:type="dxa"/>
            <w:shd w:val="clear" w:color="auto" w:fill="D9D9D9"/>
          </w:tcPr>
          <w:p>
            <w:pPr>
              <w:pStyle w:val="TableParagraph"/>
              <w:spacing w:before="24"/>
              <w:ind w:left="360"/>
              <w:rPr>
                <w:sz w:val="18"/>
              </w:rPr>
            </w:pPr>
            <w:r>
              <w:rPr>
                <w:sz w:val="18"/>
              </w:rPr>
              <w:t>εκ</w:t>
            </w:r>
            <w:r>
              <w:rPr>
                <w:spacing w:val="-3"/>
                <w:sz w:val="18"/>
              </w:rPr>
              <w:t> </w:t>
            </w:r>
            <w:r>
              <w:rPr>
                <w:sz w:val="18"/>
              </w:rPr>
              <w:t>των</w:t>
            </w:r>
            <w:r>
              <w:rPr>
                <w:spacing w:val="-3"/>
                <w:sz w:val="18"/>
              </w:rPr>
              <w:t> </w:t>
            </w:r>
            <w:r>
              <w:rPr>
                <w:sz w:val="18"/>
              </w:rPr>
              <w:t>οποίων</w:t>
            </w:r>
            <w:r>
              <w:rPr>
                <w:spacing w:val="-3"/>
                <w:sz w:val="18"/>
              </w:rPr>
              <w:t> </w:t>
            </w:r>
            <w:r>
              <w:rPr>
                <w:sz w:val="18"/>
              </w:rPr>
              <w:t>διαγραφές</w:t>
            </w:r>
            <w:r>
              <w:rPr>
                <w:spacing w:val="-3"/>
                <w:sz w:val="18"/>
              </w:rPr>
              <w:t> </w:t>
            </w:r>
            <w:r>
              <w:rPr>
                <w:sz w:val="18"/>
              </w:rPr>
              <w:t>καταγγελμένων</w:t>
            </w:r>
            <w:r>
              <w:rPr>
                <w:spacing w:val="-3"/>
                <w:sz w:val="18"/>
              </w:rPr>
              <w:t> </w:t>
            </w:r>
            <w:r>
              <w:rPr>
                <w:spacing w:val="-2"/>
                <w:sz w:val="18"/>
              </w:rPr>
              <w:t>απαιτήσεων</w:t>
            </w:r>
          </w:p>
        </w:tc>
        <w:tc>
          <w:tcPr>
            <w:tcW w:w="1806" w:type="dxa"/>
            <w:shd w:val="clear" w:color="auto" w:fill="D9D9D9"/>
          </w:tcPr>
          <w:p>
            <w:pPr>
              <w:pStyle w:val="TableParagraph"/>
              <w:ind w:right="219"/>
              <w:jc w:val="right"/>
              <w:rPr>
                <w:sz w:val="18"/>
              </w:rPr>
            </w:pPr>
            <w:r>
              <w:rPr>
                <w:spacing w:val="-5"/>
                <w:sz w:val="18"/>
              </w:rPr>
              <w:t>304</w:t>
            </w:r>
          </w:p>
        </w:tc>
        <w:tc>
          <w:tcPr>
            <w:tcW w:w="1186" w:type="dxa"/>
            <w:shd w:val="clear" w:color="auto" w:fill="D9D9D9"/>
          </w:tcPr>
          <w:p>
            <w:pPr>
              <w:pStyle w:val="TableParagraph"/>
              <w:ind w:right="243"/>
              <w:jc w:val="right"/>
              <w:rPr>
                <w:sz w:val="18"/>
              </w:rPr>
            </w:pPr>
            <w:r>
              <w:rPr>
                <w:spacing w:val="-5"/>
                <w:sz w:val="18"/>
              </w:rPr>
              <w:t>153</w:t>
            </w:r>
          </w:p>
        </w:tc>
      </w:tr>
      <w:tr>
        <w:trPr>
          <w:trHeight w:val="340" w:hRule="atLeast"/>
        </w:trPr>
        <w:tc>
          <w:tcPr>
            <w:tcW w:w="8504" w:type="dxa"/>
            <w:gridSpan w:val="3"/>
            <w:shd w:val="clear" w:color="auto" w:fill="BEBEBE"/>
          </w:tcPr>
          <w:p>
            <w:pPr>
              <w:pStyle w:val="TableParagraph"/>
              <w:spacing w:before="119"/>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BodyText"/>
        <w:rPr>
          <w:sz w:val="20"/>
        </w:rPr>
      </w:pP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616512">
                <wp:simplePos x="0" y="0"/>
                <wp:positionH relativeFrom="page">
                  <wp:posOffset>1009192</wp:posOffset>
                </wp:positionH>
                <wp:positionV relativeFrom="paragraph">
                  <wp:posOffset>271045</wp:posOffset>
                </wp:positionV>
                <wp:extent cx="1829435" cy="7620"/>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1.342196pt;width:144.020pt;height:.60004pt;mso-position-horizontal-relative:page;mso-position-vertical-relative:paragraph;z-index:-15699968;mso-wrap-distance-left:0;mso-wrap-distance-right:0" id="docshape203" filled="true" fillcolor="#000000" stroked="false">
                <v:fill type="solid"/>
                <w10:wrap type="topAndBottom"/>
              </v:rect>
            </w:pict>
          </mc:Fallback>
        </mc:AlternateContent>
      </w:r>
    </w:p>
    <w:p>
      <w:pPr>
        <w:spacing w:before="167"/>
        <w:ind w:left="172" w:right="956" w:firstLine="0"/>
        <w:jc w:val="both"/>
        <w:rPr>
          <w:sz w:val="16"/>
        </w:rPr>
      </w:pPr>
      <w:bookmarkStart w:name="_bookmark51" w:id="52"/>
      <w:bookmarkEnd w:id="52"/>
      <w:r>
        <w:rPr/>
      </w:r>
      <w:r>
        <w:rPr>
          <w:sz w:val="16"/>
          <w:vertAlign w:val="superscript"/>
        </w:rPr>
        <w:t>33</w:t>
      </w:r>
      <w:r>
        <w:rPr>
          <w:sz w:val="16"/>
          <w:vertAlign w:val="baseline"/>
        </w:rPr>
        <w:t> Σε</w:t>
      </w:r>
      <w:r>
        <w:rPr>
          <w:spacing w:val="-2"/>
          <w:sz w:val="16"/>
          <w:vertAlign w:val="baseline"/>
        </w:rPr>
        <w:t> </w:t>
      </w:r>
      <w:r>
        <w:rPr>
          <w:sz w:val="16"/>
          <w:vertAlign w:val="baseline"/>
        </w:rPr>
        <w:t>ενοποιημένη</w:t>
      </w:r>
      <w:r>
        <w:rPr>
          <w:spacing w:val="-1"/>
          <w:sz w:val="16"/>
          <w:vertAlign w:val="baseline"/>
        </w:rPr>
        <w:t> </w:t>
      </w:r>
      <w:r>
        <w:rPr>
          <w:sz w:val="16"/>
          <w:vertAlign w:val="baseline"/>
        </w:rPr>
        <w:t>βάση,</w:t>
      </w:r>
      <w:r>
        <w:rPr>
          <w:spacing w:val="-1"/>
          <w:sz w:val="16"/>
          <w:vertAlign w:val="baseline"/>
        </w:rPr>
        <w:t> </w:t>
      </w:r>
      <w:r>
        <w:rPr>
          <w:sz w:val="16"/>
          <w:vertAlign w:val="baseline"/>
        </w:rPr>
        <w:t>το απόθεμα</w:t>
      </w:r>
      <w:r>
        <w:rPr>
          <w:spacing w:val="-2"/>
          <w:sz w:val="16"/>
          <w:vertAlign w:val="baseline"/>
        </w:rPr>
        <w:t> </w:t>
      </w:r>
      <w:r>
        <w:rPr>
          <w:sz w:val="16"/>
          <w:vertAlign w:val="baseline"/>
        </w:rPr>
        <w:t>των ΜΕΔ</w:t>
      </w:r>
      <w:r>
        <w:rPr>
          <w:spacing w:val="-2"/>
          <w:sz w:val="16"/>
          <w:vertAlign w:val="baseline"/>
        </w:rPr>
        <w:t> </w:t>
      </w:r>
      <w:r>
        <w:rPr>
          <w:sz w:val="16"/>
          <w:vertAlign w:val="baseline"/>
        </w:rPr>
        <w:t>διαμορφώθηκε</w:t>
      </w:r>
      <w:r>
        <w:rPr>
          <w:spacing w:val="-2"/>
          <w:sz w:val="16"/>
          <w:vertAlign w:val="baseline"/>
        </w:rPr>
        <w:t> </w:t>
      </w:r>
      <w:r>
        <w:rPr>
          <w:sz w:val="16"/>
          <w:vertAlign w:val="baseline"/>
        </w:rPr>
        <w:t>στα</w:t>
      </w:r>
      <w:r>
        <w:rPr>
          <w:spacing w:val="-2"/>
          <w:sz w:val="16"/>
          <w:vertAlign w:val="baseline"/>
        </w:rPr>
        <w:t> </w:t>
      </w:r>
      <w:r>
        <w:rPr>
          <w:sz w:val="16"/>
          <w:vertAlign w:val="baseline"/>
        </w:rPr>
        <w:t>6,1</w:t>
      </w:r>
      <w:r>
        <w:rPr>
          <w:spacing w:val="-1"/>
          <w:sz w:val="16"/>
          <w:vertAlign w:val="baseline"/>
        </w:rPr>
        <w:t> </w:t>
      </w:r>
      <w:r>
        <w:rPr>
          <w:sz w:val="16"/>
          <w:vertAlign w:val="baseline"/>
        </w:rPr>
        <w:t>δισεκ. ευρώ,</w:t>
      </w:r>
      <w:r>
        <w:rPr>
          <w:spacing w:val="-1"/>
          <w:sz w:val="16"/>
          <w:vertAlign w:val="baseline"/>
        </w:rPr>
        <w:t> </w:t>
      </w:r>
      <w:r>
        <w:rPr>
          <w:sz w:val="16"/>
          <w:vertAlign w:val="baseline"/>
        </w:rPr>
        <w:t>παρουσιάζοντας μείωση</w:t>
      </w:r>
      <w:r>
        <w:rPr>
          <w:spacing w:val="-2"/>
          <w:sz w:val="16"/>
          <w:vertAlign w:val="baseline"/>
        </w:rPr>
        <w:t> </w:t>
      </w:r>
      <w:r>
        <w:rPr>
          <w:sz w:val="16"/>
          <w:vertAlign w:val="baseline"/>
        </w:rPr>
        <w:t>κατά 6,2%</w:t>
      </w:r>
      <w:r>
        <w:rPr>
          <w:spacing w:val="-1"/>
          <w:sz w:val="16"/>
          <w:vertAlign w:val="baseline"/>
        </w:rPr>
        <w:t> </w:t>
      </w:r>
      <w:r>
        <w:rPr>
          <w:sz w:val="16"/>
          <w:vertAlign w:val="baseline"/>
        </w:rPr>
        <w:t>ή</w:t>
      </w:r>
      <w:r>
        <w:rPr>
          <w:spacing w:val="-1"/>
          <w:sz w:val="16"/>
          <w:vertAlign w:val="baseline"/>
        </w:rPr>
        <w:t> </w:t>
      </w:r>
      <w:r>
        <w:rPr>
          <w:sz w:val="16"/>
          <w:vertAlign w:val="baseline"/>
        </w:rPr>
        <w:t>406 εκατ.</w:t>
      </w:r>
      <w:r>
        <w:rPr>
          <w:spacing w:val="40"/>
          <w:sz w:val="16"/>
          <w:vertAlign w:val="baseline"/>
        </w:rPr>
        <w:t> </w:t>
      </w:r>
      <w:r>
        <w:rPr>
          <w:sz w:val="16"/>
          <w:vertAlign w:val="baseline"/>
        </w:rPr>
        <w:t>ευρώ σε σχέση με το 2024.</w:t>
      </w:r>
    </w:p>
    <w:p>
      <w:pPr>
        <w:spacing w:after="0"/>
        <w:jc w:val="both"/>
        <w:rPr>
          <w:sz w:val="16"/>
        </w:rPr>
        <w:sectPr>
          <w:pgSz w:w="11910" w:h="16850"/>
          <w:pgMar w:header="0" w:footer="1108" w:top="1800" w:bottom="1300" w:left="1417" w:right="850"/>
        </w:sectPr>
      </w:pPr>
    </w:p>
    <w:p>
      <w:pPr>
        <w:pStyle w:val="BodyText"/>
        <w:spacing w:line="285" w:lineRule="auto" w:before="66"/>
        <w:ind w:left="172" w:right="956"/>
      </w:pPr>
      <w:r>
        <w:rPr/>
        <w:t>Η</w:t>
      </w:r>
      <w:r>
        <w:rPr>
          <w:spacing w:val="-1"/>
        </w:rPr>
        <w:t> </w:t>
      </w:r>
      <w:r>
        <w:rPr/>
        <w:t>μείωση</w:t>
      </w:r>
      <w:r>
        <w:rPr>
          <w:spacing w:val="-2"/>
        </w:rPr>
        <w:t> </w:t>
      </w:r>
      <w:r>
        <w:rPr/>
        <w:t>των</w:t>
      </w:r>
      <w:r>
        <w:rPr>
          <w:spacing w:val="-1"/>
        </w:rPr>
        <w:t> </w:t>
      </w:r>
      <w:r>
        <w:rPr/>
        <w:t>ΜΕΔ</w:t>
      </w:r>
      <w:r>
        <w:rPr>
          <w:spacing w:val="-3"/>
        </w:rPr>
        <w:t> </w:t>
      </w:r>
      <w:r>
        <w:rPr/>
        <w:t>το</w:t>
      </w:r>
      <w:r>
        <w:rPr>
          <w:spacing w:val="-1"/>
        </w:rPr>
        <w:t> </w:t>
      </w:r>
      <w:r>
        <w:rPr/>
        <w:t>2025 οφείλεται</w:t>
      </w:r>
      <w:r>
        <w:rPr>
          <w:spacing w:val="-2"/>
        </w:rPr>
        <w:t> </w:t>
      </w:r>
      <w:r>
        <w:rPr/>
        <w:t>κυρίως</w:t>
      </w:r>
      <w:r>
        <w:rPr>
          <w:spacing w:val="-3"/>
        </w:rPr>
        <w:t> </w:t>
      </w:r>
      <w:r>
        <w:rPr/>
        <w:t>σε</w:t>
      </w:r>
      <w:r>
        <w:rPr>
          <w:spacing w:val="-2"/>
        </w:rPr>
        <w:t> </w:t>
      </w:r>
      <w:r>
        <w:rPr/>
        <w:t>εισπράξεις, πωλήσεις</w:t>
      </w:r>
      <w:r>
        <w:rPr>
          <w:spacing w:val="-1"/>
        </w:rPr>
        <w:t> </w:t>
      </w:r>
      <w:r>
        <w:rPr/>
        <w:t>και</w:t>
      </w:r>
      <w:r>
        <w:rPr>
          <w:spacing w:val="-2"/>
        </w:rPr>
        <w:t> </w:t>
      </w:r>
      <w:r>
        <w:rPr/>
        <w:t>διαγραφές</w:t>
      </w:r>
      <w:r>
        <w:rPr>
          <w:spacing w:val="-1"/>
        </w:rPr>
        <w:t> </w:t>
      </w:r>
      <w:r>
        <w:rPr/>
        <w:t>δανείων</w:t>
      </w:r>
      <w:hyperlink w:history="true" w:anchor="_bookmark52">
        <w:r>
          <w:rPr>
            <w:position w:val="6"/>
            <w:sz w:val="10"/>
          </w:rPr>
          <w:t>34</w:t>
        </w:r>
      </w:hyperlink>
      <w:r>
        <w:rPr>
          <w:spacing w:val="40"/>
          <w:position w:val="6"/>
          <w:sz w:val="10"/>
        </w:rPr>
        <w:t> </w:t>
      </w:r>
      <w:r>
        <w:rPr/>
        <w:t>(βλ. Διάγραμμα ΙΙΙ.3), ενώ οι ρευστοποιήσεις καλυμμάτων ήταν περιορισμένες.</w:t>
      </w:r>
    </w:p>
    <w:p>
      <w:pPr>
        <w:pStyle w:val="BodyText"/>
        <w:spacing w:before="2"/>
        <w:rPr>
          <w:sz w:val="5"/>
        </w:rPr>
      </w:pPr>
      <w:r>
        <w:rPr>
          <w:sz w:val="5"/>
        </w:rPr>
        <mc:AlternateContent>
          <mc:Choice Requires="wps">
            <w:drawing>
              <wp:anchor distT="0" distB="0" distL="0" distR="0" allowOverlap="1" layoutInCell="1" locked="0" behindDoc="1" simplePos="0" relativeHeight="487617024">
                <wp:simplePos x="0" y="0"/>
                <wp:positionH relativeFrom="page">
                  <wp:posOffset>1009192</wp:posOffset>
                </wp:positionH>
                <wp:positionV relativeFrom="paragraph">
                  <wp:posOffset>53029</wp:posOffset>
                </wp:positionV>
                <wp:extent cx="5400675" cy="215265"/>
                <wp:effectExtent l="0" t="0" r="0" b="0"/>
                <wp:wrapTopAndBottom/>
                <wp:docPr id="222" name="Textbox 222"/>
                <wp:cNvGraphicFramePr>
                  <a:graphicFrameLocks/>
                </wp:cNvGraphicFramePr>
                <a:graphic>
                  <a:graphicData uri="http://schemas.microsoft.com/office/word/2010/wordprocessingShape">
                    <wps:wsp>
                      <wps:cNvPr id="222" name="Textbox 222"/>
                      <wps:cNvSpPr txBox="1"/>
                      <wps:spPr>
                        <a:xfrm>
                          <a:off x="0" y="0"/>
                          <a:ext cx="5400675" cy="215265"/>
                        </a:xfrm>
                        <a:prstGeom prst="rect">
                          <a:avLst/>
                        </a:prstGeom>
                        <a:solidFill>
                          <a:srgbClr val="1F487C"/>
                        </a:solidFill>
                      </wps:spPr>
                      <wps:txbx>
                        <w:txbxContent>
                          <w:p>
                            <w:pPr>
                              <w:spacing w:before="64"/>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4"/>
                                <w:sz w:val="18"/>
                              </w:rPr>
                              <w:t> </w:t>
                            </w:r>
                            <w:r>
                              <w:rPr>
                                <w:b/>
                                <w:smallCaps w:val="0"/>
                                <w:color w:val="FFFFFF"/>
                                <w:sz w:val="18"/>
                              </w:rPr>
                              <w:t>III.3</w:t>
                            </w:r>
                            <w:r>
                              <w:rPr>
                                <w:b/>
                                <w:smallCaps w:val="0"/>
                                <w:color w:val="FFFFFF"/>
                                <w:spacing w:val="-4"/>
                                <w:sz w:val="18"/>
                              </w:rPr>
                              <w:t> </w:t>
                            </w:r>
                            <w:r>
                              <w:rPr>
                                <w:b/>
                                <w:smallCaps w:val="0"/>
                                <w:color w:val="FFFFFF"/>
                                <w:sz w:val="18"/>
                              </w:rPr>
                              <w:t>Εξέλ</w:t>
                            </w:r>
                            <w:r>
                              <w:rPr>
                                <w:b/>
                                <w:smallCaps/>
                                <w:color w:val="FFFFFF"/>
                                <w:sz w:val="18"/>
                              </w:rPr>
                              <w:t>ι</w:t>
                            </w:r>
                            <w:r>
                              <w:rPr>
                                <w:b/>
                                <w:smallCaps w:val="0"/>
                                <w:color w:val="FFFFFF"/>
                                <w:sz w:val="18"/>
                              </w:rPr>
                              <w:t>ξη</w:t>
                            </w:r>
                            <w:r>
                              <w:rPr>
                                <w:b/>
                                <w:smallCaps w:val="0"/>
                                <w:color w:val="FFFFFF"/>
                                <w:spacing w:val="-2"/>
                                <w:sz w:val="18"/>
                              </w:rPr>
                              <w:t> </w:t>
                            </w:r>
                            <w:r>
                              <w:rPr>
                                <w:b/>
                                <w:smallCaps w:val="0"/>
                                <w:color w:val="FFFFFF"/>
                                <w:sz w:val="18"/>
                              </w:rPr>
                              <w:t>μη</w:t>
                            </w:r>
                            <w:r>
                              <w:rPr>
                                <w:b/>
                                <w:smallCaps w:val="0"/>
                                <w:color w:val="FFFFFF"/>
                                <w:spacing w:val="-2"/>
                                <w:sz w:val="18"/>
                              </w:rPr>
                              <w:t> </w:t>
                            </w:r>
                            <w:r>
                              <w:rPr>
                                <w:b/>
                                <w:smallCaps w:val="0"/>
                                <w:color w:val="FFFFFF"/>
                                <w:sz w:val="18"/>
                              </w:rPr>
                              <w:t>εξυπηρετούμενων</w:t>
                            </w:r>
                            <w:r>
                              <w:rPr>
                                <w:b/>
                                <w:smallCaps w:val="0"/>
                                <w:color w:val="FFFFFF"/>
                                <w:spacing w:val="-2"/>
                                <w:sz w:val="18"/>
                              </w:rPr>
                              <w:t> </w:t>
                            </w:r>
                            <w:r>
                              <w:rPr>
                                <w:b/>
                                <w:smallCaps w:val="0"/>
                                <w:color w:val="FFFFFF"/>
                                <w:sz w:val="18"/>
                              </w:rPr>
                              <w:t>δανείων</w:t>
                            </w:r>
                            <w:r>
                              <w:rPr>
                                <w:b/>
                                <w:smallCaps w:val="0"/>
                                <w:color w:val="FFFFFF"/>
                                <w:spacing w:val="-4"/>
                                <w:sz w:val="18"/>
                              </w:rPr>
                              <w:t> 2025</w:t>
                            </w:r>
                          </w:p>
                        </w:txbxContent>
                      </wps:txbx>
                      <wps:bodyPr wrap="square" lIns="0" tIns="0" rIns="0" bIns="0" rtlCol="0">
                        <a:noAutofit/>
                      </wps:bodyPr>
                    </wps:wsp>
                  </a:graphicData>
                </a:graphic>
              </wp:anchor>
            </w:drawing>
          </mc:Choice>
          <mc:Fallback>
            <w:pict>
              <v:shape style="position:absolute;margin-left:79.463997pt;margin-top:4.175557pt;width:425.25pt;height:16.95pt;mso-position-horizontal-relative:page;mso-position-vertical-relative:paragraph;z-index:-15699456;mso-wrap-distance-left:0;mso-wrap-distance-right:0" type="#_x0000_t202" id="docshape204" filled="true" fillcolor="#1f487c" stroked="false">
                <v:textbox inset="0,0,0,0">
                  <w:txbxContent>
                    <w:p>
                      <w:pPr>
                        <w:spacing w:before="64"/>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4"/>
                          <w:sz w:val="18"/>
                        </w:rPr>
                        <w:t> </w:t>
                      </w:r>
                      <w:r>
                        <w:rPr>
                          <w:b/>
                          <w:smallCaps w:val="0"/>
                          <w:color w:val="FFFFFF"/>
                          <w:sz w:val="18"/>
                        </w:rPr>
                        <w:t>III.3</w:t>
                      </w:r>
                      <w:r>
                        <w:rPr>
                          <w:b/>
                          <w:smallCaps w:val="0"/>
                          <w:color w:val="FFFFFF"/>
                          <w:spacing w:val="-4"/>
                          <w:sz w:val="18"/>
                        </w:rPr>
                        <w:t> </w:t>
                      </w:r>
                      <w:r>
                        <w:rPr>
                          <w:b/>
                          <w:smallCaps w:val="0"/>
                          <w:color w:val="FFFFFF"/>
                          <w:sz w:val="18"/>
                        </w:rPr>
                        <w:t>Εξέλ</w:t>
                      </w:r>
                      <w:r>
                        <w:rPr>
                          <w:b/>
                          <w:smallCaps/>
                          <w:color w:val="FFFFFF"/>
                          <w:sz w:val="18"/>
                        </w:rPr>
                        <w:t>ι</w:t>
                      </w:r>
                      <w:r>
                        <w:rPr>
                          <w:b/>
                          <w:smallCaps w:val="0"/>
                          <w:color w:val="FFFFFF"/>
                          <w:sz w:val="18"/>
                        </w:rPr>
                        <w:t>ξη</w:t>
                      </w:r>
                      <w:r>
                        <w:rPr>
                          <w:b/>
                          <w:smallCaps w:val="0"/>
                          <w:color w:val="FFFFFF"/>
                          <w:spacing w:val="-2"/>
                          <w:sz w:val="18"/>
                        </w:rPr>
                        <w:t> </w:t>
                      </w:r>
                      <w:r>
                        <w:rPr>
                          <w:b/>
                          <w:smallCaps w:val="0"/>
                          <w:color w:val="FFFFFF"/>
                          <w:sz w:val="18"/>
                        </w:rPr>
                        <w:t>μη</w:t>
                      </w:r>
                      <w:r>
                        <w:rPr>
                          <w:b/>
                          <w:smallCaps w:val="0"/>
                          <w:color w:val="FFFFFF"/>
                          <w:spacing w:val="-2"/>
                          <w:sz w:val="18"/>
                        </w:rPr>
                        <w:t> </w:t>
                      </w:r>
                      <w:r>
                        <w:rPr>
                          <w:b/>
                          <w:smallCaps w:val="0"/>
                          <w:color w:val="FFFFFF"/>
                          <w:sz w:val="18"/>
                        </w:rPr>
                        <w:t>εξυπηρετούμενων</w:t>
                      </w:r>
                      <w:r>
                        <w:rPr>
                          <w:b/>
                          <w:smallCaps w:val="0"/>
                          <w:color w:val="FFFFFF"/>
                          <w:spacing w:val="-2"/>
                          <w:sz w:val="18"/>
                        </w:rPr>
                        <w:t> </w:t>
                      </w:r>
                      <w:r>
                        <w:rPr>
                          <w:b/>
                          <w:smallCaps w:val="0"/>
                          <w:color w:val="FFFFFF"/>
                          <w:sz w:val="18"/>
                        </w:rPr>
                        <w:t>δανείων</w:t>
                      </w:r>
                      <w:r>
                        <w:rPr>
                          <w:b/>
                          <w:smallCaps w:val="0"/>
                          <w:color w:val="FFFFFF"/>
                          <w:spacing w:val="-4"/>
                          <w:sz w:val="18"/>
                        </w:rPr>
                        <w:t> 2025</w:t>
                      </w:r>
                    </w:p>
                  </w:txbxContent>
                </v:textbox>
                <v:fill type="solid"/>
                <w10:wrap type="topAndBottom"/>
              </v:shape>
            </w:pict>
          </mc:Fallback>
        </mc:AlternateContent>
      </w:r>
    </w:p>
    <w:p>
      <w:pPr>
        <w:spacing w:before="119" w:after="61"/>
        <w:ind w:left="337" w:right="0" w:firstLine="0"/>
        <w:jc w:val="left"/>
        <w:rPr>
          <w:sz w:val="14"/>
        </w:rPr>
      </w:pPr>
      <w:r>
        <w:rPr>
          <w:color w:val="1F487C"/>
          <w:sz w:val="14"/>
        </w:rPr>
        <w:t>(δισεκ.</w:t>
      </w:r>
      <w:r>
        <w:rPr>
          <w:color w:val="1F487C"/>
          <w:spacing w:val="-5"/>
          <w:sz w:val="14"/>
        </w:rPr>
        <w:t> </w:t>
      </w:r>
      <w:r>
        <w:rPr>
          <w:color w:val="1F487C"/>
          <w:spacing w:val="-2"/>
          <w:sz w:val="14"/>
        </w:rPr>
        <w:t>ευρώ)</w:t>
      </w:r>
    </w:p>
    <w:p>
      <w:pPr>
        <w:spacing w:line="240" w:lineRule="auto"/>
        <w:ind w:left="172" w:right="0" w:firstLine="0"/>
        <w:rPr>
          <w:sz w:val="20"/>
        </w:rPr>
      </w:pPr>
      <w:r>
        <w:rPr>
          <w:sz w:val="20"/>
        </w:rPr>
        <mc:AlternateContent>
          <mc:Choice Requires="wps">
            <w:drawing>
              <wp:inline distT="0" distB="0" distL="0" distR="0">
                <wp:extent cx="5400675" cy="2780030"/>
                <wp:effectExtent l="0" t="0" r="0" b="1269"/>
                <wp:docPr id="223" name="Group 223"/>
                <wp:cNvGraphicFramePr>
                  <a:graphicFrameLocks/>
                </wp:cNvGraphicFramePr>
                <a:graphic>
                  <a:graphicData uri="http://schemas.microsoft.com/office/word/2010/wordprocessingGroup">
                    <wpg:wgp>
                      <wpg:cNvPr id="223" name="Group 223"/>
                      <wpg:cNvGrpSpPr/>
                      <wpg:grpSpPr>
                        <a:xfrm>
                          <a:off x="0" y="0"/>
                          <a:ext cx="5400675" cy="2780030"/>
                          <a:chExt cx="5400675" cy="2780030"/>
                        </a:xfrm>
                      </wpg:grpSpPr>
                      <wps:wsp>
                        <wps:cNvPr id="224" name="Graphic 224"/>
                        <wps:cNvSpPr/>
                        <wps:spPr>
                          <a:xfrm>
                            <a:off x="177" y="0"/>
                            <a:ext cx="5400675" cy="2780030"/>
                          </a:xfrm>
                          <a:custGeom>
                            <a:avLst/>
                            <a:gdLst/>
                            <a:ahLst/>
                            <a:cxnLst/>
                            <a:rect l="l" t="t" r="r" b="b"/>
                            <a:pathLst>
                              <a:path w="5400675" h="2780030">
                                <a:moveTo>
                                  <a:pt x="5400421" y="0"/>
                                </a:moveTo>
                                <a:lnTo>
                                  <a:pt x="0" y="0"/>
                                </a:lnTo>
                                <a:lnTo>
                                  <a:pt x="0" y="2078990"/>
                                </a:lnTo>
                                <a:lnTo>
                                  <a:pt x="0" y="2780030"/>
                                </a:lnTo>
                                <a:lnTo>
                                  <a:pt x="5400421" y="2780030"/>
                                </a:lnTo>
                                <a:lnTo>
                                  <a:pt x="5400421" y="2078990"/>
                                </a:lnTo>
                                <a:lnTo>
                                  <a:pt x="5400421" y="0"/>
                                </a:lnTo>
                                <a:close/>
                              </a:path>
                            </a:pathLst>
                          </a:custGeom>
                          <a:solidFill>
                            <a:srgbClr val="D9D9D9"/>
                          </a:solidFill>
                        </wps:spPr>
                        <wps:bodyPr wrap="square" lIns="0" tIns="0" rIns="0" bIns="0" rtlCol="0">
                          <a:prstTxWarp prst="textNoShape">
                            <a:avLst/>
                          </a:prstTxWarp>
                          <a:noAutofit/>
                        </wps:bodyPr>
                      </wps:wsp>
                      <pic:pic>
                        <pic:nvPicPr>
                          <pic:cNvPr id="225" name="Image 225"/>
                          <pic:cNvPicPr/>
                        </pic:nvPicPr>
                        <pic:blipFill>
                          <a:blip r:embed="rId44" cstate="print"/>
                          <a:stretch>
                            <a:fillRect/>
                          </a:stretch>
                        </pic:blipFill>
                        <pic:spPr>
                          <a:xfrm>
                            <a:off x="0" y="126"/>
                            <a:ext cx="5399278" cy="2078227"/>
                          </a:xfrm>
                          <a:prstGeom prst="rect">
                            <a:avLst/>
                          </a:prstGeom>
                        </pic:spPr>
                      </pic:pic>
                      <wps:wsp>
                        <wps:cNvPr id="226" name="Textbox 226"/>
                        <wps:cNvSpPr txBox="1"/>
                        <wps:spPr>
                          <a:xfrm>
                            <a:off x="177" y="0"/>
                            <a:ext cx="5400675" cy="278003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2"/>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p>
                              <w:pPr>
                                <w:spacing w:before="120"/>
                                <w:ind w:left="112" w:right="0" w:firstLine="0"/>
                                <w:jc w:val="left"/>
                                <w:rPr>
                                  <w:sz w:val="14"/>
                                </w:rPr>
                              </w:pPr>
                              <w:r>
                                <w:rPr>
                                  <w:sz w:val="14"/>
                                </w:rPr>
                                <w:t>Σημειώσεις:</w:t>
                              </w:r>
                              <w:r>
                                <w:rPr>
                                  <w:spacing w:val="-3"/>
                                  <w:sz w:val="14"/>
                                </w:rPr>
                                <w:t> </w:t>
                              </w:r>
                              <w:r>
                                <w:rPr>
                                  <w:sz w:val="14"/>
                                </w:rPr>
                                <w:t>Στις</w:t>
                              </w:r>
                              <w:r>
                                <w:rPr>
                                  <w:spacing w:val="-3"/>
                                  <w:sz w:val="14"/>
                                </w:rPr>
                                <w:t> </w:t>
                              </w:r>
                              <w:r>
                                <w:rPr>
                                  <w:sz w:val="14"/>
                                </w:rPr>
                                <w:t>κατηγορίες</w:t>
                              </w:r>
                              <w:r>
                                <w:rPr>
                                  <w:spacing w:val="-3"/>
                                  <w:sz w:val="14"/>
                                </w:rPr>
                                <w:t> </w:t>
                              </w:r>
                              <w:r>
                                <w:rPr>
                                  <w:sz w:val="14"/>
                                </w:rPr>
                                <w:t>“Ρευστοποιήσεις”</w:t>
                              </w:r>
                              <w:r>
                                <w:rPr>
                                  <w:spacing w:val="-2"/>
                                  <w:sz w:val="14"/>
                                </w:rPr>
                                <w:t> </w:t>
                              </w:r>
                              <w:r>
                                <w:rPr>
                                  <w:sz w:val="14"/>
                                </w:rPr>
                                <w:t>και</w:t>
                              </w:r>
                              <w:r>
                                <w:rPr>
                                  <w:spacing w:val="-2"/>
                                  <w:sz w:val="14"/>
                                </w:rPr>
                                <w:t> </w:t>
                              </w:r>
                              <w:r>
                                <w:rPr>
                                  <w:sz w:val="14"/>
                                </w:rPr>
                                <w:t>“Πωλήσεις”</w:t>
                              </w:r>
                              <w:r>
                                <w:rPr>
                                  <w:spacing w:val="-2"/>
                                  <w:sz w:val="14"/>
                                </w:rPr>
                                <w:t> </w:t>
                              </w:r>
                              <w:r>
                                <w:rPr>
                                  <w:sz w:val="14"/>
                                </w:rPr>
                                <w:t>συμπεριλαμβάνονται</w:t>
                              </w:r>
                              <w:r>
                                <w:rPr>
                                  <w:spacing w:val="-2"/>
                                  <w:sz w:val="14"/>
                                </w:rPr>
                                <w:t> </w:t>
                              </w:r>
                              <w:r>
                                <w:rPr>
                                  <w:sz w:val="14"/>
                                </w:rPr>
                                <w:t>τυχόν</w:t>
                              </w:r>
                              <w:r>
                                <w:rPr>
                                  <w:spacing w:val="-3"/>
                                  <w:sz w:val="14"/>
                                </w:rPr>
                                <w:t> </w:t>
                              </w:r>
                              <w:r>
                                <w:rPr>
                                  <w:sz w:val="14"/>
                                </w:rPr>
                                <w:t>ποσά</w:t>
                              </w:r>
                              <w:r>
                                <w:rPr>
                                  <w:spacing w:val="-4"/>
                                  <w:sz w:val="14"/>
                                </w:rPr>
                                <w:t> </w:t>
                              </w:r>
                              <w:r>
                                <w:rPr>
                                  <w:sz w:val="14"/>
                                </w:rPr>
                                <w:t>μερικής</w:t>
                              </w:r>
                              <w:r>
                                <w:rPr>
                                  <w:spacing w:val="-3"/>
                                  <w:sz w:val="14"/>
                                </w:rPr>
                                <w:t> </w:t>
                              </w:r>
                              <w:r>
                                <w:rPr>
                                  <w:sz w:val="14"/>
                                </w:rPr>
                                <w:t>διαγραφής</w:t>
                              </w:r>
                              <w:r>
                                <w:rPr>
                                  <w:spacing w:val="-3"/>
                                  <w:sz w:val="14"/>
                                </w:rPr>
                                <w:t> </w:t>
                              </w:r>
                              <w:r>
                                <w:rPr>
                                  <w:sz w:val="14"/>
                                </w:rPr>
                                <w:t>που</w:t>
                              </w:r>
                              <w:r>
                                <w:rPr>
                                  <w:spacing w:val="-2"/>
                                  <w:sz w:val="14"/>
                                </w:rPr>
                                <w:t> </w:t>
                              </w:r>
                              <w:r>
                                <w:rPr>
                                  <w:sz w:val="14"/>
                                </w:rPr>
                                <w:t>σχετίζονται</w:t>
                              </w:r>
                              <w:r>
                                <w:rPr>
                                  <w:spacing w:val="-2"/>
                                  <w:sz w:val="14"/>
                                </w:rPr>
                                <w:t> </w:t>
                              </w:r>
                              <w:r>
                                <w:rPr>
                                  <w:sz w:val="14"/>
                                </w:rPr>
                                <w:t>με</w:t>
                              </w:r>
                              <w:r>
                                <w:rPr>
                                  <w:spacing w:val="-3"/>
                                  <w:sz w:val="14"/>
                                </w:rPr>
                                <w:t> </w:t>
                              </w:r>
                              <w:r>
                                <w:rPr>
                                  <w:sz w:val="14"/>
                                </w:rPr>
                                <w:t>τις</w:t>
                              </w:r>
                              <w:r>
                                <w:rPr>
                                  <w:spacing w:val="-3"/>
                                  <w:sz w:val="14"/>
                                </w:rPr>
                                <w:t> </w:t>
                              </w:r>
                              <w:r>
                                <w:rPr>
                                  <w:sz w:val="14"/>
                                </w:rPr>
                                <w:t>εν</w:t>
                              </w:r>
                              <w:r>
                                <w:rPr>
                                  <w:spacing w:val="-3"/>
                                  <w:sz w:val="14"/>
                                </w:rPr>
                                <w:t> </w:t>
                              </w:r>
                              <w:r>
                                <w:rPr>
                                  <w:sz w:val="14"/>
                                </w:rPr>
                                <w:t>λόγω</w:t>
                              </w:r>
                              <w:r>
                                <w:rPr>
                                  <w:spacing w:val="40"/>
                                  <w:sz w:val="14"/>
                                </w:rPr>
                                <w:t> </w:t>
                              </w:r>
                              <w:r>
                                <w:rPr>
                                  <w:sz w:val="14"/>
                                </w:rPr>
                                <w:t>κατηγορίες. Η κατηγορία “Διαγραφές” περιλαμβάνει αμιγώς διαγραφές δανείων. Οι συναλλαγές πώλησης ΜΕΔ απευθείας ή μέσω τιτλοποιήσεων</w:t>
                              </w:r>
                              <w:r>
                                <w:rPr>
                                  <w:spacing w:val="40"/>
                                  <w:sz w:val="14"/>
                                </w:rPr>
                                <w:t> </w:t>
                              </w:r>
                              <w:r>
                                <w:rPr>
                                  <w:sz w:val="14"/>
                                </w:rPr>
                                <w:t>περιλαμβάνονται στις κατηγορίες “Πωλήσεις” και “Λοιπά”. Η κατηγορία “Εκταμιεύσεις/Αγορές/ Κεφαλαιοποιήσεις τόκων” περιλαμβάνει τους</w:t>
                              </w:r>
                              <w:r>
                                <w:rPr>
                                  <w:spacing w:val="40"/>
                                  <w:sz w:val="14"/>
                                </w:rPr>
                                <w:t> </w:t>
                              </w:r>
                              <w:r>
                                <w:rPr>
                                  <w:sz w:val="14"/>
                                </w:rPr>
                                <w:t>δεδουλευμένους τόκους, την αγορά δανείων και την κεφαλαιοποίηση καθυστερούμενων οφειλών.</w:t>
                              </w:r>
                            </w:p>
                          </w:txbxContent>
                        </wps:txbx>
                        <wps:bodyPr wrap="square" lIns="0" tIns="0" rIns="0" bIns="0" rtlCol="0">
                          <a:noAutofit/>
                        </wps:bodyPr>
                      </wps:wsp>
                    </wpg:wgp>
                  </a:graphicData>
                </a:graphic>
              </wp:inline>
            </w:drawing>
          </mc:Choice>
          <mc:Fallback>
            <w:pict>
              <v:group style="width:425.25pt;height:218.9pt;mso-position-horizontal-relative:char;mso-position-vertical-relative:line" id="docshapegroup205" coordorigin="0,0" coordsize="8505,4378">
                <v:shape style="position:absolute;left:0;top:0;width:8505;height:4378" id="docshape206" coordorigin="0,0" coordsize="8505,4378" path="m8505,0l0,0,0,3274,0,4378,8505,4378,8505,3274,8505,0xe" filled="true" fillcolor="#d9d9d9" stroked="false">
                  <v:path arrowok="t"/>
                  <v:fill type="solid"/>
                </v:shape>
                <v:shape style="position:absolute;left:0;top:0;width:8503;height:3273" type="#_x0000_t75" id="docshape207" stroked="false">
                  <v:imagedata r:id="rId44" o:title=""/>
                </v:shape>
                <v:shape style="position:absolute;left:0;top:0;width:8505;height:4378" type="#_x0000_t202" id="docshape208"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2"/>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p>
                        <w:pPr>
                          <w:spacing w:before="120"/>
                          <w:ind w:left="112" w:right="0" w:firstLine="0"/>
                          <w:jc w:val="left"/>
                          <w:rPr>
                            <w:sz w:val="14"/>
                          </w:rPr>
                        </w:pPr>
                        <w:r>
                          <w:rPr>
                            <w:sz w:val="14"/>
                          </w:rPr>
                          <w:t>Σημειώσεις:</w:t>
                        </w:r>
                        <w:r>
                          <w:rPr>
                            <w:spacing w:val="-3"/>
                            <w:sz w:val="14"/>
                          </w:rPr>
                          <w:t> </w:t>
                        </w:r>
                        <w:r>
                          <w:rPr>
                            <w:sz w:val="14"/>
                          </w:rPr>
                          <w:t>Στις</w:t>
                        </w:r>
                        <w:r>
                          <w:rPr>
                            <w:spacing w:val="-3"/>
                            <w:sz w:val="14"/>
                          </w:rPr>
                          <w:t> </w:t>
                        </w:r>
                        <w:r>
                          <w:rPr>
                            <w:sz w:val="14"/>
                          </w:rPr>
                          <w:t>κατηγορίες</w:t>
                        </w:r>
                        <w:r>
                          <w:rPr>
                            <w:spacing w:val="-3"/>
                            <w:sz w:val="14"/>
                          </w:rPr>
                          <w:t> </w:t>
                        </w:r>
                        <w:r>
                          <w:rPr>
                            <w:sz w:val="14"/>
                          </w:rPr>
                          <w:t>“Ρευστοποιήσεις”</w:t>
                        </w:r>
                        <w:r>
                          <w:rPr>
                            <w:spacing w:val="-2"/>
                            <w:sz w:val="14"/>
                          </w:rPr>
                          <w:t> </w:t>
                        </w:r>
                        <w:r>
                          <w:rPr>
                            <w:sz w:val="14"/>
                          </w:rPr>
                          <w:t>και</w:t>
                        </w:r>
                        <w:r>
                          <w:rPr>
                            <w:spacing w:val="-2"/>
                            <w:sz w:val="14"/>
                          </w:rPr>
                          <w:t> </w:t>
                        </w:r>
                        <w:r>
                          <w:rPr>
                            <w:sz w:val="14"/>
                          </w:rPr>
                          <w:t>“Πωλήσεις”</w:t>
                        </w:r>
                        <w:r>
                          <w:rPr>
                            <w:spacing w:val="-2"/>
                            <w:sz w:val="14"/>
                          </w:rPr>
                          <w:t> </w:t>
                        </w:r>
                        <w:r>
                          <w:rPr>
                            <w:sz w:val="14"/>
                          </w:rPr>
                          <w:t>συμπεριλαμβάνονται</w:t>
                        </w:r>
                        <w:r>
                          <w:rPr>
                            <w:spacing w:val="-2"/>
                            <w:sz w:val="14"/>
                          </w:rPr>
                          <w:t> </w:t>
                        </w:r>
                        <w:r>
                          <w:rPr>
                            <w:sz w:val="14"/>
                          </w:rPr>
                          <w:t>τυχόν</w:t>
                        </w:r>
                        <w:r>
                          <w:rPr>
                            <w:spacing w:val="-3"/>
                            <w:sz w:val="14"/>
                          </w:rPr>
                          <w:t> </w:t>
                        </w:r>
                        <w:r>
                          <w:rPr>
                            <w:sz w:val="14"/>
                          </w:rPr>
                          <w:t>ποσά</w:t>
                        </w:r>
                        <w:r>
                          <w:rPr>
                            <w:spacing w:val="-4"/>
                            <w:sz w:val="14"/>
                          </w:rPr>
                          <w:t> </w:t>
                        </w:r>
                        <w:r>
                          <w:rPr>
                            <w:sz w:val="14"/>
                          </w:rPr>
                          <w:t>μερικής</w:t>
                        </w:r>
                        <w:r>
                          <w:rPr>
                            <w:spacing w:val="-3"/>
                            <w:sz w:val="14"/>
                          </w:rPr>
                          <w:t> </w:t>
                        </w:r>
                        <w:r>
                          <w:rPr>
                            <w:sz w:val="14"/>
                          </w:rPr>
                          <w:t>διαγραφής</w:t>
                        </w:r>
                        <w:r>
                          <w:rPr>
                            <w:spacing w:val="-3"/>
                            <w:sz w:val="14"/>
                          </w:rPr>
                          <w:t> </w:t>
                        </w:r>
                        <w:r>
                          <w:rPr>
                            <w:sz w:val="14"/>
                          </w:rPr>
                          <w:t>που</w:t>
                        </w:r>
                        <w:r>
                          <w:rPr>
                            <w:spacing w:val="-2"/>
                            <w:sz w:val="14"/>
                          </w:rPr>
                          <w:t> </w:t>
                        </w:r>
                        <w:r>
                          <w:rPr>
                            <w:sz w:val="14"/>
                          </w:rPr>
                          <w:t>σχετίζονται</w:t>
                        </w:r>
                        <w:r>
                          <w:rPr>
                            <w:spacing w:val="-2"/>
                            <w:sz w:val="14"/>
                          </w:rPr>
                          <w:t> </w:t>
                        </w:r>
                        <w:r>
                          <w:rPr>
                            <w:sz w:val="14"/>
                          </w:rPr>
                          <w:t>με</w:t>
                        </w:r>
                        <w:r>
                          <w:rPr>
                            <w:spacing w:val="-3"/>
                            <w:sz w:val="14"/>
                          </w:rPr>
                          <w:t> </w:t>
                        </w:r>
                        <w:r>
                          <w:rPr>
                            <w:sz w:val="14"/>
                          </w:rPr>
                          <w:t>τις</w:t>
                        </w:r>
                        <w:r>
                          <w:rPr>
                            <w:spacing w:val="-3"/>
                            <w:sz w:val="14"/>
                          </w:rPr>
                          <w:t> </w:t>
                        </w:r>
                        <w:r>
                          <w:rPr>
                            <w:sz w:val="14"/>
                          </w:rPr>
                          <w:t>εν</w:t>
                        </w:r>
                        <w:r>
                          <w:rPr>
                            <w:spacing w:val="-3"/>
                            <w:sz w:val="14"/>
                          </w:rPr>
                          <w:t> </w:t>
                        </w:r>
                        <w:r>
                          <w:rPr>
                            <w:sz w:val="14"/>
                          </w:rPr>
                          <w:t>λόγω</w:t>
                        </w:r>
                        <w:r>
                          <w:rPr>
                            <w:spacing w:val="40"/>
                            <w:sz w:val="14"/>
                          </w:rPr>
                          <w:t> </w:t>
                        </w:r>
                        <w:r>
                          <w:rPr>
                            <w:sz w:val="14"/>
                          </w:rPr>
                          <w:t>κατηγορίες. Η κατηγορία “Διαγραφές” περιλαμβάνει αμιγώς διαγραφές δανείων. Οι συναλλαγές πώλησης ΜΕΔ απευθείας ή μέσω τιτλοποιήσεων</w:t>
                        </w:r>
                        <w:r>
                          <w:rPr>
                            <w:spacing w:val="40"/>
                            <w:sz w:val="14"/>
                          </w:rPr>
                          <w:t> </w:t>
                        </w:r>
                        <w:r>
                          <w:rPr>
                            <w:sz w:val="14"/>
                          </w:rPr>
                          <w:t>περιλαμβάνονται στις κατηγορίες “Πωλήσεις” και “Λοιπά”. Η κατηγορία “Εκταμιεύσεις/Αγορές/ Κεφαλαιοποιήσεις τόκων” περιλαμβάνει τους</w:t>
                        </w:r>
                        <w:r>
                          <w:rPr>
                            <w:spacing w:val="40"/>
                            <w:sz w:val="14"/>
                          </w:rPr>
                          <w:t> </w:t>
                        </w:r>
                        <w:r>
                          <w:rPr>
                            <w:sz w:val="14"/>
                          </w:rPr>
                          <w:t>δεδουλευμένους τόκους, την αγορά δανείων και την κεφαλαιοποίηση καθυστερούμενων οφειλών.</w:t>
                        </w:r>
                      </w:p>
                    </w:txbxContent>
                  </v:textbox>
                  <w10:wrap type="none"/>
                </v:shape>
              </v:group>
            </w:pict>
          </mc:Fallback>
        </mc:AlternateContent>
      </w:r>
      <w:r>
        <w:rPr>
          <w:sz w:val="20"/>
        </w:rPr>
      </w:r>
    </w:p>
    <w:p>
      <w:pPr>
        <w:pStyle w:val="BodyText"/>
        <w:spacing w:line="285" w:lineRule="auto" w:before="127"/>
        <w:ind w:left="172" w:right="953"/>
        <w:jc w:val="both"/>
      </w:pPr>
      <w:r>
        <w:rPr/>
        <w:t>Εντούτοις, επισημαίνεται ότι η καθαρή εισροή νέων ΜΕΔ το 2025 (το άθροισμα των “νέων ΜΕΔ” και των “εκταμιεύσεων” μείον τα “αναταξινομημένα προς εξυπηρετούμενα”) (βλ. Διά-γραμμα ΙΙΙ.3) είναι θετική.</w:t>
      </w:r>
    </w:p>
    <w:p>
      <w:pPr>
        <w:pStyle w:val="BodyText"/>
        <w:spacing w:line="285" w:lineRule="auto" w:before="118"/>
        <w:ind w:left="172" w:right="956"/>
        <w:jc w:val="both"/>
      </w:pPr>
      <w:r>
        <w:rPr/>
        <mc:AlternateContent>
          <mc:Choice Requires="wps">
            <w:drawing>
              <wp:anchor distT="0" distB="0" distL="0" distR="0" allowOverlap="1" layoutInCell="1" locked="0" behindDoc="0" simplePos="0" relativeHeight="15759872">
                <wp:simplePos x="0" y="0"/>
                <wp:positionH relativeFrom="page">
                  <wp:posOffset>3667378</wp:posOffset>
                </wp:positionH>
                <wp:positionV relativeFrom="paragraph">
                  <wp:posOffset>1044998</wp:posOffset>
                </wp:positionV>
                <wp:extent cx="2733675" cy="33845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733675" cy="338455"/>
                        </a:xfrm>
                        <a:prstGeom prst="rect">
                          <a:avLst/>
                        </a:prstGeom>
                        <a:solidFill>
                          <a:srgbClr val="1F487C"/>
                        </a:solidFill>
                      </wps:spPr>
                      <wps:txbx>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III.4</w:t>
                            </w:r>
                            <w:r>
                              <w:rPr>
                                <w:b/>
                                <w:smallCaps w:val="0"/>
                                <w:color w:val="FFFFFF"/>
                                <w:spacing w:val="-9"/>
                                <w:sz w:val="18"/>
                              </w:rPr>
                              <w:t> </w:t>
                            </w:r>
                            <w:r>
                              <w:rPr>
                                <w:b/>
                                <w:smallCaps w:val="0"/>
                                <w:color w:val="FFFFFF"/>
                                <w:sz w:val="18"/>
                              </w:rPr>
                              <w:t>Κατανομή</w:t>
                            </w:r>
                            <w:r>
                              <w:rPr>
                                <w:b/>
                                <w:smallCaps w:val="0"/>
                                <w:color w:val="FFFFFF"/>
                                <w:spacing w:val="-7"/>
                                <w:sz w:val="18"/>
                              </w:rPr>
                              <w:t> </w:t>
                            </w:r>
                            <w:r>
                              <w:rPr>
                                <w:b/>
                                <w:smallCaps w:val="0"/>
                                <w:color w:val="FFFFFF"/>
                                <w:sz w:val="18"/>
                              </w:rPr>
                              <w:t>αποθέματος</w:t>
                            </w:r>
                            <w:r>
                              <w:rPr>
                                <w:b/>
                                <w:smallCaps w:val="0"/>
                                <w:color w:val="FFFFFF"/>
                                <w:spacing w:val="-7"/>
                                <w:sz w:val="18"/>
                              </w:rPr>
                              <w:t> </w:t>
                            </w:r>
                            <w:r>
                              <w:rPr>
                                <w:b/>
                                <w:smallCaps w:val="0"/>
                                <w:color w:val="FFFFFF"/>
                                <w:sz w:val="18"/>
                              </w:rPr>
                              <w:t>δανείων</w:t>
                            </w:r>
                            <w:r>
                              <w:rPr>
                                <w:b/>
                                <w:smallCaps w:val="0"/>
                                <w:color w:val="FFFFFF"/>
                                <w:spacing w:val="-7"/>
                                <w:sz w:val="18"/>
                              </w:rPr>
                              <w:t> </w:t>
                            </w:r>
                            <w:r>
                              <w:rPr>
                                <w:b/>
                                <w:smallCaps w:val="0"/>
                                <w:color w:val="FFFFFF"/>
                                <w:sz w:val="18"/>
                              </w:rPr>
                              <w:t>ανά στάδ</w:t>
                            </w:r>
                            <w:r>
                              <w:rPr>
                                <w:b/>
                                <w:smallCaps/>
                                <w:color w:val="FFFFFF"/>
                                <w:sz w:val="18"/>
                              </w:rPr>
                              <w:t>ιο</w:t>
                            </w:r>
                            <w:r>
                              <w:rPr>
                                <w:b/>
                                <w:smallCaps w:val="0"/>
                                <w:color w:val="FFFFFF"/>
                                <w:sz w:val="18"/>
                              </w:rPr>
                              <w:t> κατά ΔΠΧΑ 9</w:t>
                            </w:r>
                          </w:p>
                        </w:txbxContent>
                      </wps:txbx>
                      <wps:bodyPr wrap="square" lIns="0" tIns="0" rIns="0" bIns="0" rtlCol="0">
                        <a:noAutofit/>
                      </wps:bodyPr>
                    </wps:wsp>
                  </a:graphicData>
                </a:graphic>
              </wp:anchor>
            </w:drawing>
          </mc:Choice>
          <mc:Fallback>
            <w:pict>
              <v:shape style="position:absolute;margin-left:288.769989pt;margin-top:82.283333pt;width:215.25pt;height:26.65pt;mso-position-horizontal-relative:page;mso-position-vertical-relative:paragraph;z-index:15759872" type="#_x0000_t202" id="docshape209" filled="true" fillcolor="#1f487c" stroked="false">
                <v:textbox inset="0,0,0,0">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III.4</w:t>
                      </w:r>
                      <w:r>
                        <w:rPr>
                          <w:b/>
                          <w:smallCaps w:val="0"/>
                          <w:color w:val="FFFFFF"/>
                          <w:spacing w:val="-9"/>
                          <w:sz w:val="18"/>
                        </w:rPr>
                        <w:t> </w:t>
                      </w:r>
                      <w:r>
                        <w:rPr>
                          <w:b/>
                          <w:smallCaps w:val="0"/>
                          <w:color w:val="FFFFFF"/>
                          <w:sz w:val="18"/>
                        </w:rPr>
                        <w:t>Κατανομή</w:t>
                      </w:r>
                      <w:r>
                        <w:rPr>
                          <w:b/>
                          <w:smallCaps w:val="0"/>
                          <w:color w:val="FFFFFF"/>
                          <w:spacing w:val="-7"/>
                          <w:sz w:val="18"/>
                        </w:rPr>
                        <w:t> </w:t>
                      </w:r>
                      <w:r>
                        <w:rPr>
                          <w:b/>
                          <w:smallCaps w:val="0"/>
                          <w:color w:val="FFFFFF"/>
                          <w:sz w:val="18"/>
                        </w:rPr>
                        <w:t>αποθέματος</w:t>
                      </w:r>
                      <w:r>
                        <w:rPr>
                          <w:b/>
                          <w:smallCaps w:val="0"/>
                          <w:color w:val="FFFFFF"/>
                          <w:spacing w:val="-7"/>
                          <w:sz w:val="18"/>
                        </w:rPr>
                        <w:t> </w:t>
                      </w:r>
                      <w:r>
                        <w:rPr>
                          <w:b/>
                          <w:smallCaps w:val="0"/>
                          <w:color w:val="FFFFFF"/>
                          <w:sz w:val="18"/>
                        </w:rPr>
                        <w:t>δανείων</w:t>
                      </w:r>
                      <w:r>
                        <w:rPr>
                          <w:b/>
                          <w:smallCaps w:val="0"/>
                          <w:color w:val="FFFFFF"/>
                          <w:spacing w:val="-7"/>
                          <w:sz w:val="18"/>
                        </w:rPr>
                        <w:t> </w:t>
                      </w:r>
                      <w:r>
                        <w:rPr>
                          <w:b/>
                          <w:smallCaps w:val="0"/>
                          <w:color w:val="FFFFFF"/>
                          <w:sz w:val="18"/>
                        </w:rPr>
                        <w:t>ανά στάδ</w:t>
                      </w:r>
                      <w:r>
                        <w:rPr>
                          <w:b/>
                          <w:smallCaps/>
                          <w:color w:val="FFFFFF"/>
                          <w:sz w:val="18"/>
                        </w:rPr>
                        <w:t>ιο</w:t>
                      </w:r>
                      <w:r>
                        <w:rPr>
                          <w:b/>
                          <w:smallCaps w:val="0"/>
                          <w:color w:val="FFFFFF"/>
                          <w:sz w:val="18"/>
                        </w:rPr>
                        <w:t> κατά ΔΠΧΑ 9</w:t>
                      </w:r>
                    </w:p>
                  </w:txbxContent>
                </v:textbox>
                <v:fill type="solid"/>
                <w10:wrap type="none"/>
              </v:shape>
            </w:pict>
          </mc:Fallback>
        </mc:AlternateContent>
      </w:r>
      <w:r>
        <w:rPr/>
        <w:t>Ο λόγος των ΜΕΔ προς το σύνολο των δανείων σε ατομική βάση διαμορφώθηκε σε 3,3% τον Δεκέμβριο του 2025, έναντι 3,8% το 2024, γεγονός που οφείλεται τόσο στη μείωση των ΜΕΔ όσο και στην πιστωτική επέκταση. Το ποσοστό αυτό είναι το χαμηλότερο από την ένταξη της Ελλάδος στη ζώνη του ευρώ και έχει συγκλίνει σημαντικά με τον μέσο όρο των σημαντικών τραπεζών στην Τραπεζική Ένωση.</w:t>
      </w:r>
    </w:p>
    <w:p>
      <w:pPr>
        <w:pStyle w:val="BodyText"/>
        <w:spacing w:line="285" w:lineRule="auto" w:before="78"/>
        <w:ind w:left="172" w:right="5456"/>
        <w:jc w:val="both"/>
      </w:pPr>
      <w:r>
        <w:rPr/>
        <w:t>Επιπλέον, η ποιότητα του χαρτοφυλακίου α-</w:t>
      </w:r>
      <w:r>
        <w:rPr>
          <w:spacing w:val="-2"/>
        </w:rPr>
        <w:t>ντανακλάται</w:t>
      </w:r>
      <w:r>
        <w:rPr>
          <w:spacing w:val="-5"/>
        </w:rPr>
        <w:t> </w:t>
      </w:r>
      <w:r>
        <w:rPr>
          <w:spacing w:val="-2"/>
        </w:rPr>
        <w:t>στην κατανομή</w:t>
      </w:r>
      <w:r>
        <w:rPr>
          <w:spacing w:val="-1"/>
        </w:rPr>
        <w:t> </w:t>
      </w:r>
      <w:r>
        <w:rPr>
          <w:spacing w:val="-2"/>
        </w:rPr>
        <w:t>των δανείων</w:t>
      </w:r>
      <w:r>
        <w:rPr>
          <w:spacing w:val="-1"/>
        </w:rPr>
        <w:t> </w:t>
      </w:r>
      <w:r>
        <w:rPr>
          <w:spacing w:val="-5"/>
        </w:rPr>
        <w:t>ανά</w:t>
      </w:r>
    </w:p>
    <w:p>
      <w:pPr>
        <w:pStyle w:val="BodyText"/>
        <w:spacing w:after="0" w:line="285" w:lineRule="auto"/>
        <w:jc w:val="both"/>
        <w:sectPr>
          <w:pgSz w:w="11910" w:h="16850"/>
          <w:pgMar w:header="0" w:footer="1108" w:top="1840" w:bottom="1300" w:left="1417" w:right="850"/>
        </w:sectPr>
      </w:pPr>
    </w:p>
    <w:p>
      <w:pPr>
        <w:pStyle w:val="BodyText"/>
        <w:spacing w:line="285" w:lineRule="auto" w:before="34"/>
        <w:ind w:left="172" w:right="38"/>
        <w:jc w:val="both"/>
      </w:pPr>
      <w:r>
        <w:rPr/>
        <mc:AlternateContent>
          <mc:Choice Requires="wps">
            <w:drawing>
              <wp:anchor distT="0" distB="0" distL="0" distR="0" allowOverlap="1" layoutInCell="1" locked="0" behindDoc="0" simplePos="0" relativeHeight="15759360">
                <wp:simplePos x="0" y="0"/>
                <wp:positionH relativeFrom="page">
                  <wp:posOffset>3667378</wp:posOffset>
                </wp:positionH>
                <wp:positionV relativeFrom="paragraph">
                  <wp:posOffset>136877</wp:posOffset>
                </wp:positionV>
                <wp:extent cx="2733675" cy="198183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2733675" cy="1981835"/>
                          <a:chExt cx="2733675" cy="1981835"/>
                        </a:xfrm>
                      </wpg:grpSpPr>
                      <wps:wsp>
                        <wps:cNvPr id="229" name="Graphic 229"/>
                        <wps:cNvSpPr/>
                        <wps:spPr>
                          <a:xfrm>
                            <a:off x="0" y="380"/>
                            <a:ext cx="2733675" cy="1981835"/>
                          </a:xfrm>
                          <a:custGeom>
                            <a:avLst/>
                            <a:gdLst/>
                            <a:ahLst/>
                            <a:cxnLst/>
                            <a:rect l="l" t="t" r="r" b="b"/>
                            <a:pathLst>
                              <a:path w="2733675" h="1981835">
                                <a:moveTo>
                                  <a:pt x="2733167" y="0"/>
                                </a:moveTo>
                                <a:lnTo>
                                  <a:pt x="0" y="0"/>
                                </a:lnTo>
                                <a:lnTo>
                                  <a:pt x="0" y="1765046"/>
                                </a:lnTo>
                                <a:lnTo>
                                  <a:pt x="0" y="1981454"/>
                                </a:lnTo>
                                <a:lnTo>
                                  <a:pt x="2733167" y="1981454"/>
                                </a:lnTo>
                                <a:lnTo>
                                  <a:pt x="2733167" y="1765046"/>
                                </a:lnTo>
                                <a:lnTo>
                                  <a:pt x="2733167" y="0"/>
                                </a:lnTo>
                                <a:close/>
                              </a:path>
                            </a:pathLst>
                          </a:custGeom>
                          <a:solidFill>
                            <a:srgbClr val="D9D9D9"/>
                          </a:solidFill>
                        </wps:spPr>
                        <wps:bodyPr wrap="square" lIns="0" tIns="0" rIns="0" bIns="0" rtlCol="0">
                          <a:prstTxWarp prst="textNoShape">
                            <a:avLst/>
                          </a:prstTxWarp>
                          <a:noAutofit/>
                        </wps:bodyPr>
                      </wps:wsp>
                      <pic:pic>
                        <pic:nvPicPr>
                          <pic:cNvPr id="230" name="Image 230"/>
                          <pic:cNvPicPr/>
                        </pic:nvPicPr>
                        <pic:blipFill>
                          <a:blip r:embed="rId45" cstate="print"/>
                          <a:stretch>
                            <a:fillRect/>
                          </a:stretch>
                        </pic:blipFill>
                        <pic:spPr>
                          <a:xfrm>
                            <a:off x="14985" y="0"/>
                            <a:ext cx="2663570" cy="1710055"/>
                          </a:xfrm>
                          <a:prstGeom prst="rect">
                            <a:avLst/>
                          </a:prstGeom>
                        </pic:spPr>
                      </pic:pic>
                      <wps:wsp>
                        <wps:cNvPr id="231" name="Textbox 231"/>
                        <wps:cNvSpPr txBox="1"/>
                        <wps:spPr>
                          <a:xfrm>
                            <a:off x="0" y="380"/>
                            <a:ext cx="2733675" cy="198183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txbxContent>
                        </wps:txbx>
                        <wps:bodyPr wrap="square" lIns="0" tIns="0" rIns="0" bIns="0" rtlCol="0">
                          <a:noAutofit/>
                        </wps:bodyPr>
                      </wps:wsp>
                    </wpg:wgp>
                  </a:graphicData>
                </a:graphic>
              </wp:anchor>
            </w:drawing>
          </mc:Choice>
          <mc:Fallback>
            <w:pict>
              <v:group style="position:absolute;margin-left:288.769989pt;margin-top:10.777783pt;width:215.25pt;height:156.050pt;mso-position-horizontal-relative:page;mso-position-vertical-relative:paragraph;z-index:15759360" id="docshapegroup210" coordorigin="5775,216" coordsize="4305,3121">
                <v:shape style="position:absolute;left:5775;top:216;width:4305;height:3121" id="docshape211" coordorigin="5775,216" coordsize="4305,3121" path="m10080,216l5775,216,5775,2996,5775,3337,10080,3337,10080,2996,10080,216xe" filled="true" fillcolor="#d9d9d9" stroked="false">
                  <v:path arrowok="t"/>
                  <v:fill type="solid"/>
                </v:shape>
                <v:shape style="position:absolute;left:5799;top:215;width:4195;height:2693" type="#_x0000_t75" id="docshape212" stroked="false">
                  <v:imagedata r:id="rId45" o:title=""/>
                </v:shape>
                <v:shape style="position:absolute;left:5775;top:216;width:4305;height:3121" type="#_x0000_t202" id="docshape213"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txbxContent>
                  </v:textbox>
                  <w10:wrap type="none"/>
                </v:shape>
                <w10:wrap type="none"/>
              </v:group>
            </w:pict>
          </mc:Fallback>
        </mc:AlternateContent>
      </w:r>
      <w:r>
        <w:rPr/>
        <w:t>στάδιο ανάλογα με το επίπεδο πιστωτικού κινδύνου, σύμφωνα με το Διεθνές Πρότυπο Χρηματοοικονομικής Αναφοράς 9 (ΔΠΧΑ 9). Το 2025, σε σύγκριση με το 2024, παρα-τηρείται μείωση</w:t>
      </w:r>
      <w:r>
        <w:rPr>
          <w:spacing w:val="-1"/>
        </w:rPr>
        <w:t> </w:t>
      </w:r>
      <w:r>
        <w:rPr/>
        <w:t>των δανείων με τον μεγαλύ-τερο πιστωτικό κίνδυνο (στάδιο 3) λόγω της μείωσης των ΜΕΔ, αλλά και ποσοστιαία αύ-ξηση των δανείων με τον μικρότερο πιστω-τικό</w:t>
      </w:r>
      <w:r>
        <w:rPr>
          <w:spacing w:val="-1"/>
        </w:rPr>
        <w:t> </w:t>
      </w:r>
      <w:r>
        <w:rPr/>
        <w:t>κίνδυνο</w:t>
      </w:r>
      <w:r>
        <w:rPr>
          <w:spacing w:val="-1"/>
        </w:rPr>
        <w:t> </w:t>
      </w:r>
      <w:r>
        <w:rPr/>
        <w:t>(στάδιο 1) λόγω της</w:t>
      </w:r>
      <w:r>
        <w:rPr>
          <w:spacing w:val="-2"/>
        </w:rPr>
        <w:t> </w:t>
      </w:r>
      <w:r>
        <w:rPr/>
        <w:t>πιστωτικής επέκτασης (βλ. Διάγραμμα ΙΙΙ.4).</w:t>
      </w:r>
    </w:p>
    <w:p>
      <w:pPr>
        <w:spacing w:line="155" w:lineRule="exact" w:before="0"/>
        <w:ind w:left="172" w:right="0" w:firstLine="0"/>
        <w:jc w:val="left"/>
        <w:rPr>
          <w:sz w:val="14"/>
        </w:rPr>
      </w:pPr>
      <w:r>
        <w:rPr/>
        <w:br w:type="column"/>
      </w:r>
      <w:r>
        <w:rPr>
          <w:color w:val="1F487C"/>
          <w:sz w:val="14"/>
        </w:rPr>
        <w:t>(ποσοστά</w:t>
      </w:r>
      <w:r>
        <w:rPr>
          <w:color w:val="1F487C"/>
          <w:spacing w:val="-8"/>
          <w:sz w:val="14"/>
        </w:rPr>
        <w:t> </w:t>
      </w:r>
      <w:r>
        <w:rPr>
          <w:color w:val="1F487C"/>
          <w:spacing w:val="-5"/>
          <w:sz w:val="14"/>
        </w:rPr>
        <w:t>%)</w:t>
      </w:r>
    </w:p>
    <w:p>
      <w:pPr>
        <w:spacing w:after="0" w:line="155" w:lineRule="exact"/>
        <w:jc w:val="left"/>
        <w:rPr>
          <w:sz w:val="14"/>
        </w:rPr>
        <w:sectPr>
          <w:type w:val="continuous"/>
          <w:pgSz w:w="11910" w:h="16850"/>
          <w:pgMar w:header="0" w:footer="1108" w:top="1320" w:bottom="280" w:left="1417" w:right="850"/>
          <w:cols w:num="2" w:equalWidth="0">
            <w:col w:w="4223" w:space="129"/>
            <w:col w:w="5291"/>
          </w:cols>
        </w:sectPr>
      </w:pPr>
    </w:p>
    <w:p>
      <w:pPr>
        <w:pStyle w:val="BodyText"/>
        <w:rPr>
          <w:sz w:val="20"/>
        </w:rPr>
      </w:pPr>
    </w:p>
    <w:p>
      <w:pPr>
        <w:pStyle w:val="BodyText"/>
        <w:rPr>
          <w:sz w:val="20"/>
        </w:rPr>
      </w:pPr>
    </w:p>
    <w:p>
      <w:pPr>
        <w:pStyle w:val="BodyText"/>
        <w:spacing w:before="58"/>
        <w:rPr>
          <w:sz w:val="20"/>
        </w:rPr>
      </w:pPr>
    </w:p>
    <w:p>
      <w:pPr>
        <w:spacing w:line="20" w:lineRule="exact"/>
        <w:ind w:left="172" w:right="0" w:firstLine="0"/>
        <w:rPr>
          <w:sz w:val="2"/>
        </w:rPr>
      </w:pPr>
      <w:r>
        <w:rPr>
          <w:sz w:val="2"/>
        </w:rPr>
        <mc:AlternateContent>
          <mc:Choice Requires="wps">
            <w:drawing>
              <wp:inline distT="0" distB="0" distL="0" distR="0">
                <wp:extent cx="1829435" cy="7620"/>
                <wp:effectExtent l="0" t="0" r="0" b="0"/>
                <wp:docPr id="232" name="Group 232"/>
                <wp:cNvGraphicFramePr>
                  <a:graphicFrameLocks/>
                </wp:cNvGraphicFramePr>
                <a:graphic>
                  <a:graphicData uri="http://schemas.microsoft.com/office/word/2010/wordprocessingGroup">
                    <wpg:wgp>
                      <wpg:cNvPr id="232" name="Group 232"/>
                      <wpg:cNvGrpSpPr/>
                      <wpg:grpSpPr>
                        <a:xfrm>
                          <a:off x="0" y="0"/>
                          <a:ext cx="1829435" cy="7620"/>
                          <a:chExt cx="1829435" cy="7620"/>
                        </a:xfrm>
                      </wpg:grpSpPr>
                      <wps:wsp>
                        <wps:cNvPr id="233" name="Graphic 23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6pt;mso-position-horizontal-relative:char;mso-position-vertical-relative:line" id="docshapegroup214" coordorigin="0,0" coordsize="2881,12">
                <v:rect style="position:absolute;left:0;top:0;width:2881;height:12" id="docshape215" filled="true" fillcolor="#000000" stroked="false">
                  <v:fill type="solid"/>
                </v:rect>
              </v:group>
            </w:pict>
          </mc:Fallback>
        </mc:AlternateContent>
      </w:r>
      <w:r>
        <w:rPr>
          <w:sz w:val="2"/>
        </w:rPr>
      </w:r>
    </w:p>
    <w:p>
      <w:pPr>
        <w:spacing w:before="159"/>
        <w:ind w:left="172" w:right="961" w:firstLine="0"/>
        <w:jc w:val="left"/>
        <w:rPr>
          <w:sz w:val="16"/>
        </w:rPr>
      </w:pPr>
      <w:bookmarkStart w:name="_bookmark52" w:id="53"/>
      <w:bookmarkEnd w:id="53"/>
      <w:r>
        <w:rPr/>
      </w:r>
      <w:r>
        <w:rPr>
          <w:sz w:val="16"/>
          <w:vertAlign w:val="superscript"/>
        </w:rPr>
        <w:t>34</w:t>
      </w:r>
      <w:r>
        <w:rPr>
          <w:spacing w:val="-2"/>
          <w:sz w:val="16"/>
          <w:vertAlign w:val="baseline"/>
        </w:rPr>
        <w:t> </w:t>
      </w:r>
      <w:r>
        <w:rPr>
          <w:sz w:val="16"/>
          <w:vertAlign w:val="baseline"/>
        </w:rPr>
        <w:t>Σημειώνεται</w:t>
      </w:r>
      <w:r>
        <w:rPr>
          <w:spacing w:val="-4"/>
          <w:sz w:val="16"/>
          <w:vertAlign w:val="baseline"/>
        </w:rPr>
        <w:t> </w:t>
      </w:r>
      <w:r>
        <w:rPr>
          <w:sz w:val="16"/>
          <w:vertAlign w:val="baseline"/>
        </w:rPr>
        <w:t>ότι</w:t>
      </w:r>
      <w:r>
        <w:rPr>
          <w:spacing w:val="-4"/>
          <w:sz w:val="16"/>
          <w:vertAlign w:val="baseline"/>
        </w:rPr>
        <w:t> </w:t>
      </w:r>
      <w:r>
        <w:rPr>
          <w:sz w:val="16"/>
          <w:vertAlign w:val="baseline"/>
        </w:rPr>
        <w:t>στις</w:t>
      </w:r>
      <w:r>
        <w:rPr>
          <w:spacing w:val="-1"/>
          <w:sz w:val="16"/>
          <w:vertAlign w:val="baseline"/>
        </w:rPr>
        <w:t> </w:t>
      </w:r>
      <w:r>
        <w:rPr>
          <w:sz w:val="16"/>
          <w:vertAlign w:val="baseline"/>
        </w:rPr>
        <w:t>πωλήσεις</w:t>
      </w:r>
      <w:r>
        <w:rPr>
          <w:spacing w:val="-3"/>
          <w:sz w:val="16"/>
          <w:vertAlign w:val="baseline"/>
        </w:rPr>
        <w:t> </w:t>
      </w:r>
      <w:r>
        <w:rPr>
          <w:sz w:val="16"/>
          <w:vertAlign w:val="baseline"/>
        </w:rPr>
        <w:t>χαρτοφυλακίων</w:t>
      </w:r>
      <w:r>
        <w:rPr>
          <w:spacing w:val="-3"/>
          <w:sz w:val="16"/>
          <w:vertAlign w:val="baseline"/>
        </w:rPr>
        <w:t> </w:t>
      </w:r>
      <w:r>
        <w:rPr>
          <w:sz w:val="16"/>
          <w:vertAlign w:val="baseline"/>
        </w:rPr>
        <w:t>έχουν</w:t>
      </w:r>
      <w:r>
        <w:rPr>
          <w:spacing w:val="-5"/>
          <w:sz w:val="16"/>
          <w:vertAlign w:val="baseline"/>
        </w:rPr>
        <w:t> </w:t>
      </w:r>
      <w:r>
        <w:rPr>
          <w:sz w:val="16"/>
          <w:vertAlign w:val="baseline"/>
        </w:rPr>
        <w:t>συμπεριληφθεί</w:t>
      </w:r>
      <w:r>
        <w:rPr>
          <w:spacing w:val="-4"/>
          <w:sz w:val="16"/>
          <w:vertAlign w:val="baseline"/>
        </w:rPr>
        <w:t> </w:t>
      </w:r>
      <w:r>
        <w:rPr>
          <w:sz w:val="16"/>
          <w:vertAlign w:val="baseline"/>
        </w:rPr>
        <w:t>και</w:t>
      </w:r>
      <w:r>
        <w:rPr>
          <w:spacing w:val="-4"/>
          <w:sz w:val="16"/>
          <w:vertAlign w:val="baseline"/>
        </w:rPr>
        <w:t> </w:t>
      </w:r>
      <w:r>
        <w:rPr>
          <w:sz w:val="16"/>
          <w:vertAlign w:val="baseline"/>
        </w:rPr>
        <w:t>τα</w:t>
      </w:r>
      <w:r>
        <w:rPr>
          <w:spacing w:val="-2"/>
          <w:sz w:val="16"/>
          <w:vertAlign w:val="baseline"/>
        </w:rPr>
        <w:t> </w:t>
      </w:r>
      <w:r>
        <w:rPr>
          <w:sz w:val="16"/>
          <w:vertAlign w:val="baseline"/>
        </w:rPr>
        <w:t>χαρτοφυλάκια</w:t>
      </w:r>
      <w:r>
        <w:rPr>
          <w:spacing w:val="-2"/>
          <w:sz w:val="16"/>
          <w:vertAlign w:val="baseline"/>
        </w:rPr>
        <w:t> </w:t>
      </w:r>
      <w:r>
        <w:rPr>
          <w:sz w:val="16"/>
          <w:vertAlign w:val="baseline"/>
        </w:rPr>
        <w:t>που</w:t>
      </w:r>
      <w:r>
        <w:rPr>
          <w:spacing w:val="-5"/>
          <w:sz w:val="16"/>
          <w:vertAlign w:val="baseline"/>
        </w:rPr>
        <w:t> </w:t>
      </w:r>
      <w:r>
        <w:rPr>
          <w:sz w:val="16"/>
          <w:vertAlign w:val="baseline"/>
        </w:rPr>
        <w:t>έχουν</w:t>
      </w:r>
      <w:r>
        <w:rPr>
          <w:spacing w:val="-3"/>
          <w:sz w:val="16"/>
          <w:vertAlign w:val="baseline"/>
        </w:rPr>
        <w:t> </w:t>
      </w:r>
      <w:r>
        <w:rPr>
          <w:sz w:val="16"/>
          <w:vertAlign w:val="baseline"/>
        </w:rPr>
        <w:t>μεταφερθεί</w:t>
      </w:r>
      <w:r>
        <w:rPr>
          <w:spacing w:val="-2"/>
          <w:sz w:val="16"/>
          <w:vertAlign w:val="baseline"/>
        </w:rPr>
        <w:t> </w:t>
      </w:r>
      <w:r>
        <w:rPr>
          <w:sz w:val="16"/>
          <w:vertAlign w:val="baseline"/>
        </w:rPr>
        <w:t>στο</w:t>
      </w:r>
      <w:r>
        <w:rPr>
          <w:spacing w:val="-3"/>
          <w:sz w:val="16"/>
          <w:vertAlign w:val="baseline"/>
        </w:rPr>
        <w:t> </w:t>
      </w:r>
      <w:r>
        <w:rPr>
          <w:sz w:val="16"/>
          <w:vertAlign w:val="baseline"/>
        </w:rPr>
        <w:t>χαρτοφυλά-κιο “διαθέσιμων προς πώληση” (Held For Sale).</w:t>
      </w:r>
    </w:p>
    <w:p>
      <w:pPr>
        <w:spacing w:after="0"/>
        <w:jc w:val="left"/>
        <w:rPr>
          <w:sz w:val="16"/>
        </w:rPr>
        <w:sectPr>
          <w:type w:val="continuous"/>
          <w:pgSz w:w="11910" w:h="16850"/>
          <w:pgMar w:header="0" w:footer="1108" w:top="1320" w:bottom="280" w:left="1417" w:right="850"/>
        </w:sectPr>
      </w:pPr>
    </w:p>
    <w:p>
      <w:pPr>
        <w:pStyle w:val="Heading4"/>
        <w:spacing w:before="66"/>
        <w:jc w:val="left"/>
      </w:pPr>
      <w:r>
        <w:rPr>
          <w:color w:val="1F487C"/>
        </w:rPr>
        <w:t>Δείκτες</w:t>
      </w:r>
      <w:r>
        <w:rPr>
          <w:color w:val="1F487C"/>
          <w:spacing w:val="-15"/>
        </w:rPr>
        <w:t> </w:t>
      </w:r>
      <w:r>
        <w:rPr>
          <w:color w:val="1F487C"/>
        </w:rPr>
        <w:t>παρακολούθησης</w:t>
      </w:r>
      <w:r>
        <w:rPr>
          <w:color w:val="1F487C"/>
          <w:spacing w:val="-14"/>
        </w:rPr>
        <w:t> </w:t>
      </w:r>
      <w:r>
        <w:rPr>
          <w:color w:val="1F487C"/>
        </w:rPr>
        <w:t>κα</w:t>
      </w:r>
      <w:r>
        <w:rPr>
          <w:smallCaps/>
          <w:color w:val="1F487C"/>
        </w:rPr>
        <w:t>ι</w:t>
      </w:r>
      <w:r>
        <w:rPr>
          <w:smallCaps w:val="0"/>
          <w:color w:val="1F487C"/>
          <w:spacing w:val="-11"/>
        </w:rPr>
        <w:t> </w:t>
      </w:r>
      <w:r>
        <w:rPr>
          <w:smallCaps w:val="0"/>
          <w:color w:val="1F487C"/>
        </w:rPr>
        <w:t>αξ</w:t>
      </w:r>
      <w:r>
        <w:rPr>
          <w:smallCaps/>
          <w:color w:val="1F487C"/>
        </w:rPr>
        <w:t>ιο</w:t>
      </w:r>
      <w:r>
        <w:rPr>
          <w:smallCaps w:val="0"/>
          <w:color w:val="1F487C"/>
        </w:rPr>
        <w:t>λόγησης</w:t>
      </w:r>
      <w:r>
        <w:rPr>
          <w:smallCaps w:val="0"/>
          <w:color w:val="1F487C"/>
          <w:spacing w:val="-12"/>
        </w:rPr>
        <w:t> </w:t>
      </w:r>
      <w:r>
        <w:rPr>
          <w:smallCaps w:val="0"/>
          <w:color w:val="1F487C"/>
        </w:rPr>
        <w:t>των</w:t>
      </w:r>
      <w:r>
        <w:rPr>
          <w:smallCaps w:val="0"/>
          <w:color w:val="1F487C"/>
          <w:spacing w:val="-12"/>
        </w:rPr>
        <w:t> </w:t>
      </w:r>
      <w:r>
        <w:rPr>
          <w:smallCaps w:val="0"/>
          <w:color w:val="1F487C"/>
          <w:spacing w:val="-5"/>
        </w:rPr>
        <w:t>ΜΕΔ</w:t>
      </w:r>
    </w:p>
    <w:p>
      <w:pPr>
        <w:pStyle w:val="BodyText"/>
        <w:spacing w:line="285" w:lineRule="auto" w:before="107" w:after="24"/>
        <w:ind w:left="172" w:right="956"/>
      </w:pPr>
      <w:r>
        <w:rPr/>
        <w:t>Σχετικά</w:t>
      </w:r>
      <w:r>
        <w:rPr>
          <w:spacing w:val="-3"/>
        </w:rPr>
        <w:t> </w:t>
      </w:r>
      <w:r>
        <w:rPr/>
        <w:t>με</w:t>
      </w:r>
      <w:r>
        <w:rPr>
          <w:spacing w:val="-2"/>
        </w:rPr>
        <w:t> </w:t>
      </w:r>
      <w:r>
        <w:rPr/>
        <w:t>τους</w:t>
      </w:r>
      <w:r>
        <w:rPr>
          <w:spacing w:val="-3"/>
        </w:rPr>
        <w:t> </w:t>
      </w:r>
      <w:r>
        <w:rPr/>
        <w:t>δείκτες</w:t>
      </w:r>
      <w:r>
        <w:rPr>
          <w:spacing w:val="-2"/>
        </w:rPr>
        <w:t> </w:t>
      </w:r>
      <w:r>
        <w:rPr/>
        <w:t>παρακολούθησης</w:t>
      </w:r>
      <w:r>
        <w:rPr>
          <w:spacing w:val="-3"/>
        </w:rPr>
        <w:t> </w:t>
      </w:r>
      <w:r>
        <w:rPr/>
        <w:t>και</w:t>
      </w:r>
      <w:r>
        <w:rPr>
          <w:spacing w:val="-2"/>
        </w:rPr>
        <w:t> </w:t>
      </w:r>
      <w:r>
        <w:rPr/>
        <w:t>αξιολόγησης</w:t>
      </w:r>
      <w:r>
        <w:rPr>
          <w:spacing w:val="-4"/>
        </w:rPr>
        <w:t> </w:t>
      </w:r>
      <w:r>
        <w:rPr/>
        <w:t>της</w:t>
      </w:r>
      <w:r>
        <w:rPr>
          <w:spacing w:val="-4"/>
        </w:rPr>
        <w:t> </w:t>
      </w:r>
      <w:r>
        <w:rPr/>
        <w:t>διαχείρισης</w:t>
      </w:r>
      <w:r>
        <w:rPr>
          <w:spacing w:val="-4"/>
        </w:rPr>
        <w:t> </w:t>
      </w:r>
      <w:r>
        <w:rPr/>
        <w:t>των</w:t>
      </w:r>
      <w:r>
        <w:rPr>
          <w:spacing w:val="-6"/>
        </w:rPr>
        <w:t> </w:t>
      </w:r>
      <w:r>
        <w:rPr/>
        <w:t>ΜΕΔ,</w:t>
      </w:r>
      <w:r>
        <w:rPr>
          <w:spacing w:val="-5"/>
        </w:rPr>
        <w:t> </w:t>
      </w:r>
      <w:r>
        <w:rPr/>
        <w:t>στο</w:t>
      </w:r>
      <w:r>
        <w:rPr>
          <w:spacing w:val="-5"/>
        </w:rPr>
        <w:t> </w:t>
      </w:r>
      <w:r>
        <w:rPr/>
        <w:t>τέλος του 2025 παρατηρούνται τα εξής (βλ. Πίνακα III.3):</w:t>
      </w: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20"/>
        <w:gridCol w:w="1613"/>
        <w:gridCol w:w="1214"/>
      </w:tblGrid>
      <w:tr>
        <w:trPr>
          <w:trHeight w:val="326" w:hRule="atLeast"/>
        </w:trPr>
        <w:tc>
          <w:tcPr>
            <w:tcW w:w="8647" w:type="dxa"/>
            <w:gridSpan w:val="3"/>
            <w:shd w:val="clear" w:color="auto" w:fill="1F487C"/>
          </w:tcPr>
          <w:p>
            <w:pPr>
              <w:pStyle w:val="TableParagraph"/>
              <w:spacing w:before="60"/>
              <w:ind w:left="112"/>
              <w:rPr>
                <w:b/>
                <w:sz w:val="18"/>
              </w:rPr>
            </w:pPr>
            <w:r>
              <w:rPr>
                <w:b/>
                <w:color w:val="FFFFFF"/>
                <w:sz w:val="18"/>
              </w:rPr>
              <w:t>Πίνακας III.3</w:t>
            </w:r>
            <w:r>
              <w:rPr>
                <w:b/>
                <w:color w:val="FFFFFF"/>
                <w:spacing w:val="-2"/>
                <w:sz w:val="18"/>
              </w:rPr>
              <w:t> </w:t>
            </w:r>
            <w:r>
              <w:rPr>
                <w:b/>
                <w:color w:val="FFFFFF"/>
                <w:sz w:val="18"/>
              </w:rPr>
              <w:t>Βασ</w:t>
            </w:r>
            <w:r>
              <w:rPr>
                <w:b/>
                <w:smallCaps/>
                <w:color w:val="FFFFFF"/>
                <w:sz w:val="18"/>
              </w:rPr>
              <w:t>ι</w:t>
            </w:r>
            <w:r>
              <w:rPr>
                <w:b/>
                <w:smallCaps w:val="0"/>
                <w:color w:val="FFFFFF"/>
                <w:sz w:val="18"/>
              </w:rPr>
              <w:t>κοί</w:t>
            </w:r>
            <w:r>
              <w:rPr>
                <w:b/>
                <w:smallCaps w:val="0"/>
                <w:color w:val="FFFFFF"/>
                <w:spacing w:val="-4"/>
                <w:sz w:val="18"/>
              </w:rPr>
              <w:t> </w:t>
            </w:r>
            <w:r>
              <w:rPr>
                <w:b/>
                <w:smallCaps w:val="0"/>
                <w:color w:val="FFFFFF"/>
                <w:sz w:val="18"/>
              </w:rPr>
              <w:t>δείκτες</w:t>
            </w:r>
            <w:r>
              <w:rPr>
                <w:b/>
                <w:smallCaps w:val="0"/>
                <w:color w:val="FFFFFF"/>
                <w:spacing w:val="-5"/>
                <w:sz w:val="18"/>
              </w:rPr>
              <w:t> </w:t>
            </w:r>
            <w:r>
              <w:rPr>
                <w:b/>
                <w:smallCaps w:val="0"/>
                <w:color w:val="FFFFFF"/>
                <w:sz w:val="18"/>
              </w:rPr>
              <w:t>πο</w:t>
            </w:r>
            <w:r>
              <w:rPr>
                <w:b/>
                <w:smallCaps/>
                <w:color w:val="FFFFFF"/>
                <w:sz w:val="18"/>
              </w:rPr>
              <w:t>ι</w:t>
            </w:r>
            <w:r>
              <w:rPr>
                <w:b/>
                <w:smallCaps w:val="0"/>
                <w:color w:val="FFFFFF"/>
                <w:sz w:val="18"/>
              </w:rPr>
              <w:t>ότητας</w:t>
            </w:r>
            <w:r>
              <w:rPr>
                <w:b/>
                <w:smallCaps w:val="0"/>
                <w:color w:val="FFFFFF"/>
                <w:spacing w:val="-2"/>
                <w:sz w:val="18"/>
              </w:rPr>
              <w:t> </w:t>
            </w:r>
            <w:r>
              <w:rPr>
                <w:b/>
                <w:smallCaps w:val="0"/>
                <w:color w:val="FFFFFF"/>
                <w:sz w:val="18"/>
              </w:rPr>
              <w:t>χαρτοφυλακίου</w:t>
            </w:r>
            <w:r>
              <w:rPr>
                <w:b/>
                <w:smallCaps w:val="0"/>
                <w:color w:val="FFFFFF"/>
                <w:spacing w:val="-1"/>
                <w:sz w:val="18"/>
              </w:rPr>
              <w:t> </w:t>
            </w:r>
            <w:r>
              <w:rPr>
                <w:b/>
                <w:smallCaps w:val="0"/>
                <w:color w:val="FFFFFF"/>
                <w:spacing w:val="-2"/>
                <w:sz w:val="18"/>
              </w:rPr>
              <w:t>δανείων</w:t>
            </w:r>
          </w:p>
        </w:tc>
      </w:tr>
      <w:tr>
        <w:trPr>
          <w:trHeight w:val="380" w:hRule="atLeast"/>
        </w:trPr>
        <w:tc>
          <w:tcPr>
            <w:tcW w:w="5820" w:type="dxa"/>
            <w:shd w:val="clear" w:color="auto" w:fill="D9D9D9"/>
          </w:tcPr>
          <w:p>
            <w:pPr>
              <w:pStyle w:val="TableParagraph"/>
              <w:spacing w:before="119"/>
              <w:ind w:left="201"/>
              <w:rPr>
                <w:sz w:val="14"/>
              </w:rPr>
            </w:pPr>
            <w:r>
              <w:rPr>
                <w:color w:val="1F487C"/>
                <w:sz w:val="14"/>
              </w:rPr>
              <w:t>(ποσοστά</w:t>
            </w:r>
            <w:r>
              <w:rPr>
                <w:color w:val="1F487C"/>
                <w:spacing w:val="-6"/>
                <w:sz w:val="14"/>
              </w:rPr>
              <w:t> </w:t>
            </w:r>
            <w:r>
              <w:rPr>
                <w:color w:val="1F487C"/>
                <w:sz w:val="14"/>
              </w:rPr>
              <w:t>%,</w:t>
            </w:r>
            <w:r>
              <w:rPr>
                <w:color w:val="1F487C"/>
                <w:spacing w:val="-4"/>
                <w:sz w:val="14"/>
              </w:rPr>
              <w:t> </w:t>
            </w:r>
            <w:r>
              <w:rPr>
                <w:color w:val="1F487C"/>
                <w:sz w:val="14"/>
              </w:rPr>
              <w:t>στοιχεία</w:t>
            </w:r>
            <w:r>
              <w:rPr>
                <w:color w:val="1F487C"/>
                <w:spacing w:val="-3"/>
                <w:sz w:val="14"/>
              </w:rPr>
              <w:t> </w:t>
            </w:r>
            <w:r>
              <w:rPr>
                <w:color w:val="1F487C"/>
                <w:sz w:val="14"/>
              </w:rPr>
              <w:t>εντός</w:t>
            </w:r>
            <w:r>
              <w:rPr>
                <w:color w:val="1F487C"/>
                <w:spacing w:val="-5"/>
                <w:sz w:val="14"/>
              </w:rPr>
              <w:t> </w:t>
            </w:r>
            <w:r>
              <w:rPr>
                <w:color w:val="1F487C"/>
                <w:spacing w:val="-2"/>
                <w:sz w:val="14"/>
              </w:rPr>
              <w:t>ισολογισμού)</w:t>
            </w:r>
          </w:p>
        </w:tc>
        <w:tc>
          <w:tcPr>
            <w:tcW w:w="1613" w:type="dxa"/>
            <w:shd w:val="clear" w:color="auto" w:fill="D9D9D9"/>
          </w:tcPr>
          <w:p>
            <w:pPr>
              <w:pStyle w:val="TableParagraph"/>
              <w:spacing w:before="67"/>
              <w:ind w:left="543"/>
              <w:rPr>
                <w:b/>
                <w:sz w:val="18"/>
              </w:rPr>
            </w:pPr>
            <w:r>
              <w:rPr>
                <w:b/>
                <w:color w:val="1F487C"/>
                <w:sz w:val="18"/>
              </w:rPr>
              <w:t>Δεκ.</w:t>
            </w:r>
            <w:r>
              <w:rPr>
                <w:b/>
                <w:color w:val="1F487C"/>
                <w:spacing w:val="-2"/>
                <w:sz w:val="18"/>
              </w:rPr>
              <w:t> </w:t>
            </w:r>
            <w:r>
              <w:rPr>
                <w:b/>
                <w:color w:val="1F487C"/>
                <w:spacing w:val="-4"/>
                <w:sz w:val="18"/>
              </w:rPr>
              <w:t>2024</w:t>
            </w:r>
          </w:p>
        </w:tc>
        <w:tc>
          <w:tcPr>
            <w:tcW w:w="1214" w:type="dxa"/>
            <w:shd w:val="clear" w:color="auto" w:fill="D9D9D9"/>
          </w:tcPr>
          <w:p>
            <w:pPr>
              <w:pStyle w:val="TableParagraph"/>
              <w:spacing w:before="67"/>
              <w:ind w:left="171"/>
              <w:rPr>
                <w:b/>
                <w:sz w:val="18"/>
              </w:rPr>
            </w:pPr>
            <w:r>
              <w:rPr>
                <w:b/>
                <w:color w:val="1F487C"/>
                <w:sz w:val="18"/>
              </w:rPr>
              <w:t>Δεκ.</w:t>
            </w:r>
            <w:r>
              <w:rPr>
                <w:b/>
                <w:color w:val="1F487C"/>
                <w:spacing w:val="-2"/>
                <w:sz w:val="18"/>
              </w:rPr>
              <w:t> </w:t>
            </w:r>
            <w:r>
              <w:rPr>
                <w:b/>
                <w:color w:val="1F487C"/>
                <w:spacing w:val="-4"/>
                <w:sz w:val="18"/>
              </w:rPr>
              <w:t>2025</w:t>
            </w:r>
          </w:p>
        </w:tc>
      </w:tr>
      <w:tr>
        <w:trPr>
          <w:trHeight w:val="304" w:hRule="atLeast"/>
        </w:trPr>
        <w:tc>
          <w:tcPr>
            <w:tcW w:w="5820" w:type="dxa"/>
            <w:shd w:val="clear" w:color="auto" w:fill="D9D9D9"/>
          </w:tcPr>
          <w:p>
            <w:pPr>
              <w:pStyle w:val="TableParagraph"/>
              <w:spacing w:line="192" w:lineRule="exact" w:before="92"/>
              <w:ind w:left="108"/>
              <w:rPr>
                <w:b/>
                <w:sz w:val="18"/>
              </w:rPr>
            </w:pPr>
            <w:r>
              <w:rPr>
                <w:b/>
                <w:color w:val="1F487C"/>
                <w:sz w:val="18"/>
              </w:rPr>
              <w:t>Δείκτες</w:t>
            </w:r>
            <w:r>
              <w:rPr>
                <w:b/>
                <w:color w:val="1F487C"/>
                <w:spacing w:val="-5"/>
                <w:sz w:val="18"/>
              </w:rPr>
              <w:t> </w:t>
            </w:r>
            <w:r>
              <w:rPr>
                <w:b/>
                <w:color w:val="1F487C"/>
                <w:sz w:val="18"/>
              </w:rPr>
              <w:t>πο</w:t>
            </w:r>
            <w:r>
              <w:rPr>
                <w:b/>
                <w:smallCaps/>
                <w:color w:val="1F487C"/>
                <w:sz w:val="18"/>
              </w:rPr>
              <w:t>ι</w:t>
            </w:r>
            <w:r>
              <w:rPr>
                <w:b/>
                <w:smallCaps w:val="0"/>
                <w:color w:val="1F487C"/>
                <w:sz w:val="18"/>
              </w:rPr>
              <w:t>ότητας</w:t>
            </w:r>
            <w:r>
              <w:rPr>
                <w:b/>
                <w:smallCaps w:val="0"/>
                <w:color w:val="1F487C"/>
                <w:spacing w:val="-6"/>
                <w:sz w:val="18"/>
              </w:rPr>
              <w:t> </w:t>
            </w:r>
            <w:r>
              <w:rPr>
                <w:b/>
                <w:smallCaps w:val="0"/>
                <w:color w:val="1F487C"/>
                <w:sz w:val="18"/>
              </w:rPr>
              <w:t>χαρτοφυλακίου</w:t>
            </w:r>
            <w:r>
              <w:rPr>
                <w:b/>
                <w:smallCaps w:val="0"/>
                <w:color w:val="1F487C"/>
                <w:spacing w:val="-4"/>
                <w:sz w:val="18"/>
              </w:rPr>
              <w:t> </w:t>
            </w:r>
            <w:r>
              <w:rPr>
                <w:b/>
                <w:smallCaps w:val="0"/>
                <w:color w:val="1F487C"/>
                <w:spacing w:val="-5"/>
                <w:sz w:val="18"/>
              </w:rPr>
              <w:t>(%)</w:t>
            </w:r>
          </w:p>
        </w:tc>
        <w:tc>
          <w:tcPr>
            <w:tcW w:w="1613" w:type="dxa"/>
            <w:shd w:val="clear" w:color="auto" w:fill="D9D9D9"/>
          </w:tcPr>
          <w:p>
            <w:pPr>
              <w:pStyle w:val="TableParagraph"/>
              <w:rPr>
                <w:sz w:val="18"/>
              </w:rPr>
            </w:pPr>
          </w:p>
        </w:tc>
        <w:tc>
          <w:tcPr>
            <w:tcW w:w="1214" w:type="dxa"/>
            <w:shd w:val="clear" w:color="auto" w:fill="D9D9D9"/>
          </w:tcPr>
          <w:p>
            <w:pPr>
              <w:pStyle w:val="TableParagraph"/>
              <w:rPr>
                <w:sz w:val="18"/>
              </w:rPr>
            </w:pPr>
          </w:p>
        </w:tc>
      </w:tr>
      <w:tr>
        <w:trPr>
          <w:trHeight w:val="241" w:hRule="atLeast"/>
        </w:trPr>
        <w:tc>
          <w:tcPr>
            <w:tcW w:w="5820" w:type="dxa"/>
            <w:shd w:val="clear" w:color="auto" w:fill="D9D9D9"/>
          </w:tcPr>
          <w:p>
            <w:pPr>
              <w:pStyle w:val="TableParagraph"/>
              <w:spacing w:line="191" w:lineRule="exact" w:before="30"/>
              <w:ind w:left="108"/>
              <w:rPr>
                <w:sz w:val="18"/>
              </w:rPr>
            </w:pPr>
            <w:r>
              <w:rPr>
                <w:sz w:val="18"/>
              </w:rPr>
              <w:t>Δείκτης</w:t>
            </w:r>
            <w:r>
              <w:rPr>
                <w:spacing w:val="-3"/>
                <w:sz w:val="18"/>
              </w:rPr>
              <w:t> </w:t>
            </w:r>
            <w:r>
              <w:rPr>
                <w:sz w:val="18"/>
              </w:rPr>
              <w:t>μη</w:t>
            </w:r>
            <w:r>
              <w:rPr>
                <w:spacing w:val="-4"/>
                <w:sz w:val="18"/>
              </w:rPr>
              <w:t> </w:t>
            </w:r>
            <w:r>
              <w:rPr>
                <w:sz w:val="18"/>
              </w:rPr>
              <w:t>εξυπηρετούμενων</w:t>
            </w:r>
            <w:r>
              <w:rPr>
                <w:spacing w:val="-3"/>
                <w:sz w:val="18"/>
              </w:rPr>
              <w:t> </w:t>
            </w:r>
            <w:r>
              <w:rPr>
                <w:sz w:val="18"/>
              </w:rPr>
              <w:t>δανείων</w:t>
            </w:r>
            <w:r>
              <w:rPr>
                <w:spacing w:val="-2"/>
                <w:sz w:val="18"/>
              </w:rPr>
              <w:t> </w:t>
            </w:r>
            <w:r>
              <w:rPr>
                <w:spacing w:val="-4"/>
                <w:sz w:val="18"/>
              </w:rPr>
              <w:t>(MEΔ)</w:t>
            </w:r>
          </w:p>
        </w:tc>
        <w:tc>
          <w:tcPr>
            <w:tcW w:w="1613" w:type="dxa"/>
            <w:shd w:val="clear" w:color="auto" w:fill="D9D9D9"/>
          </w:tcPr>
          <w:p>
            <w:pPr>
              <w:pStyle w:val="TableParagraph"/>
              <w:spacing w:line="204" w:lineRule="exact"/>
              <w:ind w:right="166"/>
              <w:jc w:val="right"/>
              <w:rPr>
                <w:sz w:val="18"/>
              </w:rPr>
            </w:pPr>
            <w:r>
              <w:rPr>
                <w:spacing w:val="-5"/>
                <w:sz w:val="18"/>
              </w:rPr>
              <w:t>3,8</w:t>
            </w:r>
          </w:p>
        </w:tc>
        <w:tc>
          <w:tcPr>
            <w:tcW w:w="1214" w:type="dxa"/>
            <w:shd w:val="clear" w:color="auto" w:fill="D9D9D9"/>
          </w:tcPr>
          <w:p>
            <w:pPr>
              <w:pStyle w:val="TableParagraph"/>
              <w:spacing w:line="204" w:lineRule="exact"/>
              <w:ind w:right="173"/>
              <w:jc w:val="right"/>
              <w:rPr>
                <w:sz w:val="18"/>
              </w:rPr>
            </w:pPr>
            <w:r>
              <w:rPr>
                <w:spacing w:val="-5"/>
                <w:sz w:val="18"/>
              </w:rPr>
              <w:t>3,3</w:t>
            </w:r>
          </w:p>
        </w:tc>
      </w:tr>
      <w:tr>
        <w:trPr>
          <w:trHeight w:val="309" w:hRule="atLeast"/>
        </w:trPr>
        <w:tc>
          <w:tcPr>
            <w:tcW w:w="5820" w:type="dxa"/>
            <w:shd w:val="clear" w:color="auto" w:fill="D9D9D9"/>
          </w:tcPr>
          <w:p>
            <w:pPr>
              <w:pStyle w:val="TableParagraph"/>
              <w:spacing w:before="32"/>
              <w:ind w:left="108"/>
              <w:rPr>
                <w:sz w:val="18"/>
              </w:rPr>
            </w:pPr>
            <w:r>
              <w:rPr>
                <w:sz w:val="18"/>
              </w:rPr>
              <w:t>Δείκτης</w:t>
            </w:r>
            <w:r>
              <w:rPr>
                <w:spacing w:val="-3"/>
                <w:sz w:val="18"/>
              </w:rPr>
              <w:t> </w:t>
            </w:r>
            <w:r>
              <w:rPr>
                <w:sz w:val="18"/>
              </w:rPr>
              <w:t>δανείων</w:t>
            </w:r>
            <w:r>
              <w:rPr>
                <w:spacing w:val="-3"/>
                <w:sz w:val="18"/>
              </w:rPr>
              <w:t> </w:t>
            </w:r>
            <w:r>
              <w:rPr>
                <w:sz w:val="18"/>
              </w:rPr>
              <w:t>σε</w:t>
            </w:r>
            <w:r>
              <w:rPr>
                <w:spacing w:val="-2"/>
                <w:sz w:val="18"/>
              </w:rPr>
              <w:t> </w:t>
            </w:r>
            <w:r>
              <w:rPr>
                <w:sz w:val="18"/>
              </w:rPr>
              <w:t>καθυστέρηση</w:t>
            </w:r>
            <w:r>
              <w:rPr>
                <w:spacing w:val="-2"/>
                <w:sz w:val="18"/>
              </w:rPr>
              <w:t> </w:t>
            </w:r>
            <w:r>
              <w:rPr>
                <w:sz w:val="18"/>
              </w:rPr>
              <w:t>&gt;</w:t>
            </w:r>
            <w:r>
              <w:rPr>
                <w:spacing w:val="-4"/>
                <w:sz w:val="18"/>
              </w:rPr>
              <w:t> </w:t>
            </w:r>
            <w:r>
              <w:rPr>
                <w:sz w:val="18"/>
              </w:rPr>
              <w:t>90</w:t>
            </w:r>
            <w:r>
              <w:rPr>
                <w:spacing w:val="-1"/>
                <w:sz w:val="18"/>
              </w:rPr>
              <w:t> </w:t>
            </w:r>
            <w:r>
              <w:rPr>
                <w:spacing w:val="-2"/>
                <w:sz w:val="18"/>
              </w:rPr>
              <w:t>ημερών</w:t>
            </w:r>
          </w:p>
        </w:tc>
        <w:tc>
          <w:tcPr>
            <w:tcW w:w="1613" w:type="dxa"/>
            <w:shd w:val="clear" w:color="auto" w:fill="D9D9D9"/>
          </w:tcPr>
          <w:p>
            <w:pPr>
              <w:pStyle w:val="TableParagraph"/>
              <w:spacing w:line="203" w:lineRule="exact"/>
              <w:ind w:right="166"/>
              <w:jc w:val="right"/>
              <w:rPr>
                <w:sz w:val="18"/>
              </w:rPr>
            </w:pPr>
            <w:r>
              <w:rPr>
                <w:spacing w:val="-5"/>
                <w:sz w:val="18"/>
              </w:rPr>
              <w:t>2,5</w:t>
            </w:r>
          </w:p>
        </w:tc>
        <w:tc>
          <w:tcPr>
            <w:tcW w:w="1214" w:type="dxa"/>
            <w:shd w:val="clear" w:color="auto" w:fill="D9D9D9"/>
          </w:tcPr>
          <w:p>
            <w:pPr>
              <w:pStyle w:val="TableParagraph"/>
              <w:spacing w:line="203" w:lineRule="exact"/>
              <w:ind w:right="173"/>
              <w:jc w:val="right"/>
              <w:rPr>
                <w:sz w:val="18"/>
              </w:rPr>
            </w:pPr>
            <w:r>
              <w:rPr>
                <w:spacing w:val="-5"/>
                <w:sz w:val="18"/>
              </w:rPr>
              <w:t>2,2</w:t>
            </w:r>
          </w:p>
        </w:tc>
      </w:tr>
      <w:tr>
        <w:trPr>
          <w:trHeight w:val="273" w:hRule="atLeast"/>
        </w:trPr>
        <w:tc>
          <w:tcPr>
            <w:tcW w:w="5820" w:type="dxa"/>
            <w:shd w:val="clear" w:color="auto" w:fill="D9D9D9"/>
          </w:tcPr>
          <w:p>
            <w:pPr>
              <w:pStyle w:val="TableParagraph"/>
              <w:spacing w:line="191" w:lineRule="exact" w:before="63"/>
              <w:ind w:left="108"/>
              <w:rPr>
                <w:b/>
                <w:sz w:val="18"/>
              </w:rPr>
            </w:pPr>
            <w:r>
              <w:rPr>
                <w:b/>
                <w:color w:val="1F487C"/>
                <w:sz w:val="18"/>
              </w:rPr>
              <w:t>Δείκτες</w:t>
            </w:r>
            <w:r>
              <w:rPr>
                <w:b/>
                <w:color w:val="1F487C"/>
                <w:spacing w:val="-3"/>
                <w:sz w:val="18"/>
              </w:rPr>
              <w:t> </w:t>
            </w:r>
            <w:r>
              <w:rPr>
                <w:b/>
                <w:color w:val="1F487C"/>
                <w:sz w:val="18"/>
              </w:rPr>
              <w:t>δ</w:t>
            </w:r>
            <w:r>
              <w:rPr>
                <w:b/>
                <w:smallCaps/>
                <w:color w:val="1F487C"/>
                <w:sz w:val="18"/>
              </w:rPr>
              <w:t>ι</w:t>
            </w:r>
            <w:r>
              <w:rPr>
                <w:b/>
                <w:smallCaps w:val="0"/>
                <w:color w:val="1F487C"/>
                <w:sz w:val="18"/>
              </w:rPr>
              <w:t>άρθρωσης</w:t>
            </w:r>
            <w:r>
              <w:rPr>
                <w:b/>
                <w:smallCaps w:val="0"/>
                <w:color w:val="1F487C"/>
                <w:spacing w:val="-2"/>
                <w:sz w:val="18"/>
              </w:rPr>
              <w:t> </w:t>
            </w:r>
            <w:r>
              <w:rPr>
                <w:b/>
                <w:smallCaps w:val="0"/>
                <w:color w:val="1F487C"/>
                <w:sz w:val="18"/>
              </w:rPr>
              <w:t>καθυστερήσεων</w:t>
            </w:r>
            <w:r>
              <w:rPr>
                <w:b/>
                <w:smallCaps w:val="0"/>
                <w:color w:val="1F487C"/>
                <w:spacing w:val="-3"/>
                <w:sz w:val="18"/>
              </w:rPr>
              <w:t> </w:t>
            </w:r>
            <w:r>
              <w:rPr>
                <w:b/>
                <w:smallCaps w:val="0"/>
                <w:color w:val="1F487C"/>
                <w:sz w:val="18"/>
              </w:rPr>
              <w:t>ως</w:t>
            </w:r>
            <w:r>
              <w:rPr>
                <w:b/>
                <w:smallCaps w:val="0"/>
                <w:color w:val="1F487C"/>
                <w:spacing w:val="-2"/>
                <w:sz w:val="18"/>
              </w:rPr>
              <w:t> </w:t>
            </w:r>
            <w:r>
              <w:rPr>
                <w:b/>
                <w:smallCaps w:val="0"/>
                <w:color w:val="1F487C"/>
                <w:sz w:val="18"/>
              </w:rPr>
              <w:t>προς</w:t>
            </w:r>
            <w:r>
              <w:rPr>
                <w:b/>
                <w:smallCaps w:val="0"/>
                <w:color w:val="1F487C"/>
                <w:spacing w:val="-2"/>
                <w:sz w:val="18"/>
              </w:rPr>
              <w:t> </w:t>
            </w:r>
            <w:r>
              <w:rPr>
                <w:b/>
                <w:smallCaps w:val="0"/>
                <w:color w:val="1F487C"/>
                <w:sz w:val="18"/>
              </w:rPr>
              <w:t>σύνολο</w:t>
            </w:r>
            <w:r>
              <w:rPr>
                <w:b/>
                <w:smallCaps w:val="0"/>
                <w:color w:val="1F487C"/>
                <w:spacing w:val="2"/>
                <w:sz w:val="18"/>
              </w:rPr>
              <w:t> </w:t>
            </w:r>
            <w:r>
              <w:rPr>
                <w:b/>
                <w:smallCaps w:val="0"/>
                <w:color w:val="1F487C"/>
                <w:sz w:val="18"/>
              </w:rPr>
              <w:t>MEΔ</w:t>
            </w:r>
            <w:r>
              <w:rPr>
                <w:b/>
                <w:smallCaps w:val="0"/>
                <w:color w:val="1F487C"/>
                <w:spacing w:val="-5"/>
                <w:sz w:val="18"/>
              </w:rPr>
              <w:t> (%)</w:t>
            </w:r>
          </w:p>
        </w:tc>
        <w:tc>
          <w:tcPr>
            <w:tcW w:w="1613" w:type="dxa"/>
            <w:shd w:val="clear" w:color="auto" w:fill="D9D9D9"/>
          </w:tcPr>
          <w:p>
            <w:pPr>
              <w:pStyle w:val="TableParagraph"/>
              <w:rPr>
                <w:sz w:val="18"/>
              </w:rPr>
            </w:pPr>
          </w:p>
        </w:tc>
        <w:tc>
          <w:tcPr>
            <w:tcW w:w="1214" w:type="dxa"/>
            <w:shd w:val="clear" w:color="auto" w:fill="D9D9D9"/>
          </w:tcPr>
          <w:p>
            <w:pPr>
              <w:pStyle w:val="TableParagraph"/>
              <w:rPr>
                <w:sz w:val="18"/>
              </w:rPr>
            </w:pPr>
          </w:p>
        </w:tc>
      </w:tr>
      <w:tr>
        <w:trPr>
          <w:trHeight w:val="241" w:hRule="atLeast"/>
        </w:trPr>
        <w:tc>
          <w:tcPr>
            <w:tcW w:w="5820" w:type="dxa"/>
            <w:shd w:val="clear" w:color="auto" w:fill="D9D9D9"/>
          </w:tcPr>
          <w:p>
            <w:pPr>
              <w:pStyle w:val="TableParagraph"/>
              <w:spacing w:line="192" w:lineRule="exact" w:before="29"/>
              <w:ind w:left="108"/>
              <w:rPr>
                <w:sz w:val="18"/>
              </w:rPr>
            </w:pPr>
            <w:r>
              <w:rPr>
                <w:sz w:val="18"/>
              </w:rPr>
              <w:t>Αβέβαιης</w:t>
            </w:r>
            <w:r>
              <w:rPr>
                <w:spacing w:val="-3"/>
                <w:sz w:val="18"/>
              </w:rPr>
              <w:t> </w:t>
            </w:r>
            <w:r>
              <w:rPr>
                <w:spacing w:val="-2"/>
                <w:sz w:val="18"/>
              </w:rPr>
              <w:t>είσπραξης</w:t>
            </w:r>
          </w:p>
        </w:tc>
        <w:tc>
          <w:tcPr>
            <w:tcW w:w="1613" w:type="dxa"/>
            <w:shd w:val="clear" w:color="auto" w:fill="D9D9D9"/>
          </w:tcPr>
          <w:p>
            <w:pPr>
              <w:pStyle w:val="TableParagraph"/>
              <w:spacing w:line="203" w:lineRule="exact"/>
              <w:ind w:right="166"/>
              <w:jc w:val="right"/>
              <w:rPr>
                <w:sz w:val="18"/>
              </w:rPr>
            </w:pPr>
            <w:r>
              <w:rPr>
                <w:spacing w:val="-4"/>
                <w:sz w:val="18"/>
              </w:rPr>
              <w:t>33,6</w:t>
            </w:r>
          </w:p>
        </w:tc>
        <w:tc>
          <w:tcPr>
            <w:tcW w:w="1214" w:type="dxa"/>
            <w:shd w:val="clear" w:color="auto" w:fill="D9D9D9"/>
          </w:tcPr>
          <w:p>
            <w:pPr>
              <w:pStyle w:val="TableParagraph"/>
              <w:spacing w:line="203" w:lineRule="exact"/>
              <w:ind w:right="172"/>
              <w:jc w:val="right"/>
              <w:rPr>
                <w:sz w:val="18"/>
              </w:rPr>
            </w:pPr>
            <w:r>
              <w:rPr>
                <w:spacing w:val="-4"/>
                <w:sz w:val="18"/>
              </w:rPr>
              <w:t>34,3</w:t>
            </w:r>
          </w:p>
        </w:tc>
      </w:tr>
      <w:tr>
        <w:trPr>
          <w:trHeight w:val="242" w:hRule="atLeast"/>
        </w:trPr>
        <w:tc>
          <w:tcPr>
            <w:tcW w:w="5820" w:type="dxa"/>
            <w:shd w:val="clear" w:color="auto" w:fill="D9D9D9"/>
          </w:tcPr>
          <w:p>
            <w:pPr>
              <w:pStyle w:val="TableParagraph"/>
              <w:spacing w:line="192" w:lineRule="exact" w:before="30"/>
              <w:ind w:left="108"/>
              <w:rPr>
                <w:sz w:val="18"/>
              </w:rPr>
            </w:pPr>
            <w:r>
              <w:rPr>
                <w:sz w:val="18"/>
              </w:rPr>
              <w:t>Ανοίγματα</w:t>
            </w:r>
            <w:r>
              <w:rPr>
                <w:spacing w:val="-4"/>
                <w:sz w:val="18"/>
              </w:rPr>
              <w:t> </w:t>
            </w:r>
            <w:r>
              <w:rPr>
                <w:sz w:val="18"/>
              </w:rPr>
              <w:t>σε</w:t>
            </w:r>
            <w:r>
              <w:rPr>
                <w:spacing w:val="-2"/>
                <w:sz w:val="18"/>
              </w:rPr>
              <w:t> </w:t>
            </w:r>
            <w:r>
              <w:rPr>
                <w:sz w:val="18"/>
              </w:rPr>
              <w:t>καθυστέρηση</w:t>
            </w:r>
            <w:r>
              <w:rPr>
                <w:spacing w:val="-3"/>
                <w:sz w:val="18"/>
              </w:rPr>
              <w:t> </w:t>
            </w:r>
            <w:r>
              <w:rPr>
                <w:sz w:val="18"/>
              </w:rPr>
              <w:t>&gt;</w:t>
            </w:r>
            <w:r>
              <w:rPr>
                <w:spacing w:val="-4"/>
                <w:sz w:val="18"/>
              </w:rPr>
              <w:t> </w:t>
            </w:r>
            <w:r>
              <w:rPr>
                <w:sz w:val="18"/>
              </w:rPr>
              <w:t>90</w:t>
            </w:r>
            <w:r>
              <w:rPr>
                <w:spacing w:val="-3"/>
                <w:sz w:val="18"/>
              </w:rPr>
              <w:t> </w:t>
            </w:r>
            <w:r>
              <w:rPr>
                <w:spacing w:val="-2"/>
                <w:sz w:val="18"/>
              </w:rPr>
              <w:t>ημερών</w:t>
            </w:r>
          </w:p>
        </w:tc>
        <w:tc>
          <w:tcPr>
            <w:tcW w:w="1613" w:type="dxa"/>
            <w:shd w:val="clear" w:color="auto" w:fill="D9D9D9"/>
          </w:tcPr>
          <w:p>
            <w:pPr>
              <w:pStyle w:val="TableParagraph"/>
              <w:spacing w:line="204" w:lineRule="exact"/>
              <w:ind w:right="166"/>
              <w:jc w:val="right"/>
              <w:rPr>
                <w:sz w:val="18"/>
              </w:rPr>
            </w:pPr>
            <w:r>
              <w:rPr>
                <w:spacing w:val="-4"/>
                <w:sz w:val="18"/>
              </w:rPr>
              <w:t>40,0</w:t>
            </w:r>
          </w:p>
        </w:tc>
        <w:tc>
          <w:tcPr>
            <w:tcW w:w="1214" w:type="dxa"/>
            <w:shd w:val="clear" w:color="auto" w:fill="D9D9D9"/>
          </w:tcPr>
          <w:p>
            <w:pPr>
              <w:pStyle w:val="TableParagraph"/>
              <w:spacing w:line="204" w:lineRule="exact"/>
              <w:ind w:right="172"/>
              <w:jc w:val="right"/>
              <w:rPr>
                <w:sz w:val="18"/>
              </w:rPr>
            </w:pPr>
            <w:r>
              <w:rPr>
                <w:spacing w:val="-4"/>
                <w:sz w:val="18"/>
              </w:rPr>
              <w:t>36,3</w:t>
            </w:r>
          </w:p>
        </w:tc>
      </w:tr>
      <w:tr>
        <w:trPr>
          <w:trHeight w:val="241" w:hRule="atLeast"/>
        </w:trPr>
        <w:tc>
          <w:tcPr>
            <w:tcW w:w="5820" w:type="dxa"/>
            <w:shd w:val="clear" w:color="auto" w:fill="D9D9D9"/>
          </w:tcPr>
          <w:p>
            <w:pPr>
              <w:pStyle w:val="TableParagraph"/>
              <w:spacing w:line="191" w:lineRule="exact" w:before="31"/>
              <w:ind w:left="467"/>
              <w:rPr>
                <w:sz w:val="18"/>
              </w:rPr>
            </w:pPr>
            <w:r>
              <w:rPr>
                <w:sz w:val="18"/>
              </w:rPr>
              <w:t>91-180</w:t>
            </w:r>
            <w:r>
              <w:rPr>
                <w:spacing w:val="-1"/>
                <w:sz w:val="18"/>
              </w:rPr>
              <w:t> </w:t>
            </w:r>
            <w:r>
              <w:rPr>
                <w:spacing w:val="-2"/>
                <w:sz w:val="18"/>
              </w:rPr>
              <w:t>ημέρες</w:t>
            </w:r>
          </w:p>
        </w:tc>
        <w:tc>
          <w:tcPr>
            <w:tcW w:w="1613" w:type="dxa"/>
            <w:shd w:val="clear" w:color="auto" w:fill="D9D9D9"/>
          </w:tcPr>
          <w:p>
            <w:pPr>
              <w:pStyle w:val="TableParagraph"/>
              <w:spacing w:line="204" w:lineRule="exact"/>
              <w:ind w:right="166"/>
              <w:jc w:val="right"/>
              <w:rPr>
                <w:sz w:val="18"/>
              </w:rPr>
            </w:pPr>
            <w:r>
              <w:rPr>
                <w:spacing w:val="-5"/>
                <w:sz w:val="18"/>
              </w:rPr>
              <w:t>5,2</w:t>
            </w:r>
          </w:p>
        </w:tc>
        <w:tc>
          <w:tcPr>
            <w:tcW w:w="1214" w:type="dxa"/>
            <w:shd w:val="clear" w:color="auto" w:fill="D9D9D9"/>
          </w:tcPr>
          <w:p>
            <w:pPr>
              <w:pStyle w:val="TableParagraph"/>
              <w:spacing w:line="204" w:lineRule="exact"/>
              <w:ind w:right="173"/>
              <w:jc w:val="right"/>
              <w:rPr>
                <w:sz w:val="18"/>
              </w:rPr>
            </w:pPr>
            <w:r>
              <w:rPr>
                <w:spacing w:val="-5"/>
                <w:sz w:val="18"/>
              </w:rPr>
              <w:t>6,4</w:t>
            </w:r>
          </w:p>
        </w:tc>
      </w:tr>
      <w:tr>
        <w:trPr>
          <w:trHeight w:val="242" w:hRule="atLeast"/>
        </w:trPr>
        <w:tc>
          <w:tcPr>
            <w:tcW w:w="5820" w:type="dxa"/>
            <w:shd w:val="clear" w:color="auto" w:fill="D9D9D9"/>
          </w:tcPr>
          <w:p>
            <w:pPr>
              <w:pStyle w:val="TableParagraph"/>
              <w:spacing w:line="191" w:lineRule="exact" w:before="32"/>
              <w:ind w:left="467"/>
              <w:rPr>
                <w:sz w:val="18"/>
              </w:rPr>
            </w:pPr>
            <w:r>
              <w:rPr>
                <w:sz w:val="18"/>
              </w:rPr>
              <w:t>181-360 </w:t>
            </w:r>
            <w:r>
              <w:rPr>
                <w:spacing w:val="-2"/>
                <w:sz w:val="18"/>
              </w:rPr>
              <w:t>ημέρες</w:t>
            </w:r>
          </w:p>
        </w:tc>
        <w:tc>
          <w:tcPr>
            <w:tcW w:w="1613" w:type="dxa"/>
            <w:shd w:val="clear" w:color="auto" w:fill="D9D9D9"/>
          </w:tcPr>
          <w:p>
            <w:pPr>
              <w:pStyle w:val="TableParagraph"/>
              <w:spacing w:line="203" w:lineRule="exact"/>
              <w:ind w:right="166"/>
              <w:jc w:val="right"/>
              <w:rPr>
                <w:sz w:val="18"/>
              </w:rPr>
            </w:pPr>
            <w:r>
              <w:rPr>
                <w:spacing w:val="-5"/>
                <w:sz w:val="18"/>
              </w:rPr>
              <w:t>5,4</w:t>
            </w:r>
          </w:p>
        </w:tc>
        <w:tc>
          <w:tcPr>
            <w:tcW w:w="1214" w:type="dxa"/>
            <w:shd w:val="clear" w:color="auto" w:fill="D9D9D9"/>
          </w:tcPr>
          <w:p>
            <w:pPr>
              <w:pStyle w:val="TableParagraph"/>
              <w:spacing w:line="203" w:lineRule="exact"/>
              <w:ind w:right="173"/>
              <w:jc w:val="right"/>
              <w:rPr>
                <w:sz w:val="18"/>
              </w:rPr>
            </w:pPr>
            <w:r>
              <w:rPr>
                <w:spacing w:val="-5"/>
                <w:sz w:val="18"/>
              </w:rPr>
              <w:t>6,3</w:t>
            </w:r>
          </w:p>
        </w:tc>
      </w:tr>
      <w:tr>
        <w:trPr>
          <w:trHeight w:val="242" w:hRule="atLeast"/>
        </w:trPr>
        <w:tc>
          <w:tcPr>
            <w:tcW w:w="5820" w:type="dxa"/>
            <w:shd w:val="clear" w:color="auto" w:fill="D9D9D9"/>
          </w:tcPr>
          <w:p>
            <w:pPr>
              <w:pStyle w:val="TableParagraph"/>
              <w:spacing w:line="191" w:lineRule="exact" w:before="32"/>
              <w:ind w:left="467"/>
              <w:rPr>
                <w:sz w:val="18"/>
              </w:rPr>
            </w:pPr>
            <w:r>
              <w:rPr>
                <w:sz w:val="18"/>
              </w:rPr>
              <w:t>&gt;1 </w:t>
            </w:r>
            <w:r>
              <w:rPr>
                <w:spacing w:val="-2"/>
                <w:sz w:val="18"/>
              </w:rPr>
              <w:t>έτους</w:t>
            </w:r>
          </w:p>
        </w:tc>
        <w:tc>
          <w:tcPr>
            <w:tcW w:w="1613" w:type="dxa"/>
            <w:shd w:val="clear" w:color="auto" w:fill="D9D9D9"/>
          </w:tcPr>
          <w:p>
            <w:pPr>
              <w:pStyle w:val="TableParagraph"/>
              <w:spacing w:line="203" w:lineRule="exact"/>
              <w:ind w:right="166"/>
              <w:jc w:val="right"/>
              <w:rPr>
                <w:sz w:val="18"/>
              </w:rPr>
            </w:pPr>
            <w:r>
              <w:rPr>
                <w:spacing w:val="-4"/>
                <w:sz w:val="18"/>
              </w:rPr>
              <w:t>29,4</w:t>
            </w:r>
          </w:p>
        </w:tc>
        <w:tc>
          <w:tcPr>
            <w:tcW w:w="1214" w:type="dxa"/>
            <w:shd w:val="clear" w:color="auto" w:fill="D9D9D9"/>
          </w:tcPr>
          <w:p>
            <w:pPr>
              <w:pStyle w:val="TableParagraph"/>
              <w:spacing w:line="203" w:lineRule="exact"/>
              <w:ind w:right="172"/>
              <w:jc w:val="right"/>
              <w:rPr>
                <w:sz w:val="18"/>
              </w:rPr>
            </w:pPr>
            <w:r>
              <w:rPr>
                <w:spacing w:val="-4"/>
                <w:sz w:val="18"/>
              </w:rPr>
              <w:t>23,7</w:t>
            </w:r>
          </w:p>
        </w:tc>
      </w:tr>
      <w:tr>
        <w:trPr>
          <w:trHeight w:val="308" w:hRule="atLeast"/>
        </w:trPr>
        <w:tc>
          <w:tcPr>
            <w:tcW w:w="5820" w:type="dxa"/>
            <w:shd w:val="clear" w:color="auto" w:fill="D9D9D9"/>
          </w:tcPr>
          <w:p>
            <w:pPr>
              <w:pStyle w:val="TableParagraph"/>
              <w:spacing w:before="32"/>
              <w:ind w:left="108"/>
              <w:rPr>
                <w:sz w:val="18"/>
              </w:rPr>
            </w:pPr>
            <w:r>
              <w:rPr>
                <w:sz w:val="18"/>
              </w:rPr>
              <w:t>Καταγγελμένες</w:t>
            </w:r>
            <w:r>
              <w:rPr>
                <w:spacing w:val="-4"/>
                <w:sz w:val="18"/>
              </w:rPr>
              <w:t> </w:t>
            </w:r>
            <w:r>
              <w:rPr>
                <w:spacing w:val="-2"/>
                <w:sz w:val="18"/>
              </w:rPr>
              <w:t>απαιτήσεις</w:t>
            </w:r>
          </w:p>
        </w:tc>
        <w:tc>
          <w:tcPr>
            <w:tcW w:w="1613" w:type="dxa"/>
            <w:shd w:val="clear" w:color="auto" w:fill="D9D9D9"/>
          </w:tcPr>
          <w:p>
            <w:pPr>
              <w:pStyle w:val="TableParagraph"/>
              <w:spacing w:line="203" w:lineRule="exact"/>
              <w:ind w:right="166"/>
              <w:jc w:val="right"/>
              <w:rPr>
                <w:sz w:val="18"/>
              </w:rPr>
            </w:pPr>
            <w:r>
              <w:rPr>
                <w:spacing w:val="-4"/>
                <w:sz w:val="18"/>
              </w:rPr>
              <w:t>26,4</w:t>
            </w:r>
          </w:p>
        </w:tc>
        <w:tc>
          <w:tcPr>
            <w:tcW w:w="1214" w:type="dxa"/>
            <w:shd w:val="clear" w:color="auto" w:fill="D9D9D9"/>
          </w:tcPr>
          <w:p>
            <w:pPr>
              <w:pStyle w:val="TableParagraph"/>
              <w:spacing w:line="203" w:lineRule="exact"/>
              <w:ind w:right="172"/>
              <w:jc w:val="right"/>
              <w:rPr>
                <w:sz w:val="18"/>
              </w:rPr>
            </w:pPr>
            <w:r>
              <w:rPr>
                <w:spacing w:val="-4"/>
                <w:sz w:val="18"/>
              </w:rPr>
              <w:t>29,4</w:t>
            </w:r>
          </w:p>
        </w:tc>
      </w:tr>
      <w:tr>
        <w:trPr>
          <w:trHeight w:val="273" w:hRule="atLeast"/>
        </w:trPr>
        <w:tc>
          <w:tcPr>
            <w:tcW w:w="5820" w:type="dxa"/>
            <w:shd w:val="clear" w:color="auto" w:fill="D9D9D9"/>
          </w:tcPr>
          <w:p>
            <w:pPr>
              <w:pStyle w:val="TableParagraph"/>
              <w:spacing w:line="192" w:lineRule="exact" w:before="62"/>
              <w:ind w:left="108"/>
              <w:rPr>
                <w:b/>
                <w:sz w:val="18"/>
              </w:rPr>
            </w:pPr>
            <w:r>
              <w:rPr>
                <w:b/>
                <w:color w:val="1F487C"/>
                <w:sz w:val="18"/>
              </w:rPr>
              <w:t>Δείκτες</w:t>
            </w:r>
            <w:r>
              <w:rPr>
                <w:b/>
                <w:color w:val="1F487C"/>
                <w:spacing w:val="-2"/>
                <w:sz w:val="18"/>
              </w:rPr>
              <w:t> </w:t>
            </w:r>
            <w:r>
              <w:rPr>
                <w:b/>
                <w:color w:val="1F487C"/>
                <w:sz w:val="18"/>
              </w:rPr>
              <w:t>ρυθμίσεων</w:t>
            </w:r>
            <w:r>
              <w:rPr>
                <w:b/>
                <w:color w:val="1F487C"/>
                <w:spacing w:val="-1"/>
                <w:sz w:val="18"/>
              </w:rPr>
              <w:t> </w:t>
            </w:r>
            <w:r>
              <w:rPr>
                <w:b/>
                <w:color w:val="1F487C"/>
                <w:sz w:val="18"/>
              </w:rPr>
              <w:t>ως</w:t>
            </w:r>
            <w:r>
              <w:rPr>
                <w:b/>
                <w:color w:val="1F487C"/>
                <w:spacing w:val="-1"/>
                <w:sz w:val="18"/>
              </w:rPr>
              <w:t> </w:t>
            </w:r>
            <w:r>
              <w:rPr>
                <w:b/>
                <w:color w:val="1F487C"/>
                <w:sz w:val="18"/>
              </w:rPr>
              <w:t>προς</w:t>
            </w:r>
            <w:r>
              <w:rPr>
                <w:b/>
                <w:color w:val="1F487C"/>
                <w:spacing w:val="-3"/>
                <w:sz w:val="18"/>
              </w:rPr>
              <w:t> </w:t>
            </w:r>
            <w:r>
              <w:rPr>
                <w:b/>
                <w:color w:val="1F487C"/>
                <w:sz w:val="18"/>
              </w:rPr>
              <w:t>σύνολο</w:t>
            </w:r>
            <w:r>
              <w:rPr>
                <w:b/>
                <w:color w:val="1F487C"/>
                <w:spacing w:val="-3"/>
                <w:sz w:val="18"/>
              </w:rPr>
              <w:t> </w:t>
            </w:r>
            <w:r>
              <w:rPr>
                <w:b/>
                <w:color w:val="1F487C"/>
                <w:sz w:val="18"/>
              </w:rPr>
              <w:t>ανο</w:t>
            </w:r>
            <w:r>
              <w:rPr>
                <w:b/>
                <w:smallCaps/>
                <w:color w:val="1F487C"/>
                <w:sz w:val="18"/>
              </w:rPr>
              <w:t>ι</w:t>
            </w:r>
            <w:r>
              <w:rPr>
                <w:b/>
                <w:smallCaps w:val="0"/>
                <w:color w:val="1F487C"/>
                <w:sz w:val="18"/>
              </w:rPr>
              <w:t>γμάτων </w:t>
            </w:r>
            <w:r>
              <w:rPr>
                <w:b/>
                <w:smallCaps w:val="0"/>
                <w:color w:val="1F487C"/>
                <w:spacing w:val="-5"/>
                <w:sz w:val="18"/>
              </w:rPr>
              <w:t>(%)</w:t>
            </w:r>
          </w:p>
        </w:tc>
        <w:tc>
          <w:tcPr>
            <w:tcW w:w="1613" w:type="dxa"/>
            <w:shd w:val="clear" w:color="auto" w:fill="D9D9D9"/>
          </w:tcPr>
          <w:p>
            <w:pPr>
              <w:pStyle w:val="TableParagraph"/>
              <w:rPr>
                <w:sz w:val="18"/>
              </w:rPr>
            </w:pPr>
          </w:p>
        </w:tc>
        <w:tc>
          <w:tcPr>
            <w:tcW w:w="1214" w:type="dxa"/>
            <w:shd w:val="clear" w:color="auto" w:fill="D9D9D9"/>
          </w:tcPr>
          <w:p>
            <w:pPr>
              <w:pStyle w:val="TableParagraph"/>
              <w:rPr>
                <w:sz w:val="18"/>
              </w:rPr>
            </w:pPr>
          </w:p>
        </w:tc>
      </w:tr>
      <w:tr>
        <w:trPr>
          <w:trHeight w:val="241" w:hRule="atLeast"/>
        </w:trPr>
        <w:tc>
          <w:tcPr>
            <w:tcW w:w="5820" w:type="dxa"/>
            <w:shd w:val="clear" w:color="auto" w:fill="D9D9D9"/>
          </w:tcPr>
          <w:p>
            <w:pPr>
              <w:pStyle w:val="TableParagraph"/>
              <w:spacing w:line="191" w:lineRule="exact" w:before="30"/>
              <w:ind w:left="108"/>
              <w:rPr>
                <w:sz w:val="18"/>
              </w:rPr>
            </w:pPr>
            <w:r>
              <w:rPr>
                <w:sz w:val="18"/>
              </w:rPr>
              <w:t>Δάνεια</w:t>
            </w:r>
            <w:r>
              <w:rPr>
                <w:spacing w:val="-2"/>
                <w:sz w:val="18"/>
              </w:rPr>
              <w:t> </w:t>
            </w:r>
            <w:r>
              <w:rPr>
                <w:sz w:val="18"/>
              </w:rPr>
              <w:t>υπό</w:t>
            </w:r>
            <w:r>
              <w:rPr>
                <w:spacing w:val="1"/>
                <w:sz w:val="18"/>
              </w:rPr>
              <w:t> </w:t>
            </w:r>
            <w:r>
              <w:rPr>
                <w:spacing w:val="-2"/>
                <w:sz w:val="18"/>
              </w:rPr>
              <w:t>ρύθμιση</w:t>
            </w:r>
          </w:p>
        </w:tc>
        <w:tc>
          <w:tcPr>
            <w:tcW w:w="1613" w:type="dxa"/>
            <w:shd w:val="clear" w:color="auto" w:fill="D9D9D9"/>
          </w:tcPr>
          <w:p>
            <w:pPr>
              <w:pStyle w:val="TableParagraph"/>
              <w:spacing w:line="204" w:lineRule="exact"/>
              <w:ind w:right="166"/>
              <w:jc w:val="right"/>
              <w:rPr>
                <w:sz w:val="18"/>
              </w:rPr>
            </w:pPr>
            <w:r>
              <w:rPr>
                <w:spacing w:val="-5"/>
                <w:sz w:val="18"/>
              </w:rPr>
              <w:t>3,4</w:t>
            </w:r>
          </w:p>
        </w:tc>
        <w:tc>
          <w:tcPr>
            <w:tcW w:w="1214" w:type="dxa"/>
            <w:shd w:val="clear" w:color="auto" w:fill="D9D9D9"/>
          </w:tcPr>
          <w:p>
            <w:pPr>
              <w:pStyle w:val="TableParagraph"/>
              <w:spacing w:line="204" w:lineRule="exact"/>
              <w:ind w:right="173"/>
              <w:jc w:val="right"/>
              <w:rPr>
                <w:sz w:val="18"/>
              </w:rPr>
            </w:pPr>
            <w:r>
              <w:rPr>
                <w:spacing w:val="-5"/>
                <w:sz w:val="18"/>
              </w:rPr>
              <w:t>2,4</w:t>
            </w:r>
          </w:p>
        </w:tc>
      </w:tr>
      <w:tr>
        <w:trPr>
          <w:trHeight w:val="242" w:hRule="atLeast"/>
        </w:trPr>
        <w:tc>
          <w:tcPr>
            <w:tcW w:w="5820" w:type="dxa"/>
            <w:shd w:val="clear" w:color="auto" w:fill="D9D9D9"/>
          </w:tcPr>
          <w:p>
            <w:pPr>
              <w:pStyle w:val="TableParagraph"/>
              <w:spacing w:line="191" w:lineRule="exact" w:before="32"/>
              <w:ind w:left="467"/>
              <w:rPr>
                <w:sz w:val="18"/>
              </w:rPr>
            </w:pPr>
            <w:r>
              <w:rPr>
                <w:sz w:val="18"/>
              </w:rPr>
              <w:t>Εξυπηρετούμενα</w:t>
            </w:r>
            <w:r>
              <w:rPr>
                <w:spacing w:val="-2"/>
                <w:sz w:val="18"/>
              </w:rPr>
              <w:t> </w:t>
            </w:r>
            <w:r>
              <w:rPr>
                <w:sz w:val="18"/>
              </w:rPr>
              <w:t>δάνεια</w:t>
            </w:r>
            <w:r>
              <w:rPr>
                <w:spacing w:val="-3"/>
                <w:sz w:val="18"/>
              </w:rPr>
              <w:t> </w:t>
            </w:r>
            <w:r>
              <w:rPr>
                <w:sz w:val="18"/>
              </w:rPr>
              <w:t>υπό </w:t>
            </w:r>
            <w:r>
              <w:rPr>
                <w:spacing w:val="-2"/>
                <w:sz w:val="18"/>
              </w:rPr>
              <w:t>ρύθμιση</w:t>
            </w:r>
          </w:p>
        </w:tc>
        <w:tc>
          <w:tcPr>
            <w:tcW w:w="1613" w:type="dxa"/>
            <w:shd w:val="clear" w:color="auto" w:fill="D9D9D9"/>
          </w:tcPr>
          <w:p>
            <w:pPr>
              <w:pStyle w:val="TableParagraph"/>
              <w:spacing w:line="203" w:lineRule="exact"/>
              <w:ind w:right="166"/>
              <w:jc w:val="right"/>
              <w:rPr>
                <w:sz w:val="18"/>
              </w:rPr>
            </w:pPr>
            <w:r>
              <w:rPr>
                <w:spacing w:val="-5"/>
                <w:sz w:val="18"/>
              </w:rPr>
              <w:t>2,1</w:t>
            </w:r>
          </w:p>
        </w:tc>
        <w:tc>
          <w:tcPr>
            <w:tcW w:w="1214" w:type="dxa"/>
            <w:shd w:val="clear" w:color="auto" w:fill="D9D9D9"/>
          </w:tcPr>
          <w:p>
            <w:pPr>
              <w:pStyle w:val="TableParagraph"/>
              <w:spacing w:line="203" w:lineRule="exact"/>
              <w:ind w:right="173"/>
              <w:jc w:val="right"/>
              <w:rPr>
                <w:sz w:val="18"/>
              </w:rPr>
            </w:pPr>
            <w:r>
              <w:rPr>
                <w:spacing w:val="-5"/>
                <w:sz w:val="18"/>
              </w:rPr>
              <w:t>1,2</w:t>
            </w:r>
          </w:p>
        </w:tc>
      </w:tr>
      <w:tr>
        <w:trPr>
          <w:trHeight w:val="324" w:hRule="atLeast"/>
        </w:trPr>
        <w:tc>
          <w:tcPr>
            <w:tcW w:w="5820" w:type="dxa"/>
            <w:shd w:val="clear" w:color="auto" w:fill="D9D9D9"/>
          </w:tcPr>
          <w:p>
            <w:pPr>
              <w:pStyle w:val="TableParagraph"/>
              <w:spacing w:before="46"/>
              <w:ind w:left="467"/>
              <w:rPr>
                <w:sz w:val="18"/>
              </w:rPr>
            </w:pPr>
            <w:r>
              <w:rPr>
                <w:sz w:val="18"/>
              </w:rPr>
              <w:t>Μη</w:t>
            </w:r>
            <w:r>
              <w:rPr>
                <w:spacing w:val="-3"/>
                <w:sz w:val="18"/>
              </w:rPr>
              <w:t> </w:t>
            </w:r>
            <w:r>
              <w:rPr>
                <w:sz w:val="18"/>
              </w:rPr>
              <w:t>εξυπηρετούμενα</w:t>
            </w:r>
            <w:r>
              <w:rPr>
                <w:spacing w:val="-1"/>
                <w:sz w:val="18"/>
              </w:rPr>
              <w:t> </w:t>
            </w:r>
            <w:r>
              <w:rPr>
                <w:sz w:val="18"/>
              </w:rPr>
              <w:t>δάνεια</w:t>
            </w:r>
            <w:r>
              <w:rPr>
                <w:spacing w:val="-2"/>
                <w:sz w:val="18"/>
              </w:rPr>
              <w:t> </w:t>
            </w:r>
            <w:r>
              <w:rPr>
                <w:sz w:val="18"/>
              </w:rPr>
              <w:t>υπό</w:t>
            </w:r>
            <w:r>
              <w:rPr>
                <w:spacing w:val="-2"/>
                <w:sz w:val="18"/>
              </w:rPr>
              <w:t> ρύθμιση</w:t>
            </w:r>
          </w:p>
        </w:tc>
        <w:tc>
          <w:tcPr>
            <w:tcW w:w="1613" w:type="dxa"/>
            <w:shd w:val="clear" w:color="auto" w:fill="D9D9D9"/>
          </w:tcPr>
          <w:p>
            <w:pPr>
              <w:pStyle w:val="TableParagraph"/>
              <w:spacing w:line="203" w:lineRule="exact"/>
              <w:ind w:right="166"/>
              <w:jc w:val="right"/>
              <w:rPr>
                <w:sz w:val="18"/>
              </w:rPr>
            </w:pPr>
            <w:r>
              <w:rPr>
                <w:spacing w:val="-5"/>
                <w:sz w:val="18"/>
              </w:rPr>
              <w:t>1,3</w:t>
            </w:r>
          </w:p>
        </w:tc>
        <w:tc>
          <w:tcPr>
            <w:tcW w:w="1214" w:type="dxa"/>
            <w:shd w:val="clear" w:color="auto" w:fill="D9D9D9"/>
          </w:tcPr>
          <w:p>
            <w:pPr>
              <w:pStyle w:val="TableParagraph"/>
              <w:spacing w:line="203" w:lineRule="exact"/>
              <w:ind w:right="173"/>
              <w:jc w:val="right"/>
              <w:rPr>
                <w:sz w:val="18"/>
              </w:rPr>
            </w:pPr>
            <w:r>
              <w:rPr>
                <w:spacing w:val="-5"/>
                <w:sz w:val="18"/>
              </w:rPr>
              <w:t>1,2</w:t>
            </w:r>
          </w:p>
        </w:tc>
      </w:tr>
      <w:tr>
        <w:trPr>
          <w:trHeight w:val="273" w:hRule="atLeast"/>
        </w:trPr>
        <w:tc>
          <w:tcPr>
            <w:tcW w:w="5820" w:type="dxa"/>
            <w:shd w:val="clear" w:color="auto" w:fill="D9D9D9"/>
          </w:tcPr>
          <w:p>
            <w:pPr>
              <w:pStyle w:val="TableParagraph"/>
              <w:spacing w:line="191" w:lineRule="exact" w:before="63"/>
              <w:ind w:left="108"/>
              <w:rPr>
                <w:b/>
                <w:sz w:val="18"/>
              </w:rPr>
            </w:pPr>
            <w:r>
              <w:rPr>
                <w:b/>
                <w:color w:val="1F487C"/>
                <w:sz w:val="18"/>
              </w:rPr>
              <w:t>Δείκτες</w:t>
            </w:r>
            <w:r>
              <w:rPr>
                <w:b/>
                <w:color w:val="1F487C"/>
                <w:spacing w:val="-3"/>
                <w:sz w:val="18"/>
              </w:rPr>
              <w:t> </w:t>
            </w:r>
            <w:r>
              <w:rPr>
                <w:b/>
                <w:color w:val="1F487C"/>
                <w:sz w:val="18"/>
              </w:rPr>
              <w:t>κάλυψης</w:t>
            </w:r>
            <w:r>
              <w:rPr>
                <w:b/>
                <w:color w:val="1F487C"/>
                <w:spacing w:val="-5"/>
                <w:sz w:val="18"/>
              </w:rPr>
              <w:t> </w:t>
            </w:r>
            <w:r>
              <w:rPr>
                <w:b/>
                <w:color w:val="1F487C"/>
                <w:sz w:val="18"/>
              </w:rPr>
              <w:t>μη</w:t>
            </w:r>
            <w:r>
              <w:rPr>
                <w:b/>
                <w:color w:val="1F487C"/>
                <w:spacing w:val="-2"/>
                <w:sz w:val="18"/>
              </w:rPr>
              <w:t> </w:t>
            </w:r>
            <w:r>
              <w:rPr>
                <w:b/>
                <w:color w:val="1F487C"/>
                <w:sz w:val="18"/>
              </w:rPr>
              <w:t>εξυπηρετούμενων</w:t>
            </w:r>
            <w:r>
              <w:rPr>
                <w:b/>
                <w:color w:val="1F487C"/>
                <w:spacing w:val="-1"/>
                <w:sz w:val="18"/>
              </w:rPr>
              <w:t> </w:t>
            </w:r>
            <w:r>
              <w:rPr>
                <w:b/>
                <w:color w:val="1F487C"/>
                <w:sz w:val="18"/>
              </w:rPr>
              <w:t>δανείων</w:t>
            </w:r>
            <w:r>
              <w:rPr>
                <w:b/>
                <w:color w:val="1F487C"/>
                <w:spacing w:val="-4"/>
                <w:sz w:val="18"/>
              </w:rPr>
              <w:t> </w:t>
            </w:r>
            <w:r>
              <w:rPr>
                <w:b/>
                <w:color w:val="1F487C"/>
                <w:sz w:val="18"/>
              </w:rPr>
              <w:t>κα</w:t>
            </w:r>
            <w:r>
              <w:rPr>
                <w:b/>
                <w:smallCaps/>
                <w:color w:val="1F487C"/>
                <w:sz w:val="18"/>
              </w:rPr>
              <w:t>ι</w:t>
            </w:r>
            <w:r>
              <w:rPr>
                <w:b/>
                <w:smallCaps w:val="0"/>
                <w:color w:val="1F487C"/>
                <w:spacing w:val="-3"/>
                <w:sz w:val="18"/>
              </w:rPr>
              <w:t> </w:t>
            </w:r>
            <w:r>
              <w:rPr>
                <w:b/>
                <w:smallCaps w:val="0"/>
                <w:color w:val="1F487C"/>
                <w:sz w:val="18"/>
              </w:rPr>
              <w:t>δ</w:t>
            </w:r>
            <w:r>
              <w:rPr>
                <w:b/>
                <w:smallCaps/>
                <w:color w:val="1F487C"/>
                <w:sz w:val="18"/>
              </w:rPr>
              <w:t>ι</w:t>
            </w:r>
            <w:r>
              <w:rPr>
                <w:b/>
                <w:smallCaps w:val="0"/>
                <w:color w:val="1F487C"/>
                <w:sz w:val="18"/>
              </w:rPr>
              <w:t>αγραφών</w:t>
            </w:r>
            <w:r>
              <w:rPr>
                <w:b/>
                <w:smallCaps w:val="0"/>
                <w:color w:val="1F487C"/>
                <w:spacing w:val="-3"/>
                <w:sz w:val="18"/>
              </w:rPr>
              <w:t> </w:t>
            </w:r>
            <w:r>
              <w:rPr>
                <w:b/>
                <w:smallCaps w:val="0"/>
                <w:color w:val="1F487C"/>
                <w:spacing w:val="-5"/>
                <w:sz w:val="18"/>
              </w:rPr>
              <w:t>(%)</w:t>
            </w:r>
          </w:p>
        </w:tc>
        <w:tc>
          <w:tcPr>
            <w:tcW w:w="1613" w:type="dxa"/>
            <w:shd w:val="clear" w:color="auto" w:fill="D9D9D9"/>
          </w:tcPr>
          <w:p>
            <w:pPr>
              <w:pStyle w:val="TableParagraph"/>
              <w:rPr>
                <w:sz w:val="18"/>
              </w:rPr>
            </w:pPr>
          </w:p>
        </w:tc>
        <w:tc>
          <w:tcPr>
            <w:tcW w:w="1214" w:type="dxa"/>
            <w:shd w:val="clear" w:color="auto" w:fill="D9D9D9"/>
          </w:tcPr>
          <w:p>
            <w:pPr>
              <w:pStyle w:val="TableParagraph"/>
              <w:rPr>
                <w:sz w:val="18"/>
              </w:rPr>
            </w:pPr>
          </w:p>
        </w:tc>
      </w:tr>
      <w:tr>
        <w:trPr>
          <w:trHeight w:val="242" w:hRule="atLeast"/>
        </w:trPr>
        <w:tc>
          <w:tcPr>
            <w:tcW w:w="5820" w:type="dxa"/>
            <w:shd w:val="clear" w:color="auto" w:fill="D9D9D9"/>
          </w:tcPr>
          <w:p>
            <w:pPr>
              <w:pStyle w:val="TableParagraph"/>
              <w:spacing w:line="191" w:lineRule="exact" w:before="32"/>
              <w:ind w:left="108"/>
              <w:rPr>
                <w:sz w:val="18"/>
              </w:rPr>
            </w:pPr>
            <w:r>
              <w:rPr>
                <w:sz w:val="18"/>
              </w:rPr>
              <w:t>Δείκτης</w:t>
            </w:r>
            <w:r>
              <w:rPr>
                <w:spacing w:val="-2"/>
                <w:sz w:val="18"/>
              </w:rPr>
              <w:t> </w:t>
            </w:r>
            <w:r>
              <w:rPr>
                <w:sz w:val="18"/>
              </w:rPr>
              <w:t>κάλυψης MEΔ</w:t>
            </w:r>
            <w:r>
              <w:rPr>
                <w:spacing w:val="-2"/>
                <w:sz w:val="18"/>
              </w:rPr>
              <w:t> </w:t>
            </w:r>
            <w:r>
              <w:rPr>
                <w:sz w:val="18"/>
              </w:rPr>
              <w:t>από </w:t>
            </w:r>
            <w:r>
              <w:rPr>
                <w:spacing w:val="-2"/>
                <w:sz w:val="18"/>
              </w:rPr>
              <w:t>προβλέψεις</w:t>
            </w:r>
          </w:p>
        </w:tc>
        <w:tc>
          <w:tcPr>
            <w:tcW w:w="1613" w:type="dxa"/>
            <w:shd w:val="clear" w:color="auto" w:fill="D9D9D9"/>
          </w:tcPr>
          <w:p>
            <w:pPr>
              <w:pStyle w:val="TableParagraph"/>
              <w:spacing w:line="203" w:lineRule="exact"/>
              <w:ind w:right="166"/>
              <w:jc w:val="right"/>
              <w:rPr>
                <w:sz w:val="18"/>
              </w:rPr>
            </w:pPr>
            <w:r>
              <w:rPr>
                <w:spacing w:val="-4"/>
                <w:sz w:val="18"/>
              </w:rPr>
              <w:t>40,8</w:t>
            </w:r>
          </w:p>
        </w:tc>
        <w:tc>
          <w:tcPr>
            <w:tcW w:w="1214" w:type="dxa"/>
            <w:shd w:val="clear" w:color="auto" w:fill="D9D9D9"/>
          </w:tcPr>
          <w:p>
            <w:pPr>
              <w:pStyle w:val="TableParagraph"/>
              <w:spacing w:line="203" w:lineRule="exact"/>
              <w:ind w:right="172"/>
              <w:jc w:val="right"/>
              <w:rPr>
                <w:sz w:val="18"/>
              </w:rPr>
            </w:pPr>
            <w:r>
              <w:rPr>
                <w:spacing w:val="-4"/>
                <w:sz w:val="18"/>
              </w:rPr>
              <w:t>38,2</w:t>
            </w:r>
          </w:p>
        </w:tc>
      </w:tr>
      <w:tr>
        <w:trPr>
          <w:trHeight w:val="241" w:hRule="atLeast"/>
        </w:trPr>
        <w:tc>
          <w:tcPr>
            <w:tcW w:w="5820" w:type="dxa"/>
            <w:shd w:val="clear" w:color="auto" w:fill="D9D9D9"/>
          </w:tcPr>
          <w:p>
            <w:pPr>
              <w:pStyle w:val="TableParagraph"/>
              <w:spacing w:line="192" w:lineRule="exact" w:before="29"/>
              <w:ind w:left="108"/>
              <w:rPr>
                <w:sz w:val="18"/>
              </w:rPr>
            </w:pPr>
            <w:r>
              <w:rPr>
                <w:sz w:val="18"/>
              </w:rPr>
              <w:t>Δείκτης</w:t>
            </w:r>
            <w:r>
              <w:rPr>
                <w:spacing w:val="-3"/>
                <w:sz w:val="18"/>
              </w:rPr>
              <w:t> </w:t>
            </w:r>
            <w:r>
              <w:rPr>
                <w:sz w:val="18"/>
              </w:rPr>
              <w:t>διαγραφών</w:t>
            </w:r>
            <w:r>
              <w:rPr>
                <w:spacing w:val="-2"/>
                <w:sz w:val="18"/>
              </w:rPr>
              <w:t> </w:t>
            </w:r>
            <w:r>
              <w:rPr>
                <w:sz w:val="18"/>
              </w:rPr>
              <w:t>έτους</w:t>
            </w:r>
            <w:r>
              <w:rPr>
                <w:spacing w:val="-2"/>
                <w:sz w:val="18"/>
              </w:rPr>
              <w:t> </w:t>
            </w:r>
            <w:r>
              <w:rPr>
                <w:sz w:val="18"/>
              </w:rPr>
              <w:t>ως</w:t>
            </w:r>
            <w:r>
              <w:rPr>
                <w:spacing w:val="-2"/>
                <w:sz w:val="18"/>
              </w:rPr>
              <w:t> </w:t>
            </w:r>
            <w:r>
              <w:rPr>
                <w:sz w:val="18"/>
              </w:rPr>
              <w:t>προς</w:t>
            </w:r>
            <w:r>
              <w:rPr>
                <w:spacing w:val="-2"/>
                <w:sz w:val="18"/>
              </w:rPr>
              <w:t> </w:t>
            </w:r>
            <w:r>
              <w:rPr>
                <w:sz w:val="18"/>
              </w:rPr>
              <w:t>σύνολο</w:t>
            </w:r>
            <w:r>
              <w:rPr>
                <w:spacing w:val="-1"/>
                <w:sz w:val="18"/>
              </w:rPr>
              <w:t> </w:t>
            </w:r>
            <w:r>
              <w:rPr>
                <w:spacing w:val="-2"/>
                <w:sz w:val="18"/>
              </w:rPr>
              <w:t>δανείων</w:t>
            </w:r>
          </w:p>
        </w:tc>
        <w:tc>
          <w:tcPr>
            <w:tcW w:w="1613" w:type="dxa"/>
            <w:shd w:val="clear" w:color="auto" w:fill="D9D9D9"/>
          </w:tcPr>
          <w:p>
            <w:pPr>
              <w:pStyle w:val="TableParagraph"/>
              <w:spacing w:line="203" w:lineRule="exact"/>
              <w:ind w:right="166"/>
              <w:jc w:val="right"/>
              <w:rPr>
                <w:sz w:val="18"/>
              </w:rPr>
            </w:pPr>
            <w:r>
              <w:rPr>
                <w:spacing w:val="-5"/>
                <w:sz w:val="18"/>
              </w:rPr>
              <w:t>0,3</w:t>
            </w:r>
          </w:p>
        </w:tc>
        <w:tc>
          <w:tcPr>
            <w:tcW w:w="1214" w:type="dxa"/>
            <w:shd w:val="clear" w:color="auto" w:fill="D9D9D9"/>
          </w:tcPr>
          <w:p>
            <w:pPr>
              <w:pStyle w:val="TableParagraph"/>
              <w:spacing w:line="203" w:lineRule="exact"/>
              <w:ind w:right="173"/>
              <w:jc w:val="right"/>
              <w:rPr>
                <w:sz w:val="18"/>
              </w:rPr>
            </w:pPr>
            <w:r>
              <w:rPr>
                <w:spacing w:val="-5"/>
                <w:sz w:val="18"/>
              </w:rPr>
              <w:t>0,2</w:t>
            </w:r>
          </w:p>
        </w:tc>
      </w:tr>
      <w:tr>
        <w:trPr>
          <w:trHeight w:val="241" w:hRule="atLeast"/>
        </w:trPr>
        <w:tc>
          <w:tcPr>
            <w:tcW w:w="5820" w:type="dxa"/>
            <w:shd w:val="clear" w:color="auto" w:fill="D9D9D9"/>
          </w:tcPr>
          <w:p>
            <w:pPr>
              <w:pStyle w:val="TableParagraph"/>
              <w:spacing w:line="191" w:lineRule="exact" w:before="30"/>
              <w:ind w:left="108"/>
              <w:rPr>
                <w:sz w:val="18"/>
              </w:rPr>
            </w:pPr>
            <w:r>
              <w:rPr>
                <w:sz w:val="18"/>
              </w:rPr>
              <w:t>Δείκτης</w:t>
            </w:r>
            <w:r>
              <w:rPr>
                <w:spacing w:val="-4"/>
                <w:sz w:val="18"/>
              </w:rPr>
              <w:t> </w:t>
            </w:r>
            <w:r>
              <w:rPr>
                <w:sz w:val="18"/>
              </w:rPr>
              <w:t>διαγραφών</w:t>
            </w:r>
            <w:r>
              <w:rPr>
                <w:spacing w:val="-2"/>
                <w:sz w:val="18"/>
              </w:rPr>
              <w:t> </w:t>
            </w:r>
            <w:r>
              <w:rPr>
                <w:sz w:val="18"/>
              </w:rPr>
              <w:t>έτους</w:t>
            </w:r>
            <w:r>
              <w:rPr>
                <w:spacing w:val="-2"/>
                <w:sz w:val="18"/>
              </w:rPr>
              <w:t> </w:t>
            </w:r>
            <w:r>
              <w:rPr>
                <w:sz w:val="18"/>
              </w:rPr>
              <w:t>ως</w:t>
            </w:r>
            <w:r>
              <w:rPr>
                <w:spacing w:val="-2"/>
                <w:sz w:val="18"/>
              </w:rPr>
              <w:t> </w:t>
            </w:r>
            <w:r>
              <w:rPr>
                <w:sz w:val="18"/>
              </w:rPr>
              <w:t>προς</w:t>
            </w:r>
            <w:r>
              <w:rPr>
                <w:spacing w:val="-2"/>
                <w:sz w:val="18"/>
              </w:rPr>
              <w:t> </w:t>
            </w:r>
            <w:r>
              <w:rPr>
                <w:spacing w:val="-5"/>
                <w:sz w:val="18"/>
              </w:rPr>
              <w:t>ΜΕΔ</w:t>
            </w:r>
          </w:p>
        </w:tc>
        <w:tc>
          <w:tcPr>
            <w:tcW w:w="1613" w:type="dxa"/>
            <w:shd w:val="clear" w:color="auto" w:fill="D9D9D9"/>
          </w:tcPr>
          <w:p>
            <w:pPr>
              <w:pStyle w:val="TableParagraph"/>
              <w:spacing w:line="204" w:lineRule="exact"/>
              <w:ind w:right="166"/>
              <w:jc w:val="right"/>
              <w:rPr>
                <w:sz w:val="18"/>
              </w:rPr>
            </w:pPr>
            <w:r>
              <w:rPr>
                <w:spacing w:val="-5"/>
                <w:sz w:val="18"/>
              </w:rPr>
              <w:t>7,0</w:t>
            </w:r>
          </w:p>
        </w:tc>
        <w:tc>
          <w:tcPr>
            <w:tcW w:w="1214" w:type="dxa"/>
            <w:shd w:val="clear" w:color="auto" w:fill="D9D9D9"/>
          </w:tcPr>
          <w:p>
            <w:pPr>
              <w:pStyle w:val="TableParagraph"/>
              <w:spacing w:line="204" w:lineRule="exact"/>
              <w:ind w:right="173"/>
              <w:jc w:val="right"/>
              <w:rPr>
                <w:sz w:val="18"/>
              </w:rPr>
            </w:pPr>
            <w:r>
              <w:rPr>
                <w:spacing w:val="-5"/>
                <w:sz w:val="18"/>
              </w:rPr>
              <w:t>5,3</w:t>
            </w:r>
          </w:p>
        </w:tc>
      </w:tr>
      <w:tr>
        <w:trPr>
          <w:trHeight w:val="242" w:hRule="atLeast"/>
        </w:trPr>
        <w:tc>
          <w:tcPr>
            <w:tcW w:w="5820" w:type="dxa"/>
            <w:shd w:val="clear" w:color="auto" w:fill="D9D9D9"/>
          </w:tcPr>
          <w:p>
            <w:pPr>
              <w:pStyle w:val="TableParagraph"/>
              <w:spacing w:line="191" w:lineRule="exact" w:before="32"/>
              <w:ind w:left="108"/>
              <w:rPr>
                <w:sz w:val="18"/>
              </w:rPr>
            </w:pPr>
            <w:r>
              <w:rPr>
                <w:sz w:val="18"/>
              </w:rPr>
              <w:t>Δείκτης</w:t>
            </w:r>
            <w:r>
              <w:rPr>
                <w:spacing w:val="-2"/>
                <w:sz w:val="18"/>
              </w:rPr>
              <w:t> </w:t>
            </w:r>
            <w:r>
              <w:rPr>
                <w:sz w:val="18"/>
              </w:rPr>
              <w:t>κάλυψης</w:t>
            </w:r>
            <w:r>
              <w:rPr>
                <w:spacing w:val="-1"/>
                <w:sz w:val="18"/>
              </w:rPr>
              <w:t> </w:t>
            </w:r>
            <w:r>
              <w:rPr>
                <w:sz w:val="18"/>
              </w:rPr>
              <w:t>ΜΕΔ</w:t>
            </w:r>
            <w:r>
              <w:rPr>
                <w:spacing w:val="-2"/>
                <w:sz w:val="18"/>
              </w:rPr>
              <w:t> </w:t>
            </w:r>
            <w:r>
              <w:rPr>
                <w:sz w:val="18"/>
              </w:rPr>
              <w:t>από</w:t>
            </w:r>
            <w:r>
              <w:rPr>
                <w:spacing w:val="-2"/>
                <w:sz w:val="18"/>
              </w:rPr>
              <w:t> εξασφαλίσεις</w:t>
            </w:r>
          </w:p>
        </w:tc>
        <w:tc>
          <w:tcPr>
            <w:tcW w:w="1613" w:type="dxa"/>
            <w:shd w:val="clear" w:color="auto" w:fill="D9D9D9"/>
          </w:tcPr>
          <w:p>
            <w:pPr>
              <w:pStyle w:val="TableParagraph"/>
              <w:spacing w:line="203" w:lineRule="exact"/>
              <w:ind w:right="166"/>
              <w:jc w:val="right"/>
              <w:rPr>
                <w:sz w:val="18"/>
              </w:rPr>
            </w:pPr>
            <w:r>
              <w:rPr>
                <w:spacing w:val="-4"/>
                <w:sz w:val="18"/>
              </w:rPr>
              <w:t>67,7</w:t>
            </w:r>
          </w:p>
        </w:tc>
        <w:tc>
          <w:tcPr>
            <w:tcW w:w="1214" w:type="dxa"/>
            <w:shd w:val="clear" w:color="auto" w:fill="D9D9D9"/>
          </w:tcPr>
          <w:p>
            <w:pPr>
              <w:pStyle w:val="TableParagraph"/>
              <w:spacing w:line="203" w:lineRule="exact"/>
              <w:ind w:right="172"/>
              <w:jc w:val="right"/>
              <w:rPr>
                <w:sz w:val="18"/>
              </w:rPr>
            </w:pPr>
            <w:r>
              <w:rPr>
                <w:spacing w:val="-4"/>
                <w:sz w:val="18"/>
              </w:rPr>
              <w:t>71,0</w:t>
            </w:r>
          </w:p>
        </w:tc>
      </w:tr>
      <w:tr>
        <w:trPr>
          <w:trHeight w:val="415" w:hRule="atLeast"/>
        </w:trPr>
        <w:tc>
          <w:tcPr>
            <w:tcW w:w="5820" w:type="dxa"/>
            <w:shd w:val="clear" w:color="auto" w:fill="D9D9D9"/>
          </w:tcPr>
          <w:p>
            <w:pPr>
              <w:pStyle w:val="TableParagraph"/>
              <w:spacing w:line="203" w:lineRule="exact"/>
              <w:ind w:left="422"/>
              <w:rPr>
                <w:i/>
                <w:sz w:val="18"/>
              </w:rPr>
            </w:pPr>
            <w:r>
              <w:rPr>
                <w:i/>
                <w:sz w:val="18"/>
              </w:rPr>
              <w:t>Δείκτης</w:t>
            </w:r>
            <w:r>
              <w:rPr>
                <w:i/>
                <w:spacing w:val="-4"/>
                <w:sz w:val="18"/>
              </w:rPr>
              <w:t> </w:t>
            </w:r>
            <w:r>
              <w:rPr>
                <w:i/>
                <w:sz w:val="18"/>
              </w:rPr>
              <w:t>κάλυψης</w:t>
            </w:r>
            <w:r>
              <w:rPr>
                <w:i/>
                <w:spacing w:val="-4"/>
                <w:sz w:val="18"/>
              </w:rPr>
              <w:t> </w:t>
            </w:r>
            <w:r>
              <w:rPr>
                <w:i/>
                <w:sz w:val="18"/>
              </w:rPr>
              <w:t>μη</w:t>
            </w:r>
            <w:r>
              <w:rPr>
                <w:i/>
                <w:spacing w:val="-3"/>
                <w:sz w:val="18"/>
              </w:rPr>
              <w:t> </w:t>
            </w:r>
            <w:r>
              <w:rPr>
                <w:i/>
                <w:sz w:val="18"/>
              </w:rPr>
              <w:t>εξυπηρετούμενων</w:t>
            </w:r>
            <w:r>
              <w:rPr>
                <w:i/>
                <w:spacing w:val="-3"/>
                <w:sz w:val="18"/>
              </w:rPr>
              <w:t> </w:t>
            </w:r>
            <w:r>
              <w:rPr>
                <w:i/>
                <w:sz w:val="18"/>
              </w:rPr>
              <w:t>ανοιγμάτων</w:t>
            </w:r>
            <w:r>
              <w:rPr>
                <w:i/>
                <w:spacing w:val="-2"/>
                <w:sz w:val="18"/>
              </w:rPr>
              <w:t> </w:t>
            </w:r>
            <w:r>
              <w:rPr>
                <w:i/>
                <w:sz w:val="18"/>
              </w:rPr>
              <w:t>υπό</w:t>
            </w:r>
            <w:r>
              <w:rPr>
                <w:i/>
                <w:spacing w:val="-1"/>
                <w:sz w:val="18"/>
              </w:rPr>
              <w:t> </w:t>
            </w:r>
            <w:r>
              <w:rPr>
                <w:i/>
                <w:sz w:val="18"/>
              </w:rPr>
              <w:t>ρύθμιση</w:t>
            </w:r>
            <w:r>
              <w:rPr>
                <w:i/>
                <w:spacing w:val="-2"/>
                <w:sz w:val="18"/>
              </w:rPr>
              <w:t> </w:t>
            </w:r>
            <w:r>
              <w:rPr>
                <w:i/>
                <w:spacing w:val="-5"/>
                <w:sz w:val="18"/>
              </w:rPr>
              <w:t>από</w:t>
            </w:r>
          </w:p>
          <w:p>
            <w:pPr>
              <w:pStyle w:val="TableParagraph"/>
              <w:spacing w:line="191" w:lineRule="exact" w:before="2"/>
              <w:ind w:left="422"/>
              <w:rPr>
                <w:i/>
                <w:sz w:val="18"/>
              </w:rPr>
            </w:pPr>
            <w:r>
              <w:rPr>
                <w:i/>
                <w:spacing w:val="-2"/>
                <w:sz w:val="18"/>
              </w:rPr>
              <w:t>εξασφαλίσεις</w:t>
            </w:r>
          </w:p>
        </w:tc>
        <w:tc>
          <w:tcPr>
            <w:tcW w:w="1613" w:type="dxa"/>
            <w:shd w:val="clear" w:color="auto" w:fill="D9D9D9"/>
          </w:tcPr>
          <w:p>
            <w:pPr>
              <w:pStyle w:val="TableParagraph"/>
              <w:spacing w:line="203" w:lineRule="exact"/>
              <w:ind w:right="166"/>
              <w:jc w:val="right"/>
              <w:rPr>
                <w:sz w:val="18"/>
              </w:rPr>
            </w:pPr>
            <w:r>
              <w:rPr>
                <w:spacing w:val="-4"/>
                <w:sz w:val="18"/>
              </w:rPr>
              <w:t>68,0</w:t>
            </w:r>
          </w:p>
        </w:tc>
        <w:tc>
          <w:tcPr>
            <w:tcW w:w="1214" w:type="dxa"/>
            <w:shd w:val="clear" w:color="auto" w:fill="D9D9D9"/>
          </w:tcPr>
          <w:p>
            <w:pPr>
              <w:pStyle w:val="TableParagraph"/>
              <w:spacing w:line="203" w:lineRule="exact"/>
              <w:ind w:right="172"/>
              <w:jc w:val="right"/>
              <w:rPr>
                <w:sz w:val="18"/>
              </w:rPr>
            </w:pPr>
            <w:r>
              <w:rPr>
                <w:spacing w:val="-4"/>
                <w:sz w:val="18"/>
              </w:rPr>
              <w:t>78,0</w:t>
            </w:r>
          </w:p>
        </w:tc>
      </w:tr>
      <w:tr>
        <w:trPr>
          <w:trHeight w:val="446" w:hRule="atLeast"/>
        </w:trPr>
        <w:tc>
          <w:tcPr>
            <w:tcW w:w="5820" w:type="dxa"/>
            <w:shd w:val="clear" w:color="auto" w:fill="D9D9D9"/>
          </w:tcPr>
          <w:p>
            <w:pPr>
              <w:pStyle w:val="TableParagraph"/>
              <w:ind w:left="422"/>
              <w:rPr>
                <w:i/>
                <w:sz w:val="18"/>
              </w:rPr>
            </w:pPr>
            <w:r>
              <w:rPr>
                <w:i/>
                <w:sz w:val="18"/>
              </w:rPr>
              <w:t>Δείκτης</w:t>
            </w:r>
            <w:r>
              <w:rPr>
                <w:i/>
                <w:spacing w:val="-7"/>
                <w:sz w:val="18"/>
              </w:rPr>
              <w:t> </w:t>
            </w:r>
            <w:r>
              <w:rPr>
                <w:i/>
                <w:sz w:val="18"/>
              </w:rPr>
              <w:t>κάλυψης</w:t>
            </w:r>
            <w:r>
              <w:rPr>
                <w:i/>
                <w:spacing w:val="-7"/>
                <w:sz w:val="18"/>
              </w:rPr>
              <w:t> </w:t>
            </w:r>
            <w:r>
              <w:rPr>
                <w:i/>
                <w:sz w:val="18"/>
              </w:rPr>
              <w:t>μη</w:t>
            </w:r>
            <w:r>
              <w:rPr>
                <w:i/>
                <w:spacing w:val="-6"/>
                <w:sz w:val="18"/>
              </w:rPr>
              <w:t> </w:t>
            </w:r>
            <w:r>
              <w:rPr>
                <w:i/>
                <w:sz w:val="18"/>
              </w:rPr>
              <w:t>εξυπηρετούμενων</w:t>
            </w:r>
            <w:r>
              <w:rPr>
                <w:i/>
                <w:spacing w:val="-6"/>
                <w:sz w:val="18"/>
              </w:rPr>
              <w:t> </w:t>
            </w:r>
            <w:r>
              <w:rPr>
                <w:i/>
                <w:sz w:val="18"/>
              </w:rPr>
              <w:t>δανείων</w:t>
            </w:r>
            <w:r>
              <w:rPr>
                <w:i/>
                <w:spacing w:val="-5"/>
                <w:sz w:val="18"/>
              </w:rPr>
              <w:t> </w:t>
            </w:r>
            <w:r>
              <w:rPr>
                <w:i/>
                <w:sz w:val="18"/>
              </w:rPr>
              <w:t>από</w:t>
            </w:r>
            <w:r>
              <w:rPr>
                <w:i/>
                <w:spacing w:val="-4"/>
                <w:sz w:val="18"/>
              </w:rPr>
              <w:t> </w:t>
            </w:r>
            <w:r>
              <w:rPr>
                <w:i/>
                <w:sz w:val="18"/>
              </w:rPr>
              <w:t>προβλέψεις</w:t>
            </w:r>
            <w:r>
              <w:rPr>
                <w:i/>
                <w:spacing w:val="-6"/>
                <w:sz w:val="18"/>
              </w:rPr>
              <w:t> </w:t>
            </w:r>
            <w:r>
              <w:rPr>
                <w:i/>
                <w:sz w:val="18"/>
              </w:rPr>
              <w:t>και </w:t>
            </w:r>
            <w:r>
              <w:rPr>
                <w:i/>
                <w:spacing w:val="-2"/>
                <w:sz w:val="18"/>
              </w:rPr>
              <w:t>εξασφαλίσεις</w:t>
            </w:r>
          </w:p>
        </w:tc>
        <w:tc>
          <w:tcPr>
            <w:tcW w:w="1613" w:type="dxa"/>
            <w:shd w:val="clear" w:color="auto" w:fill="D9D9D9"/>
          </w:tcPr>
          <w:p>
            <w:pPr>
              <w:pStyle w:val="TableParagraph"/>
              <w:spacing w:line="203" w:lineRule="exact"/>
              <w:ind w:right="167"/>
              <w:jc w:val="right"/>
              <w:rPr>
                <w:sz w:val="18"/>
              </w:rPr>
            </w:pPr>
            <w:r>
              <w:rPr>
                <w:spacing w:val="-2"/>
                <w:sz w:val="18"/>
              </w:rPr>
              <w:t>108,5</w:t>
            </w:r>
          </w:p>
        </w:tc>
        <w:tc>
          <w:tcPr>
            <w:tcW w:w="1214" w:type="dxa"/>
            <w:shd w:val="clear" w:color="auto" w:fill="D9D9D9"/>
          </w:tcPr>
          <w:p>
            <w:pPr>
              <w:pStyle w:val="TableParagraph"/>
              <w:spacing w:line="203" w:lineRule="exact"/>
              <w:ind w:right="173"/>
              <w:jc w:val="right"/>
              <w:rPr>
                <w:sz w:val="18"/>
              </w:rPr>
            </w:pPr>
            <w:r>
              <w:rPr>
                <w:spacing w:val="-2"/>
                <w:sz w:val="18"/>
              </w:rPr>
              <w:t>109,2</w:t>
            </w:r>
          </w:p>
        </w:tc>
      </w:tr>
      <w:tr>
        <w:trPr>
          <w:trHeight w:val="307" w:hRule="atLeast"/>
        </w:trPr>
        <w:tc>
          <w:tcPr>
            <w:tcW w:w="5820" w:type="dxa"/>
            <w:shd w:val="clear" w:color="auto" w:fill="D9D9D9"/>
          </w:tcPr>
          <w:p>
            <w:pPr>
              <w:pStyle w:val="TableParagraph"/>
              <w:spacing w:line="191" w:lineRule="exact" w:before="96"/>
              <w:ind w:left="108"/>
              <w:rPr>
                <w:b/>
                <w:sz w:val="18"/>
              </w:rPr>
            </w:pPr>
            <w:r>
              <w:rPr>
                <w:b/>
                <w:color w:val="1F487C"/>
                <w:sz w:val="18"/>
              </w:rPr>
              <w:t>Τρ</w:t>
            </w:r>
            <w:r>
              <w:rPr>
                <w:b/>
                <w:smallCaps/>
                <w:color w:val="1F487C"/>
                <w:sz w:val="18"/>
              </w:rPr>
              <w:t>ι</w:t>
            </w:r>
            <w:r>
              <w:rPr>
                <w:b/>
                <w:smallCaps w:val="0"/>
                <w:color w:val="1F487C"/>
                <w:sz w:val="18"/>
              </w:rPr>
              <w:t>μην</w:t>
            </w:r>
            <w:r>
              <w:rPr>
                <w:b/>
                <w:smallCaps/>
                <w:color w:val="1F487C"/>
                <w:sz w:val="18"/>
              </w:rPr>
              <w:t>ι</w:t>
            </w:r>
            <w:r>
              <w:rPr>
                <w:b/>
                <w:smallCaps w:val="0"/>
                <w:color w:val="1F487C"/>
                <w:sz w:val="18"/>
              </w:rPr>
              <w:t>αίος</w:t>
            </w:r>
            <w:r>
              <w:rPr>
                <w:b/>
                <w:smallCaps w:val="0"/>
                <w:color w:val="1F487C"/>
                <w:spacing w:val="-5"/>
                <w:sz w:val="18"/>
              </w:rPr>
              <w:t> </w:t>
            </w:r>
            <w:r>
              <w:rPr>
                <w:b/>
                <w:smallCaps w:val="0"/>
                <w:color w:val="1F487C"/>
                <w:sz w:val="18"/>
              </w:rPr>
              <w:t>δείκτης</w:t>
            </w:r>
            <w:r>
              <w:rPr>
                <w:b/>
                <w:smallCaps w:val="0"/>
                <w:color w:val="1F487C"/>
                <w:spacing w:val="-1"/>
                <w:sz w:val="18"/>
              </w:rPr>
              <w:t> </w:t>
            </w:r>
            <w:r>
              <w:rPr>
                <w:b/>
                <w:smallCaps w:val="0"/>
                <w:color w:val="1F487C"/>
                <w:sz w:val="18"/>
              </w:rPr>
              <w:t>αθέτησης</w:t>
            </w:r>
            <w:r>
              <w:rPr>
                <w:b/>
                <w:smallCaps w:val="0"/>
                <w:color w:val="1F487C"/>
                <w:spacing w:val="-4"/>
                <w:sz w:val="18"/>
              </w:rPr>
              <w:t> </w:t>
            </w:r>
            <w:r>
              <w:rPr>
                <w:b/>
                <w:smallCaps w:val="0"/>
                <w:color w:val="1F487C"/>
                <w:sz w:val="18"/>
              </w:rPr>
              <w:t>κα</w:t>
            </w:r>
            <w:r>
              <w:rPr>
                <w:b/>
                <w:smallCaps/>
                <w:color w:val="1F487C"/>
                <w:sz w:val="18"/>
              </w:rPr>
              <w:t>ι</w:t>
            </w:r>
            <w:r>
              <w:rPr>
                <w:b/>
                <w:smallCaps w:val="0"/>
                <w:color w:val="1F487C"/>
                <w:spacing w:val="-3"/>
                <w:sz w:val="18"/>
              </w:rPr>
              <w:t> </w:t>
            </w:r>
            <w:r>
              <w:rPr>
                <w:b/>
                <w:smallCaps w:val="0"/>
                <w:color w:val="1F487C"/>
                <w:sz w:val="18"/>
              </w:rPr>
              <w:t>ρυθμός</w:t>
            </w:r>
            <w:r>
              <w:rPr>
                <w:b/>
                <w:smallCaps w:val="0"/>
                <w:color w:val="1F487C"/>
                <w:spacing w:val="-2"/>
                <w:sz w:val="18"/>
              </w:rPr>
              <w:t> </w:t>
            </w:r>
            <w:r>
              <w:rPr>
                <w:b/>
                <w:smallCaps w:val="0"/>
                <w:color w:val="1F487C"/>
                <w:sz w:val="18"/>
              </w:rPr>
              <w:t>αποκατάστασης</w:t>
            </w:r>
            <w:r>
              <w:rPr>
                <w:b/>
                <w:smallCaps w:val="0"/>
                <w:color w:val="1F487C"/>
                <w:spacing w:val="-1"/>
                <w:sz w:val="18"/>
              </w:rPr>
              <w:t> </w:t>
            </w:r>
            <w:r>
              <w:rPr>
                <w:b/>
                <w:smallCaps w:val="0"/>
                <w:color w:val="1F487C"/>
                <w:spacing w:val="-5"/>
                <w:sz w:val="18"/>
              </w:rPr>
              <w:t>(%)</w:t>
            </w:r>
          </w:p>
        </w:tc>
        <w:tc>
          <w:tcPr>
            <w:tcW w:w="1613" w:type="dxa"/>
            <w:shd w:val="clear" w:color="auto" w:fill="D9D9D9"/>
          </w:tcPr>
          <w:p>
            <w:pPr>
              <w:pStyle w:val="TableParagraph"/>
              <w:spacing w:before="29"/>
              <w:ind w:right="166"/>
              <w:jc w:val="right"/>
              <w:rPr>
                <w:b/>
                <w:sz w:val="18"/>
              </w:rPr>
            </w:pPr>
            <w:r>
              <w:rPr>
                <w:b/>
                <w:color w:val="1F487C"/>
                <w:sz w:val="18"/>
              </w:rPr>
              <w:t>δ΄ τρ.</w:t>
            </w:r>
            <w:r>
              <w:rPr>
                <w:b/>
                <w:color w:val="1F487C"/>
                <w:spacing w:val="-2"/>
                <w:sz w:val="18"/>
              </w:rPr>
              <w:t> </w:t>
            </w:r>
            <w:r>
              <w:rPr>
                <w:b/>
                <w:color w:val="1F487C"/>
                <w:spacing w:val="-4"/>
                <w:sz w:val="18"/>
              </w:rPr>
              <w:t>2024</w:t>
            </w:r>
          </w:p>
        </w:tc>
        <w:tc>
          <w:tcPr>
            <w:tcW w:w="1214" w:type="dxa"/>
            <w:shd w:val="clear" w:color="auto" w:fill="D9D9D9"/>
          </w:tcPr>
          <w:p>
            <w:pPr>
              <w:pStyle w:val="TableParagraph"/>
              <w:spacing w:before="29"/>
              <w:ind w:right="137"/>
              <w:jc w:val="right"/>
              <w:rPr>
                <w:b/>
                <w:sz w:val="18"/>
              </w:rPr>
            </w:pPr>
            <w:r>
              <w:rPr>
                <w:b/>
                <w:color w:val="1F487C"/>
                <w:sz w:val="18"/>
              </w:rPr>
              <w:t>δ΄</w:t>
            </w:r>
            <w:r>
              <w:rPr>
                <w:b/>
                <w:color w:val="1F487C"/>
                <w:spacing w:val="-1"/>
                <w:sz w:val="18"/>
              </w:rPr>
              <w:t> </w:t>
            </w:r>
            <w:r>
              <w:rPr>
                <w:b/>
                <w:color w:val="1F487C"/>
                <w:sz w:val="18"/>
              </w:rPr>
              <w:t>τρ.</w:t>
            </w:r>
            <w:r>
              <w:rPr>
                <w:b/>
                <w:color w:val="1F487C"/>
                <w:spacing w:val="-2"/>
                <w:sz w:val="18"/>
              </w:rPr>
              <w:t> </w:t>
            </w:r>
            <w:r>
              <w:rPr>
                <w:b/>
                <w:color w:val="1F487C"/>
                <w:spacing w:val="-4"/>
                <w:sz w:val="18"/>
              </w:rPr>
              <w:t>2025</w:t>
            </w:r>
          </w:p>
        </w:tc>
      </w:tr>
      <w:tr>
        <w:trPr>
          <w:trHeight w:val="242" w:hRule="atLeast"/>
        </w:trPr>
        <w:tc>
          <w:tcPr>
            <w:tcW w:w="5820" w:type="dxa"/>
            <w:shd w:val="clear" w:color="auto" w:fill="D9D9D9"/>
          </w:tcPr>
          <w:p>
            <w:pPr>
              <w:pStyle w:val="TableParagraph"/>
              <w:spacing w:line="191" w:lineRule="exact" w:before="32"/>
              <w:ind w:left="108"/>
              <w:rPr>
                <w:sz w:val="18"/>
              </w:rPr>
            </w:pPr>
            <w:r>
              <w:rPr>
                <w:sz w:val="18"/>
              </w:rPr>
              <w:t>Δείκτης</w:t>
            </w:r>
            <w:r>
              <w:rPr>
                <w:spacing w:val="-1"/>
                <w:sz w:val="18"/>
              </w:rPr>
              <w:t> </w:t>
            </w:r>
            <w:r>
              <w:rPr>
                <w:spacing w:val="-2"/>
                <w:sz w:val="18"/>
              </w:rPr>
              <w:t>αθέτησης</w:t>
            </w:r>
          </w:p>
        </w:tc>
        <w:tc>
          <w:tcPr>
            <w:tcW w:w="1613" w:type="dxa"/>
            <w:shd w:val="clear" w:color="auto" w:fill="D9D9D9"/>
          </w:tcPr>
          <w:p>
            <w:pPr>
              <w:pStyle w:val="TableParagraph"/>
              <w:spacing w:line="203" w:lineRule="exact"/>
              <w:ind w:right="166"/>
              <w:jc w:val="right"/>
              <w:rPr>
                <w:sz w:val="18"/>
              </w:rPr>
            </w:pPr>
            <w:r>
              <w:rPr>
                <w:spacing w:val="-5"/>
                <w:sz w:val="18"/>
              </w:rPr>
              <w:t>0,4</w:t>
            </w:r>
          </w:p>
        </w:tc>
        <w:tc>
          <w:tcPr>
            <w:tcW w:w="1214" w:type="dxa"/>
            <w:shd w:val="clear" w:color="auto" w:fill="D9D9D9"/>
          </w:tcPr>
          <w:p>
            <w:pPr>
              <w:pStyle w:val="TableParagraph"/>
              <w:spacing w:line="203" w:lineRule="exact"/>
              <w:ind w:right="173"/>
              <w:jc w:val="right"/>
              <w:rPr>
                <w:sz w:val="18"/>
              </w:rPr>
            </w:pPr>
            <w:r>
              <w:rPr>
                <w:spacing w:val="-5"/>
                <w:sz w:val="18"/>
              </w:rPr>
              <w:t>0,5</w:t>
            </w:r>
          </w:p>
        </w:tc>
      </w:tr>
      <w:tr>
        <w:trPr>
          <w:trHeight w:val="322" w:hRule="atLeast"/>
        </w:trPr>
        <w:tc>
          <w:tcPr>
            <w:tcW w:w="5820" w:type="dxa"/>
            <w:shd w:val="clear" w:color="auto" w:fill="D9D9D9"/>
          </w:tcPr>
          <w:p>
            <w:pPr>
              <w:pStyle w:val="TableParagraph"/>
              <w:spacing w:before="46"/>
              <w:ind w:left="108"/>
              <w:rPr>
                <w:sz w:val="18"/>
              </w:rPr>
            </w:pPr>
            <w:r>
              <w:rPr>
                <w:sz w:val="18"/>
              </w:rPr>
              <w:t>Ρυθμός</w:t>
            </w:r>
            <w:r>
              <w:rPr>
                <w:spacing w:val="-4"/>
                <w:sz w:val="18"/>
              </w:rPr>
              <w:t> </w:t>
            </w:r>
            <w:r>
              <w:rPr>
                <w:sz w:val="18"/>
              </w:rPr>
              <w:t>αποκατάστασης</w:t>
            </w:r>
            <w:r>
              <w:rPr>
                <w:spacing w:val="-4"/>
                <w:sz w:val="18"/>
              </w:rPr>
              <w:t> </w:t>
            </w:r>
            <w:r>
              <w:rPr>
                <w:sz w:val="18"/>
              </w:rPr>
              <w:t>της</w:t>
            </w:r>
            <w:r>
              <w:rPr>
                <w:spacing w:val="-4"/>
                <w:sz w:val="18"/>
              </w:rPr>
              <w:t> </w:t>
            </w:r>
            <w:r>
              <w:rPr>
                <w:sz w:val="18"/>
              </w:rPr>
              <w:t>τακτικής</w:t>
            </w:r>
            <w:r>
              <w:rPr>
                <w:spacing w:val="-4"/>
                <w:sz w:val="18"/>
              </w:rPr>
              <w:t> </w:t>
            </w:r>
            <w:r>
              <w:rPr>
                <w:sz w:val="18"/>
              </w:rPr>
              <w:t>εξυπηρέτησης</w:t>
            </w:r>
            <w:r>
              <w:rPr>
                <w:spacing w:val="-3"/>
                <w:sz w:val="18"/>
              </w:rPr>
              <w:t> </w:t>
            </w:r>
            <w:r>
              <w:rPr>
                <w:spacing w:val="-2"/>
                <w:sz w:val="18"/>
              </w:rPr>
              <w:t>δανείων</w:t>
            </w:r>
          </w:p>
        </w:tc>
        <w:tc>
          <w:tcPr>
            <w:tcW w:w="1613" w:type="dxa"/>
            <w:shd w:val="clear" w:color="auto" w:fill="D9D9D9"/>
          </w:tcPr>
          <w:p>
            <w:pPr>
              <w:pStyle w:val="TableParagraph"/>
              <w:spacing w:line="203" w:lineRule="exact"/>
              <w:ind w:right="166"/>
              <w:jc w:val="right"/>
              <w:rPr>
                <w:sz w:val="18"/>
              </w:rPr>
            </w:pPr>
            <w:r>
              <w:rPr>
                <w:spacing w:val="-5"/>
                <w:sz w:val="18"/>
              </w:rPr>
              <w:t>3,9</w:t>
            </w:r>
          </w:p>
        </w:tc>
        <w:tc>
          <w:tcPr>
            <w:tcW w:w="1214" w:type="dxa"/>
            <w:shd w:val="clear" w:color="auto" w:fill="D9D9D9"/>
          </w:tcPr>
          <w:p>
            <w:pPr>
              <w:pStyle w:val="TableParagraph"/>
              <w:spacing w:line="203" w:lineRule="exact"/>
              <w:ind w:right="173"/>
              <w:jc w:val="right"/>
              <w:rPr>
                <w:sz w:val="18"/>
              </w:rPr>
            </w:pPr>
            <w:r>
              <w:rPr>
                <w:spacing w:val="-5"/>
                <w:sz w:val="18"/>
              </w:rPr>
              <w:t>3,7</w:t>
            </w:r>
          </w:p>
        </w:tc>
      </w:tr>
      <w:tr>
        <w:trPr>
          <w:trHeight w:val="273" w:hRule="atLeast"/>
        </w:trPr>
        <w:tc>
          <w:tcPr>
            <w:tcW w:w="5820" w:type="dxa"/>
            <w:shd w:val="clear" w:color="auto" w:fill="D9D9D9"/>
          </w:tcPr>
          <w:p>
            <w:pPr>
              <w:pStyle w:val="TableParagraph"/>
              <w:spacing w:line="192" w:lineRule="exact" w:before="62"/>
              <w:ind w:left="108"/>
              <w:rPr>
                <w:b/>
                <w:sz w:val="18"/>
              </w:rPr>
            </w:pPr>
            <w:r>
              <w:rPr>
                <w:b/>
                <w:color w:val="1F487C"/>
                <w:sz w:val="18"/>
              </w:rPr>
              <w:t>Κόστος π</w:t>
            </w:r>
            <w:r>
              <w:rPr>
                <w:b/>
                <w:smallCaps/>
                <w:color w:val="1F487C"/>
                <w:sz w:val="18"/>
              </w:rPr>
              <w:t>ι</w:t>
            </w:r>
            <w:r>
              <w:rPr>
                <w:b/>
                <w:smallCaps w:val="0"/>
                <w:color w:val="1F487C"/>
                <w:sz w:val="18"/>
              </w:rPr>
              <w:t>στωτ</w:t>
            </w:r>
            <w:r>
              <w:rPr>
                <w:b/>
                <w:smallCaps/>
                <w:color w:val="1F487C"/>
                <w:sz w:val="18"/>
              </w:rPr>
              <w:t>ι</w:t>
            </w:r>
            <w:r>
              <w:rPr>
                <w:b/>
                <w:smallCaps w:val="0"/>
                <w:color w:val="1F487C"/>
                <w:sz w:val="18"/>
              </w:rPr>
              <w:t>κού</w:t>
            </w:r>
            <w:r>
              <w:rPr>
                <w:b/>
                <w:smallCaps w:val="0"/>
                <w:color w:val="1F487C"/>
                <w:spacing w:val="-3"/>
                <w:sz w:val="18"/>
              </w:rPr>
              <w:t> </w:t>
            </w:r>
            <w:r>
              <w:rPr>
                <w:b/>
                <w:smallCaps w:val="0"/>
                <w:color w:val="1F487C"/>
                <w:spacing w:val="-2"/>
                <w:sz w:val="18"/>
              </w:rPr>
              <w:t>κ</w:t>
            </w:r>
            <w:r>
              <w:rPr>
                <w:b/>
                <w:smallCaps/>
                <w:color w:val="1F487C"/>
                <w:spacing w:val="-2"/>
                <w:sz w:val="18"/>
              </w:rPr>
              <w:t>ιν</w:t>
            </w:r>
            <w:r>
              <w:rPr>
                <w:b/>
                <w:smallCaps w:val="0"/>
                <w:color w:val="1F487C"/>
                <w:spacing w:val="-2"/>
                <w:sz w:val="18"/>
              </w:rPr>
              <w:t>δύνου</w:t>
            </w:r>
          </w:p>
        </w:tc>
        <w:tc>
          <w:tcPr>
            <w:tcW w:w="1613" w:type="dxa"/>
            <w:shd w:val="clear" w:color="auto" w:fill="D9D9D9"/>
          </w:tcPr>
          <w:p>
            <w:pPr>
              <w:pStyle w:val="TableParagraph"/>
              <w:rPr>
                <w:sz w:val="18"/>
              </w:rPr>
            </w:pPr>
          </w:p>
        </w:tc>
        <w:tc>
          <w:tcPr>
            <w:tcW w:w="1214" w:type="dxa"/>
            <w:shd w:val="clear" w:color="auto" w:fill="D9D9D9"/>
          </w:tcPr>
          <w:p>
            <w:pPr>
              <w:pStyle w:val="TableParagraph"/>
              <w:rPr>
                <w:sz w:val="18"/>
              </w:rPr>
            </w:pPr>
          </w:p>
        </w:tc>
      </w:tr>
      <w:tr>
        <w:trPr>
          <w:trHeight w:val="241" w:hRule="atLeast"/>
        </w:trPr>
        <w:tc>
          <w:tcPr>
            <w:tcW w:w="5820" w:type="dxa"/>
            <w:shd w:val="clear" w:color="auto" w:fill="D9D9D9"/>
          </w:tcPr>
          <w:p>
            <w:pPr>
              <w:pStyle w:val="TableParagraph"/>
              <w:spacing w:line="191" w:lineRule="exact" w:before="30"/>
              <w:ind w:left="108"/>
              <w:rPr>
                <w:sz w:val="18"/>
              </w:rPr>
            </w:pPr>
            <w:r>
              <w:rPr>
                <w:sz w:val="18"/>
              </w:rPr>
              <w:t>Προβλέψεις</w:t>
            </w:r>
            <w:r>
              <w:rPr>
                <w:spacing w:val="-2"/>
                <w:sz w:val="18"/>
              </w:rPr>
              <w:t> </w:t>
            </w:r>
            <w:r>
              <w:rPr>
                <w:sz w:val="18"/>
              </w:rPr>
              <w:t>δανείων</w:t>
            </w:r>
            <w:r>
              <w:rPr>
                <w:spacing w:val="-2"/>
                <w:sz w:val="18"/>
              </w:rPr>
              <w:t> </w:t>
            </w:r>
            <w:r>
              <w:rPr>
                <w:sz w:val="18"/>
              </w:rPr>
              <w:t>ως</w:t>
            </w:r>
            <w:r>
              <w:rPr>
                <w:spacing w:val="-1"/>
                <w:sz w:val="18"/>
              </w:rPr>
              <w:t> </w:t>
            </w:r>
            <w:r>
              <w:rPr>
                <w:sz w:val="18"/>
              </w:rPr>
              <w:t>προς</w:t>
            </w:r>
            <w:r>
              <w:rPr>
                <w:spacing w:val="-2"/>
                <w:sz w:val="18"/>
              </w:rPr>
              <w:t> </w:t>
            </w:r>
            <w:r>
              <w:rPr>
                <w:sz w:val="18"/>
              </w:rPr>
              <w:t>δάνεια</w:t>
            </w:r>
            <w:r>
              <w:rPr>
                <w:spacing w:val="-2"/>
                <w:sz w:val="18"/>
              </w:rPr>
              <w:t> </w:t>
            </w:r>
            <w:r>
              <w:rPr>
                <w:sz w:val="18"/>
              </w:rPr>
              <w:t>μετά</w:t>
            </w:r>
            <w:r>
              <w:rPr>
                <w:spacing w:val="-3"/>
                <w:sz w:val="18"/>
              </w:rPr>
              <w:t> </w:t>
            </w:r>
            <w:r>
              <w:rPr>
                <w:sz w:val="18"/>
              </w:rPr>
              <w:t>από </w:t>
            </w:r>
            <w:r>
              <w:rPr>
                <w:spacing w:val="-2"/>
                <w:sz w:val="18"/>
              </w:rPr>
              <w:t>προβλέψεις</w:t>
            </w:r>
          </w:p>
        </w:tc>
        <w:tc>
          <w:tcPr>
            <w:tcW w:w="1613" w:type="dxa"/>
            <w:shd w:val="clear" w:color="auto" w:fill="D9D9D9"/>
          </w:tcPr>
          <w:p>
            <w:pPr>
              <w:pStyle w:val="TableParagraph"/>
              <w:spacing w:line="204" w:lineRule="exact"/>
              <w:ind w:right="166"/>
              <w:jc w:val="right"/>
              <w:rPr>
                <w:sz w:val="18"/>
              </w:rPr>
            </w:pPr>
            <w:r>
              <w:rPr>
                <w:spacing w:val="-5"/>
                <w:sz w:val="18"/>
              </w:rPr>
              <w:t>0,7</w:t>
            </w:r>
          </w:p>
        </w:tc>
        <w:tc>
          <w:tcPr>
            <w:tcW w:w="1214" w:type="dxa"/>
            <w:shd w:val="clear" w:color="auto" w:fill="D9D9D9"/>
          </w:tcPr>
          <w:p>
            <w:pPr>
              <w:pStyle w:val="TableParagraph"/>
              <w:spacing w:line="204" w:lineRule="exact"/>
              <w:ind w:right="173"/>
              <w:jc w:val="right"/>
              <w:rPr>
                <w:sz w:val="18"/>
              </w:rPr>
            </w:pPr>
            <w:r>
              <w:rPr>
                <w:spacing w:val="-5"/>
                <w:sz w:val="18"/>
              </w:rPr>
              <w:t>0,6</w:t>
            </w:r>
          </w:p>
        </w:tc>
      </w:tr>
      <w:tr>
        <w:trPr>
          <w:trHeight w:val="579" w:hRule="atLeast"/>
        </w:trPr>
        <w:tc>
          <w:tcPr>
            <w:tcW w:w="5820" w:type="dxa"/>
            <w:shd w:val="clear" w:color="auto" w:fill="D9D9D9"/>
          </w:tcPr>
          <w:p>
            <w:pPr>
              <w:pStyle w:val="TableParagraph"/>
              <w:spacing w:before="32"/>
              <w:ind w:left="108"/>
              <w:rPr>
                <w:sz w:val="18"/>
              </w:rPr>
            </w:pPr>
            <w:r>
              <w:rPr>
                <w:sz w:val="18"/>
              </w:rPr>
              <w:t>Προβλέψεις</w:t>
            </w:r>
            <w:r>
              <w:rPr>
                <w:spacing w:val="-2"/>
                <w:sz w:val="18"/>
              </w:rPr>
              <w:t> </w:t>
            </w:r>
            <w:r>
              <w:rPr>
                <w:sz w:val="18"/>
              </w:rPr>
              <w:t>δανείων</w:t>
            </w:r>
            <w:r>
              <w:rPr>
                <w:spacing w:val="-2"/>
                <w:sz w:val="18"/>
              </w:rPr>
              <w:t> </w:t>
            </w:r>
            <w:r>
              <w:rPr>
                <w:sz w:val="18"/>
              </w:rPr>
              <w:t>ως</w:t>
            </w:r>
            <w:r>
              <w:rPr>
                <w:spacing w:val="-1"/>
                <w:sz w:val="18"/>
              </w:rPr>
              <w:t> </w:t>
            </w:r>
            <w:r>
              <w:rPr>
                <w:sz w:val="18"/>
              </w:rPr>
              <w:t>προς</w:t>
            </w:r>
            <w:r>
              <w:rPr>
                <w:spacing w:val="-3"/>
                <w:sz w:val="18"/>
              </w:rPr>
              <w:t> </w:t>
            </w:r>
            <w:r>
              <w:rPr>
                <w:spacing w:val="-2"/>
                <w:sz w:val="18"/>
              </w:rPr>
              <w:t>ενεργητικό</w:t>
            </w:r>
          </w:p>
          <w:p>
            <w:pPr>
              <w:pStyle w:val="TableParagraph"/>
              <w:spacing w:before="118"/>
              <w:ind w:left="112"/>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tc>
        <w:tc>
          <w:tcPr>
            <w:tcW w:w="1613" w:type="dxa"/>
            <w:shd w:val="clear" w:color="auto" w:fill="D9D9D9"/>
          </w:tcPr>
          <w:p>
            <w:pPr>
              <w:pStyle w:val="TableParagraph"/>
              <w:spacing w:line="203" w:lineRule="exact"/>
              <w:ind w:right="166"/>
              <w:jc w:val="right"/>
              <w:rPr>
                <w:sz w:val="18"/>
              </w:rPr>
            </w:pPr>
            <w:r>
              <w:rPr>
                <w:spacing w:val="-5"/>
                <w:sz w:val="18"/>
              </w:rPr>
              <w:t>0,4</w:t>
            </w:r>
          </w:p>
        </w:tc>
        <w:tc>
          <w:tcPr>
            <w:tcW w:w="1214" w:type="dxa"/>
            <w:shd w:val="clear" w:color="auto" w:fill="D9D9D9"/>
          </w:tcPr>
          <w:p>
            <w:pPr>
              <w:pStyle w:val="TableParagraph"/>
              <w:spacing w:line="203" w:lineRule="exact"/>
              <w:ind w:right="173"/>
              <w:jc w:val="right"/>
              <w:rPr>
                <w:sz w:val="18"/>
              </w:rPr>
            </w:pPr>
            <w:r>
              <w:rPr>
                <w:spacing w:val="-5"/>
                <w:sz w:val="18"/>
              </w:rPr>
              <w:t>0,3</w:t>
            </w:r>
          </w:p>
        </w:tc>
      </w:tr>
    </w:tbl>
    <w:p>
      <w:pPr>
        <w:pStyle w:val="TableParagraph"/>
        <w:spacing w:after="0" w:line="203" w:lineRule="exact"/>
        <w:jc w:val="right"/>
        <w:rPr>
          <w:sz w:val="18"/>
        </w:rPr>
        <w:sectPr>
          <w:pgSz w:w="11910" w:h="16850"/>
          <w:pgMar w:header="0" w:footer="1108" w:top="1840" w:bottom="1300" w:left="1417" w:right="850"/>
        </w:sectPr>
      </w:pPr>
    </w:p>
    <w:p>
      <w:pPr>
        <w:pStyle w:val="ListParagraph"/>
        <w:numPr>
          <w:ilvl w:val="0"/>
          <w:numId w:val="4"/>
        </w:numPr>
        <w:tabs>
          <w:tab w:pos="455" w:val="left" w:leader="none"/>
        </w:tabs>
        <w:spacing w:line="283" w:lineRule="auto" w:before="90" w:after="0"/>
        <w:ind w:left="455" w:right="957" w:hanging="360"/>
        <w:jc w:val="both"/>
        <w:rPr>
          <w:sz w:val="22"/>
        </w:rPr>
      </w:pPr>
      <w:r>
        <w:rPr>
          <w:sz w:val="22"/>
        </w:rPr>
        <mc:AlternateContent>
          <mc:Choice Requires="wps">
            <w:drawing>
              <wp:anchor distT="0" distB="0" distL="0" distR="0" allowOverlap="1" layoutInCell="1" locked="0" behindDoc="0" simplePos="0" relativeHeight="15762432">
                <wp:simplePos x="0" y="0"/>
                <wp:positionH relativeFrom="page">
                  <wp:posOffset>3735959</wp:posOffset>
                </wp:positionH>
                <wp:positionV relativeFrom="paragraph">
                  <wp:posOffset>766318</wp:posOffset>
                </wp:positionV>
                <wp:extent cx="2665095" cy="33845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665095" cy="338455"/>
                        </a:xfrm>
                        <a:prstGeom prst="rect">
                          <a:avLst/>
                        </a:prstGeom>
                        <a:solidFill>
                          <a:srgbClr val="1F487C"/>
                        </a:solidFill>
                      </wps:spPr>
                      <wps:txbx>
                        <w:txbxContent>
                          <w:p>
                            <w:pPr>
                              <w:spacing w:before="60"/>
                              <w:ind w:left="112" w:right="49"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III.5</w:t>
                            </w:r>
                            <w:r>
                              <w:rPr>
                                <w:b/>
                                <w:smallCaps w:val="0"/>
                                <w:color w:val="FFFFFF"/>
                                <w:spacing w:val="-7"/>
                                <w:sz w:val="18"/>
                              </w:rPr>
                              <w:t> </w:t>
                            </w:r>
                            <w:r>
                              <w:rPr>
                                <w:b/>
                                <w:smallCaps w:val="0"/>
                                <w:color w:val="FFFFFF"/>
                                <w:sz w:val="18"/>
                              </w:rPr>
                              <w:t>Δείκτης</w:t>
                            </w:r>
                            <w:r>
                              <w:rPr>
                                <w:b/>
                                <w:smallCaps w:val="0"/>
                                <w:color w:val="FFFFFF"/>
                                <w:spacing w:val="-5"/>
                                <w:sz w:val="18"/>
                              </w:rPr>
                              <w:t> </w:t>
                            </w:r>
                            <w:r>
                              <w:rPr>
                                <w:b/>
                                <w:smallCaps w:val="0"/>
                                <w:color w:val="FFFFFF"/>
                                <w:sz w:val="18"/>
                              </w:rPr>
                              <w:t>κάλυψης</w:t>
                            </w:r>
                            <w:r>
                              <w:rPr>
                                <w:b/>
                                <w:smallCaps w:val="0"/>
                                <w:color w:val="FFFFFF"/>
                                <w:spacing w:val="-5"/>
                                <w:sz w:val="18"/>
                              </w:rPr>
                              <w:t> </w:t>
                            </w:r>
                            <w:r>
                              <w:rPr>
                                <w:b/>
                                <w:smallCaps w:val="0"/>
                                <w:color w:val="FFFFFF"/>
                                <w:sz w:val="18"/>
                              </w:rPr>
                              <w:t>ΜΕΔ</w:t>
                            </w:r>
                            <w:r>
                              <w:rPr>
                                <w:b/>
                                <w:smallCaps w:val="0"/>
                                <w:color w:val="FFFFFF"/>
                                <w:spacing w:val="-8"/>
                                <w:sz w:val="18"/>
                              </w:rPr>
                              <w:t> </w:t>
                            </w:r>
                            <w:r>
                              <w:rPr>
                                <w:b/>
                                <w:smallCaps w:val="0"/>
                                <w:color w:val="FFFFFF"/>
                                <w:sz w:val="18"/>
                              </w:rPr>
                              <w:t>από</w:t>
                            </w:r>
                            <w:r>
                              <w:rPr>
                                <w:b/>
                                <w:smallCaps w:val="0"/>
                                <w:color w:val="FFFFFF"/>
                                <w:spacing w:val="-5"/>
                                <w:sz w:val="18"/>
                              </w:rPr>
                              <w:t> </w:t>
                            </w:r>
                            <w:r>
                              <w:rPr>
                                <w:b/>
                                <w:smallCaps w:val="0"/>
                                <w:color w:val="FFFFFF"/>
                                <w:sz w:val="18"/>
                              </w:rPr>
                              <w:t>συσσω-ρευμένες προβλέψε</w:t>
                            </w:r>
                            <w:r>
                              <w:rPr>
                                <w:b/>
                                <w:smallCaps/>
                                <w:color w:val="FFFFFF"/>
                                <w:sz w:val="18"/>
                              </w:rPr>
                              <w:t>ι</w:t>
                            </w:r>
                            <w:r>
                              <w:rPr>
                                <w:b/>
                                <w:smallCaps w:val="0"/>
                                <w:color w:val="FFFFFF"/>
                                <w:sz w:val="18"/>
                              </w:rPr>
                              <w:t>ς</w:t>
                            </w:r>
                          </w:p>
                        </w:txbxContent>
                      </wps:txbx>
                      <wps:bodyPr wrap="square" lIns="0" tIns="0" rIns="0" bIns="0" rtlCol="0">
                        <a:noAutofit/>
                      </wps:bodyPr>
                    </wps:wsp>
                  </a:graphicData>
                </a:graphic>
              </wp:anchor>
            </w:drawing>
          </mc:Choice>
          <mc:Fallback>
            <w:pict>
              <v:shape style="position:absolute;margin-left:294.170013pt;margin-top:60.34pt;width:209.85pt;height:26.65pt;mso-position-horizontal-relative:page;mso-position-vertical-relative:paragraph;z-index:15762432" type="#_x0000_t202" id="docshape216" filled="true" fillcolor="#1f487c" stroked="false">
                <v:textbox inset="0,0,0,0">
                  <w:txbxContent>
                    <w:p>
                      <w:pPr>
                        <w:spacing w:before="60"/>
                        <w:ind w:left="112" w:right="49"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III.5</w:t>
                      </w:r>
                      <w:r>
                        <w:rPr>
                          <w:b/>
                          <w:smallCaps w:val="0"/>
                          <w:color w:val="FFFFFF"/>
                          <w:spacing w:val="-7"/>
                          <w:sz w:val="18"/>
                        </w:rPr>
                        <w:t> </w:t>
                      </w:r>
                      <w:r>
                        <w:rPr>
                          <w:b/>
                          <w:smallCaps w:val="0"/>
                          <w:color w:val="FFFFFF"/>
                          <w:sz w:val="18"/>
                        </w:rPr>
                        <w:t>Δείκτης</w:t>
                      </w:r>
                      <w:r>
                        <w:rPr>
                          <w:b/>
                          <w:smallCaps w:val="0"/>
                          <w:color w:val="FFFFFF"/>
                          <w:spacing w:val="-5"/>
                          <w:sz w:val="18"/>
                        </w:rPr>
                        <w:t> </w:t>
                      </w:r>
                      <w:r>
                        <w:rPr>
                          <w:b/>
                          <w:smallCaps w:val="0"/>
                          <w:color w:val="FFFFFF"/>
                          <w:sz w:val="18"/>
                        </w:rPr>
                        <w:t>κάλυψης</w:t>
                      </w:r>
                      <w:r>
                        <w:rPr>
                          <w:b/>
                          <w:smallCaps w:val="0"/>
                          <w:color w:val="FFFFFF"/>
                          <w:spacing w:val="-5"/>
                          <w:sz w:val="18"/>
                        </w:rPr>
                        <w:t> </w:t>
                      </w:r>
                      <w:r>
                        <w:rPr>
                          <w:b/>
                          <w:smallCaps w:val="0"/>
                          <w:color w:val="FFFFFF"/>
                          <w:sz w:val="18"/>
                        </w:rPr>
                        <w:t>ΜΕΔ</w:t>
                      </w:r>
                      <w:r>
                        <w:rPr>
                          <w:b/>
                          <w:smallCaps w:val="0"/>
                          <w:color w:val="FFFFFF"/>
                          <w:spacing w:val="-8"/>
                          <w:sz w:val="18"/>
                        </w:rPr>
                        <w:t> </w:t>
                      </w:r>
                      <w:r>
                        <w:rPr>
                          <w:b/>
                          <w:smallCaps w:val="0"/>
                          <w:color w:val="FFFFFF"/>
                          <w:sz w:val="18"/>
                        </w:rPr>
                        <w:t>από</w:t>
                      </w:r>
                      <w:r>
                        <w:rPr>
                          <w:b/>
                          <w:smallCaps w:val="0"/>
                          <w:color w:val="FFFFFF"/>
                          <w:spacing w:val="-5"/>
                          <w:sz w:val="18"/>
                        </w:rPr>
                        <w:t> </w:t>
                      </w:r>
                      <w:r>
                        <w:rPr>
                          <w:b/>
                          <w:smallCaps w:val="0"/>
                          <w:color w:val="FFFFFF"/>
                          <w:sz w:val="18"/>
                        </w:rPr>
                        <w:t>συσσω-ρευμένες προβλέψε</w:t>
                      </w:r>
                      <w:r>
                        <w:rPr>
                          <w:b/>
                          <w:smallCaps/>
                          <w:color w:val="FFFFFF"/>
                          <w:sz w:val="18"/>
                        </w:rPr>
                        <w:t>ι</w:t>
                      </w:r>
                      <w:r>
                        <w:rPr>
                          <w:b/>
                          <w:smallCaps w:val="0"/>
                          <w:color w:val="FFFFFF"/>
                          <w:sz w:val="18"/>
                        </w:rPr>
                        <w:t>ς</w:t>
                      </w:r>
                    </w:p>
                  </w:txbxContent>
                </v:textbox>
                <v:fill type="solid"/>
                <w10:wrap type="none"/>
              </v:shape>
            </w:pict>
          </mc:Fallback>
        </mc:AlternateContent>
      </w:r>
      <w:r>
        <w:rPr>
          <w:sz w:val="22"/>
        </w:rPr>
        <w:t>Ο</w:t>
      </w:r>
      <w:r>
        <w:rPr>
          <w:spacing w:val="-9"/>
          <w:sz w:val="22"/>
        </w:rPr>
        <w:t> </w:t>
      </w:r>
      <w:r>
        <w:rPr>
          <w:sz w:val="22"/>
        </w:rPr>
        <w:t>δείκτης</w:t>
      </w:r>
      <w:r>
        <w:rPr>
          <w:spacing w:val="-10"/>
          <w:sz w:val="22"/>
        </w:rPr>
        <w:t> </w:t>
      </w:r>
      <w:r>
        <w:rPr>
          <w:sz w:val="22"/>
        </w:rPr>
        <w:t>κάλυψης</w:t>
      </w:r>
      <w:r>
        <w:rPr>
          <w:spacing w:val="-9"/>
          <w:sz w:val="22"/>
        </w:rPr>
        <w:t> </w:t>
      </w:r>
      <w:r>
        <w:rPr>
          <w:sz w:val="22"/>
        </w:rPr>
        <w:t>των</w:t>
      </w:r>
      <w:r>
        <w:rPr>
          <w:spacing w:val="-10"/>
          <w:sz w:val="22"/>
        </w:rPr>
        <w:t> </w:t>
      </w:r>
      <w:r>
        <w:rPr>
          <w:sz w:val="22"/>
        </w:rPr>
        <w:t>ΜΕΔ</w:t>
      </w:r>
      <w:r>
        <w:rPr>
          <w:spacing w:val="-9"/>
          <w:sz w:val="22"/>
        </w:rPr>
        <w:t> </w:t>
      </w:r>
      <w:r>
        <w:rPr>
          <w:sz w:val="22"/>
        </w:rPr>
        <w:t>από</w:t>
      </w:r>
      <w:r>
        <w:rPr>
          <w:spacing w:val="-6"/>
          <w:sz w:val="22"/>
        </w:rPr>
        <w:t> </w:t>
      </w:r>
      <w:r>
        <w:rPr>
          <w:sz w:val="22"/>
        </w:rPr>
        <w:t>συσσωρευμένες</w:t>
      </w:r>
      <w:r>
        <w:rPr>
          <w:spacing w:val="-8"/>
          <w:sz w:val="22"/>
        </w:rPr>
        <w:t> </w:t>
      </w:r>
      <w:r>
        <w:rPr>
          <w:sz w:val="22"/>
        </w:rPr>
        <w:t>προβλέψεις</w:t>
      </w:r>
      <w:r>
        <w:rPr>
          <w:spacing w:val="-9"/>
          <w:sz w:val="22"/>
        </w:rPr>
        <w:t> </w:t>
      </w:r>
      <w:r>
        <w:rPr>
          <w:sz w:val="22"/>
        </w:rPr>
        <w:t>διαμορφώθηκε</w:t>
      </w:r>
      <w:r>
        <w:rPr>
          <w:spacing w:val="-8"/>
          <w:sz w:val="22"/>
        </w:rPr>
        <w:t> </w:t>
      </w:r>
      <w:r>
        <w:rPr>
          <w:sz w:val="22"/>
        </w:rPr>
        <w:t>τον</w:t>
      </w:r>
      <w:r>
        <w:rPr>
          <w:spacing w:val="-7"/>
          <w:sz w:val="22"/>
        </w:rPr>
        <w:t> </w:t>
      </w:r>
      <w:r>
        <w:rPr>
          <w:sz w:val="22"/>
        </w:rPr>
        <w:t>Δεκέμβριο του</w:t>
      </w:r>
      <w:r>
        <w:rPr>
          <w:spacing w:val="-8"/>
          <w:sz w:val="22"/>
        </w:rPr>
        <w:t> </w:t>
      </w:r>
      <w:r>
        <w:rPr>
          <w:sz w:val="22"/>
        </w:rPr>
        <w:t>2025</w:t>
      </w:r>
      <w:r>
        <w:rPr>
          <w:spacing w:val="-9"/>
          <w:sz w:val="22"/>
        </w:rPr>
        <w:t> </w:t>
      </w:r>
      <w:r>
        <w:rPr>
          <w:sz w:val="22"/>
        </w:rPr>
        <w:t>σε</w:t>
      </w:r>
      <w:r>
        <w:rPr>
          <w:spacing w:val="-6"/>
          <w:sz w:val="22"/>
        </w:rPr>
        <w:t> </w:t>
      </w:r>
      <w:r>
        <w:rPr>
          <w:sz w:val="22"/>
        </w:rPr>
        <w:t>38,2%,</w:t>
      </w:r>
      <w:r>
        <w:rPr>
          <w:spacing w:val="-9"/>
          <w:sz w:val="22"/>
        </w:rPr>
        <w:t> </w:t>
      </w:r>
      <w:r>
        <w:rPr>
          <w:sz w:val="22"/>
        </w:rPr>
        <w:t>από</w:t>
      </w:r>
      <w:r>
        <w:rPr>
          <w:spacing w:val="-7"/>
          <w:sz w:val="22"/>
        </w:rPr>
        <w:t> </w:t>
      </w:r>
      <w:r>
        <w:rPr>
          <w:sz w:val="22"/>
        </w:rPr>
        <w:t>40,8%</w:t>
      </w:r>
      <w:r>
        <w:rPr>
          <w:spacing w:val="-6"/>
          <w:sz w:val="22"/>
        </w:rPr>
        <w:t> </w:t>
      </w:r>
      <w:r>
        <w:rPr>
          <w:sz w:val="22"/>
        </w:rPr>
        <w:t>τον</w:t>
      </w:r>
      <w:r>
        <w:rPr>
          <w:spacing w:val="-9"/>
          <w:sz w:val="22"/>
        </w:rPr>
        <w:t> </w:t>
      </w:r>
      <w:r>
        <w:rPr>
          <w:sz w:val="22"/>
        </w:rPr>
        <w:t>Δεκέμβριο</w:t>
      </w:r>
      <w:r>
        <w:rPr>
          <w:spacing w:val="-9"/>
          <w:sz w:val="22"/>
        </w:rPr>
        <w:t> </w:t>
      </w:r>
      <w:r>
        <w:rPr>
          <w:sz w:val="22"/>
        </w:rPr>
        <w:t>του</w:t>
      </w:r>
      <w:r>
        <w:rPr>
          <w:spacing w:val="-6"/>
          <w:sz w:val="22"/>
        </w:rPr>
        <w:t> </w:t>
      </w:r>
      <w:r>
        <w:rPr>
          <w:sz w:val="22"/>
        </w:rPr>
        <w:t>2024.</w:t>
      </w:r>
      <w:r>
        <w:rPr>
          <w:spacing w:val="-7"/>
          <w:sz w:val="22"/>
        </w:rPr>
        <w:t> </w:t>
      </w:r>
      <w:r>
        <w:rPr>
          <w:sz w:val="22"/>
        </w:rPr>
        <w:t>Η</w:t>
      </w:r>
      <w:r>
        <w:rPr>
          <w:spacing w:val="-8"/>
          <w:sz w:val="22"/>
        </w:rPr>
        <w:t> </w:t>
      </w:r>
      <w:r>
        <w:rPr>
          <w:sz w:val="22"/>
        </w:rPr>
        <w:t>υποχώρηση</w:t>
      </w:r>
      <w:r>
        <w:rPr>
          <w:spacing w:val="-10"/>
          <w:sz w:val="22"/>
        </w:rPr>
        <w:t> </w:t>
      </w:r>
      <w:r>
        <w:rPr>
          <w:sz w:val="22"/>
        </w:rPr>
        <w:t>αυτή</w:t>
      </w:r>
      <w:r>
        <w:rPr>
          <w:spacing w:val="-9"/>
          <w:sz w:val="22"/>
        </w:rPr>
        <w:t> </w:t>
      </w:r>
      <w:r>
        <w:rPr>
          <w:sz w:val="22"/>
        </w:rPr>
        <w:t>αποδίδεται</w:t>
      </w:r>
      <w:r>
        <w:rPr>
          <w:spacing w:val="-9"/>
          <w:sz w:val="22"/>
        </w:rPr>
        <w:t> </w:t>
      </w:r>
      <w:r>
        <w:rPr>
          <w:sz w:val="22"/>
        </w:rPr>
        <w:t>στην τεχνική</w:t>
      </w:r>
      <w:r>
        <w:rPr>
          <w:spacing w:val="-14"/>
          <w:sz w:val="22"/>
        </w:rPr>
        <w:t> </w:t>
      </w:r>
      <w:r>
        <w:rPr>
          <w:sz w:val="22"/>
        </w:rPr>
        <w:t>επίπτωση</w:t>
      </w:r>
      <w:r>
        <w:rPr>
          <w:spacing w:val="-14"/>
          <w:sz w:val="22"/>
        </w:rPr>
        <w:t> </w:t>
      </w:r>
      <w:r>
        <w:rPr>
          <w:sz w:val="22"/>
        </w:rPr>
        <w:t>των</w:t>
      </w:r>
      <w:r>
        <w:rPr>
          <w:spacing w:val="-11"/>
          <w:sz w:val="22"/>
        </w:rPr>
        <w:t> </w:t>
      </w:r>
      <w:r>
        <w:rPr>
          <w:sz w:val="22"/>
        </w:rPr>
        <w:t>αυξημένων</w:t>
      </w:r>
      <w:r>
        <w:rPr>
          <w:spacing w:val="-12"/>
          <w:sz w:val="22"/>
        </w:rPr>
        <w:t> </w:t>
      </w:r>
      <w:r>
        <w:rPr>
          <w:sz w:val="22"/>
        </w:rPr>
        <w:t>διαγραφών</w:t>
      </w:r>
      <w:r>
        <w:rPr>
          <w:spacing w:val="-12"/>
          <w:sz w:val="22"/>
        </w:rPr>
        <w:t> </w:t>
      </w:r>
      <w:r>
        <w:rPr>
          <w:sz w:val="22"/>
        </w:rPr>
        <w:t>και</w:t>
      </w:r>
      <w:r>
        <w:rPr>
          <w:spacing w:val="-13"/>
          <w:sz w:val="22"/>
        </w:rPr>
        <w:t> </w:t>
      </w:r>
      <w:r>
        <w:rPr>
          <w:sz w:val="22"/>
        </w:rPr>
        <w:t>πωλήσεων</w:t>
      </w:r>
      <w:r>
        <w:rPr>
          <w:spacing w:val="-12"/>
          <w:sz w:val="22"/>
        </w:rPr>
        <w:t> </w:t>
      </w:r>
      <w:r>
        <w:rPr>
          <w:sz w:val="22"/>
        </w:rPr>
        <w:t>δανείων,</w:t>
      </w:r>
      <w:r>
        <w:rPr>
          <w:spacing w:val="-13"/>
          <w:sz w:val="22"/>
        </w:rPr>
        <w:t> </w:t>
      </w:r>
      <w:r>
        <w:rPr>
          <w:sz w:val="22"/>
        </w:rPr>
        <w:t>που</w:t>
      </w:r>
      <w:r>
        <w:rPr>
          <w:spacing w:val="-12"/>
          <w:sz w:val="22"/>
        </w:rPr>
        <w:t> </w:t>
      </w:r>
      <w:r>
        <w:rPr>
          <w:sz w:val="22"/>
        </w:rPr>
        <w:t>οδηγούν</w:t>
      </w:r>
      <w:r>
        <w:rPr>
          <w:spacing w:val="-14"/>
          <w:sz w:val="22"/>
        </w:rPr>
        <w:t> </w:t>
      </w:r>
      <w:r>
        <w:rPr>
          <w:sz w:val="22"/>
        </w:rPr>
        <w:t>σε</w:t>
      </w:r>
      <w:r>
        <w:rPr>
          <w:spacing w:val="-12"/>
          <w:sz w:val="22"/>
        </w:rPr>
        <w:t> </w:t>
      </w:r>
      <w:r>
        <w:rPr>
          <w:sz w:val="22"/>
        </w:rPr>
        <w:t>μείωση του</w:t>
      </w:r>
      <w:r>
        <w:rPr>
          <w:spacing w:val="40"/>
          <w:sz w:val="22"/>
        </w:rPr>
        <w:t> </w:t>
      </w:r>
      <w:r>
        <w:rPr>
          <w:sz w:val="22"/>
        </w:rPr>
        <w:t>δείκτη, σε συνδυασμό με</w:t>
      </w:r>
      <w:r>
        <w:rPr>
          <w:spacing w:val="40"/>
          <w:sz w:val="22"/>
        </w:rPr>
        <w:t> </w:t>
      </w:r>
      <w:r>
        <w:rPr>
          <w:sz w:val="22"/>
        </w:rPr>
        <w:t>την</w:t>
      </w:r>
      <w:r>
        <w:rPr>
          <w:spacing w:val="40"/>
          <w:sz w:val="22"/>
        </w:rPr>
        <w:t> </w:t>
      </w:r>
      <w:r>
        <w:rPr>
          <w:sz w:val="22"/>
        </w:rPr>
        <w:t>ενισχυ-</w:t>
      </w:r>
    </w:p>
    <w:p>
      <w:pPr>
        <w:pStyle w:val="BodyText"/>
        <w:spacing w:line="285" w:lineRule="auto"/>
        <w:ind w:left="455" w:right="5350"/>
        <w:jc w:val="both"/>
      </w:pPr>
      <w:r>
        <w:rPr/>
        <w:t>μένη</w:t>
      </w:r>
      <w:r>
        <w:rPr>
          <w:spacing w:val="-3"/>
        </w:rPr>
        <w:t> </w:t>
      </w:r>
      <w:r>
        <w:rPr/>
        <w:t>αξία</w:t>
      </w:r>
      <w:r>
        <w:rPr>
          <w:spacing w:val="-4"/>
        </w:rPr>
        <w:t> </w:t>
      </w:r>
      <w:r>
        <w:rPr/>
        <w:t>των</w:t>
      </w:r>
      <w:r>
        <w:rPr>
          <w:spacing w:val="-2"/>
        </w:rPr>
        <w:t> </w:t>
      </w:r>
      <w:r>
        <w:rPr/>
        <w:t>εξασφαλίσεων</w:t>
      </w:r>
      <w:r>
        <w:rPr>
          <w:spacing w:val="-4"/>
        </w:rPr>
        <w:t> </w:t>
      </w:r>
      <w:r>
        <w:rPr/>
        <w:t>λόγω</w:t>
      </w:r>
      <w:r>
        <w:rPr>
          <w:spacing w:val="-2"/>
        </w:rPr>
        <w:t> </w:t>
      </w:r>
      <w:r>
        <w:rPr/>
        <w:t>της</w:t>
      </w:r>
      <w:r>
        <w:rPr>
          <w:spacing w:val="-4"/>
        </w:rPr>
        <w:t> </w:t>
      </w:r>
      <w:r>
        <w:rPr/>
        <w:t>συ-νεχιζόμενης</w:t>
      </w:r>
      <w:r>
        <w:rPr>
          <w:spacing w:val="13"/>
        </w:rPr>
        <w:t> </w:t>
      </w:r>
      <w:r>
        <w:rPr/>
        <w:t>ανόδου</w:t>
      </w:r>
      <w:r>
        <w:rPr>
          <w:spacing w:val="16"/>
        </w:rPr>
        <w:t> </w:t>
      </w:r>
      <w:r>
        <w:rPr/>
        <w:t>των</w:t>
      </w:r>
      <w:r>
        <w:rPr>
          <w:spacing w:val="16"/>
        </w:rPr>
        <w:t> </w:t>
      </w:r>
      <w:r>
        <w:rPr/>
        <w:t>τιμών</w:t>
      </w:r>
      <w:r>
        <w:rPr>
          <w:spacing w:val="18"/>
        </w:rPr>
        <w:t> </w:t>
      </w:r>
      <w:r>
        <w:rPr/>
        <w:t>των</w:t>
      </w:r>
      <w:r>
        <w:rPr>
          <w:spacing w:val="17"/>
        </w:rPr>
        <w:t> </w:t>
      </w:r>
      <w:r>
        <w:rPr>
          <w:spacing w:val="-2"/>
        </w:rPr>
        <w:t>ακινή-</w:t>
      </w:r>
    </w:p>
    <w:p>
      <w:pPr>
        <w:pStyle w:val="BodyText"/>
        <w:spacing w:after="0" w:line="285" w:lineRule="auto"/>
        <w:jc w:val="both"/>
        <w:sectPr>
          <w:pgSz w:w="11910" w:h="16850"/>
          <w:pgMar w:header="0" w:footer="1108" w:top="1800" w:bottom="1300" w:left="1417" w:right="850"/>
        </w:sectPr>
      </w:pPr>
    </w:p>
    <w:p>
      <w:pPr>
        <w:pStyle w:val="BodyText"/>
        <w:spacing w:line="285" w:lineRule="auto"/>
        <w:ind w:left="455" w:right="10"/>
        <w:jc w:val="both"/>
      </w:pPr>
      <w:r>
        <w:rPr/>
        <w:t>των και τη συνακόλουθη βελτίωση του μείγματος</w:t>
      </w:r>
      <w:r>
        <w:rPr>
          <w:spacing w:val="-5"/>
        </w:rPr>
        <w:t> </w:t>
      </w:r>
      <w:r>
        <w:rPr/>
        <w:t>του</w:t>
      </w:r>
      <w:r>
        <w:rPr>
          <w:spacing w:val="-5"/>
        </w:rPr>
        <w:t> </w:t>
      </w:r>
      <w:r>
        <w:rPr/>
        <w:t>εναπομείναντος</w:t>
      </w:r>
      <w:r>
        <w:rPr>
          <w:spacing w:val="-4"/>
        </w:rPr>
        <w:t> </w:t>
      </w:r>
      <w:r>
        <w:rPr/>
        <w:t>χαρτοφυλα-κίου. Λόγω της παραπάνω μείωσης, ο δεί-κτης κάλυψης ΜΕΔ στην Ελλάδα υπολεί-πεται πλέον κατά περίπου 3 ποσοστιαίες μονάδες του μέσου όρου των σημαντικών τραπεζών</w:t>
      </w:r>
      <w:r>
        <w:rPr>
          <w:spacing w:val="-14"/>
        </w:rPr>
        <w:t> </w:t>
      </w:r>
      <w:r>
        <w:rPr/>
        <w:t>στην</w:t>
      </w:r>
      <w:r>
        <w:rPr>
          <w:spacing w:val="-12"/>
        </w:rPr>
        <w:t> </w:t>
      </w:r>
      <w:r>
        <w:rPr/>
        <w:t>Τραπεζική</w:t>
      </w:r>
      <w:r>
        <w:rPr>
          <w:spacing w:val="-14"/>
        </w:rPr>
        <w:t> </w:t>
      </w:r>
      <w:r>
        <w:rPr/>
        <w:t>Ένωση</w:t>
      </w:r>
      <w:r>
        <w:rPr>
          <w:spacing w:val="-10"/>
        </w:rPr>
        <w:t> </w:t>
      </w:r>
      <w:r>
        <w:rPr/>
        <w:t>(βλ.</w:t>
      </w:r>
      <w:r>
        <w:rPr>
          <w:spacing w:val="-10"/>
        </w:rPr>
        <w:t> </w:t>
      </w:r>
      <w:r>
        <w:rPr/>
        <w:t>Διά-γραμμα</w:t>
      </w:r>
      <w:r>
        <w:rPr>
          <w:spacing w:val="-6"/>
        </w:rPr>
        <w:t> </w:t>
      </w:r>
      <w:r>
        <w:rPr/>
        <w:t>ΙΙΙ.5).</w:t>
      </w:r>
      <w:r>
        <w:rPr>
          <w:spacing w:val="-6"/>
        </w:rPr>
        <w:t> </w:t>
      </w:r>
      <w:r>
        <w:rPr/>
        <w:t>Ειδικότερα,</w:t>
      </w:r>
      <w:r>
        <w:rPr>
          <w:spacing w:val="-7"/>
        </w:rPr>
        <w:t> </w:t>
      </w:r>
      <w:r>
        <w:rPr/>
        <w:t>οι</w:t>
      </w:r>
      <w:r>
        <w:rPr>
          <w:spacing w:val="-5"/>
        </w:rPr>
        <w:t> </w:t>
      </w:r>
      <w:r>
        <w:rPr/>
        <w:t>συσσωρευμέ-νες</w:t>
      </w:r>
      <w:r>
        <w:rPr>
          <w:spacing w:val="-14"/>
        </w:rPr>
        <w:t> </w:t>
      </w:r>
      <w:r>
        <w:rPr/>
        <w:t>προβλέψεις</w:t>
      </w:r>
      <w:r>
        <w:rPr>
          <w:spacing w:val="-14"/>
        </w:rPr>
        <w:t> </w:t>
      </w:r>
      <w:r>
        <w:rPr/>
        <w:t>τον</w:t>
      </w:r>
      <w:r>
        <w:rPr>
          <w:spacing w:val="-14"/>
        </w:rPr>
        <w:t> </w:t>
      </w:r>
      <w:r>
        <w:rPr/>
        <w:t>Δεκέμβριο</w:t>
      </w:r>
      <w:r>
        <w:rPr>
          <w:spacing w:val="-13"/>
        </w:rPr>
        <w:t> </w:t>
      </w:r>
      <w:r>
        <w:rPr/>
        <w:t>του</w:t>
      </w:r>
      <w:r>
        <w:rPr>
          <w:spacing w:val="-14"/>
        </w:rPr>
        <w:t> </w:t>
      </w:r>
      <w:r>
        <w:rPr/>
        <w:t>2025</w:t>
      </w:r>
      <w:r>
        <w:rPr>
          <w:spacing w:val="-14"/>
        </w:rPr>
        <w:t> </w:t>
      </w:r>
      <w:r>
        <w:rPr/>
        <w:t>για την κάλυψη των ΜΕΔ ανήλθαν σε 2,2 δι-σεκ. ευρώ, μειωμένες</w:t>
      </w:r>
      <w:r>
        <w:rPr>
          <w:spacing w:val="-1"/>
        </w:rPr>
        <w:t> </w:t>
      </w:r>
      <w:r>
        <w:rPr/>
        <w:t>κατά</w:t>
      </w:r>
      <w:r>
        <w:rPr>
          <w:spacing w:val="-1"/>
        </w:rPr>
        <w:t> </w:t>
      </w:r>
      <w:r>
        <w:rPr/>
        <w:t>271</w:t>
      </w:r>
      <w:r>
        <w:rPr>
          <w:spacing w:val="-1"/>
        </w:rPr>
        <w:t> </w:t>
      </w:r>
      <w:r>
        <w:rPr/>
        <w:t>εκατ.</w:t>
      </w:r>
      <w:r>
        <w:rPr>
          <w:spacing w:val="-3"/>
        </w:rPr>
        <w:t> </w:t>
      </w:r>
      <w:r>
        <w:rPr/>
        <w:t>ευρώ σε σχέση με τον Δεκέμβριο του 2024.</w:t>
      </w:r>
    </w:p>
    <w:p>
      <w:pPr>
        <w:pStyle w:val="ListParagraph"/>
        <w:numPr>
          <w:ilvl w:val="0"/>
          <w:numId w:val="4"/>
        </w:numPr>
        <w:tabs>
          <w:tab w:pos="454" w:val="left" w:leader="none"/>
        </w:tabs>
        <w:spacing w:line="242" w:lineRule="exact" w:before="0" w:after="0"/>
        <w:ind w:left="454" w:right="0" w:hanging="359"/>
        <w:jc w:val="both"/>
        <w:rPr>
          <w:sz w:val="22"/>
        </w:rPr>
      </w:pPr>
      <w:r>
        <w:rPr>
          <w:sz w:val="22"/>
        </w:rPr>
        <w:t>Ο</w:t>
      </w:r>
      <w:r>
        <w:rPr>
          <w:spacing w:val="-9"/>
          <w:sz w:val="22"/>
        </w:rPr>
        <w:t> </w:t>
      </w:r>
      <w:r>
        <w:rPr>
          <w:sz w:val="22"/>
        </w:rPr>
        <w:t>δείκτης</w:t>
      </w:r>
      <w:r>
        <w:rPr>
          <w:spacing w:val="-9"/>
          <w:sz w:val="22"/>
        </w:rPr>
        <w:t> </w:t>
      </w:r>
      <w:r>
        <w:rPr>
          <w:sz w:val="22"/>
        </w:rPr>
        <w:t>κάλυψης</w:t>
      </w:r>
      <w:r>
        <w:rPr>
          <w:spacing w:val="-8"/>
          <w:sz w:val="22"/>
        </w:rPr>
        <w:t> </w:t>
      </w:r>
      <w:r>
        <w:rPr>
          <w:sz w:val="22"/>
        </w:rPr>
        <w:t>των</w:t>
      </w:r>
      <w:r>
        <w:rPr>
          <w:spacing w:val="-7"/>
          <w:sz w:val="22"/>
        </w:rPr>
        <w:t> </w:t>
      </w:r>
      <w:r>
        <w:rPr>
          <w:sz w:val="22"/>
        </w:rPr>
        <w:t>ΜΕΔ</w:t>
      </w:r>
      <w:r>
        <w:rPr>
          <w:spacing w:val="-8"/>
          <w:sz w:val="22"/>
        </w:rPr>
        <w:t> </w:t>
      </w:r>
      <w:r>
        <w:rPr>
          <w:sz w:val="22"/>
        </w:rPr>
        <w:t>από</w:t>
      </w:r>
      <w:r>
        <w:rPr>
          <w:spacing w:val="-7"/>
          <w:sz w:val="22"/>
        </w:rPr>
        <w:t> </w:t>
      </w:r>
      <w:r>
        <w:rPr>
          <w:spacing w:val="-2"/>
          <w:sz w:val="22"/>
        </w:rPr>
        <w:t>εξασφα-</w:t>
      </w:r>
    </w:p>
    <w:p>
      <w:pPr>
        <w:pStyle w:val="BodyText"/>
        <w:spacing w:line="285" w:lineRule="auto" w:before="47"/>
        <w:ind w:left="455" w:right="59"/>
        <w:jc w:val="both"/>
      </w:pPr>
      <w:r>
        <w:rPr/>
        <w:t>λίσεις τον Δεκέμβριο του 2025 ανήλθε σε 71%, αυξημένος σε σχέση με τον Δεκέμ-βριο του 2024 (67,7%), ενώ ο δείκτης κά-λυψης ρυθμισμένων ΜΕΔ από εξασφαλί-σεις</w:t>
      </w:r>
      <w:r>
        <w:rPr>
          <w:spacing w:val="-10"/>
        </w:rPr>
        <w:t> </w:t>
      </w:r>
      <w:r>
        <w:rPr/>
        <w:t>ανήλθε</w:t>
      </w:r>
      <w:r>
        <w:rPr>
          <w:spacing w:val="-8"/>
        </w:rPr>
        <w:t> </w:t>
      </w:r>
      <w:r>
        <w:rPr/>
        <w:t>σε</w:t>
      </w:r>
      <w:r>
        <w:rPr>
          <w:spacing w:val="-7"/>
        </w:rPr>
        <w:t> </w:t>
      </w:r>
      <w:r>
        <w:rPr/>
        <w:t>78%,</w:t>
      </w:r>
      <w:r>
        <w:rPr>
          <w:spacing w:val="-9"/>
        </w:rPr>
        <w:t> </w:t>
      </w:r>
      <w:r>
        <w:rPr/>
        <w:t>έναντι</w:t>
      </w:r>
      <w:r>
        <w:rPr>
          <w:spacing w:val="-8"/>
        </w:rPr>
        <w:t> </w:t>
      </w:r>
      <w:r>
        <w:rPr/>
        <w:t>68%</w:t>
      </w:r>
      <w:r>
        <w:rPr>
          <w:spacing w:val="-11"/>
        </w:rPr>
        <w:t> </w:t>
      </w:r>
      <w:r>
        <w:rPr/>
        <w:t>στο</w:t>
      </w:r>
      <w:r>
        <w:rPr>
          <w:spacing w:val="-9"/>
        </w:rPr>
        <w:t> </w:t>
      </w:r>
      <w:r>
        <w:rPr/>
        <w:t>τέλος του 2024.</w:t>
      </w:r>
    </w:p>
    <w:p>
      <w:pPr>
        <w:pStyle w:val="ListParagraph"/>
        <w:numPr>
          <w:ilvl w:val="0"/>
          <w:numId w:val="4"/>
        </w:numPr>
        <w:tabs>
          <w:tab w:pos="454" w:val="left" w:leader="none"/>
        </w:tabs>
        <w:spacing w:line="248" w:lineRule="exact" w:before="0" w:after="0"/>
        <w:ind w:left="454" w:right="0" w:hanging="359"/>
        <w:jc w:val="both"/>
        <w:rPr>
          <w:sz w:val="22"/>
        </w:rPr>
      </w:pPr>
      <w:r>
        <w:rPr>
          <w:sz w:val="22"/>
        </w:rPr>
        <w:t>Το</w:t>
      </w:r>
      <w:r>
        <w:rPr>
          <w:spacing w:val="76"/>
          <w:w w:val="150"/>
          <w:sz w:val="22"/>
        </w:rPr>
        <w:t> </w:t>
      </w:r>
      <w:r>
        <w:rPr>
          <w:sz w:val="22"/>
        </w:rPr>
        <w:t>σύνολο</w:t>
      </w:r>
      <w:r>
        <w:rPr>
          <w:spacing w:val="78"/>
          <w:w w:val="150"/>
          <w:sz w:val="22"/>
        </w:rPr>
        <w:t> </w:t>
      </w:r>
      <w:r>
        <w:rPr>
          <w:sz w:val="22"/>
        </w:rPr>
        <w:t>των</w:t>
      </w:r>
      <w:r>
        <w:rPr>
          <w:spacing w:val="78"/>
          <w:w w:val="150"/>
          <w:sz w:val="22"/>
        </w:rPr>
        <w:t> </w:t>
      </w:r>
      <w:r>
        <w:rPr>
          <w:sz w:val="22"/>
        </w:rPr>
        <w:t>ρυθμισμένων</w:t>
      </w:r>
      <w:r>
        <w:rPr>
          <w:spacing w:val="79"/>
          <w:w w:val="150"/>
          <w:sz w:val="22"/>
        </w:rPr>
        <w:t> </w:t>
      </w:r>
      <w:r>
        <w:rPr>
          <w:spacing w:val="-2"/>
          <w:sz w:val="22"/>
        </w:rPr>
        <w:t>δανείων</w:t>
      </w:r>
    </w:p>
    <w:p>
      <w:pPr>
        <w:pStyle w:val="BodyText"/>
        <w:spacing w:line="285" w:lineRule="auto" w:before="17"/>
        <w:ind w:left="455"/>
        <w:jc w:val="both"/>
      </w:pPr>
      <w:r>
        <w:rPr/>
        <w:t>(forborne)</w:t>
      </w:r>
      <w:hyperlink w:history="true" w:anchor="_bookmark53">
        <w:r>
          <w:rPr>
            <w:position w:val="6"/>
            <w:sz w:val="10"/>
          </w:rPr>
          <w:t>35</w:t>
        </w:r>
      </w:hyperlink>
      <w:r>
        <w:rPr>
          <w:spacing w:val="40"/>
          <w:position w:val="6"/>
          <w:sz w:val="10"/>
        </w:rPr>
        <w:t> </w:t>
      </w:r>
      <w:r>
        <w:rPr/>
        <w:t>τον Δεκέμβριο του 2025 υπο-χώρησε στα 4 δισεκ. ευρώ, από 5,5 δισεκ. ευρώ τον Δεκέμβριο</w:t>
      </w:r>
      <w:r>
        <w:rPr>
          <w:spacing w:val="-4"/>
        </w:rPr>
        <w:t> </w:t>
      </w:r>
      <w:r>
        <w:rPr/>
        <w:t>του</w:t>
      </w:r>
      <w:r>
        <w:rPr>
          <w:spacing w:val="-2"/>
        </w:rPr>
        <w:t> </w:t>
      </w:r>
      <w:r>
        <w:rPr/>
        <w:t>2024, αντιπροσω-πεύοντας το 2,4% του συνόλου των δα-νείων (από 3,4% το 2024) (βλ. Διάγραμμα ΙΙΙ.6).</w:t>
      </w:r>
      <w:r>
        <w:rPr>
          <w:spacing w:val="-2"/>
        </w:rPr>
        <w:t> </w:t>
      </w:r>
      <w:r>
        <w:rPr/>
        <w:t>Η</w:t>
      </w:r>
      <w:r>
        <w:rPr>
          <w:spacing w:val="-3"/>
        </w:rPr>
        <w:t> </w:t>
      </w:r>
      <w:r>
        <w:rPr/>
        <w:t>μείωση</w:t>
      </w:r>
      <w:r>
        <w:rPr>
          <w:spacing w:val="-2"/>
        </w:rPr>
        <w:t> </w:t>
      </w:r>
      <w:r>
        <w:rPr/>
        <w:t>των</w:t>
      </w:r>
      <w:r>
        <w:rPr>
          <w:spacing w:val="-3"/>
        </w:rPr>
        <w:t> </w:t>
      </w:r>
      <w:r>
        <w:rPr/>
        <w:t>ρυθμισμένων</w:t>
      </w:r>
      <w:r>
        <w:rPr>
          <w:spacing w:val="-1"/>
        </w:rPr>
        <w:t> </w:t>
      </w:r>
      <w:r>
        <w:rPr/>
        <w:t>δανείων οφείλεται κυρίως στις συναλλαγές πώλη-σης</w:t>
      </w:r>
      <w:r>
        <w:rPr>
          <w:spacing w:val="-2"/>
        </w:rPr>
        <w:t> </w:t>
      </w:r>
      <w:r>
        <w:rPr/>
        <w:t>ΜΕΔ</w:t>
      </w:r>
      <w:r>
        <w:rPr>
          <w:spacing w:val="-4"/>
        </w:rPr>
        <w:t> </w:t>
      </w:r>
      <w:r>
        <w:rPr/>
        <w:t>και</w:t>
      </w:r>
      <w:r>
        <w:rPr>
          <w:spacing w:val="-3"/>
        </w:rPr>
        <w:t> </w:t>
      </w:r>
      <w:r>
        <w:rPr/>
        <w:t>στις</w:t>
      </w:r>
      <w:r>
        <w:rPr>
          <w:spacing w:val="-2"/>
        </w:rPr>
        <w:t> </w:t>
      </w:r>
      <w:r>
        <w:rPr/>
        <w:t>διαγραφές</w:t>
      </w:r>
      <w:r>
        <w:rPr>
          <w:spacing w:val="-1"/>
        </w:rPr>
        <w:t> </w:t>
      </w:r>
      <w:r>
        <w:rPr/>
        <w:t>δανείων.</w:t>
      </w:r>
      <w:r>
        <w:rPr>
          <w:spacing w:val="-1"/>
        </w:rPr>
        <w:t> </w:t>
      </w:r>
      <w:r>
        <w:rPr/>
        <w:t>Επι-σημαίνεται ότι το 11,8% των ήδη ρυθμι-σμένων δανείων εμφανίζει καθυστέρηση άνω</w:t>
      </w:r>
      <w:r>
        <w:rPr>
          <w:spacing w:val="-1"/>
        </w:rPr>
        <w:t> </w:t>
      </w:r>
      <w:r>
        <w:rPr/>
        <w:t>των 90</w:t>
      </w:r>
      <w:r>
        <w:rPr>
          <w:spacing w:val="-4"/>
        </w:rPr>
        <w:t> </w:t>
      </w:r>
      <w:r>
        <w:rPr/>
        <w:t>ημερών,</w:t>
      </w:r>
      <w:r>
        <w:rPr>
          <w:spacing w:val="-3"/>
        </w:rPr>
        <w:t> </w:t>
      </w:r>
      <w:r>
        <w:rPr/>
        <w:t>ποσοστό αυξημένο</w:t>
      </w:r>
      <w:r>
        <w:rPr>
          <w:spacing w:val="-3"/>
        </w:rPr>
        <w:t> </w:t>
      </w:r>
      <w:r>
        <w:rPr/>
        <w:t>σε σχέση</w:t>
      </w:r>
      <w:r>
        <w:rPr>
          <w:spacing w:val="-3"/>
        </w:rPr>
        <w:t> </w:t>
      </w:r>
      <w:r>
        <w:rPr/>
        <w:t>με</w:t>
      </w:r>
      <w:r>
        <w:rPr>
          <w:spacing w:val="-4"/>
        </w:rPr>
        <w:t> </w:t>
      </w:r>
      <w:r>
        <w:rPr/>
        <w:t>τον</w:t>
      </w:r>
      <w:r>
        <w:rPr>
          <w:spacing w:val="-4"/>
        </w:rPr>
        <w:t> </w:t>
      </w:r>
      <w:r>
        <w:rPr/>
        <w:t>Δεκέμβριο</w:t>
      </w:r>
      <w:r>
        <w:rPr>
          <w:spacing w:val="-4"/>
        </w:rPr>
        <w:t> </w:t>
      </w:r>
      <w:r>
        <w:rPr/>
        <w:t>του</w:t>
      </w:r>
      <w:r>
        <w:rPr>
          <w:spacing w:val="-1"/>
        </w:rPr>
        <w:t> </w:t>
      </w:r>
      <w:r>
        <w:rPr/>
        <w:t>2024</w:t>
      </w:r>
      <w:r>
        <w:rPr>
          <w:spacing w:val="-5"/>
        </w:rPr>
        <w:t> </w:t>
      </w:r>
      <w:r>
        <w:rPr>
          <w:spacing w:val="-2"/>
        </w:rPr>
        <w:t>(10,3%).</w:t>
      </w:r>
    </w:p>
    <w:p>
      <w:pPr>
        <w:spacing w:line="114" w:lineRule="exact" w:before="0"/>
        <w:ind w:left="183" w:right="0" w:firstLine="0"/>
        <w:jc w:val="left"/>
        <w:rPr>
          <w:sz w:val="14"/>
        </w:rPr>
      </w:pPr>
      <w:r>
        <w:rPr/>
        <w:br w:type="column"/>
      </w:r>
      <w:r>
        <w:rPr>
          <w:color w:val="1F487C"/>
          <w:sz w:val="14"/>
        </w:rPr>
        <w:t>(ποσοστά</w:t>
      </w:r>
      <w:r>
        <w:rPr>
          <w:color w:val="1F487C"/>
          <w:spacing w:val="-8"/>
          <w:sz w:val="14"/>
        </w:rPr>
        <w:t> </w:t>
      </w:r>
      <w:r>
        <w:rPr>
          <w:color w:val="1F487C"/>
          <w:spacing w:val="-5"/>
          <w:sz w:val="14"/>
        </w:rPr>
        <w:t>%)</w:t>
      </w:r>
    </w:p>
    <w:p>
      <w:pPr>
        <w:pStyle w:val="BodyText"/>
        <w:spacing w:before="3"/>
        <w:rPr>
          <w:sz w:val="5"/>
        </w:rPr>
      </w:pPr>
    </w:p>
    <w:p>
      <w:pPr>
        <w:spacing w:line="240" w:lineRule="auto"/>
        <w:ind w:left="125" w:right="0" w:firstLine="0"/>
        <w:rPr>
          <w:sz w:val="20"/>
        </w:rPr>
      </w:pPr>
      <w:r>
        <w:rPr>
          <w:sz w:val="20"/>
        </w:rPr>
        <mc:AlternateContent>
          <mc:Choice Requires="wps">
            <w:drawing>
              <wp:inline distT="0" distB="0" distL="0" distR="0">
                <wp:extent cx="2665095" cy="1841500"/>
                <wp:effectExtent l="0" t="0" r="0" b="6350"/>
                <wp:docPr id="235" name="Group 235"/>
                <wp:cNvGraphicFramePr>
                  <a:graphicFrameLocks/>
                </wp:cNvGraphicFramePr>
                <a:graphic>
                  <a:graphicData uri="http://schemas.microsoft.com/office/word/2010/wordprocessingGroup">
                    <wpg:wgp>
                      <wpg:cNvPr id="235" name="Group 235"/>
                      <wpg:cNvGrpSpPr/>
                      <wpg:grpSpPr>
                        <a:xfrm>
                          <a:off x="0" y="0"/>
                          <a:ext cx="2665095" cy="1841500"/>
                          <a:chExt cx="2665095" cy="1841500"/>
                        </a:xfrm>
                      </wpg:grpSpPr>
                      <wps:wsp>
                        <wps:cNvPr id="236" name="Graphic 236"/>
                        <wps:cNvSpPr/>
                        <wps:spPr>
                          <a:xfrm>
                            <a:off x="0" y="0"/>
                            <a:ext cx="2665095" cy="1841500"/>
                          </a:xfrm>
                          <a:custGeom>
                            <a:avLst/>
                            <a:gdLst/>
                            <a:ahLst/>
                            <a:cxnLst/>
                            <a:rect l="l" t="t" r="r" b="b"/>
                            <a:pathLst>
                              <a:path w="2665095" h="1841500">
                                <a:moveTo>
                                  <a:pt x="2664587" y="0"/>
                                </a:moveTo>
                                <a:lnTo>
                                  <a:pt x="0" y="0"/>
                                </a:lnTo>
                                <a:lnTo>
                                  <a:pt x="0" y="1624838"/>
                                </a:lnTo>
                                <a:lnTo>
                                  <a:pt x="0" y="1841246"/>
                                </a:lnTo>
                                <a:lnTo>
                                  <a:pt x="2664587" y="1841246"/>
                                </a:lnTo>
                                <a:lnTo>
                                  <a:pt x="2664587" y="1624838"/>
                                </a:lnTo>
                                <a:lnTo>
                                  <a:pt x="2664587" y="0"/>
                                </a:lnTo>
                                <a:close/>
                              </a:path>
                            </a:pathLst>
                          </a:custGeom>
                          <a:solidFill>
                            <a:srgbClr val="D9D9D9"/>
                          </a:solidFill>
                        </wps:spPr>
                        <wps:bodyPr wrap="square" lIns="0" tIns="0" rIns="0" bIns="0" rtlCol="0">
                          <a:prstTxWarp prst="textNoShape">
                            <a:avLst/>
                          </a:prstTxWarp>
                          <a:noAutofit/>
                        </wps:bodyPr>
                      </wps:wsp>
                      <wps:wsp>
                        <wps:cNvPr id="237" name="Graphic 237"/>
                        <wps:cNvSpPr/>
                        <wps:spPr>
                          <a:xfrm>
                            <a:off x="232258" y="1018933"/>
                            <a:ext cx="2252980" cy="226695"/>
                          </a:xfrm>
                          <a:custGeom>
                            <a:avLst/>
                            <a:gdLst/>
                            <a:ahLst/>
                            <a:cxnLst/>
                            <a:rect l="l" t="t" r="r" b="b"/>
                            <a:pathLst>
                              <a:path w="2252980" h="226695">
                                <a:moveTo>
                                  <a:pt x="1562733" y="226208"/>
                                </a:moveTo>
                                <a:lnTo>
                                  <a:pt x="1590536" y="226208"/>
                                </a:lnTo>
                              </a:path>
                              <a:path w="2252980" h="226695">
                                <a:moveTo>
                                  <a:pt x="2182253" y="226208"/>
                                </a:moveTo>
                                <a:lnTo>
                                  <a:pt x="2252831" y="226208"/>
                                </a:lnTo>
                              </a:path>
                              <a:path w="2252980" h="226695">
                                <a:moveTo>
                                  <a:pt x="2013293" y="226208"/>
                                </a:moveTo>
                                <a:lnTo>
                                  <a:pt x="2041096" y="226208"/>
                                </a:lnTo>
                              </a:path>
                              <a:path w="2252980" h="226695">
                                <a:moveTo>
                                  <a:pt x="1731693" y="226208"/>
                                </a:moveTo>
                                <a:lnTo>
                                  <a:pt x="1872136" y="226208"/>
                                </a:lnTo>
                              </a:path>
                              <a:path w="2252980" h="226695">
                                <a:moveTo>
                                  <a:pt x="1281132" y="226208"/>
                                </a:moveTo>
                                <a:lnTo>
                                  <a:pt x="1422289" y="226208"/>
                                </a:lnTo>
                              </a:path>
                              <a:path w="2252980" h="226695">
                                <a:moveTo>
                                  <a:pt x="1112172" y="226208"/>
                                </a:moveTo>
                                <a:lnTo>
                                  <a:pt x="1140688" y="226208"/>
                                </a:lnTo>
                              </a:path>
                              <a:path w="2252980" h="226695">
                                <a:moveTo>
                                  <a:pt x="830572" y="226208"/>
                                </a:moveTo>
                                <a:lnTo>
                                  <a:pt x="971728" y="226208"/>
                                </a:lnTo>
                              </a:path>
                              <a:path w="2252980" h="226695">
                                <a:moveTo>
                                  <a:pt x="661612" y="226208"/>
                                </a:moveTo>
                                <a:lnTo>
                                  <a:pt x="690128" y="226208"/>
                                </a:lnTo>
                              </a:path>
                              <a:path w="2252980" h="226695">
                                <a:moveTo>
                                  <a:pt x="380011" y="226208"/>
                                </a:moveTo>
                                <a:lnTo>
                                  <a:pt x="521168" y="226208"/>
                                </a:lnTo>
                              </a:path>
                              <a:path w="2252980" h="226695">
                                <a:moveTo>
                                  <a:pt x="211022" y="226208"/>
                                </a:moveTo>
                                <a:lnTo>
                                  <a:pt x="239538" y="226208"/>
                                </a:lnTo>
                              </a:path>
                              <a:path w="2252980" h="226695">
                                <a:moveTo>
                                  <a:pt x="0" y="226208"/>
                                </a:moveTo>
                                <a:lnTo>
                                  <a:pt x="70578" y="226208"/>
                                </a:lnTo>
                              </a:path>
                              <a:path w="2252980" h="226695">
                                <a:moveTo>
                                  <a:pt x="1562733" y="0"/>
                                </a:moveTo>
                                <a:lnTo>
                                  <a:pt x="1590536" y="0"/>
                                </a:lnTo>
                              </a:path>
                              <a:path w="2252980" h="226695">
                                <a:moveTo>
                                  <a:pt x="2182253" y="0"/>
                                </a:moveTo>
                                <a:lnTo>
                                  <a:pt x="2252831" y="0"/>
                                </a:lnTo>
                              </a:path>
                              <a:path w="2252980" h="226695">
                                <a:moveTo>
                                  <a:pt x="2013293" y="0"/>
                                </a:moveTo>
                                <a:lnTo>
                                  <a:pt x="2041096" y="0"/>
                                </a:lnTo>
                              </a:path>
                              <a:path w="2252980" h="226695">
                                <a:moveTo>
                                  <a:pt x="1731693" y="0"/>
                                </a:moveTo>
                                <a:lnTo>
                                  <a:pt x="1872136" y="0"/>
                                </a:lnTo>
                              </a:path>
                              <a:path w="2252980" h="226695">
                                <a:moveTo>
                                  <a:pt x="1281132" y="0"/>
                                </a:moveTo>
                                <a:lnTo>
                                  <a:pt x="1422289" y="0"/>
                                </a:lnTo>
                              </a:path>
                              <a:path w="2252980" h="226695">
                                <a:moveTo>
                                  <a:pt x="830572" y="0"/>
                                </a:moveTo>
                                <a:lnTo>
                                  <a:pt x="971728" y="0"/>
                                </a:lnTo>
                              </a:path>
                              <a:path w="2252980" h="226695">
                                <a:moveTo>
                                  <a:pt x="0" y="0"/>
                                </a:moveTo>
                                <a:lnTo>
                                  <a:pt x="70578" y="0"/>
                                </a:lnTo>
                              </a:path>
                              <a:path w="2252980" h="226695">
                                <a:moveTo>
                                  <a:pt x="661612" y="0"/>
                                </a:moveTo>
                                <a:lnTo>
                                  <a:pt x="690128" y="0"/>
                                </a:lnTo>
                              </a:path>
                              <a:path w="2252980" h="226695">
                                <a:moveTo>
                                  <a:pt x="380011" y="0"/>
                                </a:moveTo>
                                <a:lnTo>
                                  <a:pt x="521168" y="0"/>
                                </a:lnTo>
                              </a:path>
                              <a:path w="2252980" h="226695">
                                <a:moveTo>
                                  <a:pt x="211022" y="0"/>
                                </a:moveTo>
                                <a:lnTo>
                                  <a:pt x="239538" y="0"/>
                                </a:lnTo>
                              </a:path>
                              <a:path w="2252980" h="226695">
                                <a:moveTo>
                                  <a:pt x="1112172" y="0"/>
                                </a:moveTo>
                                <a:lnTo>
                                  <a:pt x="1140688" y="0"/>
                                </a:lnTo>
                              </a:path>
                            </a:pathLst>
                          </a:custGeom>
                          <a:ln w="4532">
                            <a:solidFill>
                              <a:srgbClr val="FFFFFF"/>
                            </a:solidFill>
                            <a:prstDash val="solid"/>
                          </a:ln>
                        </wps:spPr>
                        <wps:bodyPr wrap="square" lIns="0" tIns="0" rIns="0" bIns="0" rtlCol="0">
                          <a:prstTxWarp prst="textNoShape">
                            <a:avLst/>
                          </a:prstTxWarp>
                          <a:noAutofit/>
                        </wps:bodyPr>
                      </wps:wsp>
                      <wps:wsp>
                        <wps:cNvPr id="238" name="Graphic 238"/>
                        <wps:cNvSpPr/>
                        <wps:spPr>
                          <a:xfrm>
                            <a:off x="443280" y="792718"/>
                            <a:ext cx="2042160" cy="1270"/>
                          </a:xfrm>
                          <a:custGeom>
                            <a:avLst/>
                            <a:gdLst/>
                            <a:ahLst/>
                            <a:cxnLst/>
                            <a:rect l="l" t="t" r="r" b="b"/>
                            <a:pathLst>
                              <a:path w="2042160" h="0">
                                <a:moveTo>
                                  <a:pt x="901150" y="0"/>
                                </a:moveTo>
                                <a:lnTo>
                                  <a:pt x="929666" y="0"/>
                                </a:lnTo>
                              </a:path>
                              <a:path w="2042160" h="0">
                                <a:moveTo>
                                  <a:pt x="1971231" y="0"/>
                                </a:moveTo>
                                <a:lnTo>
                                  <a:pt x="2041809" y="0"/>
                                </a:lnTo>
                              </a:path>
                              <a:path w="2042160" h="0">
                                <a:moveTo>
                                  <a:pt x="1802271" y="0"/>
                                </a:moveTo>
                                <a:lnTo>
                                  <a:pt x="1830074" y="0"/>
                                </a:lnTo>
                              </a:path>
                              <a:path w="2042160" h="0">
                                <a:moveTo>
                                  <a:pt x="1520671" y="0"/>
                                </a:moveTo>
                                <a:lnTo>
                                  <a:pt x="1661114" y="0"/>
                                </a:lnTo>
                              </a:path>
                              <a:path w="2042160" h="0">
                                <a:moveTo>
                                  <a:pt x="1351710" y="0"/>
                                </a:moveTo>
                                <a:lnTo>
                                  <a:pt x="1379514" y="0"/>
                                </a:lnTo>
                              </a:path>
                              <a:path w="2042160" h="0">
                                <a:moveTo>
                                  <a:pt x="1070110" y="0"/>
                                </a:moveTo>
                                <a:lnTo>
                                  <a:pt x="1211267" y="0"/>
                                </a:lnTo>
                              </a:path>
                              <a:path w="2042160" h="0">
                                <a:moveTo>
                                  <a:pt x="619550" y="0"/>
                                </a:moveTo>
                                <a:lnTo>
                                  <a:pt x="760706" y="0"/>
                                </a:lnTo>
                              </a:path>
                              <a:path w="2042160" h="0">
                                <a:moveTo>
                                  <a:pt x="450590" y="0"/>
                                </a:moveTo>
                                <a:lnTo>
                                  <a:pt x="479106" y="0"/>
                                </a:lnTo>
                              </a:path>
                              <a:path w="2042160" h="0">
                                <a:moveTo>
                                  <a:pt x="168989" y="0"/>
                                </a:moveTo>
                                <a:lnTo>
                                  <a:pt x="310146" y="0"/>
                                </a:lnTo>
                              </a:path>
                              <a:path w="2042160" h="0">
                                <a:moveTo>
                                  <a:pt x="0" y="0"/>
                                </a:moveTo>
                                <a:lnTo>
                                  <a:pt x="28516" y="0"/>
                                </a:lnTo>
                              </a:path>
                            </a:pathLst>
                          </a:custGeom>
                          <a:ln w="4532">
                            <a:solidFill>
                              <a:srgbClr val="FFFFFF"/>
                            </a:solidFill>
                            <a:prstDash val="solid"/>
                          </a:ln>
                        </wps:spPr>
                        <wps:bodyPr wrap="square" lIns="0" tIns="0" rIns="0" bIns="0" rtlCol="0">
                          <a:prstTxWarp prst="textNoShape">
                            <a:avLst/>
                          </a:prstTxWarp>
                          <a:noAutofit/>
                        </wps:bodyPr>
                      </wps:wsp>
                      <wps:wsp>
                        <wps:cNvPr id="239" name="Graphic 239"/>
                        <wps:cNvSpPr/>
                        <wps:spPr>
                          <a:xfrm>
                            <a:off x="232258" y="792718"/>
                            <a:ext cx="71120" cy="1270"/>
                          </a:xfrm>
                          <a:custGeom>
                            <a:avLst/>
                            <a:gdLst/>
                            <a:ahLst/>
                            <a:cxnLst/>
                            <a:rect l="l" t="t" r="r" b="b"/>
                            <a:pathLst>
                              <a:path w="71120" h="0">
                                <a:moveTo>
                                  <a:pt x="0" y="0"/>
                                </a:moveTo>
                                <a:lnTo>
                                  <a:pt x="70578" y="0"/>
                                </a:lnTo>
                              </a:path>
                            </a:pathLst>
                          </a:custGeom>
                          <a:ln w="4532">
                            <a:solidFill>
                              <a:srgbClr val="FFFFFF"/>
                            </a:solidFill>
                            <a:prstDash val="solid"/>
                          </a:ln>
                        </wps:spPr>
                        <wps:bodyPr wrap="square" lIns="0" tIns="0" rIns="0" bIns="0" rtlCol="0">
                          <a:prstTxWarp prst="textNoShape">
                            <a:avLst/>
                          </a:prstTxWarp>
                          <a:noAutofit/>
                        </wps:bodyPr>
                      </wps:wsp>
                      <wps:wsp>
                        <wps:cNvPr id="240" name="Graphic 240"/>
                        <wps:cNvSpPr/>
                        <wps:spPr>
                          <a:xfrm>
                            <a:off x="612270" y="567235"/>
                            <a:ext cx="1873250" cy="1270"/>
                          </a:xfrm>
                          <a:custGeom>
                            <a:avLst/>
                            <a:gdLst/>
                            <a:ahLst/>
                            <a:cxnLst/>
                            <a:rect l="l" t="t" r="r" b="b"/>
                            <a:pathLst>
                              <a:path w="1873250" h="0">
                                <a:moveTo>
                                  <a:pt x="1633281" y="0"/>
                                </a:moveTo>
                                <a:lnTo>
                                  <a:pt x="1872819" y="0"/>
                                </a:lnTo>
                              </a:path>
                              <a:path w="1873250" h="0">
                                <a:moveTo>
                                  <a:pt x="1351681" y="0"/>
                                </a:moveTo>
                                <a:lnTo>
                                  <a:pt x="1492124" y="0"/>
                                </a:lnTo>
                              </a:path>
                              <a:path w="1873250" h="0">
                                <a:moveTo>
                                  <a:pt x="1182721" y="0"/>
                                </a:moveTo>
                                <a:lnTo>
                                  <a:pt x="1210524" y="0"/>
                                </a:lnTo>
                              </a:path>
                              <a:path w="1873250" h="0">
                                <a:moveTo>
                                  <a:pt x="281600" y="0"/>
                                </a:moveTo>
                                <a:lnTo>
                                  <a:pt x="591716" y="0"/>
                                </a:lnTo>
                              </a:path>
                              <a:path w="1873250" h="0">
                                <a:moveTo>
                                  <a:pt x="901120" y="0"/>
                                </a:moveTo>
                                <a:lnTo>
                                  <a:pt x="1042277" y="0"/>
                                </a:lnTo>
                              </a:path>
                              <a:path w="1873250" h="0">
                                <a:moveTo>
                                  <a:pt x="0" y="0"/>
                                </a:moveTo>
                                <a:lnTo>
                                  <a:pt x="141156" y="0"/>
                                </a:lnTo>
                              </a:path>
                              <a:path w="1873250" h="0">
                                <a:moveTo>
                                  <a:pt x="732160" y="0"/>
                                </a:moveTo>
                                <a:lnTo>
                                  <a:pt x="760676" y="0"/>
                                </a:lnTo>
                              </a:path>
                            </a:pathLst>
                          </a:custGeom>
                          <a:ln w="4532">
                            <a:solidFill>
                              <a:srgbClr val="FFFFFF"/>
                            </a:solidFill>
                            <a:prstDash val="solid"/>
                          </a:ln>
                        </wps:spPr>
                        <wps:bodyPr wrap="square" lIns="0" tIns="0" rIns="0" bIns="0" rtlCol="0">
                          <a:prstTxWarp prst="textNoShape">
                            <a:avLst/>
                          </a:prstTxWarp>
                          <a:noAutofit/>
                        </wps:bodyPr>
                      </wps:wsp>
                      <wps:wsp>
                        <wps:cNvPr id="241" name="Graphic 241"/>
                        <wps:cNvSpPr/>
                        <wps:spPr>
                          <a:xfrm>
                            <a:off x="232258" y="567235"/>
                            <a:ext cx="71120" cy="1270"/>
                          </a:xfrm>
                          <a:custGeom>
                            <a:avLst/>
                            <a:gdLst/>
                            <a:ahLst/>
                            <a:cxnLst/>
                            <a:rect l="l" t="t" r="r" b="b"/>
                            <a:pathLst>
                              <a:path w="71120" h="0">
                                <a:moveTo>
                                  <a:pt x="0" y="0"/>
                                </a:moveTo>
                                <a:lnTo>
                                  <a:pt x="70578" y="0"/>
                                </a:lnTo>
                              </a:path>
                            </a:pathLst>
                          </a:custGeom>
                          <a:ln w="4532">
                            <a:solidFill>
                              <a:srgbClr val="FFFFFF"/>
                            </a:solidFill>
                            <a:prstDash val="solid"/>
                          </a:ln>
                        </wps:spPr>
                        <wps:bodyPr wrap="square" lIns="0" tIns="0" rIns="0" bIns="0" rtlCol="0">
                          <a:prstTxWarp prst="textNoShape">
                            <a:avLst/>
                          </a:prstTxWarp>
                          <a:noAutofit/>
                        </wps:bodyPr>
                      </wps:wsp>
                      <wps:wsp>
                        <wps:cNvPr id="242" name="Graphic 242"/>
                        <wps:cNvSpPr/>
                        <wps:spPr>
                          <a:xfrm>
                            <a:off x="443280" y="567235"/>
                            <a:ext cx="28575" cy="1270"/>
                          </a:xfrm>
                          <a:custGeom>
                            <a:avLst/>
                            <a:gdLst/>
                            <a:ahLst/>
                            <a:cxnLst/>
                            <a:rect l="l" t="t" r="r" b="b"/>
                            <a:pathLst>
                              <a:path w="28575" h="0">
                                <a:moveTo>
                                  <a:pt x="0" y="0"/>
                                </a:moveTo>
                                <a:lnTo>
                                  <a:pt x="28516" y="0"/>
                                </a:lnTo>
                              </a:path>
                            </a:pathLst>
                          </a:custGeom>
                          <a:ln w="4532">
                            <a:solidFill>
                              <a:srgbClr val="FFFFFF"/>
                            </a:solidFill>
                            <a:prstDash val="solid"/>
                          </a:ln>
                        </wps:spPr>
                        <wps:bodyPr wrap="square" lIns="0" tIns="0" rIns="0" bIns="0" rtlCol="0">
                          <a:prstTxWarp prst="textNoShape">
                            <a:avLst/>
                          </a:prstTxWarp>
                          <a:noAutofit/>
                        </wps:bodyPr>
                      </wps:wsp>
                      <wps:wsp>
                        <wps:cNvPr id="243" name="Graphic 243"/>
                        <wps:cNvSpPr/>
                        <wps:spPr>
                          <a:xfrm>
                            <a:off x="232258" y="341026"/>
                            <a:ext cx="2252980" cy="1270"/>
                          </a:xfrm>
                          <a:custGeom>
                            <a:avLst/>
                            <a:gdLst/>
                            <a:ahLst/>
                            <a:cxnLst/>
                            <a:rect l="l" t="t" r="r" b="b"/>
                            <a:pathLst>
                              <a:path w="2252980" h="0">
                                <a:moveTo>
                                  <a:pt x="0" y="0"/>
                                </a:moveTo>
                                <a:lnTo>
                                  <a:pt x="2252831" y="0"/>
                                </a:lnTo>
                              </a:path>
                            </a:pathLst>
                          </a:custGeom>
                          <a:ln w="4531">
                            <a:solidFill>
                              <a:srgbClr val="FFFFFF"/>
                            </a:solidFill>
                            <a:prstDash val="solid"/>
                          </a:ln>
                        </wps:spPr>
                        <wps:bodyPr wrap="square" lIns="0" tIns="0" rIns="0" bIns="0" rtlCol="0">
                          <a:prstTxWarp prst="textNoShape">
                            <a:avLst/>
                          </a:prstTxWarp>
                          <a:noAutofit/>
                        </wps:bodyPr>
                      </wps:wsp>
                      <wps:wsp>
                        <wps:cNvPr id="244" name="Graphic 244"/>
                        <wps:cNvSpPr/>
                        <wps:spPr>
                          <a:xfrm>
                            <a:off x="302831" y="523734"/>
                            <a:ext cx="1943100" cy="948055"/>
                          </a:xfrm>
                          <a:custGeom>
                            <a:avLst/>
                            <a:gdLst/>
                            <a:ahLst/>
                            <a:cxnLst/>
                            <a:rect l="l" t="t" r="r" b="b"/>
                            <a:pathLst>
                              <a:path w="1943100" h="948055">
                                <a:moveTo>
                                  <a:pt x="140449" y="947623"/>
                                </a:moveTo>
                                <a:lnTo>
                                  <a:pt x="140436" y="15951"/>
                                </a:lnTo>
                                <a:lnTo>
                                  <a:pt x="0" y="15951"/>
                                </a:lnTo>
                                <a:lnTo>
                                  <a:pt x="0" y="947623"/>
                                </a:lnTo>
                                <a:lnTo>
                                  <a:pt x="140449" y="947623"/>
                                </a:lnTo>
                                <a:close/>
                              </a:path>
                              <a:path w="1943100" h="948055">
                                <a:moveTo>
                                  <a:pt x="591032" y="9436"/>
                                </a:moveTo>
                                <a:lnTo>
                                  <a:pt x="450583" y="9436"/>
                                </a:lnTo>
                                <a:lnTo>
                                  <a:pt x="450583" y="947623"/>
                                </a:lnTo>
                                <a:lnTo>
                                  <a:pt x="591032" y="947623"/>
                                </a:lnTo>
                                <a:lnTo>
                                  <a:pt x="591032" y="9436"/>
                                </a:lnTo>
                                <a:close/>
                              </a:path>
                              <a:path w="1943100" h="948055">
                                <a:moveTo>
                                  <a:pt x="1041590" y="5080"/>
                                </a:moveTo>
                                <a:lnTo>
                                  <a:pt x="901153" y="5080"/>
                                </a:lnTo>
                                <a:lnTo>
                                  <a:pt x="901153" y="947623"/>
                                </a:lnTo>
                                <a:lnTo>
                                  <a:pt x="1041590" y="947623"/>
                                </a:lnTo>
                                <a:lnTo>
                                  <a:pt x="1041590" y="5080"/>
                                </a:lnTo>
                                <a:close/>
                              </a:path>
                              <a:path w="1943100" h="948055">
                                <a:moveTo>
                                  <a:pt x="1492148" y="0"/>
                                </a:moveTo>
                                <a:lnTo>
                                  <a:pt x="1351711" y="0"/>
                                </a:lnTo>
                                <a:lnTo>
                                  <a:pt x="1351711" y="947623"/>
                                </a:lnTo>
                                <a:lnTo>
                                  <a:pt x="1492148" y="947623"/>
                                </a:lnTo>
                                <a:lnTo>
                                  <a:pt x="1492148" y="0"/>
                                </a:lnTo>
                                <a:close/>
                              </a:path>
                              <a:path w="1943100" h="948055">
                                <a:moveTo>
                                  <a:pt x="1942719" y="11607"/>
                                </a:moveTo>
                                <a:lnTo>
                                  <a:pt x="1801558" y="11607"/>
                                </a:lnTo>
                                <a:lnTo>
                                  <a:pt x="1801558" y="947623"/>
                                </a:lnTo>
                                <a:lnTo>
                                  <a:pt x="1942719" y="947623"/>
                                </a:lnTo>
                                <a:lnTo>
                                  <a:pt x="1942719" y="11607"/>
                                </a:lnTo>
                                <a:close/>
                              </a:path>
                            </a:pathLst>
                          </a:custGeom>
                          <a:solidFill>
                            <a:srgbClr val="297ED4"/>
                          </a:solidFill>
                        </wps:spPr>
                        <wps:bodyPr wrap="square" lIns="0" tIns="0" rIns="0" bIns="0" rtlCol="0">
                          <a:prstTxWarp prst="textNoShape">
                            <a:avLst/>
                          </a:prstTxWarp>
                          <a:noAutofit/>
                        </wps:bodyPr>
                      </wps:wsp>
                      <wps:wsp>
                        <wps:cNvPr id="245" name="Graphic 245"/>
                        <wps:cNvSpPr/>
                        <wps:spPr>
                          <a:xfrm>
                            <a:off x="471792" y="523011"/>
                            <a:ext cx="1943100" cy="948690"/>
                          </a:xfrm>
                          <a:custGeom>
                            <a:avLst/>
                            <a:gdLst/>
                            <a:ahLst/>
                            <a:cxnLst/>
                            <a:rect l="l" t="t" r="r" b="b"/>
                            <a:pathLst>
                              <a:path w="1943100" h="948690">
                                <a:moveTo>
                                  <a:pt x="140474" y="26835"/>
                                </a:moveTo>
                                <a:lnTo>
                                  <a:pt x="0" y="26835"/>
                                </a:lnTo>
                                <a:lnTo>
                                  <a:pt x="0" y="948347"/>
                                </a:lnTo>
                                <a:lnTo>
                                  <a:pt x="140474" y="948347"/>
                                </a:lnTo>
                                <a:lnTo>
                                  <a:pt x="140474" y="26835"/>
                                </a:lnTo>
                                <a:close/>
                              </a:path>
                              <a:path w="1943100" h="948690">
                                <a:moveTo>
                                  <a:pt x="591032" y="57277"/>
                                </a:moveTo>
                                <a:lnTo>
                                  <a:pt x="450583" y="57277"/>
                                </a:lnTo>
                                <a:lnTo>
                                  <a:pt x="450583" y="948347"/>
                                </a:lnTo>
                                <a:lnTo>
                                  <a:pt x="591032" y="948347"/>
                                </a:lnTo>
                                <a:lnTo>
                                  <a:pt x="591032" y="57277"/>
                                </a:lnTo>
                                <a:close/>
                              </a:path>
                              <a:path w="1943100" h="948690">
                                <a:moveTo>
                                  <a:pt x="1041590" y="6527"/>
                                </a:moveTo>
                                <a:lnTo>
                                  <a:pt x="901153" y="6527"/>
                                </a:lnTo>
                                <a:lnTo>
                                  <a:pt x="901153" y="948347"/>
                                </a:lnTo>
                                <a:lnTo>
                                  <a:pt x="1041590" y="948347"/>
                                </a:lnTo>
                                <a:lnTo>
                                  <a:pt x="1041590" y="6527"/>
                                </a:lnTo>
                                <a:close/>
                              </a:path>
                              <a:path w="1943100" h="948690">
                                <a:moveTo>
                                  <a:pt x="1492148" y="0"/>
                                </a:moveTo>
                                <a:lnTo>
                                  <a:pt x="1351000" y="0"/>
                                </a:lnTo>
                                <a:lnTo>
                                  <a:pt x="1351000" y="948347"/>
                                </a:lnTo>
                                <a:lnTo>
                                  <a:pt x="1492148" y="948347"/>
                                </a:lnTo>
                                <a:lnTo>
                                  <a:pt x="1492148" y="0"/>
                                </a:lnTo>
                                <a:close/>
                              </a:path>
                              <a:path w="1943100" h="948690">
                                <a:moveTo>
                                  <a:pt x="1942719" y="84836"/>
                                </a:moveTo>
                                <a:lnTo>
                                  <a:pt x="1801558" y="84836"/>
                                </a:lnTo>
                                <a:lnTo>
                                  <a:pt x="1801558" y="948347"/>
                                </a:lnTo>
                                <a:lnTo>
                                  <a:pt x="1942719" y="948347"/>
                                </a:lnTo>
                                <a:lnTo>
                                  <a:pt x="1942719" y="84836"/>
                                </a:lnTo>
                                <a:close/>
                              </a:path>
                            </a:pathLst>
                          </a:custGeom>
                          <a:solidFill>
                            <a:srgbClr val="4966AC"/>
                          </a:solidFill>
                        </wps:spPr>
                        <wps:bodyPr wrap="square" lIns="0" tIns="0" rIns="0" bIns="0" rtlCol="0">
                          <a:prstTxWarp prst="textNoShape">
                            <a:avLst/>
                          </a:prstTxWarp>
                          <a:noAutofit/>
                        </wps:bodyPr>
                      </wps:wsp>
                      <wps:wsp>
                        <wps:cNvPr id="246" name="Graphic 246"/>
                        <wps:cNvSpPr/>
                        <wps:spPr>
                          <a:xfrm>
                            <a:off x="210871" y="341026"/>
                            <a:ext cx="2274570" cy="1151890"/>
                          </a:xfrm>
                          <a:custGeom>
                            <a:avLst/>
                            <a:gdLst/>
                            <a:ahLst/>
                            <a:cxnLst/>
                            <a:rect l="l" t="t" r="r" b="b"/>
                            <a:pathLst>
                              <a:path w="2274570" h="1151890">
                                <a:moveTo>
                                  <a:pt x="21387" y="1130323"/>
                                </a:moveTo>
                                <a:lnTo>
                                  <a:pt x="21387" y="0"/>
                                </a:lnTo>
                              </a:path>
                              <a:path w="2274570" h="1151890">
                                <a:moveTo>
                                  <a:pt x="0" y="1130323"/>
                                </a:moveTo>
                                <a:lnTo>
                                  <a:pt x="21387" y="1130323"/>
                                </a:lnTo>
                              </a:path>
                              <a:path w="2274570" h="1151890">
                                <a:moveTo>
                                  <a:pt x="0" y="904114"/>
                                </a:moveTo>
                                <a:lnTo>
                                  <a:pt x="21387" y="904114"/>
                                </a:lnTo>
                              </a:path>
                              <a:path w="2274570" h="1151890">
                                <a:moveTo>
                                  <a:pt x="0" y="677906"/>
                                </a:moveTo>
                                <a:lnTo>
                                  <a:pt x="21387" y="677906"/>
                                </a:lnTo>
                              </a:path>
                              <a:path w="2274570" h="1151890">
                                <a:moveTo>
                                  <a:pt x="0" y="451691"/>
                                </a:moveTo>
                                <a:lnTo>
                                  <a:pt x="21387" y="451691"/>
                                </a:lnTo>
                              </a:path>
                              <a:path w="2274570" h="1151890">
                                <a:moveTo>
                                  <a:pt x="0" y="226208"/>
                                </a:moveTo>
                                <a:lnTo>
                                  <a:pt x="21387" y="226208"/>
                                </a:lnTo>
                              </a:path>
                              <a:path w="2274570" h="1151890">
                                <a:moveTo>
                                  <a:pt x="0" y="0"/>
                                </a:moveTo>
                                <a:lnTo>
                                  <a:pt x="21387" y="0"/>
                                </a:lnTo>
                              </a:path>
                              <a:path w="2274570" h="1151890">
                                <a:moveTo>
                                  <a:pt x="21387" y="1130323"/>
                                </a:moveTo>
                                <a:lnTo>
                                  <a:pt x="2274219" y="1130323"/>
                                </a:lnTo>
                              </a:path>
                              <a:path w="2274570" h="1151890">
                                <a:moveTo>
                                  <a:pt x="21387" y="1130323"/>
                                </a:moveTo>
                                <a:lnTo>
                                  <a:pt x="21387" y="1151349"/>
                                </a:lnTo>
                              </a:path>
                              <a:path w="2274570" h="1151890">
                                <a:moveTo>
                                  <a:pt x="922538" y="1130323"/>
                                </a:moveTo>
                                <a:lnTo>
                                  <a:pt x="922538" y="1151349"/>
                                </a:lnTo>
                              </a:path>
                              <a:path w="2274570" h="1151890">
                                <a:moveTo>
                                  <a:pt x="1823659" y="1130323"/>
                                </a:moveTo>
                                <a:lnTo>
                                  <a:pt x="1823659" y="1151349"/>
                                </a:lnTo>
                              </a:path>
                            </a:pathLst>
                          </a:custGeom>
                          <a:ln w="4493">
                            <a:solidFill>
                              <a:srgbClr val="858585"/>
                            </a:solidFill>
                            <a:prstDash val="solid"/>
                          </a:ln>
                        </wps:spPr>
                        <wps:bodyPr wrap="square" lIns="0" tIns="0" rIns="0" bIns="0" rtlCol="0">
                          <a:prstTxWarp prst="textNoShape">
                            <a:avLst/>
                          </a:prstTxWarp>
                          <a:noAutofit/>
                        </wps:bodyPr>
                      </wps:wsp>
                      <wps:wsp>
                        <wps:cNvPr id="247" name="Graphic 247"/>
                        <wps:cNvSpPr/>
                        <wps:spPr>
                          <a:xfrm>
                            <a:off x="291430" y="76391"/>
                            <a:ext cx="36195" cy="36830"/>
                          </a:xfrm>
                          <a:custGeom>
                            <a:avLst/>
                            <a:gdLst/>
                            <a:ahLst/>
                            <a:cxnLst/>
                            <a:rect l="l" t="t" r="r" b="b"/>
                            <a:pathLst>
                              <a:path w="36195" h="36830">
                                <a:moveTo>
                                  <a:pt x="35645" y="0"/>
                                </a:moveTo>
                                <a:lnTo>
                                  <a:pt x="0" y="0"/>
                                </a:lnTo>
                                <a:lnTo>
                                  <a:pt x="0" y="36251"/>
                                </a:lnTo>
                                <a:lnTo>
                                  <a:pt x="35645" y="36251"/>
                                </a:lnTo>
                                <a:lnTo>
                                  <a:pt x="35645" y="0"/>
                                </a:lnTo>
                                <a:close/>
                              </a:path>
                            </a:pathLst>
                          </a:custGeom>
                          <a:solidFill>
                            <a:srgbClr val="297ED4"/>
                          </a:solidFill>
                        </wps:spPr>
                        <wps:bodyPr wrap="square" lIns="0" tIns="0" rIns="0" bIns="0" rtlCol="0">
                          <a:prstTxWarp prst="textNoShape">
                            <a:avLst/>
                          </a:prstTxWarp>
                          <a:noAutofit/>
                        </wps:bodyPr>
                      </wps:wsp>
                      <wps:wsp>
                        <wps:cNvPr id="248" name="Graphic 248"/>
                        <wps:cNvSpPr/>
                        <wps:spPr>
                          <a:xfrm>
                            <a:off x="291430" y="192395"/>
                            <a:ext cx="36195" cy="36830"/>
                          </a:xfrm>
                          <a:custGeom>
                            <a:avLst/>
                            <a:gdLst/>
                            <a:ahLst/>
                            <a:cxnLst/>
                            <a:rect l="l" t="t" r="r" b="b"/>
                            <a:pathLst>
                              <a:path w="36195" h="36830">
                                <a:moveTo>
                                  <a:pt x="35645" y="0"/>
                                </a:moveTo>
                                <a:lnTo>
                                  <a:pt x="0" y="0"/>
                                </a:lnTo>
                                <a:lnTo>
                                  <a:pt x="0" y="36251"/>
                                </a:lnTo>
                                <a:lnTo>
                                  <a:pt x="35645" y="36251"/>
                                </a:lnTo>
                                <a:lnTo>
                                  <a:pt x="35645" y="0"/>
                                </a:lnTo>
                                <a:close/>
                              </a:path>
                            </a:pathLst>
                          </a:custGeom>
                          <a:solidFill>
                            <a:srgbClr val="4966AC"/>
                          </a:solidFill>
                        </wps:spPr>
                        <wps:bodyPr wrap="square" lIns="0" tIns="0" rIns="0" bIns="0" rtlCol="0">
                          <a:prstTxWarp prst="textNoShape">
                            <a:avLst/>
                          </a:prstTxWarp>
                          <a:noAutofit/>
                        </wps:bodyPr>
                      </wps:wsp>
                      <wps:wsp>
                        <wps:cNvPr id="249" name="Textbox 249"/>
                        <wps:cNvSpPr txBox="1"/>
                        <wps:spPr>
                          <a:xfrm>
                            <a:off x="342682" y="55224"/>
                            <a:ext cx="1906905" cy="196215"/>
                          </a:xfrm>
                          <a:prstGeom prst="rect">
                            <a:avLst/>
                          </a:prstGeom>
                        </wps:spPr>
                        <wps:txbx>
                          <w:txbxContent>
                            <w:p>
                              <w:pPr>
                                <w:spacing w:line="126" w:lineRule="exact" w:before="0"/>
                                <w:ind w:left="0" w:right="0" w:firstLine="0"/>
                                <w:jc w:val="left"/>
                                <w:rPr>
                                  <w:sz w:val="11"/>
                                </w:rPr>
                              </w:pPr>
                              <w:r>
                                <w:rPr>
                                  <w:sz w:val="11"/>
                                </w:rPr>
                                <w:t>Δεíкτης</w:t>
                              </w:r>
                              <w:r>
                                <w:rPr>
                                  <w:spacing w:val="6"/>
                                  <w:sz w:val="11"/>
                                </w:rPr>
                                <w:t> </w:t>
                              </w:r>
                              <w:r>
                                <w:rPr>
                                  <w:sz w:val="11"/>
                                </w:rPr>
                                <w:t>Κάλuψης</w:t>
                              </w:r>
                              <w:r>
                                <w:rPr>
                                  <w:spacing w:val="5"/>
                                  <w:sz w:val="11"/>
                                </w:rPr>
                                <w:t> </w:t>
                              </w:r>
                              <w:r>
                                <w:rPr>
                                  <w:sz w:val="11"/>
                                </w:rPr>
                                <w:t>ΜΕΔ</w:t>
                              </w:r>
                              <w:r>
                                <w:rPr>
                                  <w:spacing w:val="-2"/>
                                  <w:sz w:val="11"/>
                                </w:rPr>
                                <w:t> </w:t>
                              </w:r>
                              <w:r>
                                <w:rPr>
                                  <w:sz w:val="11"/>
                                </w:rPr>
                                <w:t>aπó</w:t>
                              </w:r>
                              <w:r>
                                <w:rPr>
                                  <w:spacing w:val="7"/>
                                  <w:sz w:val="11"/>
                                </w:rPr>
                                <w:t> </w:t>
                              </w:r>
                              <w:r>
                                <w:rPr>
                                  <w:sz w:val="11"/>
                                </w:rPr>
                                <w:t>πpoβλέψεις</w:t>
                              </w:r>
                              <w:r>
                                <w:rPr>
                                  <w:spacing w:val="6"/>
                                  <w:sz w:val="11"/>
                                </w:rPr>
                                <w:t> </w:t>
                              </w:r>
                              <w:r>
                                <w:rPr>
                                  <w:sz w:val="11"/>
                                </w:rPr>
                                <w:t>(%)</w:t>
                              </w:r>
                              <w:r>
                                <w:rPr>
                                  <w:spacing w:val="8"/>
                                  <w:sz w:val="11"/>
                                </w:rPr>
                                <w:t> </w:t>
                              </w:r>
                              <w:r>
                                <w:rPr>
                                  <w:sz w:val="11"/>
                                </w:rPr>
                                <w:t>–</w:t>
                              </w:r>
                              <w:r>
                                <w:rPr>
                                  <w:spacing w:val="5"/>
                                  <w:sz w:val="11"/>
                                </w:rPr>
                                <w:t> </w:t>
                              </w:r>
                              <w:r>
                                <w:rPr>
                                  <w:sz w:val="11"/>
                                </w:rPr>
                                <w:t>Εupωπaϊкή</w:t>
                              </w:r>
                              <w:r>
                                <w:rPr>
                                  <w:spacing w:val="5"/>
                                  <w:sz w:val="11"/>
                                </w:rPr>
                                <w:t> </w:t>
                              </w:r>
                              <w:r>
                                <w:rPr>
                                  <w:spacing w:val="-2"/>
                                  <w:sz w:val="11"/>
                                </w:rPr>
                                <w:t>Ένωση</w:t>
                              </w:r>
                            </w:p>
                            <w:p>
                              <w:pPr>
                                <w:spacing w:before="55"/>
                                <w:ind w:left="0" w:right="0" w:firstLine="0"/>
                                <w:jc w:val="left"/>
                                <w:rPr>
                                  <w:sz w:val="11"/>
                                </w:rPr>
                              </w:pPr>
                              <w:r>
                                <w:rPr>
                                  <w:sz w:val="11"/>
                                </w:rPr>
                                <w:t>Δεíкτης</w:t>
                              </w:r>
                              <w:r>
                                <w:rPr>
                                  <w:spacing w:val="5"/>
                                  <w:sz w:val="11"/>
                                </w:rPr>
                                <w:t> </w:t>
                              </w:r>
                              <w:r>
                                <w:rPr>
                                  <w:sz w:val="11"/>
                                </w:rPr>
                                <w:t>Κάλuψης</w:t>
                              </w:r>
                              <w:r>
                                <w:rPr>
                                  <w:spacing w:val="4"/>
                                  <w:sz w:val="11"/>
                                </w:rPr>
                                <w:t> </w:t>
                              </w:r>
                              <w:r>
                                <w:rPr>
                                  <w:sz w:val="11"/>
                                </w:rPr>
                                <w:t>ΜΕΔ</w:t>
                              </w:r>
                              <w:r>
                                <w:rPr>
                                  <w:spacing w:val="-3"/>
                                  <w:sz w:val="11"/>
                                </w:rPr>
                                <w:t> </w:t>
                              </w:r>
                              <w:r>
                                <w:rPr>
                                  <w:sz w:val="11"/>
                                </w:rPr>
                                <w:t>aπó</w:t>
                              </w:r>
                              <w:r>
                                <w:rPr>
                                  <w:spacing w:val="6"/>
                                  <w:sz w:val="11"/>
                                </w:rPr>
                                <w:t> </w:t>
                              </w:r>
                              <w:r>
                                <w:rPr>
                                  <w:sz w:val="11"/>
                                </w:rPr>
                                <w:t>πpoβλέψεις</w:t>
                              </w:r>
                              <w:r>
                                <w:rPr>
                                  <w:spacing w:val="5"/>
                                  <w:sz w:val="11"/>
                                </w:rPr>
                                <w:t> </w:t>
                              </w:r>
                              <w:r>
                                <w:rPr>
                                  <w:sz w:val="11"/>
                                </w:rPr>
                                <w:t>(%)</w:t>
                              </w:r>
                              <w:r>
                                <w:rPr>
                                  <w:spacing w:val="7"/>
                                  <w:sz w:val="11"/>
                                </w:rPr>
                                <w:t> </w:t>
                              </w:r>
                              <w:r>
                                <w:rPr>
                                  <w:sz w:val="11"/>
                                </w:rPr>
                                <w:t>–</w:t>
                              </w:r>
                              <w:r>
                                <w:rPr>
                                  <w:spacing w:val="4"/>
                                  <w:sz w:val="11"/>
                                </w:rPr>
                                <w:t> </w:t>
                              </w:r>
                              <w:r>
                                <w:rPr>
                                  <w:spacing w:val="-2"/>
                                  <w:sz w:val="11"/>
                                </w:rPr>
                                <w:t>Ελλάδa</w:t>
                              </w:r>
                            </w:p>
                          </w:txbxContent>
                        </wps:txbx>
                        <wps:bodyPr wrap="square" lIns="0" tIns="0" rIns="0" bIns="0" rtlCol="0">
                          <a:noAutofit/>
                        </wps:bodyPr>
                      </wps:wsp>
                      <wps:wsp>
                        <wps:cNvPr id="250" name="Textbox 250"/>
                        <wps:cNvSpPr txBox="1"/>
                        <wps:spPr>
                          <a:xfrm>
                            <a:off x="40835" y="298833"/>
                            <a:ext cx="143510" cy="80645"/>
                          </a:xfrm>
                          <a:prstGeom prst="rect">
                            <a:avLst/>
                          </a:prstGeom>
                        </wps:spPr>
                        <wps:txbx>
                          <w:txbxContent>
                            <w:p>
                              <w:pPr>
                                <w:spacing w:line="126" w:lineRule="exact" w:before="0"/>
                                <w:ind w:left="0" w:right="0" w:firstLine="0"/>
                                <w:jc w:val="left"/>
                                <w:rPr>
                                  <w:sz w:val="11"/>
                                </w:rPr>
                              </w:pPr>
                              <w:r>
                                <w:rPr>
                                  <w:spacing w:val="-5"/>
                                  <w:sz w:val="11"/>
                                </w:rPr>
                                <w:t>50%</w:t>
                              </w:r>
                            </w:p>
                          </w:txbxContent>
                        </wps:txbx>
                        <wps:bodyPr wrap="square" lIns="0" tIns="0" rIns="0" bIns="0" rtlCol="0">
                          <a:noAutofit/>
                        </wps:bodyPr>
                      </wps:wsp>
                      <wps:wsp>
                        <wps:cNvPr id="251" name="Textbox 251"/>
                        <wps:cNvSpPr txBox="1"/>
                        <wps:spPr>
                          <a:xfrm>
                            <a:off x="287931" y="432453"/>
                            <a:ext cx="633095" cy="90805"/>
                          </a:xfrm>
                          <a:prstGeom prst="rect">
                            <a:avLst/>
                          </a:prstGeom>
                        </wps:spPr>
                        <wps:txbx>
                          <w:txbxContent>
                            <w:p>
                              <w:pPr>
                                <w:spacing w:line="141" w:lineRule="exact" w:before="0"/>
                                <w:ind w:left="0" w:right="0" w:firstLine="0"/>
                                <w:jc w:val="left"/>
                                <w:rPr>
                                  <w:position w:val="3"/>
                                  <w:sz w:val="10"/>
                                </w:rPr>
                              </w:pPr>
                              <w:r>
                                <w:rPr>
                                  <w:w w:val="105"/>
                                  <w:position w:val="2"/>
                                  <w:sz w:val="10"/>
                                </w:rPr>
                                <w:t>41.2%</w:t>
                              </w:r>
                              <w:r>
                                <w:rPr>
                                  <w:w w:val="105"/>
                                  <w:sz w:val="10"/>
                                </w:rPr>
                                <w:t>40.8%</w:t>
                              </w:r>
                              <w:r>
                                <w:rPr>
                                  <w:spacing w:val="54"/>
                                  <w:w w:val="105"/>
                                  <w:sz w:val="10"/>
                                </w:rPr>
                                <w:t>  </w:t>
                              </w:r>
                              <w:r>
                                <w:rPr>
                                  <w:spacing w:val="-2"/>
                                  <w:w w:val="105"/>
                                  <w:position w:val="3"/>
                                  <w:sz w:val="10"/>
                                </w:rPr>
                                <w:t>41.5%</w:t>
                              </w:r>
                            </w:p>
                          </w:txbxContent>
                        </wps:txbx>
                        <wps:bodyPr wrap="square" lIns="0" tIns="0" rIns="0" bIns="0" rtlCol="0">
                          <a:noAutofit/>
                        </wps:bodyPr>
                      </wps:wsp>
                      <wps:wsp>
                        <wps:cNvPr id="252" name="Textbox 252"/>
                        <wps:cNvSpPr txBox="1"/>
                        <wps:spPr>
                          <a:xfrm>
                            <a:off x="1189194" y="422303"/>
                            <a:ext cx="802005" cy="80645"/>
                          </a:xfrm>
                          <a:prstGeom prst="rect">
                            <a:avLst/>
                          </a:prstGeom>
                        </wps:spPr>
                        <wps:txbx>
                          <w:txbxContent>
                            <w:p>
                              <w:pPr>
                                <w:spacing w:before="1"/>
                                <w:ind w:left="0" w:right="0" w:firstLine="0"/>
                                <w:jc w:val="left"/>
                                <w:rPr>
                                  <w:position w:val="1"/>
                                  <w:sz w:val="10"/>
                                </w:rPr>
                              </w:pPr>
                              <w:r>
                                <w:rPr>
                                  <w:w w:val="105"/>
                                  <w:sz w:val="10"/>
                                </w:rPr>
                                <w:t>41.7%41.6%</w:t>
                              </w:r>
                              <w:r>
                                <w:rPr>
                                  <w:spacing w:val="54"/>
                                  <w:w w:val="105"/>
                                  <w:sz w:val="10"/>
                                </w:rPr>
                                <w:t>  </w:t>
                              </w:r>
                              <w:r>
                                <w:rPr>
                                  <w:spacing w:val="-2"/>
                                  <w:w w:val="105"/>
                                  <w:position w:val="1"/>
                                  <w:sz w:val="10"/>
                                </w:rPr>
                                <w:t>41.9%41.9%</w:t>
                              </w:r>
                            </w:p>
                          </w:txbxContent>
                        </wps:txbx>
                        <wps:bodyPr wrap="square" lIns="0" tIns="0" rIns="0" bIns="0" rtlCol="0">
                          <a:noAutofit/>
                        </wps:bodyPr>
                      </wps:wsp>
                      <wps:wsp>
                        <wps:cNvPr id="253" name="Textbox 253"/>
                        <wps:cNvSpPr txBox="1"/>
                        <wps:spPr>
                          <a:xfrm>
                            <a:off x="40835" y="524860"/>
                            <a:ext cx="143510" cy="80645"/>
                          </a:xfrm>
                          <a:prstGeom prst="rect">
                            <a:avLst/>
                          </a:prstGeom>
                        </wps:spPr>
                        <wps:txbx>
                          <w:txbxContent>
                            <w:p>
                              <w:pPr>
                                <w:spacing w:line="126" w:lineRule="exact" w:before="0"/>
                                <w:ind w:left="0" w:right="0" w:firstLine="0"/>
                                <w:jc w:val="left"/>
                                <w:rPr>
                                  <w:sz w:val="11"/>
                                </w:rPr>
                              </w:pPr>
                              <w:r>
                                <w:rPr>
                                  <w:spacing w:val="-5"/>
                                  <w:sz w:val="11"/>
                                </w:rPr>
                                <w:t>40%</w:t>
                              </w:r>
                            </w:p>
                          </w:txbxContent>
                        </wps:txbx>
                        <wps:bodyPr wrap="square" lIns="0" tIns="0" rIns="0" bIns="0" rtlCol="0">
                          <a:noAutofit/>
                        </wps:bodyPr>
                      </wps:wsp>
                      <wps:wsp>
                        <wps:cNvPr id="254" name="Textbox 254"/>
                        <wps:cNvSpPr txBox="1"/>
                        <wps:spPr>
                          <a:xfrm>
                            <a:off x="907594" y="479579"/>
                            <a:ext cx="182245" cy="74295"/>
                          </a:xfrm>
                          <a:prstGeom prst="rect">
                            <a:avLst/>
                          </a:prstGeom>
                        </wps:spPr>
                        <wps:txbx>
                          <w:txbxContent>
                            <w:p>
                              <w:pPr>
                                <w:spacing w:before="0"/>
                                <w:ind w:left="0" w:right="0" w:firstLine="0"/>
                                <w:jc w:val="left"/>
                                <w:rPr>
                                  <w:sz w:val="10"/>
                                </w:rPr>
                              </w:pPr>
                              <w:r>
                                <w:rPr>
                                  <w:spacing w:val="-2"/>
                                  <w:w w:val="105"/>
                                  <w:sz w:val="10"/>
                                </w:rPr>
                                <w:t>39.4%</w:t>
                              </w:r>
                            </w:p>
                          </w:txbxContent>
                        </wps:txbx>
                        <wps:bodyPr wrap="square" lIns="0" tIns="0" rIns="0" bIns="0" rtlCol="0">
                          <a:noAutofit/>
                        </wps:bodyPr>
                      </wps:wsp>
                      <wps:wsp>
                        <wps:cNvPr id="255" name="Textbox 255"/>
                        <wps:cNvSpPr txBox="1"/>
                        <wps:spPr>
                          <a:xfrm>
                            <a:off x="2090434" y="434499"/>
                            <a:ext cx="351155" cy="146685"/>
                          </a:xfrm>
                          <a:prstGeom prst="rect">
                            <a:avLst/>
                          </a:prstGeom>
                        </wps:spPr>
                        <wps:txbx>
                          <w:txbxContent>
                            <w:p>
                              <w:pPr>
                                <w:spacing w:line="114" w:lineRule="exact" w:before="0"/>
                                <w:ind w:left="0" w:right="0" w:firstLine="0"/>
                                <w:jc w:val="left"/>
                                <w:rPr>
                                  <w:sz w:val="10"/>
                                </w:rPr>
                              </w:pPr>
                              <w:r>
                                <w:rPr>
                                  <w:spacing w:val="-2"/>
                                  <w:w w:val="105"/>
                                  <w:sz w:val="10"/>
                                </w:rPr>
                                <w:t>41.4%</w:t>
                              </w:r>
                            </w:p>
                            <w:p>
                              <w:pPr>
                                <w:spacing w:line="114" w:lineRule="exact" w:before="0"/>
                                <w:ind w:left="266" w:right="0" w:firstLine="0"/>
                                <w:jc w:val="left"/>
                                <w:rPr>
                                  <w:sz w:val="10"/>
                                </w:rPr>
                              </w:pPr>
                              <w:r>
                                <w:rPr>
                                  <w:spacing w:val="-2"/>
                                  <w:w w:val="105"/>
                                  <w:sz w:val="10"/>
                                </w:rPr>
                                <w:t>38.2%</w:t>
                              </w:r>
                            </w:p>
                          </w:txbxContent>
                        </wps:txbx>
                        <wps:bodyPr wrap="square" lIns="0" tIns="0" rIns="0" bIns="0" rtlCol="0">
                          <a:noAutofit/>
                        </wps:bodyPr>
                      </wps:wsp>
                      <wps:wsp>
                        <wps:cNvPr id="256" name="Textbox 256"/>
                        <wps:cNvSpPr txBox="1"/>
                        <wps:spPr>
                          <a:xfrm>
                            <a:off x="40836" y="750948"/>
                            <a:ext cx="2334895" cy="1051560"/>
                          </a:xfrm>
                          <a:prstGeom prst="rect">
                            <a:avLst/>
                          </a:prstGeom>
                        </wps:spPr>
                        <wps:txbx>
                          <w:txbxContent>
                            <w:p>
                              <w:pPr>
                                <w:spacing w:line="126" w:lineRule="exact" w:before="0"/>
                                <w:ind w:left="0" w:right="0" w:firstLine="0"/>
                                <w:jc w:val="left"/>
                                <w:rPr>
                                  <w:sz w:val="11"/>
                                </w:rPr>
                              </w:pPr>
                              <w:r>
                                <w:rPr>
                                  <w:spacing w:val="-5"/>
                                  <w:sz w:val="11"/>
                                </w:rPr>
                                <w:t>30%</w:t>
                              </w:r>
                            </w:p>
                            <w:p>
                              <w:pPr>
                                <w:spacing w:line="240" w:lineRule="auto" w:before="103"/>
                                <w:rPr>
                                  <w:sz w:val="11"/>
                                </w:rPr>
                              </w:pPr>
                            </w:p>
                            <w:p>
                              <w:pPr>
                                <w:spacing w:before="0"/>
                                <w:ind w:left="0" w:right="0" w:firstLine="0"/>
                                <w:jc w:val="left"/>
                                <w:rPr>
                                  <w:sz w:val="11"/>
                                </w:rPr>
                              </w:pPr>
                              <w:r>
                                <w:rPr>
                                  <w:spacing w:val="-5"/>
                                  <w:sz w:val="11"/>
                                </w:rPr>
                                <w:t>20%</w:t>
                              </w:r>
                            </w:p>
                            <w:p>
                              <w:pPr>
                                <w:spacing w:line="240" w:lineRule="auto" w:before="103"/>
                                <w:rPr>
                                  <w:sz w:val="11"/>
                                </w:rPr>
                              </w:pPr>
                            </w:p>
                            <w:p>
                              <w:pPr>
                                <w:spacing w:before="0"/>
                                <w:ind w:left="0" w:right="0" w:firstLine="0"/>
                                <w:jc w:val="left"/>
                                <w:rPr>
                                  <w:sz w:val="11"/>
                                </w:rPr>
                              </w:pPr>
                              <w:r>
                                <w:rPr>
                                  <w:spacing w:val="-5"/>
                                  <w:sz w:val="11"/>
                                </w:rPr>
                                <w:t>10%</w:t>
                              </w:r>
                            </w:p>
                            <w:p>
                              <w:pPr>
                                <w:spacing w:line="240" w:lineRule="auto" w:before="103"/>
                                <w:rPr>
                                  <w:sz w:val="11"/>
                                </w:rPr>
                              </w:pPr>
                            </w:p>
                            <w:p>
                              <w:pPr>
                                <w:spacing w:before="0"/>
                                <w:ind w:left="56" w:right="0" w:firstLine="0"/>
                                <w:jc w:val="left"/>
                                <w:rPr>
                                  <w:sz w:val="11"/>
                                </w:rPr>
                              </w:pPr>
                              <w:r>
                                <w:rPr>
                                  <w:spacing w:val="-5"/>
                                  <w:sz w:val="11"/>
                                </w:rPr>
                                <w:t>0%</w:t>
                              </w:r>
                            </w:p>
                            <w:p>
                              <w:pPr>
                                <w:tabs>
                                  <w:tab w:pos="1183" w:val="left" w:leader="none"/>
                                  <w:tab w:pos="1901" w:val="left" w:leader="none"/>
                                  <w:tab w:pos="2625" w:val="left" w:leader="none"/>
                                  <w:tab w:pos="3331" w:val="left" w:leader="none"/>
                                </w:tabs>
                                <w:spacing w:before="12"/>
                                <w:ind w:left="493" w:right="0" w:firstLine="0"/>
                                <w:jc w:val="left"/>
                                <w:rPr>
                                  <w:sz w:val="11"/>
                                </w:rPr>
                              </w:pPr>
                              <w:r>
                                <w:rPr>
                                  <w:sz w:val="11"/>
                                </w:rPr>
                                <w:t>Δεк-</w:t>
                              </w:r>
                              <w:r>
                                <w:rPr>
                                  <w:spacing w:val="-5"/>
                                  <w:sz w:val="11"/>
                                </w:rPr>
                                <w:t>24</w:t>
                              </w:r>
                              <w:r>
                                <w:rPr>
                                  <w:sz w:val="11"/>
                                </w:rPr>
                                <w:tab/>
                                <w:t>Μap-</w:t>
                              </w:r>
                              <w:r>
                                <w:rPr>
                                  <w:spacing w:val="-5"/>
                                  <w:sz w:val="11"/>
                                </w:rPr>
                                <w:t>25</w:t>
                              </w:r>
                              <w:r>
                                <w:rPr>
                                  <w:sz w:val="11"/>
                                </w:rPr>
                                <w:tab/>
                              </w:r>
                              <w:r>
                                <w:rPr>
                                  <w:spacing w:val="-2"/>
                                  <w:sz w:val="11"/>
                                </w:rPr>
                                <w:t>Iouν-</w:t>
                              </w:r>
                              <w:r>
                                <w:rPr>
                                  <w:spacing w:val="-5"/>
                                  <w:sz w:val="11"/>
                                </w:rPr>
                                <w:t>25</w:t>
                              </w:r>
                              <w:r>
                                <w:rPr>
                                  <w:sz w:val="11"/>
                                </w:rPr>
                                <w:tab/>
                                <w:t>Σεπ-</w:t>
                              </w:r>
                              <w:r>
                                <w:rPr>
                                  <w:spacing w:val="-5"/>
                                  <w:sz w:val="11"/>
                                </w:rPr>
                                <w:t>25</w:t>
                              </w:r>
                              <w:r>
                                <w:rPr>
                                  <w:sz w:val="11"/>
                                </w:rPr>
                                <w:tab/>
                                <w:t>Δεк-</w:t>
                              </w:r>
                              <w:r>
                                <w:rPr>
                                  <w:spacing w:val="-5"/>
                                  <w:sz w:val="11"/>
                                </w:rPr>
                                <w:t>25</w:t>
                              </w:r>
                            </w:p>
                            <w:p>
                              <w:pPr>
                                <w:spacing w:line="240" w:lineRule="auto" w:before="36"/>
                                <w:rPr>
                                  <w:sz w:val="11"/>
                                </w:rPr>
                              </w:pPr>
                            </w:p>
                            <w:p>
                              <w:pPr>
                                <w:spacing w:before="0"/>
                                <w:ind w:left="48" w:right="0" w:firstLine="0"/>
                                <w:jc w:val="left"/>
                                <w:rPr>
                                  <w:sz w:val="14"/>
                                </w:rPr>
                              </w:pPr>
                              <w:r>
                                <w:rPr>
                                  <w:sz w:val="14"/>
                                </w:rPr>
                                <w:t>Πηγές:</w:t>
                              </w:r>
                              <w:r>
                                <w:rPr>
                                  <w:spacing w:val="-5"/>
                                  <w:sz w:val="14"/>
                                </w:rPr>
                                <w:t> </w:t>
                              </w:r>
                              <w:r>
                                <w:rPr>
                                  <w:sz w:val="14"/>
                                </w:rPr>
                                <w:t>Τράπεζα</w:t>
                              </w:r>
                              <w:r>
                                <w:rPr>
                                  <w:spacing w:val="-5"/>
                                  <w:sz w:val="14"/>
                                </w:rPr>
                                <w:t> </w:t>
                              </w:r>
                              <w:r>
                                <w:rPr>
                                  <w:sz w:val="14"/>
                                </w:rPr>
                                <w:t>της</w:t>
                              </w:r>
                              <w:r>
                                <w:rPr>
                                  <w:spacing w:val="-2"/>
                                  <w:sz w:val="14"/>
                                </w:rPr>
                                <w:t> </w:t>
                              </w:r>
                              <w:r>
                                <w:rPr>
                                  <w:sz w:val="14"/>
                                </w:rPr>
                                <w:t>Ελλάδος,</w:t>
                              </w:r>
                              <w:r>
                                <w:rPr>
                                  <w:spacing w:val="-2"/>
                                  <w:sz w:val="14"/>
                                </w:rPr>
                                <w:t> </w:t>
                              </w:r>
                              <w:r>
                                <w:rPr>
                                  <w:sz w:val="14"/>
                                </w:rPr>
                                <w:t>EBA</w:t>
                              </w:r>
                              <w:r>
                                <w:rPr>
                                  <w:spacing w:val="-3"/>
                                  <w:sz w:val="14"/>
                                </w:rPr>
                                <w:t> </w:t>
                              </w:r>
                              <w:r>
                                <w:rPr>
                                  <w:sz w:val="14"/>
                                </w:rPr>
                                <w:t>Risk</w:t>
                              </w:r>
                              <w:r>
                                <w:rPr>
                                  <w:spacing w:val="-5"/>
                                  <w:sz w:val="14"/>
                                </w:rPr>
                                <w:t> </w:t>
                              </w:r>
                              <w:r>
                                <w:rPr>
                                  <w:spacing w:val="-2"/>
                                  <w:sz w:val="14"/>
                                </w:rPr>
                                <w:t>Dashboard.</w:t>
                              </w:r>
                            </w:p>
                          </w:txbxContent>
                        </wps:txbx>
                        <wps:bodyPr wrap="square" lIns="0" tIns="0" rIns="0" bIns="0" rtlCol="0">
                          <a:noAutofit/>
                        </wps:bodyPr>
                      </wps:wsp>
                    </wpg:wgp>
                  </a:graphicData>
                </a:graphic>
              </wp:inline>
            </w:drawing>
          </mc:Choice>
          <mc:Fallback>
            <w:pict>
              <v:group style="width:209.85pt;height:145pt;mso-position-horizontal-relative:char;mso-position-vertical-relative:line" id="docshapegroup217" coordorigin="0,0" coordsize="4197,2900">
                <v:shape style="position:absolute;left:0;top:0;width:4197;height:2900" id="docshape218" coordorigin="0,0" coordsize="4197,2900" path="m4196,0l0,0,0,2559,0,2900,4196,2900,4196,2559,4196,0xe" filled="true" fillcolor="#d9d9d9" stroked="false">
                  <v:path arrowok="t"/>
                  <v:fill type="solid"/>
                </v:shape>
                <v:shape style="position:absolute;left:365;top:1604;width:3548;height:357" id="docshape219" coordorigin="366,1605" coordsize="3548,357" path="m2827,1961l2871,1961m3802,1961l3914,1961m3536,1961l3580,1961m3093,1961l3314,1961m2383,1961l2606,1961m2117,1961l2162,1961m1674,1961l1896,1961m1408,1961l1453,1961m964,1961l1186,1961m698,1961l743,1961m366,1961l477,1961m2827,1605l2871,1605m3802,1605l3914,1605m3536,1605l3580,1605m3093,1605l3314,1605m2383,1605l2606,1605m1674,1605l1896,1605m366,1605l477,1605m1408,1605l1453,1605m964,1605l1186,1605m698,1605l743,1605m2117,1605l2162,1605e" filled="false" stroked="true" strokeweight=".356853pt" strokecolor="#ffffff">
                  <v:path arrowok="t"/>
                  <v:stroke dashstyle="solid"/>
                </v:shape>
                <v:shape style="position:absolute;left:698;top:1248;width:3216;height:2" id="docshape220" coordorigin="698,1248" coordsize="3216,0" path="m2117,1248l2162,1248m3802,1248l3914,1248m3536,1248l3580,1248m3093,1248l3314,1248m2827,1248l2871,1248m2383,1248l2606,1248m1674,1248l1896,1248m1408,1248l1453,1248m964,1248l1186,1248m698,1248l743,1248e" filled="false" stroked="true" strokeweight=".356853pt" strokecolor="#ffffff">
                  <v:path arrowok="t"/>
                  <v:stroke dashstyle="solid"/>
                </v:shape>
                <v:line style="position:absolute" from="366,1248" to="477,1248" stroked="true" strokeweight=".356853pt" strokecolor="#ffffff">
                  <v:stroke dashstyle="solid"/>
                </v:line>
                <v:shape style="position:absolute;left:964;top:893;width:2950;height:2" id="docshape221" coordorigin="964,893" coordsize="2950,0" path="m3536,893l3914,893m3093,893l3314,893m2827,893l2871,893m1408,893l1896,893m2383,893l2606,893m964,893l1186,893m2117,893l2162,893e" filled="false" stroked="true" strokeweight=".356853pt" strokecolor="#ffffff">
                  <v:path arrowok="t"/>
                  <v:stroke dashstyle="solid"/>
                </v:shape>
                <v:line style="position:absolute" from="366,893" to="477,893" stroked="true" strokeweight=".356853pt" strokecolor="#ffffff">
                  <v:stroke dashstyle="solid"/>
                </v:line>
                <v:line style="position:absolute" from="698,893" to="743,893" stroked="true" strokeweight=".356853pt" strokecolor="#ffffff">
                  <v:stroke dashstyle="solid"/>
                </v:line>
                <v:line style="position:absolute" from="366,537" to="3914,537" stroked="true" strokeweight=".356805pt" strokecolor="#ffffff">
                  <v:stroke dashstyle="solid"/>
                </v:line>
                <v:shape style="position:absolute;left:476;top:824;width:3060;height:1493" id="docshape222" coordorigin="477,825" coordsize="3060,1493" path="m698,2317l698,850,477,850,477,2317,698,2317xm1408,840l1186,840,1186,2317,1408,2317,1408,840xm2117,833l1896,833,1896,2317,2117,2317,2117,833xm2827,825l2606,825,2606,2317,2827,2317,2827,825xm3536,843l3314,843,3314,2317,3536,2317,3536,843xe" filled="true" fillcolor="#297ed4" stroked="false">
                  <v:path arrowok="t"/>
                  <v:fill type="solid"/>
                </v:shape>
                <v:shape style="position:absolute;left:742;top:823;width:3060;height:1494" id="docshape223" coordorigin="743,824" coordsize="3060,1494" path="m964,866l743,866,743,2317,964,2317,964,866xm1674,914l1453,914,1453,2317,1674,2317,1674,914xm2383,834l2162,834,2162,2317,2383,2317,2383,834xm3093,824l2871,824,2871,2317,3093,2317,3093,824xm3802,957l3580,957,3580,2317,3802,2317,3802,957xe" filled="true" fillcolor="#4966ac" stroked="false">
                  <v:path arrowok="t"/>
                  <v:fill type="solid"/>
                </v:shape>
                <v:shape style="position:absolute;left:332;top:537;width:3582;height:1814" id="docshape224" coordorigin="332,537" coordsize="3582,1814" path="m366,2317l366,537m332,2317l366,2317m332,1961l366,1961m332,1605l366,1605m332,1248l366,1248m332,893l366,893m332,537l366,537m366,2317l3914,2317m366,2317l366,2350m1785,2317l1785,2350m3204,2317l3204,2350e" filled="false" stroked="true" strokeweight=".353824pt" strokecolor="#858585">
                  <v:path arrowok="t"/>
                  <v:stroke dashstyle="solid"/>
                </v:shape>
                <v:rect style="position:absolute;left:458;top:120;width:57;height:58" id="docshape225" filled="true" fillcolor="#297ed4" stroked="false">
                  <v:fill type="solid"/>
                </v:rect>
                <v:rect style="position:absolute;left:458;top:302;width:57;height:58" id="docshape226" filled="true" fillcolor="#4966ac" stroked="false">
                  <v:fill type="solid"/>
                </v:rect>
                <v:shape style="position:absolute;left:539;top:86;width:3003;height:309" type="#_x0000_t202" id="docshape227" filled="false" stroked="false">
                  <v:textbox inset="0,0,0,0">
                    <w:txbxContent>
                      <w:p>
                        <w:pPr>
                          <w:spacing w:line="126" w:lineRule="exact" w:before="0"/>
                          <w:ind w:left="0" w:right="0" w:firstLine="0"/>
                          <w:jc w:val="left"/>
                          <w:rPr>
                            <w:sz w:val="11"/>
                          </w:rPr>
                        </w:pPr>
                        <w:r>
                          <w:rPr>
                            <w:sz w:val="11"/>
                          </w:rPr>
                          <w:t>Δεíкτης</w:t>
                        </w:r>
                        <w:r>
                          <w:rPr>
                            <w:spacing w:val="6"/>
                            <w:sz w:val="11"/>
                          </w:rPr>
                          <w:t> </w:t>
                        </w:r>
                        <w:r>
                          <w:rPr>
                            <w:sz w:val="11"/>
                          </w:rPr>
                          <w:t>Κάλuψης</w:t>
                        </w:r>
                        <w:r>
                          <w:rPr>
                            <w:spacing w:val="5"/>
                            <w:sz w:val="11"/>
                          </w:rPr>
                          <w:t> </w:t>
                        </w:r>
                        <w:r>
                          <w:rPr>
                            <w:sz w:val="11"/>
                          </w:rPr>
                          <w:t>ΜΕΔ</w:t>
                        </w:r>
                        <w:r>
                          <w:rPr>
                            <w:spacing w:val="-2"/>
                            <w:sz w:val="11"/>
                          </w:rPr>
                          <w:t> </w:t>
                        </w:r>
                        <w:r>
                          <w:rPr>
                            <w:sz w:val="11"/>
                          </w:rPr>
                          <w:t>aπó</w:t>
                        </w:r>
                        <w:r>
                          <w:rPr>
                            <w:spacing w:val="7"/>
                            <w:sz w:val="11"/>
                          </w:rPr>
                          <w:t> </w:t>
                        </w:r>
                        <w:r>
                          <w:rPr>
                            <w:sz w:val="11"/>
                          </w:rPr>
                          <w:t>πpoβλέψεις</w:t>
                        </w:r>
                        <w:r>
                          <w:rPr>
                            <w:spacing w:val="6"/>
                            <w:sz w:val="11"/>
                          </w:rPr>
                          <w:t> </w:t>
                        </w:r>
                        <w:r>
                          <w:rPr>
                            <w:sz w:val="11"/>
                          </w:rPr>
                          <w:t>(%)</w:t>
                        </w:r>
                        <w:r>
                          <w:rPr>
                            <w:spacing w:val="8"/>
                            <w:sz w:val="11"/>
                          </w:rPr>
                          <w:t> </w:t>
                        </w:r>
                        <w:r>
                          <w:rPr>
                            <w:sz w:val="11"/>
                          </w:rPr>
                          <w:t>–</w:t>
                        </w:r>
                        <w:r>
                          <w:rPr>
                            <w:spacing w:val="5"/>
                            <w:sz w:val="11"/>
                          </w:rPr>
                          <w:t> </w:t>
                        </w:r>
                        <w:r>
                          <w:rPr>
                            <w:sz w:val="11"/>
                          </w:rPr>
                          <w:t>Εupωπaϊкή</w:t>
                        </w:r>
                        <w:r>
                          <w:rPr>
                            <w:spacing w:val="5"/>
                            <w:sz w:val="11"/>
                          </w:rPr>
                          <w:t> </w:t>
                        </w:r>
                        <w:r>
                          <w:rPr>
                            <w:spacing w:val="-2"/>
                            <w:sz w:val="11"/>
                          </w:rPr>
                          <w:t>Ένωση</w:t>
                        </w:r>
                      </w:p>
                      <w:p>
                        <w:pPr>
                          <w:spacing w:before="55"/>
                          <w:ind w:left="0" w:right="0" w:firstLine="0"/>
                          <w:jc w:val="left"/>
                          <w:rPr>
                            <w:sz w:val="11"/>
                          </w:rPr>
                        </w:pPr>
                        <w:r>
                          <w:rPr>
                            <w:sz w:val="11"/>
                          </w:rPr>
                          <w:t>Δεíкτης</w:t>
                        </w:r>
                        <w:r>
                          <w:rPr>
                            <w:spacing w:val="5"/>
                            <w:sz w:val="11"/>
                          </w:rPr>
                          <w:t> </w:t>
                        </w:r>
                        <w:r>
                          <w:rPr>
                            <w:sz w:val="11"/>
                          </w:rPr>
                          <w:t>Κάλuψης</w:t>
                        </w:r>
                        <w:r>
                          <w:rPr>
                            <w:spacing w:val="4"/>
                            <w:sz w:val="11"/>
                          </w:rPr>
                          <w:t> </w:t>
                        </w:r>
                        <w:r>
                          <w:rPr>
                            <w:sz w:val="11"/>
                          </w:rPr>
                          <w:t>ΜΕΔ</w:t>
                        </w:r>
                        <w:r>
                          <w:rPr>
                            <w:spacing w:val="-3"/>
                            <w:sz w:val="11"/>
                          </w:rPr>
                          <w:t> </w:t>
                        </w:r>
                        <w:r>
                          <w:rPr>
                            <w:sz w:val="11"/>
                          </w:rPr>
                          <w:t>aπó</w:t>
                        </w:r>
                        <w:r>
                          <w:rPr>
                            <w:spacing w:val="6"/>
                            <w:sz w:val="11"/>
                          </w:rPr>
                          <w:t> </w:t>
                        </w:r>
                        <w:r>
                          <w:rPr>
                            <w:sz w:val="11"/>
                          </w:rPr>
                          <w:t>πpoβλέψεις</w:t>
                        </w:r>
                        <w:r>
                          <w:rPr>
                            <w:spacing w:val="5"/>
                            <w:sz w:val="11"/>
                          </w:rPr>
                          <w:t> </w:t>
                        </w:r>
                        <w:r>
                          <w:rPr>
                            <w:sz w:val="11"/>
                          </w:rPr>
                          <w:t>(%)</w:t>
                        </w:r>
                        <w:r>
                          <w:rPr>
                            <w:spacing w:val="7"/>
                            <w:sz w:val="11"/>
                          </w:rPr>
                          <w:t> </w:t>
                        </w:r>
                        <w:r>
                          <w:rPr>
                            <w:sz w:val="11"/>
                          </w:rPr>
                          <w:t>–</w:t>
                        </w:r>
                        <w:r>
                          <w:rPr>
                            <w:spacing w:val="4"/>
                            <w:sz w:val="11"/>
                          </w:rPr>
                          <w:t> </w:t>
                        </w:r>
                        <w:r>
                          <w:rPr>
                            <w:spacing w:val="-2"/>
                            <w:sz w:val="11"/>
                          </w:rPr>
                          <w:t>Ελλάδa</w:t>
                        </w:r>
                      </w:p>
                    </w:txbxContent>
                  </v:textbox>
                  <w10:wrap type="none"/>
                </v:shape>
                <v:shape style="position:absolute;left:64;top:470;width:226;height:127" type="#_x0000_t202" id="docshape228" filled="false" stroked="false">
                  <v:textbox inset="0,0,0,0">
                    <w:txbxContent>
                      <w:p>
                        <w:pPr>
                          <w:spacing w:line="126" w:lineRule="exact" w:before="0"/>
                          <w:ind w:left="0" w:right="0" w:firstLine="0"/>
                          <w:jc w:val="left"/>
                          <w:rPr>
                            <w:sz w:val="11"/>
                          </w:rPr>
                        </w:pPr>
                        <w:r>
                          <w:rPr>
                            <w:spacing w:val="-5"/>
                            <w:sz w:val="11"/>
                          </w:rPr>
                          <w:t>50%</w:t>
                        </w:r>
                      </w:p>
                    </w:txbxContent>
                  </v:textbox>
                  <w10:wrap type="none"/>
                </v:shape>
                <v:shape style="position:absolute;left:453;top:681;width:997;height:143" type="#_x0000_t202" id="docshape229" filled="false" stroked="false">
                  <v:textbox inset="0,0,0,0">
                    <w:txbxContent>
                      <w:p>
                        <w:pPr>
                          <w:spacing w:line="141" w:lineRule="exact" w:before="0"/>
                          <w:ind w:left="0" w:right="0" w:firstLine="0"/>
                          <w:jc w:val="left"/>
                          <w:rPr>
                            <w:position w:val="3"/>
                            <w:sz w:val="10"/>
                          </w:rPr>
                        </w:pPr>
                        <w:r>
                          <w:rPr>
                            <w:w w:val="105"/>
                            <w:position w:val="2"/>
                            <w:sz w:val="10"/>
                          </w:rPr>
                          <w:t>41.2%</w:t>
                        </w:r>
                        <w:r>
                          <w:rPr>
                            <w:w w:val="105"/>
                            <w:sz w:val="10"/>
                          </w:rPr>
                          <w:t>40.8%</w:t>
                        </w:r>
                        <w:r>
                          <w:rPr>
                            <w:spacing w:val="54"/>
                            <w:w w:val="105"/>
                            <w:sz w:val="10"/>
                          </w:rPr>
                          <w:t>  </w:t>
                        </w:r>
                        <w:r>
                          <w:rPr>
                            <w:spacing w:val="-2"/>
                            <w:w w:val="105"/>
                            <w:position w:val="3"/>
                            <w:sz w:val="10"/>
                          </w:rPr>
                          <w:t>41.5%</w:t>
                        </w:r>
                      </w:p>
                    </w:txbxContent>
                  </v:textbox>
                  <w10:wrap type="none"/>
                </v:shape>
                <v:shape style="position:absolute;left:1872;top:665;width:1263;height:127" type="#_x0000_t202" id="docshape230" filled="false" stroked="false">
                  <v:textbox inset="0,0,0,0">
                    <w:txbxContent>
                      <w:p>
                        <w:pPr>
                          <w:spacing w:before="1"/>
                          <w:ind w:left="0" w:right="0" w:firstLine="0"/>
                          <w:jc w:val="left"/>
                          <w:rPr>
                            <w:position w:val="1"/>
                            <w:sz w:val="10"/>
                          </w:rPr>
                        </w:pPr>
                        <w:r>
                          <w:rPr>
                            <w:w w:val="105"/>
                            <w:sz w:val="10"/>
                          </w:rPr>
                          <w:t>41.7%41.6%</w:t>
                        </w:r>
                        <w:r>
                          <w:rPr>
                            <w:spacing w:val="54"/>
                            <w:w w:val="105"/>
                            <w:sz w:val="10"/>
                          </w:rPr>
                          <w:t>  </w:t>
                        </w:r>
                        <w:r>
                          <w:rPr>
                            <w:spacing w:val="-2"/>
                            <w:w w:val="105"/>
                            <w:position w:val="1"/>
                            <w:sz w:val="10"/>
                          </w:rPr>
                          <w:t>41.9%41.9%</w:t>
                        </w:r>
                      </w:p>
                    </w:txbxContent>
                  </v:textbox>
                  <w10:wrap type="none"/>
                </v:shape>
                <v:shape style="position:absolute;left:64;top:826;width:226;height:127" type="#_x0000_t202" id="docshape231" filled="false" stroked="false">
                  <v:textbox inset="0,0,0,0">
                    <w:txbxContent>
                      <w:p>
                        <w:pPr>
                          <w:spacing w:line="126" w:lineRule="exact" w:before="0"/>
                          <w:ind w:left="0" w:right="0" w:firstLine="0"/>
                          <w:jc w:val="left"/>
                          <w:rPr>
                            <w:sz w:val="11"/>
                          </w:rPr>
                        </w:pPr>
                        <w:r>
                          <w:rPr>
                            <w:spacing w:val="-5"/>
                            <w:sz w:val="11"/>
                          </w:rPr>
                          <w:t>40%</w:t>
                        </w:r>
                      </w:p>
                    </w:txbxContent>
                  </v:textbox>
                  <w10:wrap type="none"/>
                </v:shape>
                <v:shape style="position:absolute;left:1429;top:755;width:287;height:117" type="#_x0000_t202" id="docshape232" filled="false" stroked="false">
                  <v:textbox inset="0,0,0,0">
                    <w:txbxContent>
                      <w:p>
                        <w:pPr>
                          <w:spacing w:before="0"/>
                          <w:ind w:left="0" w:right="0" w:firstLine="0"/>
                          <w:jc w:val="left"/>
                          <w:rPr>
                            <w:sz w:val="10"/>
                          </w:rPr>
                        </w:pPr>
                        <w:r>
                          <w:rPr>
                            <w:spacing w:val="-2"/>
                            <w:w w:val="105"/>
                            <w:sz w:val="10"/>
                          </w:rPr>
                          <w:t>39.4%</w:t>
                        </w:r>
                      </w:p>
                    </w:txbxContent>
                  </v:textbox>
                  <w10:wrap type="none"/>
                </v:shape>
                <v:shape style="position:absolute;left:3292;top:684;width:553;height:231" type="#_x0000_t202" id="docshape233" filled="false" stroked="false">
                  <v:textbox inset="0,0,0,0">
                    <w:txbxContent>
                      <w:p>
                        <w:pPr>
                          <w:spacing w:line="114" w:lineRule="exact" w:before="0"/>
                          <w:ind w:left="0" w:right="0" w:firstLine="0"/>
                          <w:jc w:val="left"/>
                          <w:rPr>
                            <w:sz w:val="10"/>
                          </w:rPr>
                        </w:pPr>
                        <w:r>
                          <w:rPr>
                            <w:spacing w:val="-2"/>
                            <w:w w:val="105"/>
                            <w:sz w:val="10"/>
                          </w:rPr>
                          <w:t>41.4%</w:t>
                        </w:r>
                      </w:p>
                      <w:p>
                        <w:pPr>
                          <w:spacing w:line="114" w:lineRule="exact" w:before="0"/>
                          <w:ind w:left="266" w:right="0" w:firstLine="0"/>
                          <w:jc w:val="left"/>
                          <w:rPr>
                            <w:sz w:val="10"/>
                          </w:rPr>
                        </w:pPr>
                        <w:r>
                          <w:rPr>
                            <w:spacing w:val="-2"/>
                            <w:w w:val="105"/>
                            <w:sz w:val="10"/>
                          </w:rPr>
                          <w:t>38.2%</w:t>
                        </w:r>
                      </w:p>
                    </w:txbxContent>
                  </v:textbox>
                  <w10:wrap type="none"/>
                </v:shape>
                <v:shape style="position:absolute;left:64;top:1182;width:3677;height:1656" type="#_x0000_t202" id="docshape234" filled="false" stroked="false">
                  <v:textbox inset="0,0,0,0">
                    <w:txbxContent>
                      <w:p>
                        <w:pPr>
                          <w:spacing w:line="126" w:lineRule="exact" w:before="0"/>
                          <w:ind w:left="0" w:right="0" w:firstLine="0"/>
                          <w:jc w:val="left"/>
                          <w:rPr>
                            <w:sz w:val="11"/>
                          </w:rPr>
                        </w:pPr>
                        <w:r>
                          <w:rPr>
                            <w:spacing w:val="-5"/>
                            <w:sz w:val="11"/>
                          </w:rPr>
                          <w:t>30%</w:t>
                        </w:r>
                      </w:p>
                      <w:p>
                        <w:pPr>
                          <w:spacing w:line="240" w:lineRule="auto" w:before="103"/>
                          <w:rPr>
                            <w:sz w:val="11"/>
                          </w:rPr>
                        </w:pPr>
                      </w:p>
                      <w:p>
                        <w:pPr>
                          <w:spacing w:before="0"/>
                          <w:ind w:left="0" w:right="0" w:firstLine="0"/>
                          <w:jc w:val="left"/>
                          <w:rPr>
                            <w:sz w:val="11"/>
                          </w:rPr>
                        </w:pPr>
                        <w:r>
                          <w:rPr>
                            <w:spacing w:val="-5"/>
                            <w:sz w:val="11"/>
                          </w:rPr>
                          <w:t>20%</w:t>
                        </w:r>
                      </w:p>
                      <w:p>
                        <w:pPr>
                          <w:spacing w:line="240" w:lineRule="auto" w:before="103"/>
                          <w:rPr>
                            <w:sz w:val="11"/>
                          </w:rPr>
                        </w:pPr>
                      </w:p>
                      <w:p>
                        <w:pPr>
                          <w:spacing w:before="0"/>
                          <w:ind w:left="0" w:right="0" w:firstLine="0"/>
                          <w:jc w:val="left"/>
                          <w:rPr>
                            <w:sz w:val="11"/>
                          </w:rPr>
                        </w:pPr>
                        <w:r>
                          <w:rPr>
                            <w:spacing w:val="-5"/>
                            <w:sz w:val="11"/>
                          </w:rPr>
                          <w:t>10%</w:t>
                        </w:r>
                      </w:p>
                      <w:p>
                        <w:pPr>
                          <w:spacing w:line="240" w:lineRule="auto" w:before="103"/>
                          <w:rPr>
                            <w:sz w:val="11"/>
                          </w:rPr>
                        </w:pPr>
                      </w:p>
                      <w:p>
                        <w:pPr>
                          <w:spacing w:before="0"/>
                          <w:ind w:left="56" w:right="0" w:firstLine="0"/>
                          <w:jc w:val="left"/>
                          <w:rPr>
                            <w:sz w:val="11"/>
                          </w:rPr>
                        </w:pPr>
                        <w:r>
                          <w:rPr>
                            <w:spacing w:val="-5"/>
                            <w:sz w:val="11"/>
                          </w:rPr>
                          <w:t>0%</w:t>
                        </w:r>
                      </w:p>
                      <w:p>
                        <w:pPr>
                          <w:tabs>
                            <w:tab w:pos="1183" w:val="left" w:leader="none"/>
                            <w:tab w:pos="1901" w:val="left" w:leader="none"/>
                            <w:tab w:pos="2625" w:val="left" w:leader="none"/>
                            <w:tab w:pos="3331" w:val="left" w:leader="none"/>
                          </w:tabs>
                          <w:spacing w:before="12"/>
                          <w:ind w:left="493" w:right="0" w:firstLine="0"/>
                          <w:jc w:val="left"/>
                          <w:rPr>
                            <w:sz w:val="11"/>
                          </w:rPr>
                        </w:pPr>
                        <w:r>
                          <w:rPr>
                            <w:sz w:val="11"/>
                          </w:rPr>
                          <w:t>Δεк-</w:t>
                        </w:r>
                        <w:r>
                          <w:rPr>
                            <w:spacing w:val="-5"/>
                            <w:sz w:val="11"/>
                          </w:rPr>
                          <w:t>24</w:t>
                        </w:r>
                        <w:r>
                          <w:rPr>
                            <w:sz w:val="11"/>
                          </w:rPr>
                          <w:tab/>
                          <w:t>Μap-</w:t>
                        </w:r>
                        <w:r>
                          <w:rPr>
                            <w:spacing w:val="-5"/>
                            <w:sz w:val="11"/>
                          </w:rPr>
                          <w:t>25</w:t>
                        </w:r>
                        <w:r>
                          <w:rPr>
                            <w:sz w:val="11"/>
                          </w:rPr>
                          <w:tab/>
                        </w:r>
                        <w:r>
                          <w:rPr>
                            <w:spacing w:val="-2"/>
                            <w:sz w:val="11"/>
                          </w:rPr>
                          <w:t>Iouν-</w:t>
                        </w:r>
                        <w:r>
                          <w:rPr>
                            <w:spacing w:val="-5"/>
                            <w:sz w:val="11"/>
                          </w:rPr>
                          <w:t>25</w:t>
                        </w:r>
                        <w:r>
                          <w:rPr>
                            <w:sz w:val="11"/>
                          </w:rPr>
                          <w:tab/>
                          <w:t>Σεπ-</w:t>
                        </w:r>
                        <w:r>
                          <w:rPr>
                            <w:spacing w:val="-5"/>
                            <w:sz w:val="11"/>
                          </w:rPr>
                          <w:t>25</w:t>
                        </w:r>
                        <w:r>
                          <w:rPr>
                            <w:sz w:val="11"/>
                          </w:rPr>
                          <w:tab/>
                          <w:t>Δεк-</w:t>
                        </w:r>
                        <w:r>
                          <w:rPr>
                            <w:spacing w:val="-5"/>
                            <w:sz w:val="11"/>
                          </w:rPr>
                          <w:t>25</w:t>
                        </w:r>
                      </w:p>
                      <w:p>
                        <w:pPr>
                          <w:spacing w:line="240" w:lineRule="auto" w:before="36"/>
                          <w:rPr>
                            <w:sz w:val="11"/>
                          </w:rPr>
                        </w:pPr>
                      </w:p>
                      <w:p>
                        <w:pPr>
                          <w:spacing w:before="0"/>
                          <w:ind w:left="48" w:right="0" w:firstLine="0"/>
                          <w:jc w:val="left"/>
                          <w:rPr>
                            <w:sz w:val="14"/>
                          </w:rPr>
                        </w:pPr>
                        <w:r>
                          <w:rPr>
                            <w:sz w:val="14"/>
                          </w:rPr>
                          <w:t>Πηγές:</w:t>
                        </w:r>
                        <w:r>
                          <w:rPr>
                            <w:spacing w:val="-5"/>
                            <w:sz w:val="14"/>
                          </w:rPr>
                          <w:t> </w:t>
                        </w:r>
                        <w:r>
                          <w:rPr>
                            <w:sz w:val="14"/>
                          </w:rPr>
                          <w:t>Τράπεζα</w:t>
                        </w:r>
                        <w:r>
                          <w:rPr>
                            <w:spacing w:val="-5"/>
                            <w:sz w:val="14"/>
                          </w:rPr>
                          <w:t> </w:t>
                        </w:r>
                        <w:r>
                          <w:rPr>
                            <w:sz w:val="14"/>
                          </w:rPr>
                          <w:t>της</w:t>
                        </w:r>
                        <w:r>
                          <w:rPr>
                            <w:spacing w:val="-2"/>
                            <w:sz w:val="14"/>
                          </w:rPr>
                          <w:t> </w:t>
                        </w:r>
                        <w:r>
                          <w:rPr>
                            <w:sz w:val="14"/>
                          </w:rPr>
                          <w:t>Ελλάδος,</w:t>
                        </w:r>
                        <w:r>
                          <w:rPr>
                            <w:spacing w:val="-2"/>
                            <w:sz w:val="14"/>
                          </w:rPr>
                          <w:t> </w:t>
                        </w:r>
                        <w:r>
                          <w:rPr>
                            <w:sz w:val="14"/>
                          </w:rPr>
                          <w:t>EBA</w:t>
                        </w:r>
                        <w:r>
                          <w:rPr>
                            <w:spacing w:val="-3"/>
                            <w:sz w:val="14"/>
                          </w:rPr>
                          <w:t> </w:t>
                        </w:r>
                        <w:r>
                          <w:rPr>
                            <w:sz w:val="14"/>
                          </w:rPr>
                          <w:t>Risk</w:t>
                        </w:r>
                        <w:r>
                          <w:rPr>
                            <w:spacing w:val="-5"/>
                            <w:sz w:val="14"/>
                          </w:rPr>
                          <w:t> </w:t>
                        </w:r>
                        <w:r>
                          <w:rPr>
                            <w:spacing w:val="-2"/>
                            <w:sz w:val="14"/>
                          </w:rPr>
                          <w:t>Dashboard.</w:t>
                        </w:r>
                      </w:p>
                    </w:txbxContent>
                  </v:textbox>
                  <w10:wrap type="none"/>
                </v:shape>
              </v:group>
            </w:pict>
          </mc:Fallback>
        </mc:AlternateContent>
      </w:r>
      <w:r>
        <w:rPr>
          <w:sz w:val="20"/>
        </w:rPr>
      </w:r>
    </w:p>
    <w:p>
      <w:pPr>
        <w:pStyle w:val="BodyText"/>
        <w:spacing w:before="200"/>
        <w:rPr>
          <w:sz w:val="20"/>
        </w:rPr>
      </w:pPr>
      <w:r>
        <w:rPr>
          <w:sz w:val="20"/>
        </w:rPr>
        <mc:AlternateContent>
          <mc:Choice Requires="wps">
            <w:drawing>
              <wp:anchor distT="0" distB="0" distL="0" distR="0" allowOverlap="1" layoutInCell="1" locked="0" behindDoc="1" simplePos="0" relativeHeight="487620096">
                <wp:simplePos x="0" y="0"/>
                <wp:positionH relativeFrom="page">
                  <wp:posOffset>3705478</wp:posOffset>
                </wp:positionH>
                <wp:positionV relativeFrom="paragraph">
                  <wp:posOffset>288517</wp:posOffset>
                </wp:positionV>
                <wp:extent cx="2695575" cy="601980"/>
                <wp:effectExtent l="0" t="0" r="0" b="0"/>
                <wp:wrapTopAndBottom/>
                <wp:docPr id="257" name="Textbox 257"/>
                <wp:cNvGraphicFramePr>
                  <a:graphicFrameLocks/>
                </wp:cNvGraphicFramePr>
                <a:graphic>
                  <a:graphicData uri="http://schemas.microsoft.com/office/word/2010/wordprocessingShape">
                    <wps:wsp>
                      <wps:cNvPr id="257" name="Textbox 257"/>
                      <wps:cNvSpPr txBox="1"/>
                      <wps:spPr>
                        <a:xfrm>
                          <a:off x="0" y="0"/>
                          <a:ext cx="2695575" cy="601980"/>
                        </a:xfrm>
                        <a:prstGeom prst="rect">
                          <a:avLst/>
                        </a:prstGeom>
                        <a:solidFill>
                          <a:srgbClr val="1F487C"/>
                        </a:solidFill>
                      </wps:spPr>
                      <wps:txbx>
                        <w:txbxContent>
                          <w:p>
                            <w:pPr>
                              <w:spacing w:before="60"/>
                              <w:ind w:left="141" w:right="21" w:firstLine="0"/>
                              <w:jc w:val="left"/>
                              <w:rPr>
                                <w:b/>
                                <w:color w:val="000000"/>
                                <w:sz w:val="18"/>
                              </w:rPr>
                            </w:pPr>
                            <w:r>
                              <w:rPr>
                                <w:b/>
                                <w:color w:val="FFFFFF"/>
                                <w:sz w:val="18"/>
                              </w:rPr>
                              <w:t>Δ</w:t>
                            </w:r>
                            <w:r>
                              <w:rPr>
                                <w:b/>
                                <w:smallCaps/>
                                <w:color w:val="FFFFFF"/>
                                <w:sz w:val="18"/>
                              </w:rPr>
                              <w:t>ι</w:t>
                            </w:r>
                            <w:r>
                              <w:rPr>
                                <w:b/>
                                <w:smallCaps w:val="0"/>
                                <w:color w:val="FFFFFF"/>
                                <w:sz w:val="18"/>
                              </w:rPr>
                              <w:t>άγραμμα III.6 Εξέλ</w:t>
                            </w:r>
                            <w:r>
                              <w:rPr>
                                <w:b/>
                                <w:smallCaps/>
                                <w:color w:val="FFFFFF"/>
                                <w:sz w:val="18"/>
                              </w:rPr>
                              <w:t>ι</w:t>
                            </w:r>
                            <w:r>
                              <w:rPr>
                                <w:b/>
                                <w:smallCaps w:val="0"/>
                                <w:color w:val="FFFFFF"/>
                                <w:sz w:val="18"/>
                              </w:rPr>
                              <w:t>ξη των ρυθμ</w:t>
                            </w:r>
                            <w:r>
                              <w:rPr>
                                <w:b/>
                                <w:smallCaps/>
                                <w:color w:val="FFFFFF"/>
                                <w:sz w:val="18"/>
                              </w:rPr>
                              <w:t>ι</w:t>
                            </w:r>
                            <w:r>
                              <w:rPr>
                                <w:b/>
                                <w:smallCaps w:val="0"/>
                                <w:color w:val="FFFFFF"/>
                                <w:sz w:val="18"/>
                              </w:rPr>
                              <w:t>σμένων δανείων (forborne)</w:t>
                            </w:r>
                            <w:r>
                              <w:rPr>
                                <w:b/>
                                <w:smallCaps w:val="0"/>
                                <w:color w:val="FFFFFF"/>
                                <w:spacing w:val="-5"/>
                                <w:sz w:val="18"/>
                              </w:rPr>
                              <w:t> </w:t>
                            </w:r>
                            <w:r>
                              <w:rPr>
                                <w:b/>
                                <w:smallCaps w:val="0"/>
                                <w:color w:val="FFFFFF"/>
                                <w:sz w:val="18"/>
                              </w:rPr>
                              <w:t>ανά</w:t>
                            </w:r>
                            <w:r>
                              <w:rPr>
                                <w:b/>
                                <w:smallCaps w:val="0"/>
                                <w:color w:val="FFFFFF"/>
                                <w:spacing w:val="-3"/>
                                <w:sz w:val="18"/>
                              </w:rPr>
                              <w:t> </w:t>
                            </w:r>
                            <w:r>
                              <w:rPr>
                                <w:b/>
                                <w:smallCaps w:val="0"/>
                                <w:color w:val="FFFFFF"/>
                                <w:sz w:val="18"/>
                              </w:rPr>
                              <w:t>κατηγορία</w:t>
                            </w:r>
                            <w:r>
                              <w:rPr>
                                <w:b/>
                                <w:smallCaps w:val="0"/>
                                <w:color w:val="FFFFFF"/>
                                <w:spacing w:val="-4"/>
                                <w:sz w:val="18"/>
                              </w:rPr>
                              <w:t> </w:t>
                            </w:r>
                            <w:r>
                              <w:rPr>
                                <w:b/>
                                <w:smallCaps w:val="0"/>
                                <w:color w:val="FFFFFF"/>
                                <w:sz w:val="18"/>
                              </w:rPr>
                              <w:t>κα</w:t>
                            </w:r>
                            <w:r>
                              <w:rPr>
                                <w:b/>
                                <w:smallCaps/>
                                <w:color w:val="FFFFFF"/>
                                <w:sz w:val="18"/>
                              </w:rPr>
                              <w:t>ι</w:t>
                            </w:r>
                            <w:r>
                              <w:rPr>
                                <w:b/>
                                <w:smallCaps w:val="0"/>
                                <w:color w:val="FFFFFF"/>
                                <w:spacing w:val="-7"/>
                                <w:sz w:val="18"/>
                              </w:rPr>
                              <w:t> </w:t>
                            </w:r>
                            <w:r>
                              <w:rPr>
                                <w:b/>
                                <w:smallCaps w:val="0"/>
                                <w:color w:val="FFFFFF"/>
                                <w:sz w:val="18"/>
                              </w:rPr>
                              <w:t>του</w:t>
                            </w:r>
                            <w:r>
                              <w:rPr>
                                <w:b/>
                                <w:smallCaps w:val="0"/>
                                <w:color w:val="FFFFFF"/>
                                <w:spacing w:val="-5"/>
                                <w:sz w:val="18"/>
                              </w:rPr>
                              <w:t> </w:t>
                            </w:r>
                            <w:r>
                              <w:rPr>
                                <w:b/>
                                <w:smallCaps w:val="0"/>
                                <w:color w:val="FFFFFF"/>
                                <w:sz w:val="18"/>
                              </w:rPr>
                              <w:t>λόγου</w:t>
                            </w:r>
                            <w:r>
                              <w:rPr>
                                <w:b/>
                                <w:smallCaps w:val="0"/>
                                <w:color w:val="FFFFFF"/>
                                <w:spacing w:val="-7"/>
                                <w:sz w:val="18"/>
                              </w:rPr>
                              <w:t> </w:t>
                            </w:r>
                            <w:r>
                              <w:rPr>
                                <w:b/>
                                <w:smallCaps w:val="0"/>
                                <w:color w:val="FFFFFF"/>
                                <w:sz w:val="18"/>
                              </w:rPr>
                              <w:t>του</w:t>
                            </w:r>
                            <w:r>
                              <w:rPr>
                                <w:b/>
                                <w:smallCaps w:val="0"/>
                                <w:color w:val="FFFFFF"/>
                                <w:spacing w:val="-7"/>
                                <w:sz w:val="18"/>
                              </w:rPr>
                              <w:t> </w:t>
                            </w:r>
                            <w:r>
                              <w:rPr>
                                <w:b/>
                                <w:smallCaps w:val="0"/>
                                <w:color w:val="FFFFFF"/>
                                <w:sz w:val="18"/>
                              </w:rPr>
                              <w:t>συνόλου των ρυθμ</w:t>
                            </w:r>
                            <w:r>
                              <w:rPr>
                                <w:b/>
                                <w:smallCaps/>
                                <w:color w:val="FFFFFF"/>
                                <w:sz w:val="18"/>
                              </w:rPr>
                              <w:t>ι</w:t>
                            </w:r>
                            <w:r>
                              <w:rPr>
                                <w:b/>
                                <w:smallCaps w:val="0"/>
                                <w:color w:val="FFFFFF"/>
                                <w:sz w:val="18"/>
                              </w:rPr>
                              <w:t>σμένων δανείων προς το σύνολο των δα-</w:t>
                            </w:r>
                            <w:r>
                              <w:rPr>
                                <w:b/>
                                <w:smallCaps w:val="0"/>
                                <w:color w:val="FFFFFF"/>
                                <w:spacing w:val="-2"/>
                                <w:sz w:val="18"/>
                              </w:rPr>
                              <w:t>νείων</w:t>
                            </w:r>
                          </w:p>
                        </w:txbxContent>
                      </wps:txbx>
                      <wps:bodyPr wrap="square" lIns="0" tIns="0" rIns="0" bIns="0" rtlCol="0">
                        <a:noAutofit/>
                      </wps:bodyPr>
                    </wps:wsp>
                  </a:graphicData>
                </a:graphic>
              </wp:anchor>
            </w:drawing>
          </mc:Choice>
          <mc:Fallback>
            <w:pict>
              <v:shape style="position:absolute;margin-left:291.769989pt;margin-top:22.717915pt;width:212.25pt;height:47.4pt;mso-position-horizontal-relative:page;mso-position-vertical-relative:paragraph;z-index:-15696384;mso-wrap-distance-left:0;mso-wrap-distance-right:0" type="#_x0000_t202" id="docshape235" filled="true" fillcolor="#1f487c" stroked="false">
                <v:textbox inset="0,0,0,0">
                  <w:txbxContent>
                    <w:p>
                      <w:pPr>
                        <w:spacing w:before="60"/>
                        <w:ind w:left="141" w:right="21" w:firstLine="0"/>
                        <w:jc w:val="left"/>
                        <w:rPr>
                          <w:b/>
                          <w:color w:val="000000"/>
                          <w:sz w:val="18"/>
                        </w:rPr>
                      </w:pPr>
                      <w:r>
                        <w:rPr>
                          <w:b/>
                          <w:color w:val="FFFFFF"/>
                          <w:sz w:val="18"/>
                        </w:rPr>
                        <w:t>Δ</w:t>
                      </w:r>
                      <w:r>
                        <w:rPr>
                          <w:b/>
                          <w:smallCaps/>
                          <w:color w:val="FFFFFF"/>
                          <w:sz w:val="18"/>
                        </w:rPr>
                        <w:t>ι</w:t>
                      </w:r>
                      <w:r>
                        <w:rPr>
                          <w:b/>
                          <w:smallCaps w:val="0"/>
                          <w:color w:val="FFFFFF"/>
                          <w:sz w:val="18"/>
                        </w:rPr>
                        <w:t>άγραμμα III.6 Εξέλ</w:t>
                      </w:r>
                      <w:r>
                        <w:rPr>
                          <w:b/>
                          <w:smallCaps/>
                          <w:color w:val="FFFFFF"/>
                          <w:sz w:val="18"/>
                        </w:rPr>
                        <w:t>ι</w:t>
                      </w:r>
                      <w:r>
                        <w:rPr>
                          <w:b/>
                          <w:smallCaps w:val="0"/>
                          <w:color w:val="FFFFFF"/>
                          <w:sz w:val="18"/>
                        </w:rPr>
                        <w:t>ξη των ρυθμ</w:t>
                      </w:r>
                      <w:r>
                        <w:rPr>
                          <w:b/>
                          <w:smallCaps/>
                          <w:color w:val="FFFFFF"/>
                          <w:sz w:val="18"/>
                        </w:rPr>
                        <w:t>ι</w:t>
                      </w:r>
                      <w:r>
                        <w:rPr>
                          <w:b/>
                          <w:smallCaps w:val="0"/>
                          <w:color w:val="FFFFFF"/>
                          <w:sz w:val="18"/>
                        </w:rPr>
                        <w:t>σμένων δανείων (forborne)</w:t>
                      </w:r>
                      <w:r>
                        <w:rPr>
                          <w:b/>
                          <w:smallCaps w:val="0"/>
                          <w:color w:val="FFFFFF"/>
                          <w:spacing w:val="-5"/>
                          <w:sz w:val="18"/>
                        </w:rPr>
                        <w:t> </w:t>
                      </w:r>
                      <w:r>
                        <w:rPr>
                          <w:b/>
                          <w:smallCaps w:val="0"/>
                          <w:color w:val="FFFFFF"/>
                          <w:sz w:val="18"/>
                        </w:rPr>
                        <w:t>ανά</w:t>
                      </w:r>
                      <w:r>
                        <w:rPr>
                          <w:b/>
                          <w:smallCaps w:val="0"/>
                          <w:color w:val="FFFFFF"/>
                          <w:spacing w:val="-3"/>
                          <w:sz w:val="18"/>
                        </w:rPr>
                        <w:t> </w:t>
                      </w:r>
                      <w:r>
                        <w:rPr>
                          <w:b/>
                          <w:smallCaps w:val="0"/>
                          <w:color w:val="FFFFFF"/>
                          <w:sz w:val="18"/>
                        </w:rPr>
                        <w:t>κατηγορία</w:t>
                      </w:r>
                      <w:r>
                        <w:rPr>
                          <w:b/>
                          <w:smallCaps w:val="0"/>
                          <w:color w:val="FFFFFF"/>
                          <w:spacing w:val="-4"/>
                          <w:sz w:val="18"/>
                        </w:rPr>
                        <w:t> </w:t>
                      </w:r>
                      <w:r>
                        <w:rPr>
                          <w:b/>
                          <w:smallCaps w:val="0"/>
                          <w:color w:val="FFFFFF"/>
                          <w:sz w:val="18"/>
                        </w:rPr>
                        <w:t>κα</w:t>
                      </w:r>
                      <w:r>
                        <w:rPr>
                          <w:b/>
                          <w:smallCaps/>
                          <w:color w:val="FFFFFF"/>
                          <w:sz w:val="18"/>
                        </w:rPr>
                        <w:t>ι</w:t>
                      </w:r>
                      <w:r>
                        <w:rPr>
                          <w:b/>
                          <w:smallCaps w:val="0"/>
                          <w:color w:val="FFFFFF"/>
                          <w:spacing w:val="-7"/>
                          <w:sz w:val="18"/>
                        </w:rPr>
                        <w:t> </w:t>
                      </w:r>
                      <w:r>
                        <w:rPr>
                          <w:b/>
                          <w:smallCaps w:val="0"/>
                          <w:color w:val="FFFFFF"/>
                          <w:sz w:val="18"/>
                        </w:rPr>
                        <w:t>του</w:t>
                      </w:r>
                      <w:r>
                        <w:rPr>
                          <w:b/>
                          <w:smallCaps w:val="0"/>
                          <w:color w:val="FFFFFF"/>
                          <w:spacing w:val="-5"/>
                          <w:sz w:val="18"/>
                        </w:rPr>
                        <w:t> </w:t>
                      </w:r>
                      <w:r>
                        <w:rPr>
                          <w:b/>
                          <w:smallCaps w:val="0"/>
                          <w:color w:val="FFFFFF"/>
                          <w:sz w:val="18"/>
                        </w:rPr>
                        <w:t>λόγου</w:t>
                      </w:r>
                      <w:r>
                        <w:rPr>
                          <w:b/>
                          <w:smallCaps w:val="0"/>
                          <w:color w:val="FFFFFF"/>
                          <w:spacing w:val="-7"/>
                          <w:sz w:val="18"/>
                        </w:rPr>
                        <w:t> </w:t>
                      </w:r>
                      <w:r>
                        <w:rPr>
                          <w:b/>
                          <w:smallCaps w:val="0"/>
                          <w:color w:val="FFFFFF"/>
                          <w:sz w:val="18"/>
                        </w:rPr>
                        <w:t>του</w:t>
                      </w:r>
                      <w:r>
                        <w:rPr>
                          <w:b/>
                          <w:smallCaps w:val="0"/>
                          <w:color w:val="FFFFFF"/>
                          <w:spacing w:val="-7"/>
                          <w:sz w:val="18"/>
                        </w:rPr>
                        <w:t> </w:t>
                      </w:r>
                      <w:r>
                        <w:rPr>
                          <w:b/>
                          <w:smallCaps w:val="0"/>
                          <w:color w:val="FFFFFF"/>
                          <w:sz w:val="18"/>
                        </w:rPr>
                        <w:t>συνόλου των ρυθμ</w:t>
                      </w:r>
                      <w:r>
                        <w:rPr>
                          <w:b/>
                          <w:smallCaps/>
                          <w:color w:val="FFFFFF"/>
                          <w:sz w:val="18"/>
                        </w:rPr>
                        <w:t>ι</w:t>
                      </w:r>
                      <w:r>
                        <w:rPr>
                          <w:b/>
                          <w:smallCaps w:val="0"/>
                          <w:color w:val="FFFFFF"/>
                          <w:sz w:val="18"/>
                        </w:rPr>
                        <w:t>σμένων δανείων προς το σύνολο των δα-</w:t>
                      </w:r>
                      <w:r>
                        <w:rPr>
                          <w:b/>
                          <w:smallCaps w:val="0"/>
                          <w:color w:val="FFFFFF"/>
                          <w:spacing w:val="-2"/>
                          <w:sz w:val="18"/>
                        </w:rPr>
                        <w:t>νείων</w:t>
                      </w:r>
                    </w:p>
                  </w:txbxContent>
                </v:textbox>
                <v:fill type="solid"/>
                <w10:wrap type="topAndBottom"/>
              </v:shape>
            </w:pict>
          </mc:Fallback>
        </mc:AlternateContent>
      </w:r>
    </w:p>
    <w:p>
      <w:pPr>
        <w:spacing w:before="119"/>
        <w:ind w:left="77" w:right="0" w:firstLine="0"/>
        <w:jc w:val="left"/>
        <w:rPr>
          <w:sz w:val="14"/>
        </w:rPr>
      </w:pPr>
      <w:r>
        <w:rPr>
          <w:color w:val="1F487C"/>
          <w:sz w:val="14"/>
        </w:rPr>
        <w:t>(δισεκ.</w:t>
      </w:r>
      <w:r>
        <w:rPr>
          <w:color w:val="1F487C"/>
          <w:spacing w:val="-4"/>
          <w:sz w:val="14"/>
        </w:rPr>
        <w:t> </w:t>
      </w:r>
      <w:r>
        <w:rPr>
          <w:color w:val="1F487C"/>
          <w:sz w:val="14"/>
        </w:rPr>
        <w:t>ευρώ,</w:t>
      </w:r>
      <w:r>
        <w:rPr>
          <w:color w:val="1F487C"/>
          <w:spacing w:val="-4"/>
          <w:sz w:val="14"/>
        </w:rPr>
        <w:t> </w:t>
      </w:r>
      <w:r>
        <w:rPr>
          <w:color w:val="1F487C"/>
          <w:sz w:val="14"/>
        </w:rPr>
        <w:t>ποσοστά</w:t>
      </w:r>
      <w:r>
        <w:rPr>
          <w:color w:val="1F487C"/>
          <w:spacing w:val="-7"/>
          <w:sz w:val="14"/>
        </w:rPr>
        <w:t> </w:t>
      </w:r>
      <w:r>
        <w:rPr>
          <w:color w:val="1F487C"/>
          <w:spacing w:val="-5"/>
          <w:sz w:val="14"/>
        </w:rPr>
        <w:t>%)</w:t>
      </w:r>
    </w:p>
    <w:p>
      <w:pPr>
        <w:pStyle w:val="BodyText"/>
        <w:spacing w:before="2"/>
        <w:rPr>
          <w:sz w:val="5"/>
        </w:rPr>
      </w:pPr>
    </w:p>
    <w:p>
      <w:pPr>
        <w:spacing w:line="240" w:lineRule="auto"/>
        <w:ind w:left="77" w:right="0" w:firstLine="0"/>
        <w:rPr>
          <w:sz w:val="20"/>
        </w:rPr>
      </w:pPr>
      <w:r>
        <w:rPr>
          <w:sz w:val="20"/>
        </w:rPr>
        <mc:AlternateContent>
          <mc:Choice Requires="wps">
            <w:drawing>
              <wp:inline distT="0" distB="0" distL="0" distR="0">
                <wp:extent cx="2695575" cy="2708275"/>
                <wp:effectExtent l="0" t="0" r="0" b="6350"/>
                <wp:docPr id="258" name="Group 258"/>
                <wp:cNvGraphicFramePr>
                  <a:graphicFrameLocks/>
                </wp:cNvGraphicFramePr>
                <a:graphic>
                  <a:graphicData uri="http://schemas.microsoft.com/office/word/2010/wordprocessingGroup">
                    <wpg:wgp>
                      <wpg:cNvPr id="258" name="Group 258"/>
                      <wpg:cNvGrpSpPr/>
                      <wpg:grpSpPr>
                        <a:xfrm>
                          <a:off x="0" y="0"/>
                          <a:ext cx="2695575" cy="2708275"/>
                          <a:chExt cx="2695575" cy="2708275"/>
                        </a:xfrm>
                      </wpg:grpSpPr>
                      <wps:wsp>
                        <wps:cNvPr id="259" name="Graphic 259"/>
                        <wps:cNvSpPr/>
                        <wps:spPr>
                          <a:xfrm>
                            <a:off x="0" y="507"/>
                            <a:ext cx="2695575" cy="2707640"/>
                          </a:xfrm>
                          <a:custGeom>
                            <a:avLst/>
                            <a:gdLst/>
                            <a:ahLst/>
                            <a:cxnLst/>
                            <a:rect l="l" t="t" r="r" b="b"/>
                            <a:pathLst>
                              <a:path w="2695575" h="2707640">
                                <a:moveTo>
                                  <a:pt x="2695067" y="0"/>
                                </a:moveTo>
                                <a:lnTo>
                                  <a:pt x="0" y="0"/>
                                </a:lnTo>
                                <a:lnTo>
                                  <a:pt x="0" y="2490851"/>
                                </a:lnTo>
                                <a:lnTo>
                                  <a:pt x="0" y="2707259"/>
                                </a:lnTo>
                                <a:lnTo>
                                  <a:pt x="2695067" y="2707259"/>
                                </a:lnTo>
                                <a:lnTo>
                                  <a:pt x="2695067" y="2490851"/>
                                </a:lnTo>
                                <a:lnTo>
                                  <a:pt x="2695067" y="0"/>
                                </a:lnTo>
                                <a:close/>
                              </a:path>
                            </a:pathLst>
                          </a:custGeom>
                          <a:solidFill>
                            <a:srgbClr val="D9D9D9"/>
                          </a:solidFill>
                        </wps:spPr>
                        <wps:bodyPr wrap="square" lIns="0" tIns="0" rIns="0" bIns="0" rtlCol="0">
                          <a:prstTxWarp prst="textNoShape">
                            <a:avLst/>
                          </a:prstTxWarp>
                          <a:noAutofit/>
                        </wps:bodyPr>
                      </wps:wsp>
                      <pic:pic>
                        <pic:nvPicPr>
                          <pic:cNvPr id="260" name="Image 260"/>
                          <pic:cNvPicPr/>
                        </pic:nvPicPr>
                        <pic:blipFill>
                          <a:blip r:embed="rId46" cstate="print"/>
                          <a:stretch>
                            <a:fillRect/>
                          </a:stretch>
                        </pic:blipFill>
                        <pic:spPr>
                          <a:xfrm>
                            <a:off x="49530" y="0"/>
                            <a:ext cx="2627630" cy="2467610"/>
                          </a:xfrm>
                          <a:prstGeom prst="rect">
                            <a:avLst/>
                          </a:prstGeom>
                        </pic:spPr>
                      </pic:pic>
                      <wps:wsp>
                        <wps:cNvPr id="261" name="Textbox 261"/>
                        <wps:cNvSpPr txBox="1"/>
                        <wps:spPr>
                          <a:xfrm>
                            <a:off x="0" y="507"/>
                            <a:ext cx="2695575" cy="270764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6"/>
                                <w:rPr>
                                  <w:sz w:val="14"/>
                                </w:rPr>
                              </w:pPr>
                            </w:p>
                            <w:p>
                              <w:pPr>
                                <w:spacing w:before="1"/>
                                <w:ind w:left="0" w:right="0" w:firstLine="0"/>
                                <w:jc w:val="left"/>
                                <w:rPr>
                                  <w:sz w:val="14"/>
                                </w:rPr>
                              </w:pPr>
                              <w:r>
                                <w:rPr>
                                  <w:sz w:val="14"/>
                                </w:rPr>
                                <w:t>Πηγή:</w:t>
                              </w:r>
                              <w:r>
                                <w:rPr>
                                  <w:spacing w:val="-6"/>
                                  <w:sz w:val="14"/>
                                </w:rPr>
                                <w:t> </w:t>
                              </w:r>
                              <w:r>
                                <w:rPr>
                                  <w:sz w:val="14"/>
                                </w:rPr>
                                <w:t>Τράπεζα</w:t>
                              </w:r>
                              <w:r>
                                <w:rPr>
                                  <w:spacing w:val="-3"/>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12.25pt;height:213.25pt;mso-position-horizontal-relative:char;mso-position-vertical-relative:line" id="docshapegroup236" coordorigin="0,0" coordsize="4245,4265">
                <v:shape style="position:absolute;left:0;top:0;width:4245;height:4264" id="docshape237" coordorigin="0,1" coordsize="4245,4264" path="m4244,1l0,1,0,3923,0,4264,4244,4264,4244,3923,4244,1xe" filled="true" fillcolor="#d9d9d9" stroked="false">
                  <v:path arrowok="t"/>
                  <v:fill type="solid"/>
                </v:shape>
                <v:shape style="position:absolute;left:78;top:0;width:4138;height:3886" type="#_x0000_t75" id="docshape238" stroked="false">
                  <v:imagedata r:id="rId46" o:title=""/>
                </v:shape>
                <v:shape style="position:absolute;left:0;top:0;width:4245;height:4264" type="#_x0000_t202" id="docshape239"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6"/>
                          <w:rPr>
                            <w:sz w:val="14"/>
                          </w:rPr>
                        </w:pPr>
                      </w:p>
                      <w:p>
                        <w:pPr>
                          <w:spacing w:before="1"/>
                          <w:ind w:left="0" w:right="0" w:firstLine="0"/>
                          <w:jc w:val="left"/>
                          <w:rPr>
                            <w:sz w:val="14"/>
                          </w:rPr>
                        </w:pPr>
                        <w:r>
                          <w:rPr>
                            <w:sz w:val="14"/>
                          </w:rPr>
                          <w:t>Πηγή:</w:t>
                        </w:r>
                        <w:r>
                          <w:rPr>
                            <w:spacing w:val="-6"/>
                            <w:sz w:val="14"/>
                          </w:rPr>
                          <w:t> </w:t>
                        </w:r>
                        <w:r>
                          <w:rPr>
                            <w:sz w:val="14"/>
                          </w:rPr>
                          <w:t>Τράπεζα</w:t>
                        </w:r>
                        <w:r>
                          <w:rPr>
                            <w:spacing w:val="-3"/>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301" w:space="40"/>
            <w:col w:w="5302"/>
          </w:cols>
        </w:sectPr>
      </w:pPr>
    </w:p>
    <w:p>
      <w:pPr>
        <w:pStyle w:val="ListParagraph"/>
        <w:numPr>
          <w:ilvl w:val="0"/>
          <w:numId w:val="4"/>
        </w:numPr>
        <w:tabs>
          <w:tab w:pos="455" w:val="left" w:leader="none"/>
        </w:tabs>
        <w:spacing w:line="283" w:lineRule="auto" w:before="1" w:after="0"/>
        <w:ind w:left="455" w:right="956" w:hanging="360"/>
        <w:jc w:val="both"/>
        <w:rPr>
          <w:sz w:val="22"/>
        </w:rPr>
      </w:pPr>
      <w:r>
        <w:rPr>
          <w:sz w:val="22"/>
        </w:rPr>
        <w:t>Σε επίπεδο χαρτοφυλακίων, τα ΜΕΔ των νοικοκυριών και των επιχειρήσεων παρουσίασαν αποκλίνουσες τάσεις το 2025. Συγκεκριμένα, ενώ το επιχειρηματικό χαρτοφυλάκιο κατέ-γραψε</w:t>
      </w:r>
      <w:r>
        <w:rPr>
          <w:spacing w:val="-5"/>
          <w:sz w:val="22"/>
        </w:rPr>
        <w:t> </w:t>
      </w:r>
      <w:r>
        <w:rPr>
          <w:sz w:val="22"/>
        </w:rPr>
        <w:t>τη</w:t>
      </w:r>
      <w:r>
        <w:rPr>
          <w:spacing w:val="-9"/>
          <w:sz w:val="22"/>
        </w:rPr>
        <w:t> </w:t>
      </w:r>
      <w:r>
        <w:rPr>
          <w:sz w:val="22"/>
        </w:rPr>
        <w:t>σημαντικότερη</w:t>
      </w:r>
      <w:r>
        <w:rPr>
          <w:spacing w:val="-6"/>
          <w:sz w:val="22"/>
        </w:rPr>
        <w:t> </w:t>
      </w:r>
      <w:r>
        <w:rPr>
          <w:sz w:val="22"/>
        </w:rPr>
        <w:t>μείωση</w:t>
      </w:r>
      <w:r>
        <w:rPr>
          <w:spacing w:val="-9"/>
          <w:sz w:val="22"/>
        </w:rPr>
        <w:t> </w:t>
      </w:r>
      <w:r>
        <w:rPr>
          <w:sz w:val="22"/>
        </w:rPr>
        <w:t>(-15,2%</w:t>
      </w:r>
      <w:r>
        <w:rPr>
          <w:spacing w:val="-5"/>
          <w:sz w:val="22"/>
        </w:rPr>
        <w:t> </w:t>
      </w:r>
      <w:r>
        <w:rPr>
          <w:sz w:val="22"/>
        </w:rPr>
        <w:t>ή</w:t>
      </w:r>
      <w:r>
        <w:rPr>
          <w:spacing w:val="-6"/>
          <w:sz w:val="22"/>
        </w:rPr>
        <w:t> </w:t>
      </w:r>
      <w:r>
        <w:rPr>
          <w:sz w:val="22"/>
        </w:rPr>
        <w:t>550</w:t>
      </w:r>
      <w:r>
        <w:rPr>
          <w:spacing w:val="-6"/>
          <w:sz w:val="22"/>
        </w:rPr>
        <w:t> </w:t>
      </w:r>
      <w:r>
        <w:rPr>
          <w:sz w:val="22"/>
        </w:rPr>
        <w:t>εκατ.</w:t>
      </w:r>
      <w:r>
        <w:rPr>
          <w:spacing w:val="-9"/>
          <w:sz w:val="22"/>
        </w:rPr>
        <w:t> </w:t>
      </w:r>
      <w:r>
        <w:rPr>
          <w:sz w:val="22"/>
        </w:rPr>
        <w:t>ευρώ),</w:t>
      </w:r>
      <w:r>
        <w:rPr>
          <w:spacing w:val="-6"/>
          <w:sz w:val="22"/>
        </w:rPr>
        <w:t> </w:t>
      </w:r>
      <w:r>
        <w:rPr>
          <w:sz w:val="22"/>
        </w:rPr>
        <w:t>η</w:t>
      </w:r>
      <w:r>
        <w:rPr>
          <w:spacing w:val="-6"/>
          <w:sz w:val="22"/>
        </w:rPr>
        <w:t> </w:t>
      </w:r>
      <w:r>
        <w:rPr>
          <w:sz w:val="22"/>
        </w:rPr>
        <w:t>οποία</w:t>
      </w:r>
      <w:r>
        <w:rPr>
          <w:spacing w:val="-6"/>
          <w:sz w:val="22"/>
        </w:rPr>
        <w:t> </w:t>
      </w:r>
      <w:r>
        <w:rPr>
          <w:sz w:val="22"/>
        </w:rPr>
        <w:t>εντοπίστηκε</w:t>
      </w:r>
      <w:r>
        <w:rPr>
          <w:spacing w:val="-8"/>
          <w:sz w:val="22"/>
        </w:rPr>
        <w:t> </w:t>
      </w:r>
      <w:r>
        <w:rPr>
          <w:sz w:val="22"/>
        </w:rPr>
        <w:t>στα</w:t>
      </w:r>
      <w:r>
        <w:rPr>
          <w:spacing w:val="-7"/>
          <w:sz w:val="22"/>
        </w:rPr>
        <w:t> </w:t>
      </w:r>
      <w:r>
        <w:rPr>
          <w:sz w:val="22"/>
        </w:rPr>
        <w:t>δάνεια μεγάλων</w:t>
      </w:r>
      <w:r>
        <w:rPr>
          <w:spacing w:val="-4"/>
          <w:sz w:val="22"/>
        </w:rPr>
        <w:t> </w:t>
      </w:r>
      <w:r>
        <w:rPr>
          <w:sz w:val="22"/>
        </w:rPr>
        <w:t>επιχειρήσεων</w:t>
      </w:r>
      <w:r>
        <w:rPr>
          <w:spacing w:val="-6"/>
          <w:sz w:val="22"/>
        </w:rPr>
        <w:t> </w:t>
      </w:r>
      <w:r>
        <w:rPr>
          <w:sz w:val="22"/>
        </w:rPr>
        <w:t>(-35,5%</w:t>
      </w:r>
      <w:r>
        <w:rPr>
          <w:spacing w:val="-4"/>
          <w:sz w:val="22"/>
        </w:rPr>
        <w:t> </w:t>
      </w:r>
      <w:r>
        <w:rPr>
          <w:sz w:val="22"/>
        </w:rPr>
        <w:t>ή</w:t>
      </w:r>
      <w:r>
        <w:rPr>
          <w:spacing w:val="-5"/>
          <w:sz w:val="22"/>
        </w:rPr>
        <w:t> </w:t>
      </w:r>
      <w:r>
        <w:rPr>
          <w:sz w:val="22"/>
        </w:rPr>
        <w:t>427</w:t>
      </w:r>
      <w:r>
        <w:rPr>
          <w:spacing w:val="-5"/>
          <w:sz w:val="22"/>
        </w:rPr>
        <w:t> </w:t>
      </w:r>
      <w:r>
        <w:rPr>
          <w:sz w:val="22"/>
        </w:rPr>
        <w:t>εκατ.</w:t>
      </w:r>
      <w:r>
        <w:rPr>
          <w:spacing w:val="-8"/>
          <w:sz w:val="22"/>
        </w:rPr>
        <w:t> </w:t>
      </w:r>
      <w:r>
        <w:rPr>
          <w:sz w:val="22"/>
        </w:rPr>
        <w:t>ευρώ)</w:t>
      </w:r>
      <w:r>
        <w:rPr>
          <w:spacing w:val="-4"/>
          <w:sz w:val="22"/>
        </w:rPr>
        <w:t> </w:t>
      </w:r>
      <w:r>
        <w:rPr>
          <w:sz w:val="22"/>
        </w:rPr>
        <w:t>και</w:t>
      </w:r>
      <w:r>
        <w:rPr>
          <w:spacing w:val="-9"/>
          <w:sz w:val="22"/>
        </w:rPr>
        <w:t> </w:t>
      </w:r>
      <w:r>
        <w:rPr>
          <w:sz w:val="22"/>
        </w:rPr>
        <w:t>στις</w:t>
      </w:r>
      <w:r>
        <w:rPr>
          <w:spacing w:val="-5"/>
          <w:sz w:val="22"/>
        </w:rPr>
        <w:t> </w:t>
      </w:r>
      <w:r>
        <w:rPr>
          <w:sz w:val="22"/>
        </w:rPr>
        <w:t>μικρομεσαίες</w:t>
      </w:r>
      <w:r>
        <w:rPr>
          <w:spacing w:val="-6"/>
          <w:sz w:val="22"/>
        </w:rPr>
        <w:t> </w:t>
      </w:r>
      <w:r>
        <w:rPr>
          <w:sz w:val="22"/>
        </w:rPr>
        <w:t>επιχειρήσεις</w:t>
      </w:r>
      <w:r>
        <w:rPr>
          <w:spacing w:val="-8"/>
          <w:sz w:val="22"/>
        </w:rPr>
        <w:t> </w:t>
      </w:r>
      <w:r>
        <w:rPr>
          <w:sz w:val="22"/>
        </w:rPr>
        <w:t>(-9,2%</w:t>
      </w:r>
    </w:p>
    <w:p>
      <w:pPr>
        <w:pStyle w:val="BodyText"/>
        <w:spacing w:before="42"/>
        <w:rPr>
          <w:sz w:val="20"/>
        </w:rPr>
      </w:pPr>
      <w:r>
        <w:rPr>
          <w:sz w:val="20"/>
        </w:rPr>
        <mc:AlternateContent>
          <mc:Choice Requires="wps">
            <w:drawing>
              <wp:anchor distT="0" distB="0" distL="0" distR="0" allowOverlap="1" layoutInCell="1" locked="0" behindDoc="1" simplePos="0" relativeHeight="487621120">
                <wp:simplePos x="0" y="0"/>
                <wp:positionH relativeFrom="page">
                  <wp:posOffset>1009192</wp:posOffset>
                </wp:positionH>
                <wp:positionV relativeFrom="paragraph">
                  <wp:posOffset>188441</wp:posOffset>
                </wp:positionV>
                <wp:extent cx="1829435" cy="7620"/>
                <wp:effectExtent l="0" t="0" r="0" b="0"/>
                <wp:wrapTopAndBottom/>
                <wp:docPr id="262" name="Graphic 262"/>
                <wp:cNvGraphicFramePr>
                  <a:graphicFrameLocks/>
                </wp:cNvGraphicFramePr>
                <a:graphic>
                  <a:graphicData uri="http://schemas.microsoft.com/office/word/2010/wordprocessingShape">
                    <wps:wsp>
                      <wps:cNvPr id="262" name="Graphic 26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4.837893pt;width:144.020pt;height:.60004pt;mso-position-horizontal-relative:page;mso-position-vertical-relative:paragraph;z-index:-15695360;mso-wrap-distance-left:0;mso-wrap-distance-right:0" id="docshape240" filled="true" fillcolor="#000000" stroked="false">
                <v:fill type="solid"/>
                <w10:wrap type="topAndBottom"/>
              </v:rect>
            </w:pict>
          </mc:Fallback>
        </mc:AlternateContent>
      </w:r>
    </w:p>
    <w:p>
      <w:pPr>
        <w:spacing w:before="167"/>
        <w:ind w:left="172" w:right="956" w:firstLine="0"/>
        <w:jc w:val="left"/>
        <w:rPr>
          <w:sz w:val="16"/>
        </w:rPr>
      </w:pPr>
      <w:bookmarkStart w:name="_bookmark53" w:id="54"/>
      <w:bookmarkEnd w:id="54"/>
      <w:r>
        <w:rPr/>
      </w:r>
      <w:r>
        <w:rPr>
          <w:sz w:val="16"/>
          <w:vertAlign w:val="superscript"/>
        </w:rPr>
        <w:t>35</w:t>
      </w:r>
      <w:r>
        <w:rPr>
          <w:sz w:val="16"/>
          <w:vertAlign w:val="baseline"/>
        </w:rPr>
        <w:t> Στην Πράξη Εκτελεστικής Επιτροπής (ΠΕΕ) της Τράπεζας της Ελλάδος 175/2/29.7.2020 περιγράφονται ενδεικτικά οι δυνατοί</w:t>
      </w:r>
      <w:r>
        <w:rPr>
          <w:spacing w:val="40"/>
          <w:sz w:val="16"/>
          <w:vertAlign w:val="baseline"/>
        </w:rPr>
        <w:t> </w:t>
      </w:r>
      <w:r>
        <w:rPr>
          <w:sz w:val="16"/>
          <w:vertAlign w:val="baseline"/>
        </w:rPr>
        <w:t>τύποι ρυθμίσεων και οριστικών διευθετήσεων για τα εξυπηρετούμενα και τα μη εξυπηρετούμενα δάνεια.</w:t>
      </w:r>
    </w:p>
    <w:p>
      <w:pPr>
        <w:spacing w:after="0"/>
        <w:jc w:val="left"/>
        <w:rPr>
          <w:sz w:val="16"/>
        </w:rPr>
        <w:sectPr>
          <w:type w:val="continuous"/>
          <w:pgSz w:w="11910" w:h="16850"/>
          <w:pgMar w:header="0" w:footer="1108" w:top="1320" w:bottom="280" w:left="1417" w:right="850"/>
        </w:sectPr>
      </w:pPr>
    </w:p>
    <w:p>
      <w:pPr>
        <w:pStyle w:val="BodyText"/>
        <w:spacing w:line="285" w:lineRule="auto" w:before="66"/>
        <w:ind w:left="455" w:right="959"/>
        <w:jc w:val="both"/>
      </w:pPr>
      <w:r>
        <w:rPr/>
        <w:t>ή 131 εκατ. ευρώ), τα ΜΕΔ των νοικοκυριών σημείωσαν αύξηση κατά 10,2% (ή 240 εκατ. ευρώ), προερχόμενη κυρίως από τα στεγαστικά (177 εκατ. ευρώ) και λιγότερο από τα κατα-ναλωτικά δάνεια (63 εκατ. ευρώ) (βλ. Διάγραμμα ΙΙΙ.7).</w:t>
      </w:r>
    </w:p>
    <w:p>
      <w:pPr>
        <w:pStyle w:val="BodyText"/>
        <w:rPr>
          <w:sz w:val="5"/>
        </w:rPr>
      </w:pPr>
      <w:r>
        <w:rPr>
          <w:sz w:val="5"/>
        </w:rPr>
        <mc:AlternateContent>
          <mc:Choice Requires="wps">
            <w:drawing>
              <wp:anchor distT="0" distB="0" distL="0" distR="0" allowOverlap="1" layoutInCell="1" locked="0" behindDoc="1" simplePos="0" relativeHeight="487622144">
                <wp:simplePos x="0" y="0"/>
                <wp:positionH relativeFrom="page">
                  <wp:posOffset>1009192</wp:posOffset>
                </wp:positionH>
                <wp:positionV relativeFrom="paragraph">
                  <wp:posOffset>52366</wp:posOffset>
                </wp:positionV>
                <wp:extent cx="5400675" cy="338455"/>
                <wp:effectExtent l="0" t="0" r="0" b="0"/>
                <wp:wrapTopAndBottom/>
                <wp:docPr id="263" name="Textbox 263"/>
                <wp:cNvGraphicFramePr>
                  <a:graphicFrameLocks/>
                </wp:cNvGraphicFramePr>
                <a:graphic>
                  <a:graphicData uri="http://schemas.microsoft.com/office/word/2010/wordprocessingShape">
                    <wps:wsp>
                      <wps:cNvPr id="263" name="Textbox 263"/>
                      <wps:cNvSpPr txBox="1"/>
                      <wps:spPr>
                        <a:xfrm>
                          <a:off x="0" y="0"/>
                          <a:ext cx="5400675" cy="338455"/>
                        </a:xfrm>
                        <a:prstGeom prst="rect">
                          <a:avLst/>
                        </a:prstGeom>
                        <a:solidFill>
                          <a:srgbClr val="1F487C"/>
                        </a:solidFill>
                      </wps:spPr>
                      <wps:txbx>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2"/>
                                <w:sz w:val="18"/>
                              </w:rPr>
                              <w:t> </w:t>
                            </w:r>
                            <w:r>
                              <w:rPr>
                                <w:b/>
                                <w:smallCaps w:val="0"/>
                                <w:color w:val="FFFFFF"/>
                                <w:sz w:val="18"/>
                              </w:rPr>
                              <w:t>III.7Δ</w:t>
                            </w:r>
                            <w:r>
                              <w:rPr>
                                <w:b/>
                                <w:smallCaps/>
                                <w:color w:val="FFFFFF"/>
                                <w:sz w:val="18"/>
                              </w:rPr>
                              <w:t>ι</w:t>
                            </w:r>
                            <w:r>
                              <w:rPr>
                                <w:b/>
                                <w:smallCaps w:val="0"/>
                                <w:color w:val="FFFFFF"/>
                                <w:sz w:val="18"/>
                              </w:rPr>
                              <w:t>άρθρωση</w:t>
                            </w:r>
                            <w:r>
                              <w:rPr>
                                <w:b/>
                                <w:smallCaps w:val="0"/>
                                <w:color w:val="FFFFFF"/>
                                <w:spacing w:val="-2"/>
                                <w:sz w:val="18"/>
                              </w:rPr>
                              <w:t> </w:t>
                            </w:r>
                            <w:r>
                              <w:rPr>
                                <w:b/>
                                <w:smallCaps w:val="0"/>
                                <w:color w:val="FFFFFF"/>
                                <w:sz w:val="18"/>
                              </w:rPr>
                              <w:t>κα</w:t>
                            </w:r>
                            <w:r>
                              <w:rPr>
                                <w:b/>
                                <w:smallCaps/>
                                <w:color w:val="FFFFFF"/>
                                <w:sz w:val="18"/>
                              </w:rPr>
                              <w:t>ι</w:t>
                            </w:r>
                            <w:r>
                              <w:rPr>
                                <w:b/>
                                <w:smallCaps w:val="0"/>
                                <w:color w:val="FFFFFF"/>
                                <w:spacing w:val="-6"/>
                                <w:sz w:val="18"/>
                              </w:rPr>
                              <w:t> </w:t>
                            </w:r>
                            <w:r>
                              <w:rPr>
                                <w:b/>
                                <w:smallCaps w:val="0"/>
                                <w:color w:val="FFFFFF"/>
                                <w:sz w:val="18"/>
                              </w:rPr>
                              <w:t>μεταβολή</w:t>
                            </w:r>
                            <w:r>
                              <w:rPr>
                                <w:b/>
                                <w:smallCaps w:val="0"/>
                                <w:color w:val="FFFFFF"/>
                                <w:spacing w:val="-2"/>
                                <w:sz w:val="18"/>
                              </w:rPr>
                              <w:t> </w:t>
                            </w:r>
                            <w:r>
                              <w:rPr>
                                <w:b/>
                                <w:smallCaps w:val="0"/>
                                <w:color w:val="FFFFFF"/>
                                <w:sz w:val="18"/>
                              </w:rPr>
                              <w:t>των</w:t>
                            </w:r>
                            <w:r>
                              <w:rPr>
                                <w:b/>
                                <w:smallCaps w:val="0"/>
                                <w:color w:val="FFFFFF"/>
                                <w:spacing w:val="-4"/>
                                <w:sz w:val="18"/>
                              </w:rPr>
                              <w:t> </w:t>
                            </w:r>
                            <w:r>
                              <w:rPr>
                                <w:b/>
                                <w:smallCaps w:val="0"/>
                                <w:color w:val="FFFFFF"/>
                                <w:sz w:val="18"/>
                              </w:rPr>
                              <w:t>συνολ</w:t>
                            </w:r>
                            <w:r>
                              <w:rPr>
                                <w:b/>
                                <w:smallCaps/>
                                <w:color w:val="FFFFFF"/>
                                <w:sz w:val="18"/>
                              </w:rPr>
                              <w:t>ι</w:t>
                            </w:r>
                            <w:r>
                              <w:rPr>
                                <w:b/>
                                <w:smallCaps w:val="0"/>
                                <w:color w:val="FFFFFF"/>
                                <w:sz w:val="18"/>
                              </w:rPr>
                              <w:t>κών</w:t>
                            </w:r>
                            <w:r>
                              <w:rPr>
                                <w:b/>
                                <w:smallCaps w:val="0"/>
                                <w:color w:val="FFFFFF"/>
                                <w:spacing w:val="-2"/>
                                <w:sz w:val="18"/>
                              </w:rPr>
                              <w:t> </w:t>
                            </w:r>
                            <w:r>
                              <w:rPr>
                                <w:b/>
                                <w:smallCaps w:val="0"/>
                                <w:color w:val="FFFFFF"/>
                                <w:sz w:val="18"/>
                              </w:rPr>
                              <w:t>δανείων</w:t>
                            </w:r>
                            <w:r>
                              <w:rPr>
                                <w:b/>
                                <w:smallCaps w:val="0"/>
                                <w:color w:val="FFFFFF"/>
                                <w:spacing w:val="-2"/>
                                <w:sz w:val="18"/>
                              </w:rPr>
                              <w:t> </w:t>
                            </w:r>
                            <w:r>
                              <w:rPr>
                                <w:b/>
                                <w:smallCaps w:val="0"/>
                                <w:color w:val="FFFFFF"/>
                                <w:sz w:val="18"/>
                              </w:rPr>
                              <w:t>κα</w:t>
                            </w:r>
                            <w:r>
                              <w:rPr>
                                <w:b/>
                                <w:smallCaps/>
                                <w:color w:val="FFFFFF"/>
                                <w:sz w:val="18"/>
                              </w:rPr>
                              <w:t>ι</w:t>
                            </w:r>
                            <w:r>
                              <w:rPr>
                                <w:b/>
                                <w:smallCaps w:val="0"/>
                                <w:color w:val="FFFFFF"/>
                                <w:spacing w:val="-5"/>
                                <w:sz w:val="18"/>
                              </w:rPr>
                              <w:t> </w:t>
                            </w:r>
                            <w:r>
                              <w:rPr>
                                <w:b/>
                                <w:smallCaps w:val="0"/>
                                <w:color w:val="FFFFFF"/>
                                <w:sz w:val="18"/>
                              </w:rPr>
                              <w:t>των</w:t>
                            </w:r>
                            <w:r>
                              <w:rPr>
                                <w:b/>
                                <w:smallCaps w:val="0"/>
                                <w:color w:val="FFFFFF"/>
                                <w:spacing w:val="-4"/>
                                <w:sz w:val="18"/>
                              </w:rPr>
                              <w:t> </w:t>
                            </w:r>
                            <w:r>
                              <w:rPr>
                                <w:b/>
                                <w:smallCaps w:val="0"/>
                                <w:color w:val="FFFFFF"/>
                                <w:sz w:val="18"/>
                              </w:rPr>
                              <w:t>ΜΕΔ</w:t>
                            </w:r>
                            <w:r>
                              <w:rPr>
                                <w:b/>
                                <w:smallCaps w:val="0"/>
                                <w:color w:val="FFFFFF"/>
                                <w:spacing w:val="-5"/>
                                <w:sz w:val="18"/>
                              </w:rPr>
                              <w:t> </w:t>
                            </w:r>
                            <w:r>
                              <w:rPr>
                                <w:b/>
                                <w:smallCaps w:val="0"/>
                                <w:color w:val="FFFFFF"/>
                                <w:sz w:val="18"/>
                              </w:rPr>
                              <w:t>των</w:t>
                            </w:r>
                            <w:r>
                              <w:rPr>
                                <w:b/>
                                <w:smallCaps w:val="0"/>
                                <w:color w:val="FFFFFF"/>
                                <w:spacing w:val="-2"/>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2"/>
                                <w:sz w:val="18"/>
                              </w:rPr>
                              <w:t> </w:t>
                            </w:r>
                            <w:r>
                              <w:rPr>
                                <w:b/>
                                <w:smallCaps w:val="0"/>
                                <w:color w:val="FFFFFF"/>
                                <w:sz w:val="18"/>
                              </w:rPr>
                              <w:t>εμπορ</w:t>
                            </w:r>
                            <w:r>
                              <w:rPr>
                                <w:b/>
                                <w:smallCaps/>
                                <w:color w:val="FFFFFF"/>
                                <w:sz w:val="18"/>
                              </w:rPr>
                              <w:t>ι</w:t>
                            </w:r>
                            <w:r>
                              <w:rPr>
                                <w:b/>
                                <w:smallCaps w:val="0"/>
                                <w:color w:val="FFFFFF"/>
                                <w:sz w:val="18"/>
                              </w:rPr>
                              <w:t>κών τραπεζών ανά χαρτοφυλάκ</w:t>
                            </w:r>
                            <w:r>
                              <w:rPr>
                                <w:b/>
                                <w:smallCaps/>
                                <w:color w:val="FFFFFF"/>
                                <w:sz w:val="18"/>
                              </w:rPr>
                              <w:t>ιο</w:t>
                            </w:r>
                            <w:r>
                              <w:rPr>
                                <w:b/>
                                <w:smallCaps w:val="0"/>
                                <w:color w:val="FFFFFF"/>
                                <w:sz w:val="18"/>
                              </w:rPr>
                              <w:t> το 2025</w:t>
                            </w:r>
                          </w:p>
                        </w:txbxContent>
                      </wps:txbx>
                      <wps:bodyPr wrap="square" lIns="0" tIns="0" rIns="0" bIns="0" rtlCol="0">
                        <a:noAutofit/>
                      </wps:bodyPr>
                    </wps:wsp>
                  </a:graphicData>
                </a:graphic>
              </wp:anchor>
            </w:drawing>
          </mc:Choice>
          <mc:Fallback>
            <w:pict>
              <v:shape style="position:absolute;margin-left:79.463997pt;margin-top:4.123335pt;width:425.25pt;height:26.65pt;mso-position-horizontal-relative:page;mso-position-vertical-relative:paragraph;z-index:-15694336;mso-wrap-distance-left:0;mso-wrap-distance-right:0" type="#_x0000_t202" id="docshape241" filled="true" fillcolor="#1f487c" stroked="false">
                <v:textbox inset="0,0,0,0">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2"/>
                          <w:sz w:val="18"/>
                        </w:rPr>
                        <w:t> </w:t>
                      </w:r>
                      <w:r>
                        <w:rPr>
                          <w:b/>
                          <w:smallCaps w:val="0"/>
                          <w:color w:val="FFFFFF"/>
                          <w:sz w:val="18"/>
                        </w:rPr>
                        <w:t>III.7Δ</w:t>
                      </w:r>
                      <w:r>
                        <w:rPr>
                          <w:b/>
                          <w:smallCaps/>
                          <w:color w:val="FFFFFF"/>
                          <w:sz w:val="18"/>
                        </w:rPr>
                        <w:t>ι</w:t>
                      </w:r>
                      <w:r>
                        <w:rPr>
                          <w:b/>
                          <w:smallCaps w:val="0"/>
                          <w:color w:val="FFFFFF"/>
                          <w:sz w:val="18"/>
                        </w:rPr>
                        <w:t>άρθρωση</w:t>
                      </w:r>
                      <w:r>
                        <w:rPr>
                          <w:b/>
                          <w:smallCaps w:val="0"/>
                          <w:color w:val="FFFFFF"/>
                          <w:spacing w:val="-2"/>
                          <w:sz w:val="18"/>
                        </w:rPr>
                        <w:t> </w:t>
                      </w:r>
                      <w:r>
                        <w:rPr>
                          <w:b/>
                          <w:smallCaps w:val="0"/>
                          <w:color w:val="FFFFFF"/>
                          <w:sz w:val="18"/>
                        </w:rPr>
                        <w:t>κα</w:t>
                      </w:r>
                      <w:r>
                        <w:rPr>
                          <w:b/>
                          <w:smallCaps/>
                          <w:color w:val="FFFFFF"/>
                          <w:sz w:val="18"/>
                        </w:rPr>
                        <w:t>ι</w:t>
                      </w:r>
                      <w:r>
                        <w:rPr>
                          <w:b/>
                          <w:smallCaps w:val="0"/>
                          <w:color w:val="FFFFFF"/>
                          <w:spacing w:val="-6"/>
                          <w:sz w:val="18"/>
                        </w:rPr>
                        <w:t> </w:t>
                      </w:r>
                      <w:r>
                        <w:rPr>
                          <w:b/>
                          <w:smallCaps w:val="0"/>
                          <w:color w:val="FFFFFF"/>
                          <w:sz w:val="18"/>
                        </w:rPr>
                        <w:t>μεταβολή</w:t>
                      </w:r>
                      <w:r>
                        <w:rPr>
                          <w:b/>
                          <w:smallCaps w:val="0"/>
                          <w:color w:val="FFFFFF"/>
                          <w:spacing w:val="-2"/>
                          <w:sz w:val="18"/>
                        </w:rPr>
                        <w:t> </w:t>
                      </w:r>
                      <w:r>
                        <w:rPr>
                          <w:b/>
                          <w:smallCaps w:val="0"/>
                          <w:color w:val="FFFFFF"/>
                          <w:sz w:val="18"/>
                        </w:rPr>
                        <w:t>των</w:t>
                      </w:r>
                      <w:r>
                        <w:rPr>
                          <w:b/>
                          <w:smallCaps w:val="0"/>
                          <w:color w:val="FFFFFF"/>
                          <w:spacing w:val="-4"/>
                          <w:sz w:val="18"/>
                        </w:rPr>
                        <w:t> </w:t>
                      </w:r>
                      <w:r>
                        <w:rPr>
                          <w:b/>
                          <w:smallCaps w:val="0"/>
                          <w:color w:val="FFFFFF"/>
                          <w:sz w:val="18"/>
                        </w:rPr>
                        <w:t>συνολ</w:t>
                      </w:r>
                      <w:r>
                        <w:rPr>
                          <w:b/>
                          <w:smallCaps/>
                          <w:color w:val="FFFFFF"/>
                          <w:sz w:val="18"/>
                        </w:rPr>
                        <w:t>ι</w:t>
                      </w:r>
                      <w:r>
                        <w:rPr>
                          <w:b/>
                          <w:smallCaps w:val="0"/>
                          <w:color w:val="FFFFFF"/>
                          <w:sz w:val="18"/>
                        </w:rPr>
                        <w:t>κών</w:t>
                      </w:r>
                      <w:r>
                        <w:rPr>
                          <w:b/>
                          <w:smallCaps w:val="0"/>
                          <w:color w:val="FFFFFF"/>
                          <w:spacing w:val="-2"/>
                          <w:sz w:val="18"/>
                        </w:rPr>
                        <w:t> </w:t>
                      </w:r>
                      <w:r>
                        <w:rPr>
                          <w:b/>
                          <w:smallCaps w:val="0"/>
                          <w:color w:val="FFFFFF"/>
                          <w:sz w:val="18"/>
                        </w:rPr>
                        <w:t>δανείων</w:t>
                      </w:r>
                      <w:r>
                        <w:rPr>
                          <w:b/>
                          <w:smallCaps w:val="0"/>
                          <w:color w:val="FFFFFF"/>
                          <w:spacing w:val="-2"/>
                          <w:sz w:val="18"/>
                        </w:rPr>
                        <w:t> </w:t>
                      </w:r>
                      <w:r>
                        <w:rPr>
                          <w:b/>
                          <w:smallCaps w:val="0"/>
                          <w:color w:val="FFFFFF"/>
                          <w:sz w:val="18"/>
                        </w:rPr>
                        <w:t>κα</w:t>
                      </w:r>
                      <w:r>
                        <w:rPr>
                          <w:b/>
                          <w:smallCaps/>
                          <w:color w:val="FFFFFF"/>
                          <w:sz w:val="18"/>
                        </w:rPr>
                        <w:t>ι</w:t>
                      </w:r>
                      <w:r>
                        <w:rPr>
                          <w:b/>
                          <w:smallCaps w:val="0"/>
                          <w:color w:val="FFFFFF"/>
                          <w:spacing w:val="-5"/>
                          <w:sz w:val="18"/>
                        </w:rPr>
                        <w:t> </w:t>
                      </w:r>
                      <w:r>
                        <w:rPr>
                          <w:b/>
                          <w:smallCaps w:val="0"/>
                          <w:color w:val="FFFFFF"/>
                          <w:sz w:val="18"/>
                        </w:rPr>
                        <w:t>των</w:t>
                      </w:r>
                      <w:r>
                        <w:rPr>
                          <w:b/>
                          <w:smallCaps w:val="0"/>
                          <w:color w:val="FFFFFF"/>
                          <w:spacing w:val="-4"/>
                          <w:sz w:val="18"/>
                        </w:rPr>
                        <w:t> </w:t>
                      </w:r>
                      <w:r>
                        <w:rPr>
                          <w:b/>
                          <w:smallCaps w:val="0"/>
                          <w:color w:val="FFFFFF"/>
                          <w:sz w:val="18"/>
                        </w:rPr>
                        <w:t>ΜΕΔ</w:t>
                      </w:r>
                      <w:r>
                        <w:rPr>
                          <w:b/>
                          <w:smallCaps w:val="0"/>
                          <w:color w:val="FFFFFF"/>
                          <w:spacing w:val="-5"/>
                          <w:sz w:val="18"/>
                        </w:rPr>
                        <w:t> </w:t>
                      </w:r>
                      <w:r>
                        <w:rPr>
                          <w:b/>
                          <w:smallCaps w:val="0"/>
                          <w:color w:val="FFFFFF"/>
                          <w:sz w:val="18"/>
                        </w:rPr>
                        <w:t>των</w:t>
                      </w:r>
                      <w:r>
                        <w:rPr>
                          <w:b/>
                          <w:smallCaps w:val="0"/>
                          <w:color w:val="FFFFFF"/>
                          <w:spacing w:val="-2"/>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2"/>
                          <w:sz w:val="18"/>
                        </w:rPr>
                        <w:t> </w:t>
                      </w:r>
                      <w:r>
                        <w:rPr>
                          <w:b/>
                          <w:smallCaps w:val="0"/>
                          <w:color w:val="FFFFFF"/>
                          <w:sz w:val="18"/>
                        </w:rPr>
                        <w:t>εμπορ</w:t>
                      </w:r>
                      <w:r>
                        <w:rPr>
                          <w:b/>
                          <w:smallCaps/>
                          <w:color w:val="FFFFFF"/>
                          <w:sz w:val="18"/>
                        </w:rPr>
                        <w:t>ι</w:t>
                      </w:r>
                      <w:r>
                        <w:rPr>
                          <w:b/>
                          <w:smallCaps w:val="0"/>
                          <w:color w:val="FFFFFF"/>
                          <w:sz w:val="18"/>
                        </w:rPr>
                        <w:t>κών τραπεζών ανά χαρτοφυλάκ</w:t>
                      </w:r>
                      <w:r>
                        <w:rPr>
                          <w:b/>
                          <w:smallCaps/>
                          <w:color w:val="FFFFFF"/>
                          <w:sz w:val="18"/>
                        </w:rPr>
                        <w:t>ιο</w:t>
                      </w:r>
                      <w:r>
                        <w:rPr>
                          <w:b/>
                          <w:smallCaps w:val="0"/>
                          <w:color w:val="FFFFFF"/>
                          <w:sz w:val="18"/>
                        </w:rPr>
                        <w:t> το 2025</w:t>
                      </w:r>
                    </w:p>
                  </w:txbxContent>
                </v:textbox>
                <v:fill type="solid"/>
                <w10:wrap type="topAndBottom"/>
              </v:shape>
            </w:pict>
          </mc:Fallback>
        </mc:AlternateContent>
      </w:r>
    </w:p>
    <w:p>
      <w:pPr>
        <w:spacing w:before="119" w:after="61"/>
        <w:ind w:left="229" w:right="0" w:firstLine="0"/>
        <w:jc w:val="left"/>
        <w:rPr>
          <w:sz w:val="14"/>
        </w:rPr>
      </w:pPr>
      <w:r>
        <w:rPr>
          <w:color w:val="1F487C"/>
          <w:sz w:val="14"/>
        </w:rPr>
        <w:t>(δισεκ.</w:t>
      </w:r>
      <w:r>
        <w:rPr>
          <w:color w:val="1F487C"/>
          <w:spacing w:val="-4"/>
          <w:sz w:val="14"/>
        </w:rPr>
        <w:t> </w:t>
      </w:r>
      <w:r>
        <w:rPr>
          <w:color w:val="1F487C"/>
          <w:sz w:val="14"/>
        </w:rPr>
        <w:t>ευρώ,</w:t>
      </w:r>
      <w:r>
        <w:rPr>
          <w:color w:val="1F487C"/>
          <w:spacing w:val="-4"/>
          <w:sz w:val="14"/>
        </w:rPr>
        <w:t> </w:t>
      </w:r>
      <w:r>
        <w:rPr>
          <w:color w:val="1F487C"/>
          <w:sz w:val="14"/>
        </w:rPr>
        <w:t>ποσοστά</w:t>
      </w:r>
      <w:r>
        <w:rPr>
          <w:color w:val="1F487C"/>
          <w:spacing w:val="-7"/>
          <w:sz w:val="14"/>
        </w:rPr>
        <w:t> </w:t>
      </w:r>
      <w:r>
        <w:rPr>
          <w:color w:val="1F487C"/>
          <w:spacing w:val="-5"/>
          <w:sz w:val="14"/>
        </w:rPr>
        <w:t>%)</w:t>
      </w:r>
    </w:p>
    <w:p>
      <w:pPr>
        <w:spacing w:line="240" w:lineRule="auto"/>
        <w:ind w:left="171" w:right="0" w:firstLine="0"/>
        <w:rPr>
          <w:sz w:val="20"/>
        </w:rPr>
      </w:pPr>
      <w:r>
        <w:rPr>
          <w:sz w:val="20"/>
        </w:rPr>
        <mc:AlternateContent>
          <mc:Choice Requires="wps">
            <w:drawing>
              <wp:inline distT="0" distB="0" distL="0" distR="0">
                <wp:extent cx="5401310" cy="6275705"/>
                <wp:effectExtent l="0" t="0" r="0" b="1270"/>
                <wp:docPr id="264" name="Group 264"/>
                <wp:cNvGraphicFramePr>
                  <a:graphicFrameLocks/>
                </wp:cNvGraphicFramePr>
                <a:graphic>
                  <a:graphicData uri="http://schemas.microsoft.com/office/word/2010/wordprocessingGroup">
                    <wpg:wgp>
                      <wpg:cNvPr id="264" name="Group 264"/>
                      <wpg:cNvGrpSpPr/>
                      <wpg:grpSpPr>
                        <a:xfrm>
                          <a:off x="0" y="0"/>
                          <a:ext cx="5401310" cy="6275705"/>
                          <a:chExt cx="5401310" cy="6275705"/>
                        </a:xfrm>
                      </wpg:grpSpPr>
                      <wps:wsp>
                        <wps:cNvPr id="265" name="Graphic 265"/>
                        <wps:cNvSpPr/>
                        <wps:spPr>
                          <a:xfrm>
                            <a:off x="304" y="0"/>
                            <a:ext cx="5400675" cy="6059170"/>
                          </a:xfrm>
                          <a:custGeom>
                            <a:avLst/>
                            <a:gdLst/>
                            <a:ahLst/>
                            <a:cxnLst/>
                            <a:rect l="l" t="t" r="r" b="b"/>
                            <a:pathLst>
                              <a:path w="5400675" h="6059170">
                                <a:moveTo>
                                  <a:pt x="5400421" y="0"/>
                                </a:moveTo>
                                <a:lnTo>
                                  <a:pt x="0" y="0"/>
                                </a:lnTo>
                                <a:lnTo>
                                  <a:pt x="0" y="6058789"/>
                                </a:lnTo>
                                <a:lnTo>
                                  <a:pt x="5400421" y="6058789"/>
                                </a:lnTo>
                                <a:lnTo>
                                  <a:pt x="5400421" y="0"/>
                                </a:lnTo>
                                <a:close/>
                              </a:path>
                            </a:pathLst>
                          </a:custGeom>
                          <a:solidFill>
                            <a:srgbClr val="D9D9D9"/>
                          </a:solidFill>
                        </wps:spPr>
                        <wps:bodyPr wrap="square" lIns="0" tIns="0" rIns="0" bIns="0" rtlCol="0">
                          <a:prstTxWarp prst="textNoShape">
                            <a:avLst/>
                          </a:prstTxWarp>
                          <a:noAutofit/>
                        </wps:bodyPr>
                      </wps:wsp>
                      <wps:wsp>
                        <wps:cNvPr id="266" name="Graphic 266"/>
                        <wps:cNvSpPr/>
                        <wps:spPr>
                          <a:xfrm>
                            <a:off x="0" y="6052258"/>
                            <a:ext cx="5396865" cy="2540"/>
                          </a:xfrm>
                          <a:custGeom>
                            <a:avLst/>
                            <a:gdLst/>
                            <a:ahLst/>
                            <a:cxnLst/>
                            <a:rect l="l" t="t" r="r" b="b"/>
                            <a:pathLst>
                              <a:path w="5396865" h="2540">
                                <a:moveTo>
                                  <a:pt x="5396863" y="0"/>
                                </a:moveTo>
                                <a:lnTo>
                                  <a:pt x="0" y="0"/>
                                </a:lnTo>
                                <a:lnTo>
                                  <a:pt x="0" y="2349"/>
                                </a:lnTo>
                                <a:lnTo>
                                  <a:pt x="5396863" y="2339"/>
                                </a:lnTo>
                                <a:lnTo>
                                  <a:pt x="5396863" y="0"/>
                                </a:lnTo>
                                <a:close/>
                              </a:path>
                            </a:pathLst>
                          </a:custGeom>
                          <a:solidFill>
                            <a:srgbClr val="DDD9C3"/>
                          </a:solidFill>
                        </wps:spPr>
                        <wps:bodyPr wrap="square" lIns="0" tIns="0" rIns="0" bIns="0" rtlCol="0">
                          <a:prstTxWarp prst="textNoShape">
                            <a:avLst/>
                          </a:prstTxWarp>
                          <a:noAutofit/>
                        </wps:bodyPr>
                      </wps:wsp>
                      <wps:wsp>
                        <wps:cNvPr id="267" name="Graphic 267"/>
                        <wps:cNvSpPr/>
                        <wps:spPr>
                          <a:xfrm>
                            <a:off x="5394459" y="6052258"/>
                            <a:ext cx="2540" cy="2540"/>
                          </a:xfrm>
                          <a:custGeom>
                            <a:avLst/>
                            <a:gdLst/>
                            <a:ahLst/>
                            <a:cxnLst/>
                            <a:rect l="l" t="t" r="r" b="b"/>
                            <a:pathLst>
                              <a:path w="2540" h="2540">
                                <a:moveTo>
                                  <a:pt x="2404" y="0"/>
                                </a:moveTo>
                                <a:lnTo>
                                  <a:pt x="0" y="0"/>
                                </a:lnTo>
                                <a:lnTo>
                                  <a:pt x="0" y="2339"/>
                                </a:lnTo>
                                <a:lnTo>
                                  <a:pt x="2404" y="2339"/>
                                </a:lnTo>
                                <a:lnTo>
                                  <a:pt x="2404"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2772028" y="666667"/>
                            <a:ext cx="471170" cy="713105"/>
                          </a:xfrm>
                          <a:custGeom>
                            <a:avLst/>
                            <a:gdLst/>
                            <a:ahLst/>
                            <a:cxnLst/>
                            <a:rect l="l" t="t" r="r" b="b"/>
                            <a:pathLst>
                              <a:path w="471170" h="713105">
                                <a:moveTo>
                                  <a:pt x="0" y="0"/>
                                </a:moveTo>
                                <a:lnTo>
                                  <a:pt x="0" y="460227"/>
                                </a:lnTo>
                                <a:lnTo>
                                  <a:pt x="393571" y="713006"/>
                                </a:lnTo>
                                <a:lnTo>
                                  <a:pt x="421013" y="666519"/>
                                </a:lnTo>
                                <a:lnTo>
                                  <a:pt x="442639" y="617478"/>
                                </a:lnTo>
                                <a:lnTo>
                                  <a:pt x="458285" y="566402"/>
                                </a:lnTo>
                                <a:lnTo>
                                  <a:pt x="467792" y="513811"/>
                                </a:lnTo>
                                <a:lnTo>
                                  <a:pt x="470996" y="460227"/>
                                </a:lnTo>
                                <a:lnTo>
                                  <a:pt x="468565" y="413170"/>
                                </a:lnTo>
                                <a:lnTo>
                                  <a:pt x="461428" y="367472"/>
                                </a:lnTo>
                                <a:lnTo>
                                  <a:pt x="449822" y="323365"/>
                                </a:lnTo>
                                <a:lnTo>
                                  <a:pt x="433985" y="281081"/>
                                </a:lnTo>
                                <a:lnTo>
                                  <a:pt x="414152" y="240850"/>
                                </a:lnTo>
                                <a:lnTo>
                                  <a:pt x="390561" y="202904"/>
                                </a:lnTo>
                                <a:lnTo>
                                  <a:pt x="363448" y="167475"/>
                                </a:lnTo>
                                <a:lnTo>
                                  <a:pt x="333049" y="134793"/>
                                </a:lnTo>
                                <a:lnTo>
                                  <a:pt x="299602" y="105089"/>
                                </a:lnTo>
                                <a:lnTo>
                                  <a:pt x="263344" y="78596"/>
                                </a:lnTo>
                                <a:lnTo>
                                  <a:pt x="224510" y="55544"/>
                                </a:lnTo>
                                <a:lnTo>
                                  <a:pt x="183338" y="36165"/>
                                </a:lnTo>
                                <a:lnTo>
                                  <a:pt x="140064" y="20689"/>
                                </a:lnTo>
                                <a:lnTo>
                                  <a:pt x="94925" y="9349"/>
                                </a:lnTo>
                                <a:lnTo>
                                  <a:pt x="48158" y="2375"/>
                                </a:lnTo>
                                <a:lnTo>
                                  <a:pt x="0" y="0"/>
                                </a:lnTo>
                                <a:close/>
                              </a:path>
                            </a:pathLst>
                          </a:custGeom>
                          <a:solidFill>
                            <a:srgbClr val="4966AC"/>
                          </a:solidFill>
                        </wps:spPr>
                        <wps:bodyPr wrap="square" lIns="0" tIns="0" rIns="0" bIns="0" rtlCol="0">
                          <a:prstTxWarp prst="textNoShape">
                            <a:avLst/>
                          </a:prstTxWarp>
                          <a:noAutofit/>
                        </wps:bodyPr>
                      </wps:wsp>
                      <wps:wsp>
                        <wps:cNvPr id="269" name="Graphic 269"/>
                        <wps:cNvSpPr/>
                        <wps:spPr>
                          <a:xfrm>
                            <a:off x="2294907" y="1160540"/>
                            <a:ext cx="846455" cy="460375"/>
                          </a:xfrm>
                          <a:custGeom>
                            <a:avLst/>
                            <a:gdLst/>
                            <a:ahLst/>
                            <a:cxnLst/>
                            <a:rect l="l" t="t" r="r" b="b"/>
                            <a:pathLst>
                              <a:path w="846455" h="460375">
                                <a:moveTo>
                                  <a:pt x="452850" y="0"/>
                                </a:moveTo>
                                <a:lnTo>
                                  <a:pt x="0" y="126467"/>
                                </a:lnTo>
                                <a:lnTo>
                                  <a:pt x="15568" y="170957"/>
                                </a:lnTo>
                                <a:lnTo>
                                  <a:pt x="35555" y="213391"/>
                                </a:lnTo>
                                <a:lnTo>
                                  <a:pt x="59741" y="253480"/>
                                </a:lnTo>
                                <a:lnTo>
                                  <a:pt x="87910" y="290933"/>
                                </a:lnTo>
                                <a:lnTo>
                                  <a:pt x="119842" y="325459"/>
                                </a:lnTo>
                                <a:lnTo>
                                  <a:pt x="155319" y="356769"/>
                                </a:lnTo>
                                <a:lnTo>
                                  <a:pt x="194124" y="384572"/>
                                </a:lnTo>
                                <a:lnTo>
                                  <a:pt x="235701" y="408435"/>
                                </a:lnTo>
                                <a:lnTo>
                                  <a:pt x="278700" y="427710"/>
                                </a:lnTo>
                                <a:lnTo>
                                  <a:pt x="322794" y="442462"/>
                                </a:lnTo>
                                <a:lnTo>
                                  <a:pt x="367653" y="452757"/>
                                </a:lnTo>
                                <a:lnTo>
                                  <a:pt x="412951" y="458662"/>
                                </a:lnTo>
                                <a:lnTo>
                                  <a:pt x="458360" y="460244"/>
                                </a:lnTo>
                                <a:lnTo>
                                  <a:pt x="503551" y="457568"/>
                                </a:lnTo>
                                <a:lnTo>
                                  <a:pt x="548197" y="450700"/>
                                </a:lnTo>
                                <a:lnTo>
                                  <a:pt x="591970" y="439707"/>
                                </a:lnTo>
                                <a:lnTo>
                                  <a:pt x="634542" y="424655"/>
                                </a:lnTo>
                                <a:lnTo>
                                  <a:pt x="675585" y="405610"/>
                                </a:lnTo>
                                <a:lnTo>
                                  <a:pt x="714771" y="382638"/>
                                </a:lnTo>
                                <a:lnTo>
                                  <a:pt x="751773" y="355806"/>
                                </a:lnTo>
                                <a:lnTo>
                                  <a:pt x="786262" y="325180"/>
                                </a:lnTo>
                                <a:lnTo>
                                  <a:pt x="817910" y="290826"/>
                                </a:lnTo>
                                <a:lnTo>
                                  <a:pt x="846390" y="252810"/>
                                </a:lnTo>
                                <a:lnTo>
                                  <a:pt x="452850" y="0"/>
                                </a:lnTo>
                                <a:close/>
                              </a:path>
                            </a:pathLst>
                          </a:custGeom>
                          <a:solidFill>
                            <a:srgbClr val="297ED4"/>
                          </a:solidFill>
                        </wps:spPr>
                        <wps:bodyPr wrap="square" lIns="0" tIns="0" rIns="0" bIns="0" rtlCol="0">
                          <a:prstTxWarp prst="textNoShape">
                            <a:avLst/>
                          </a:prstTxWarp>
                          <a:noAutofit/>
                        </wps:bodyPr>
                      </wps:wsp>
                      <wps:wsp>
                        <wps:cNvPr id="270" name="Graphic 270"/>
                        <wps:cNvSpPr/>
                        <wps:spPr>
                          <a:xfrm>
                            <a:off x="2261525" y="663753"/>
                            <a:ext cx="471170" cy="586740"/>
                          </a:xfrm>
                          <a:custGeom>
                            <a:avLst/>
                            <a:gdLst/>
                            <a:ahLst/>
                            <a:cxnLst/>
                            <a:rect l="l" t="t" r="r" b="b"/>
                            <a:pathLst>
                              <a:path w="471170" h="586740">
                                <a:moveTo>
                                  <a:pt x="470972" y="0"/>
                                </a:moveTo>
                                <a:lnTo>
                                  <a:pt x="405633" y="4444"/>
                                </a:lnTo>
                                <a:lnTo>
                                  <a:pt x="341545" y="17699"/>
                                </a:lnTo>
                                <a:lnTo>
                                  <a:pt x="295912" y="32917"/>
                                </a:lnTo>
                                <a:lnTo>
                                  <a:pt x="252910" y="52181"/>
                                </a:lnTo>
                                <a:lnTo>
                                  <a:pt x="212701" y="75206"/>
                                </a:lnTo>
                                <a:lnTo>
                                  <a:pt x="175449" y="101706"/>
                                </a:lnTo>
                                <a:lnTo>
                                  <a:pt x="141314" y="131394"/>
                                </a:lnTo>
                                <a:lnTo>
                                  <a:pt x="110461" y="163986"/>
                                </a:lnTo>
                                <a:lnTo>
                                  <a:pt x="83051" y="199195"/>
                                </a:lnTo>
                                <a:lnTo>
                                  <a:pt x="59246" y="236735"/>
                                </a:lnTo>
                                <a:lnTo>
                                  <a:pt x="39210" y="276320"/>
                                </a:lnTo>
                                <a:lnTo>
                                  <a:pt x="23105" y="317665"/>
                                </a:lnTo>
                                <a:lnTo>
                                  <a:pt x="11093" y="360483"/>
                                </a:lnTo>
                                <a:lnTo>
                                  <a:pt x="3337" y="404488"/>
                                </a:lnTo>
                                <a:lnTo>
                                  <a:pt x="0" y="449394"/>
                                </a:lnTo>
                                <a:lnTo>
                                  <a:pt x="1243" y="494917"/>
                                </a:lnTo>
                                <a:lnTo>
                                  <a:pt x="7229" y="540768"/>
                                </a:lnTo>
                                <a:lnTo>
                                  <a:pt x="18121" y="586664"/>
                                </a:lnTo>
                                <a:lnTo>
                                  <a:pt x="470972" y="460196"/>
                                </a:lnTo>
                                <a:lnTo>
                                  <a:pt x="470972" y="0"/>
                                </a:lnTo>
                                <a:close/>
                              </a:path>
                            </a:pathLst>
                          </a:custGeom>
                          <a:solidFill>
                            <a:srgbClr val="5AA1AD"/>
                          </a:solidFill>
                        </wps:spPr>
                        <wps:bodyPr wrap="square" lIns="0" tIns="0" rIns="0" bIns="0" rtlCol="0">
                          <a:prstTxWarp prst="textNoShape">
                            <a:avLst/>
                          </a:prstTxWarp>
                          <a:noAutofit/>
                        </wps:bodyPr>
                      </wps:wsp>
                      <wps:wsp>
                        <wps:cNvPr id="271" name="Graphic 271"/>
                        <wps:cNvSpPr/>
                        <wps:spPr>
                          <a:xfrm>
                            <a:off x="2070229" y="846861"/>
                            <a:ext cx="1315720" cy="768350"/>
                          </a:xfrm>
                          <a:custGeom>
                            <a:avLst/>
                            <a:gdLst/>
                            <a:ahLst/>
                            <a:cxnLst/>
                            <a:rect l="l" t="t" r="r" b="b"/>
                            <a:pathLst>
                              <a:path w="1315720" h="768350">
                                <a:moveTo>
                                  <a:pt x="1115696" y="61088"/>
                                </a:moveTo>
                                <a:lnTo>
                                  <a:pt x="1300844" y="82233"/>
                                </a:lnTo>
                                <a:lnTo>
                                  <a:pt x="1315271" y="82233"/>
                                </a:lnTo>
                              </a:path>
                              <a:path w="1315720" h="768350">
                                <a:moveTo>
                                  <a:pt x="605938" y="768299"/>
                                </a:moveTo>
                                <a:lnTo>
                                  <a:pt x="28854" y="747153"/>
                                </a:lnTo>
                                <a:lnTo>
                                  <a:pt x="14427" y="747153"/>
                                </a:lnTo>
                              </a:path>
                              <a:path w="1315720" h="768350">
                                <a:moveTo>
                                  <a:pt x="286137" y="0"/>
                                </a:moveTo>
                                <a:lnTo>
                                  <a:pt x="14427" y="44641"/>
                                </a:lnTo>
                                <a:lnTo>
                                  <a:pt x="0" y="44641"/>
                                </a:lnTo>
                              </a:path>
                            </a:pathLst>
                          </a:custGeom>
                          <a:ln w="2377">
                            <a:solidFill>
                              <a:srgbClr val="A6A6A6"/>
                            </a:solidFill>
                            <a:prstDash val="solid"/>
                          </a:ln>
                        </wps:spPr>
                        <wps:bodyPr wrap="square" lIns="0" tIns="0" rIns="0" bIns="0" rtlCol="0">
                          <a:prstTxWarp prst="textNoShape">
                            <a:avLst/>
                          </a:prstTxWarp>
                          <a:noAutofit/>
                        </wps:bodyPr>
                      </wps:wsp>
                      <pic:pic>
                        <pic:nvPicPr>
                          <pic:cNvPr id="272" name="Image 272"/>
                          <pic:cNvPicPr/>
                        </pic:nvPicPr>
                        <pic:blipFill>
                          <a:blip r:embed="rId47" cstate="print"/>
                          <a:stretch>
                            <a:fillRect/>
                          </a:stretch>
                        </pic:blipFill>
                        <pic:spPr>
                          <a:xfrm>
                            <a:off x="236768" y="3498299"/>
                            <a:ext cx="1156573" cy="413518"/>
                          </a:xfrm>
                          <a:prstGeom prst="rect">
                            <a:avLst/>
                          </a:prstGeom>
                        </pic:spPr>
                      </pic:pic>
                      <pic:pic>
                        <pic:nvPicPr>
                          <pic:cNvPr id="273" name="Image 273"/>
                          <pic:cNvPicPr/>
                        </pic:nvPicPr>
                        <pic:blipFill>
                          <a:blip r:embed="rId48" cstate="print"/>
                          <a:stretch>
                            <a:fillRect/>
                          </a:stretch>
                        </pic:blipFill>
                        <pic:spPr>
                          <a:xfrm>
                            <a:off x="277645" y="3502998"/>
                            <a:ext cx="1074819" cy="204409"/>
                          </a:xfrm>
                          <a:prstGeom prst="rect">
                            <a:avLst/>
                          </a:prstGeom>
                        </pic:spPr>
                      </pic:pic>
                      <wps:wsp>
                        <wps:cNvPr id="274" name="Graphic 274"/>
                        <wps:cNvSpPr/>
                        <wps:spPr>
                          <a:xfrm>
                            <a:off x="251195" y="3507697"/>
                            <a:ext cx="1127760" cy="385445"/>
                          </a:xfrm>
                          <a:custGeom>
                            <a:avLst/>
                            <a:gdLst/>
                            <a:ahLst/>
                            <a:cxnLst/>
                            <a:rect l="l" t="t" r="r" b="b"/>
                            <a:pathLst>
                              <a:path w="1127760" h="385445">
                                <a:moveTo>
                                  <a:pt x="1040162" y="0"/>
                                </a:moveTo>
                                <a:lnTo>
                                  <a:pt x="87556" y="0"/>
                                </a:lnTo>
                                <a:lnTo>
                                  <a:pt x="53478" y="5047"/>
                                </a:lnTo>
                                <a:lnTo>
                                  <a:pt x="25646" y="18811"/>
                                </a:lnTo>
                                <a:lnTo>
                                  <a:pt x="6881" y="39225"/>
                                </a:lnTo>
                                <a:lnTo>
                                  <a:pt x="0" y="64220"/>
                                </a:lnTo>
                                <a:lnTo>
                                  <a:pt x="0" y="321103"/>
                                </a:lnTo>
                                <a:lnTo>
                                  <a:pt x="6881" y="346098"/>
                                </a:lnTo>
                                <a:lnTo>
                                  <a:pt x="25646" y="366512"/>
                                </a:lnTo>
                                <a:lnTo>
                                  <a:pt x="53478" y="380276"/>
                                </a:lnTo>
                                <a:lnTo>
                                  <a:pt x="87556" y="385324"/>
                                </a:lnTo>
                                <a:lnTo>
                                  <a:pt x="1040162" y="385324"/>
                                </a:lnTo>
                                <a:lnTo>
                                  <a:pt x="1074239" y="380276"/>
                                </a:lnTo>
                                <a:lnTo>
                                  <a:pt x="1102070" y="366512"/>
                                </a:lnTo>
                                <a:lnTo>
                                  <a:pt x="1120836" y="346098"/>
                                </a:lnTo>
                                <a:lnTo>
                                  <a:pt x="1127718" y="321103"/>
                                </a:lnTo>
                                <a:lnTo>
                                  <a:pt x="1127718" y="64220"/>
                                </a:lnTo>
                                <a:lnTo>
                                  <a:pt x="1120836" y="39225"/>
                                </a:lnTo>
                                <a:lnTo>
                                  <a:pt x="1102070" y="18811"/>
                                </a:lnTo>
                                <a:lnTo>
                                  <a:pt x="1074239" y="5047"/>
                                </a:lnTo>
                                <a:lnTo>
                                  <a:pt x="1040162" y="0"/>
                                </a:lnTo>
                                <a:close/>
                              </a:path>
                            </a:pathLst>
                          </a:custGeom>
                          <a:solidFill>
                            <a:srgbClr val="619DD1"/>
                          </a:solidFill>
                        </wps:spPr>
                        <wps:bodyPr wrap="square" lIns="0" tIns="0" rIns="0" bIns="0" rtlCol="0">
                          <a:prstTxWarp prst="textNoShape">
                            <a:avLst/>
                          </a:prstTxWarp>
                          <a:noAutofit/>
                        </wps:bodyPr>
                      </wps:wsp>
                      <pic:pic>
                        <pic:nvPicPr>
                          <pic:cNvPr id="275" name="Image 275"/>
                          <pic:cNvPicPr/>
                        </pic:nvPicPr>
                        <pic:blipFill>
                          <a:blip r:embed="rId49" cstate="print"/>
                          <a:stretch>
                            <a:fillRect/>
                          </a:stretch>
                        </pic:blipFill>
                        <pic:spPr>
                          <a:xfrm>
                            <a:off x="2691781" y="3780244"/>
                            <a:ext cx="1154168" cy="413518"/>
                          </a:xfrm>
                          <a:prstGeom prst="rect">
                            <a:avLst/>
                          </a:prstGeom>
                        </pic:spPr>
                      </pic:pic>
                      <pic:pic>
                        <pic:nvPicPr>
                          <pic:cNvPr id="276" name="Image 276"/>
                          <pic:cNvPicPr/>
                        </pic:nvPicPr>
                        <pic:blipFill>
                          <a:blip r:embed="rId50" cstate="print"/>
                          <a:stretch>
                            <a:fillRect/>
                          </a:stretch>
                        </pic:blipFill>
                        <pic:spPr>
                          <a:xfrm>
                            <a:off x="2860097" y="3780244"/>
                            <a:ext cx="817535" cy="220856"/>
                          </a:xfrm>
                          <a:prstGeom prst="rect">
                            <a:avLst/>
                          </a:prstGeom>
                        </pic:spPr>
                      </pic:pic>
                      <wps:wsp>
                        <wps:cNvPr id="277" name="Graphic 277"/>
                        <wps:cNvSpPr/>
                        <wps:spPr>
                          <a:xfrm>
                            <a:off x="2706208" y="3789642"/>
                            <a:ext cx="1125855" cy="385445"/>
                          </a:xfrm>
                          <a:custGeom>
                            <a:avLst/>
                            <a:gdLst/>
                            <a:ahLst/>
                            <a:cxnLst/>
                            <a:rect l="l" t="t" r="r" b="b"/>
                            <a:pathLst>
                              <a:path w="1125855" h="385445">
                                <a:moveTo>
                                  <a:pt x="1037918" y="0"/>
                                </a:moveTo>
                                <a:lnTo>
                                  <a:pt x="87396" y="0"/>
                                </a:lnTo>
                                <a:lnTo>
                                  <a:pt x="53371" y="5047"/>
                                </a:lnTo>
                                <a:lnTo>
                                  <a:pt x="25592" y="18811"/>
                                </a:lnTo>
                                <a:lnTo>
                                  <a:pt x="6865" y="39225"/>
                                </a:lnTo>
                                <a:lnTo>
                                  <a:pt x="0" y="64220"/>
                                </a:lnTo>
                                <a:lnTo>
                                  <a:pt x="0" y="321103"/>
                                </a:lnTo>
                                <a:lnTo>
                                  <a:pt x="6865" y="346098"/>
                                </a:lnTo>
                                <a:lnTo>
                                  <a:pt x="25592" y="366512"/>
                                </a:lnTo>
                                <a:lnTo>
                                  <a:pt x="53371" y="380276"/>
                                </a:lnTo>
                                <a:lnTo>
                                  <a:pt x="87396" y="385324"/>
                                </a:lnTo>
                                <a:lnTo>
                                  <a:pt x="1037918" y="385324"/>
                                </a:lnTo>
                                <a:lnTo>
                                  <a:pt x="1071943" y="380276"/>
                                </a:lnTo>
                                <a:lnTo>
                                  <a:pt x="1099722" y="366512"/>
                                </a:lnTo>
                                <a:lnTo>
                                  <a:pt x="1118448" y="346098"/>
                                </a:lnTo>
                                <a:lnTo>
                                  <a:pt x="1125314" y="321103"/>
                                </a:lnTo>
                                <a:lnTo>
                                  <a:pt x="1125314" y="64220"/>
                                </a:lnTo>
                                <a:lnTo>
                                  <a:pt x="1118448" y="39225"/>
                                </a:lnTo>
                                <a:lnTo>
                                  <a:pt x="1099722" y="18811"/>
                                </a:lnTo>
                                <a:lnTo>
                                  <a:pt x="1071943" y="5047"/>
                                </a:lnTo>
                                <a:lnTo>
                                  <a:pt x="1037918" y="0"/>
                                </a:lnTo>
                                <a:close/>
                              </a:path>
                            </a:pathLst>
                          </a:custGeom>
                          <a:solidFill>
                            <a:srgbClr val="619DD1"/>
                          </a:solidFill>
                        </wps:spPr>
                        <wps:bodyPr wrap="square" lIns="0" tIns="0" rIns="0" bIns="0" rtlCol="0">
                          <a:prstTxWarp prst="textNoShape">
                            <a:avLst/>
                          </a:prstTxWarp>
                          <a:noAutofit/>
                        </wps:bodyPr>
                      </wps:wsp>
                      <pic:pic>
                        <pic:nvPicPr>
                          <pic:cNvPr id="278" name="Image 278"/>
                          <pic:cNvPicPr/>
                        </pic:nvPicPr>
                        <pic:blipFill>
                          <a:blip r:embed="rId51" cstate="print"/>
                          <a:stretch>
                            <a:fillRect/>
                          </a:stretch>
                        </pic:blipFill>
                        <pic:spPr>
                          <a:xfrm>
                            <a:off x="3958961" y="3780244"/>
                            <a:ext cx="1158977" cy="399421"/>
                          </a:xfrm>
                          <a:prstGeom prst="rect">
                            <a:avLst/>
                          </a:prstGeom>
                        </pic:spPr>
                      </pic:pic>
                      <pic:pic>
                        <pic:nvPicPr>
                          <pic:cNvPr id="279" name="Image 279"/>
                          <pic:cNvPicPr/>
                        </pic:nvPicPr>
                        <pic:blipFill>
                          <a:blip r:embed="rId52" cstate="print"/>
                          <a:stretch>
                            <a:fillRect/>
                          </a:stretch>
                        </pic:blipFill>
                        <pic:spPr>
                          <a:xfrm>
                            <a:off x="4098423" y="3780244"/>
                            <a:ext cx="875244" cy="220856"/>
                          </a:xfrm>
                          <a:prstGeom prst="rect">
                            <a:avLst/>
                          </a:prstGeom>
                        </pic:spPr>
                      </pic:pic>
                      <wps:wsp>
                        <wps:cNvPr id="280" name="Graphic 280"/>
                        <wps:cNvSpPr/>
                        <wps:spPr>
                          <a:xfrm>
                            <a:off x="3973389" y="3789642"/>
                            <a:ext cx="1130300" cy="371475"/>
                          </a:xfrm>
                          <a:custGeom>
                            <a:avLst/>
                            <a:gdLst/>
                            <a:ahLst/>
                            <a:cxnLst/>
                            <a:rect l="l" t="t" r="r" b="b"/>
                            <a:pathLst>
                              <a:path w="1130300" h="371475">
                                <a:moveTo>
                                  <a:pt x="1042374" y="0"/>
                                </a:moveTo>
                                <a:lnTo>
                                  <a:pt x="87748" y="0"/>
                                </a:lnTo>
                                <a:lnTo>
                                  <a:pt x="53587" y="4865"/>
                                </a:lnTo>
                                <a:lnTo>
                                  <a:pt x="25696" y="18130"/>
                                </a:lnTo>
                                <a:lnTo>
                                  <a:pt x="6893" y="37798"/>
                                </a:lnTo>
                                <a:lnTo>
                                  <a:pt x="0" y="61871"/>
                                </a:lnTo>
                                <a:lnTo>
                                  <a:pt x="0" y="309355"/>
                                </a:lnTo>
                                <a:lnTo>
                                  <a:pt x="6893" y="333442"/>
                                </a:lnTo>
                                <a:lnTo>
                                  <a:pt x="25696" y="353108"/>
                                </a:lnTo>
                                <a:lnTo>
                                  <a:pt x="53587" y="366366"/>
                                </a:lnTo>
                                <a:lnTo>
                                  <a:pt x="87748" y="371227"/>
                                </a:lnTo>
                                <a:lnTo>
                                  <a:pt x="1042374" y="371227"/>
                                </a:lnTo>
                                <a:lnTo>
                                  <a:pt x="1076535" y="366366"/>
                                </a:lnTo>
                                <a:lnTo>
                                  <a:pt x="1104427" y="353108"/>
                                </a:lnTo>
                                <a:lnTo>
                                  <a:pt x="1123229" y="333442"/>
                                </a:lnTo>
                                <a:lnTo>
                                  <a:pt x="1130123" y="309355"/>
                                </a:lnTo>
                                <a:lnTo>
                                  <a:pt x="1130123" y="61871"/>
                                </a:lnTo>
                                <a:lnTo>
                                  <a:pt x="1123229" y="37798"/>
                                </a:lnTo>
                                <a:lnTo>
                                  <a:pt x="1104427" y="18130"/>
                                </a:lnTo>
                                <a:lnTo>
                                  <a:pt x="1076535" y="4865"/>
                                </a:lnTo>
                                <a:lnTo>
                                  <a:pt x="1042374" y="0"/>
                                </a:lnTo>
                                <a:close/>
                              </a:path>
                            </a:pathLst>
                          </a:custGeom>
                          <a:solidFill>
                            <a:srgbClr val="619DD1"/>
                          </a:solidFill>
                        </wps:spPr>
                        <wps:bodyPr wrap="square" lIns="0" tIns="0" rIns="0" bIns="0" rtlCol="0">
                          <a:prstTxWarp prst="textNoShape">
                            <a:avLst/>
                          </a:prstTxWarp>
                          <a:noAutofit/>
                        </wps:bodyPr>
                      </wps:wsp>
                      <pic:pic>
                        <pic:nvPicPr>
                          <pic:cNvPr id="281" name="Image 281"/>
                          <pic:cNvPicPr/>
                        </pic:nvPicPr>
                        <pic:blipFill>
                          <a:blip r:embed="rId53" cstate="print"/>
                          <a:stretch>
                            <a:fillRect/>
                          </a:stretch>
                        </pic:blipFill>
                        <pic:spPr>
                          <a:xfrm>
                            <a:off x="1792491" y="65623"/>
                            <a:ext cx="1846669" cy="563889"/>
                          </a:xfrm>
                          <a:prstGeom prst="rect">
                            <a:avLst/>
                          </a:prstGeom>
                        </pic:spPr>
                      </pic:pic>
                      <pic:pic>
                        <pic:nvPicPr>
                          <pic:cNvPr id="282" name="Image 282"/>
                          <pic:cNvPicPr/>
                        </pic:nvPicPr>
                        <pic:blipFill>
                          <a:blip r:embed="rId54" cstate="print"/>
                          <a:stretch>
                            <a:fillRect/>
                          </a:stretch>
                        </pic:blipFill>
                        <pic:spPr>
                          <a:xfrm>
                            <a:off x="1867031" y="79720"/>
                            <a:ext cx="1695184" cy="305440"/>
                          </a:xfrm>
                          <a:prstGeom prst="rect">
                            <a:avLst/>
                          </a:prstGeom>
                        </pic:spPr>
                      </pic:pic>
                      <wps:wsp>
                        <wps:cNvPr id="283" name="Graphic 283"/>
                        <wps:cNvSpPr/>
                        <wps:spPr>
                          <a:xfrm>
                            <a:off x="1806918" y="75021"/>
                            <a:ext cx="1818005" cy="535940"/>
                          </a:xfrm>
                          <a:custGeom>
                            <a:avLst/>
                            <a:gdLst/>
                            <a:ahLst/>
                            <a:cxnLst/>
                            <a:rect l="l" t="t" r="r" b="b"/>
                            <a:pathLst>
                              <a:path w="1818005" h="535940">
                                <a:moveTo>
                                  <a:pt x="1726443" y="0"/>
                                </a:moveTo>
                                <a:lnTo>
                                  <a:pt x="91371" y="0"/>
                                </a:lnTo>
                                <a:lnTo>
                                  <a:pt x="55805" y="7016"/>
                                </a:lnTo>
                                <a:lnTo>
                                  <a:pt x="26762" y="26150"/>
                                </a:lnTo>
                                <a:lnTo>
                                  <a:pt x="7180" y="54529"/>
                                </a:lnTo>
                                <a:lnTo>
                                  <a:pt x="0" y="89282"/>
                                </a:lnTo>
                                <a:lnTo>
                                  <a:pt x="0" y="446412"/>
                                </a:lnTo>
                                <a:lnTo>
                                  <a:pt x="7180" y="481164"/>
                                </a:lnTo>
                                <a:lnTo>
                                  <a:pt x="26762" y="509544"/>
                                </a:lnTo>
                                <a:lnTo>
                                  <a:pt x="55805" y="528678"/>
                                </a:lnTo>
                                <a:lnTo>
                                  <a:pt x="91371" y="535694"/>
                                </a:lnTo>
                                <a:lnTo>
                                  <a:pt x="1726443" y="535694"/>
                                </a:lnTo>
                                <a:lnTo>
                                  <a:pt x="1762009" y="528678"/>
                                </a:lnTo>
                                <a:lnTo>
                                  <a:pt x="1791053" y="509544"/>
                                </a:lnTo>
                                <a:lnTo>
                                  <a:pt x="1810634" y="481164"/>
                                </a:lnTo>
                                <a:lnTo>
                                  <a:pt x="1817815" y="446412"/>
                                </a:lnTo>
                                <a:lnTo>
                                  <a:pt x="1817815" y="89282"/>
                                </a:lnTo>
                                <a:lnTo>
                                  <a:pt x="1810634" y="54529"/>
                                </a:lnTo>
                                <a:lnTo>
                                  <a:pt x="1791053" y="26150"/>
                                </a:lnTo>
                                <a:lnTo>
                                  <a:pt x="1762009" y="7016"/>
                                </a:lnTo>
                                <a:lnTo>
                                  <a:pt x="1726443" y="0"/>
                                </a:lnTo>
                                <a:close/>
                              </a:path>
                            </a:pathLst>
                          </a:custGeom>
                          <a:solidFill>
                            <a:srgbClr val="224F77">
                              <a:alpha val="90194"/>
                            </a:srgbClr>
                          </a:solidFill>
                        </wps:spPr>
                        <wps:bodyPr wrap="square" lIns="0" tIns="0" rIns="0" bIns="0" rtlCol="0">
                          <a:prstTxWarp prst="textNoShape">
                            <a:avLst/>
                          </a:prstTxWarp>
                          <a:noAutofit/>
                        </wps:bodyPr>
                      </wps:wsp>
                      <pic:pic>
                        <pic:nvPicPr>
                          <pic:cNvPr id="284" name="Image 284"/>
                          <pic:cNvPicPr/>
                        </pic:nvPicPr>
                        <pic:blipFill>
                          <a:blip r:embed="rId55" cstate="print"/>
                          <a:stretch>
                            <a:fillRect/>
                          </a:stretch>
                        </pic:blipFill>
                        <pic:spPr>
                          <a:xfrm>
                            <a:off x="2374384" y="324072"/>
                            <a:ext cx="1274394" cy="310139"/>
                          </a:xfrm>
                          <a:prstGeom prst="rect">
                            <a:avLst/>
                          </a:prstGeom>
                        </pic:spPr>
                      </pic:pic>
                      <pic:pic>
                        <pic:nvPicPr>
                          <pic:cNvPr id="285" name="Image 285"/>
                          <pic:cNvPicPr/>
                        </pic:nvPicPr>
                        <pic:blipFill>
                          <a:blip r:embed="rId56" cstate="print"/>
                          <a:stretch>
                            <a:fillRect/>
                          </a:stretch>
                        </pic:blipFill>
                        <pic:spPr>
                          <a:xfrm>
                            <a:off x="2451329" y="314674"/>
                            <a:ext cx="1139741" cy="352430"/>
                          </a:xfrm>
                          <a:prstGeom prst="rect">
                            <a:avLst/>
                          </a:prstGeom>
                        </pic:spPr>
                      </pic:pic>
                      <wps:wsp>
                        <wps:cNvPr id="286" name="Graphic 286"/>
                        <wps:cNvSpPr/>
                        <wps:spPr>
                          <a:xfrm>
                            <a:off x="2393621" y="338170"/>
                            <a:ext cx="1236345" cy="273050"/>
                          </a:xfrm>
                          <a:custGeom>
                            <a:avLst/>
                            <a:gdLst/>
                            <a:ahLst/>
                            <a:cxnLst/>
                            <a:rect l="l" t="t" r="r" b="b"/>
                            <a:pathLst>
                              <a:path w="1236345" h="273050">
                                <a:moveTo>
                                  <a:pt x="1189434" y="0"/>
                                </a:moveTo>
                                <a:lnTo>
                                  <a:pt x="46487" y="0"/>
                                </a:lnTo>
                                <a:lnTo>
                                  <a:pt x="28389" y="3568"/>
                                </a:lnTo>
                                <a:lnTo>
                                  <a:pt x="13613" y="13302"/>
                                </a:lnTo>
                                <a:lnTo>
                                  <a:pt x="3652" y="27740"/>
                                </a:lnTo>
                                <a:lnTo>
                                  <a:pt x="0" y="45424"/>
                                </a:lnTo>
                                <a:lnTo>
                                  <a:pt x="0" y="227122"/>
                                </a:lnTo>
                                <a:lnTo>
                                  <a:pt x="3652" y="244805"/>
                                </a:lnTo>
                                <a:lnTo>
                                  <a:pt x="13613" y="259244"/>
                                </a:lnTo>
                                <a:lnTo>
                                  <a:pt x="28389" y="268977"/>
                                </a:lnTo>
                                <a:lnTo>
                                  <a:pt x="46487" y="272546"/>
                                </a:lnTo>
                                <a:lnTo>
                                  <a:pt x="1189434" y="272546"/>
                                </a:lnTo>
                                <a:lnTo>
                                  <a:pt x="1207532" y="268977"/>
                                </a:lnTo>
                                <a:lnTo>
                                  <a:pt x="1222308" y="259244"/>
                                </a:lnTo>
                                <a:lnTo>
                                  <a:pt x="1232269" y="244805"/>
                                </a:lnTo>
                                <a:lnTo>
                                  <a:pt x="1235922" y="227122"/>
                                </a:lnTo>
                                <a:lnTo>
                                  <a:pt x="1235922" y="45424"/>
                                </a:lnTo>
                                <a:lnTo>
                                  <a:pt x="1232269" y="27740"/>
                                </a:lnTo>
                                <a:lnTo>
                                  <a:pt x="1222308" y="13302"/>
                                </a:lnTo>
                                <a:lnTo>
                                  <a:pt x="1207532" y="3568"/>
                                </a:lnTo>
                                <a:lnTo>
                                  <a:pt x="1189434" y="0"/>
                                </a:lnTo>
                                <a:close/>
                              </a:path>
                            </a:pathLst>
                          </a:custGeom>
                          <a:solidFill>
                            <a:srgbClr val="3477B1">
                              <a:alpha val="90194"/>
                            </a:srgbClr>
                          </a:solidFill>
                        </wps:spPr>
                        <wps:bodyPr wrap="square" lIns="0" tIns="0" rIns="0" bIns="0" rtlCol="0">
                          <a:prstTxWarp prst="textNoShape">
                            <a:avLst/>
                          </a:prstTxWarp>
                          <a:noAutofit/>
                        </wps:bodyPr>
                      </wps:wsp>
                      <wps:wsp>
                        <wps:cNvPr id="287" name="Graphic 287"/>
                        <wps:cNvSpPr/>
                        <wps:spPr>
                          <a:xfrm>
                            <a:off x="2393621" y="338170"/>
                            <a:ext cx="1236345" cy="273050"/>
                          </a:xfrm>
                          <a:custGeom>
                            <a:avLst/>
                            <a:gdLst/>
                            <a:ahLst/>
                            <a:cxnLst/>
                            <a:rect l="l" t="t" r="r" b="b"/>
                            <a:pathLst>
                              <a:path w="1236345" h="273050">
                                <a:moveTo>
                                  <a:pt x="0" y="45424"/>
                                </a:moveTo>
                                <a:lnTo>
                                  <a:pt x="3652" y="27740"/>
                                </a:lnTo>
                                <a:lnTo>
                                  <a:pt x="13613" y="13302"/>
                                </a:lnTo>
                                <a:lnTo>
                                  <a:pt x="28389" y="3568"/>
                                </a:lnTo>
                                <a:lnTo>
                                  <a:pt x="46487" y="0"/>
                                </a:lnTo>
                                <a:lnTo>
                                  <a:pt x="1189434" y="0"/>
                                </a:lnTo>
                                <a:lnTo>
                                  <a:pt x="1232269" y="27740"/>
                                </a:lnTo>
                                <a:lnTo>
                                  <a:pt x="1235922" y="227122"/>
                                </a:lnTo>
                                <a:lnTo>
                                  <a:pt x="1232269" y="244805"/>
                                </a:lnTo>
                                <a:lnTo>
                                  <a:pt x="1222308" y="259244"/>
                                </a:lnTo>
                                <a:lnTo>
                                  <a:pt x="1207532" y="268977"/>
                                </a:lnTo>
                                <a:lnTo>
                                  <a:pt x="1189434" y="272546"/>
                                </a:lnTo>
                                <a:lnTo>
                                  <a:pt x="46487" y="272546"/>
                                </a:lnTo>
                                <a:lnTo>
                                  <a:pt x="3652" y="244805"/>
                                </a:lnTo>
                                <a:lnTo>
                                  <a:pt x="0" y="45424"/>
                                </a:lnTo>
                                <a:close/>
                              </a:path>
                            </a:pathLst>
                          </a:custGeom>
                          <a:ln w="9408">
                            <a:solidFill>
                              <a:srgbClr val="CDDAE9"/>
                            </a:solidFill>
                            <a:prstDash val="solid"/>
                          </a:ln>
                        </wps:spPr>
                        <wps:bodyPr wrap="square" lIns="0" tIns="0" rIns="0" bIns="0" rtlCol="0">
                          <a:prstTxWarp prst="textNoShape">
                            <a:avLst/>
                          </a:prstTxWarp>
                          <a:noAutofit/>
                        </wps:bodyPr>
                      </wps:wsp>
                      <pic:pic>
                        <pic:nvPicPr>
                          <pic:cNvPr id="288" name="Image 288"/>
                          <pic:cNvPicPr/>
                        </pic:nvPicPr>
                        <pic:blipFill>
                          <a:blip r:embed="rId57" cstate="print"/>
                          <a:stretch>
                            <a:fillRect/>
                          </a:stretch>
                        </pic:blipFill>
                        <pic:spPr>
                          <a:xfrm>
                            <a:off x="688817" y="1994594"/>
                            <a:ext cx="1464351" cy="484005"/>
                          </a:xfrm>
                          <a:prstGeom prst="rect">
                            <a:avLst/>
                          </a:prstGeom>
                        </pic:spPr>
                      </pic:pic>
                      <pic:pic>
                        <pic:nvPicPr>
                          <pic:cNvPr id="289" name="Image 289"/>
                          <pic:cNvPicPr/>
                        </pic:nvPicPr>
                        <pic:blipFill>
                          <a:blip r:embed="rId58" cstate="print"/>
                          <a:stretch>
                            <a:fillRect/>
                          </a:stretch>
                        </pic:blipFill>
                        <pic:spPr>
                          <a:xfrm>
                            <a:off x="753739" y="1980497"/>
                            <a:ext cx="1329698" cy="263148"/>
                          </a:xfrm>
                          <a:prstGeom prst="rect">
                            <a:avLst/>
                          </a:prstGeom>
                        </pic:spPr>
                      </pic:pic>
                      <wps:wsp>
                        <wps:cNvPr id="290" name="Graphic 290"/>
                        <wps:cNvSpPr/>
                        <wps:spPr>
                          <a:xfrm>
                            <a:off x="703245" y="2003993"/>
                            <a:ext cx="1435735" cy="455930"/>
                          </a:xfrm>
                          <a:custGeom>
                            <a:avLst/>
                            <a:gdLst/>
                            <a:ahLst/>
                            <a:cxnLst/>
                            <a:rect l="l" t="t" r="r" b="b"/>
                            <a:pathLst>
                              <a:path w="1435735" h="455930">
                                <a:moveTo>
                                  <a:pt x="1355763" y="0"/>
                                </a:moveTo>
                                <a:lnTo>
                                  <a:pt x="79765" y="0"/>
                                </a:lnTo>
                                <a:lnTo>
                                  <a:pt x="48718" y="3584"/>
                                </a:lnTo>
                                <a:lnTo>
                                  <a:pt x="23363" y="13357"/>
                                </a:lnTo>
                                <a:lnTo>
                                  <a:pt x="6268" y="27846"/>
                                </a:lnTo>
                                <a:lnTo>
                                  <a:pt x="0" y="45581"/>
                                </a:lnTo>
                                <a:lnTo>
                                  <a:pt x="0" y="410229"/>
                                </a:lnTo>
                                <a:lnTo>
                                  <a:pt x="6268" y="427977"/>
                                </a:lnTo>
                                <a:lnTo>
                                  <a:pt x="23363" y="442465"/>
                                </a:lnTo>
                                <a:lnTo>
                                  <a:pt x="48718" y="452230"/>
                                </a:lnTo>
                                <a:lnTo>
                                  <a:pt x="79765" y="455810"/>
                                </a:lnTo>
                                <a:lnTo>
                                  <a:pt x="1355731" y="455810"/>
                                </a:lnTo>
                                <a:lnTo>
                                  <a:pt x="1386778" y="452230"/>
                                </a:lnTo>
                                <a:lnTo>
                                  <a:pt x="1412133" y="442465"/>
                                </a:lnTo>
                                <a:lnTo>
                                  <a:pt x="1429228" y="427977"/>
                                </a:lnTo>
                                <a:lnTo>
                                  <a:pt x="1435497" y="410229"/>
                                </a:lnTo>
                                <a:lnTo>
                                  <a:pt x="1435497" y="45581"/>
                                </a:lnTo>
                                <a:lnTo>
                                  <a:pt x="1429228" y="27846"/>
                                </a:lnTo>
                                <a:lnTo>
                                  <a:pt x="1412137" y="13357"/>
                                </a:lnTo>
                                <a:lnTo>
                                  <a:pt x="1386792" y="3584"/>
                                </a:lnTo>
                                <a:lnTo>
                                  <a:pt x="1355763" y="0"/>
                                </a:lnTo>
                                <a:close/>
                              </a:path>
                            </a:pathLst>
                          </a:custGeom>
                          <a:solidFill>
                            <a:srgbClr val="C0D7EC">
                              <a:alpha val="90194"/>
                            </a:srgbClr>
                          </a:solidFill>
                        </wps:spPr>
                        <wps:bodyPr wrap="square" lIns="0" tIns="0" rIns="0" bIns="0" rtlCol="0">
                          <a:prstTxWarp prst="textNoShape">
                            <a:avLst/>
                          </a:prstTxWarp>
                          <a:noAutofit/>
                        </wps:bodyPr>
                      </wps:wsp>
                      <wps:wsp>
                        <wps:cNvPr id="291" name="Graphic 291"/>
                        <wps:cNvSpPr/>
                        <wps:spPr>
                          <a:xfrm>
                            <a:off x="1096399" y="2204894"/>
                            <a:ext cx="1041400" cy="254000"/>
                          </a:xfrm>
                          <a:custGeom>
                            <a:avLst/>
                            <a:gdLst/>
                            <a:ahLst/>
                            <a:cxnLst/>
                            <a:rect l="l" t="t" r="r" b="b"/>
                            <a:pathLst>
                              <a:path w="1041400" h="254000">
                                <a:moveTo>
                                  <a:pt x="997842" y="0"/>
                                </a:moveTo>
                                <a:lnTo>
                                  <a:pt x="43281" y="0"/>
                                </a:lnTo>
                                <a:lnTo>
                                  <a:pt x="26428" y="3321"/>
                                </a:lnTo>
                                <a:lnTo>
                                  <a:pt x="12671" y="12382"/>
                                </a:lnTo>
                                <a:lnTo>
                                  <a:pt x="3399" y="25824"/>
                                </a:lnTo>
                                <a:lnTo>
                                  <a:pt x="0" y="42291"/>
                                </a:lnTo>
                                <a:lnTo>
                                  <a:pt x="0" y="211458"/>
                                </a:lnTo>
                                <a:lnTo>
                                  <a:pt x="3399" y="227912"/>
                                </a:lnTo>
                                <a:lnTo>
                                  <a:pt x="12671" y="241356"/>
                                </a:lnTo>
                                <a:lnTo>
                                  <a:pt x="26428" y="250424"/>
                                </a:lnTo>
                                <a:lnTo>
                                  <a:pt x="43281" y="253750"/>
                                </a:lnTo>
                                <a:lnTo>
                                  <a:pt x="997842" y="253750"/>
                                </a:lnTo>
                                <a:lnTo>
                                  <a:pt x="1014700" y="250424"/>
                                </a:lnTo>
                                <a:lnTo>
                                  <a:pt x="1028468" y="241356"/>
                                </a:lnTo>
                                <a:lnTo>
                                  <a:pt x="1037751" y="227912"/>
                                </a:lnTo>
                                <a:lnTo>
                                  <a:pt x="1041156" y="211458"/>
                                </a:lnTo>
                                <a:lnTo>
                                  <a:pt x="1041156" y="42291"/>
                                </a:lnTo>
                                <a:lnTo>
                                  <a:pt x="1037751" y="25824"/>
                                </a:lnTo>
                                <a:lnTo>
                                  <a:pt x="1028468" y="12382"/>
                                </a:lnTo>
                                <a:lnTo>
                                  <a:pt x="1014700" y="3321"/>
                                </a:lnTo>
                                <a:lnTo>
                                  <a:pt x="997842" y="0"/>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1096399" y="2204894"/>
                            <a:ext cx="1041400" cy="254000"/>
                          </a:xfrm>
                          <a:custGeom>
                            <a:avLst/>
                            <a:gdLst/>
                            <a:ahLst/>
                            <a:cxnLst/>
                            <a:rect l="l" t="t" r="r" b="b"/>
                            <a:pathLst>
                              <a:path w="1041400" h="254000">
                                <a:moveTo>
                                  <a:pt x="0" y="42291"/>
                                </a:moveTo>
                                <a:lnTo>
                                  <a:pt x="3399" y="25824"/>
                                </a:lnTo>
                                <a:lnTo>
                                  <a:pt x="12671" y="12382"/>
                                </a:lnTo>
                                <a:lnTo>
                                  <a:pt x="26428" y="3321"/>
                                </a:lnTo>
                                <a:lnTo>
                                  <a:pt x="43281" y="0"/>
                                </a:lnTo>
                                <a:lnTo>
                                  <a:pt x="997842" y="0"/>
                                </a:lnTo>
                                <a:lnTo>
                                  <a:pt x="1037751" y="25824"/>
                                </a:lnTo>
                                <a:lnTo>
                                  <a:pt x="1041156" y="211458"/>
                                </a:lnTo>
                                <a:lnTo>
                                  <a:pt x="1037751" y="227912"/>
                                </a:lnTo>
                                <a:lnTo>
                                  <a:pt x="1028468" y="241356"/>
                                </a:lnTo>
                                <a:lnTo>
                                  <a:pt x="1014700" y="250424"/>
                                </a:lnTo>
                                <a:lnTo>
                                  <a:pt x="997842" y="253750"/>
                                </a:lnTo>
                                <a:lnTo>
                                  <a:pt x="43281" y="253750"/>
                                </a:lnTo>
                                <a:lnTo>
                                  <a:pt x="3399" y="227912"/>
                                </a:lnTo>
                                <a:lnTo>
                                  <a:pt x="0" y="42291"/>
                                </a:lnTo>
                                <a:close/>
                              </a:path>
                            </a:pathLst>
                          </a:custGeom>
                          <a:ln w="6273">
                            <a:solidFill>
                              <a:srgbClr val="619DD1"/>
                            </a:solidFill>
                            <a:prstDash val="solid"/>
                          </a:ln>
                        </wps:spPr>
                        <wps:bodyPr wrap="square" lIns="0" tIns="0" rIns="0" bIns="0" rtlCol="0">
                          <a:prstTxWarp prst="textNoShape">
                            <a:avLst/>
                          </a:prstTxWarp>
                          <a:noAutofit/>
                        </wps:bodyPr>
                      </wps:wsp>
                      <pic:pic>
                        <pic:nvPicPr>
                          <pic:cNvPr id="293" name="Image 293"/>
                          <pic:cNvPicPr/>
                        </pic:nvPicPr>
                        <pic:blipFill>
                          <a:blip r:embed="rId59" cstate="print"/>
                          <a:stretch>
                            <a:fillRect/>
                          </a:stretch>
                        </pic:blipFill>
                        <pic:spPr>
                          <a:xfrm>
                            <a:off x="3074099" y="1971099"/>
                            <a:ext cx="1618240" cy="502801"/>
                          </a:xfrm>
                          <a:prstGeom prst="rect">
                            <a:avLst/>
                          </a:prstGeom>
                        </pic:spPr>
                      </pic:pic>
                      <pic:pic>
                        <pic:nvPicPr>
                          <pic:cNvPr id="294" name="Image 294"/>
                          <pic:cNvPicPr/>
                        </pic:nvPicPr>
                        <pic:blipFill>
                          <a:blip r:embed="rId60" cstate="print"/>
                          <a:stretch>
                            <a:fillRect/>
                          </a:stretch>
                        </pic:blipFill>
                        <pic:spPr>
                          <a:xfrm>
                            <a:off x="3324169" y="1957002"/>
                            <a:ext cx="1113291" cy="263148"/>
                          </a:xfrm>
                          <a:prstGeom prst="rect">
                            <a:avLst/>
                          </a:prstGeom>
                        </pic:spPr>
                      </pic:pic>
                      <wps:wsp>
                        <wps:cNvPr id="295" name="Graphic 295"/>
                        <wps:cNvSpPr/>
                        <wps:spPr>
                          <a:xfrm>
                            <a:off x="3088526" y="1980497"/>
                            <a:ext cx="1589405" cy="474980"/>
                          </a:xfrm>
                          <a:custGeom>
                            <a:avLst/>
                            <a:gdLst/>
                            <a:ahLst/>
                            <a:cxnLst/>
                            <a:rect l="l" t="t" r="r" b="b"/>
                            <a:pathLst>
                              <a:path w="1589405" h="474980">
                                <a:moveTo>
                                  <a:pt x="1501092" y="0"/>
                                </a:moveTo>
                                <a:lnTo>
                                  <a:pt x="88293" y="0"/>
                                </a:lnTo>
                                <a:lnTo>
                                  <a:pt x="53925" y="3732"/>
                                </a:lnTo>
                                <a:lnTo>
                                  <a:pt x="25860" y="13909"/>
                                </a:lnTo>
                                <a:lnTo>
                                  <a:pt x="6938" y="28996"/>
                                </a:lnTo>
                                <a:lnTo>
                                  <a:pt x="0" y="47460"/>
                                </a:lnTo>
                                <a:lnTo>
                                  <a:pt x="0" y="427146"/>
                                </a:lnTo>
                                <a:lnTo>
                                  <a:pt x="6938" y="445623"/>
                                </a:lnTo>
                                <a:lnTo>
                                  <a:pt x="25860" y="460709"/>
                                </a:lnTo>
                                <a:lnTo>
                                  <a:pt x="53925" y="470878"/>
                                </a:lnTo>
                                <a:lnTo>
                                  <a:pt x="88293" y="474606"/>
                                </a:lnTo>
                                <a:lnTo>
                                  <a:pt x="1501092" y="474606"/>
                                </a:lnTo>
                                <a:lnTo>
                                  <a:pt x="1535460" y="470878"/>
                                </a:lnTo>
                                <a:lnTo>
                                  <a:pt x="1563525" y="460709"/>
                                </a:lnTo>
                                <a:lnTo>
                                  <a:pt x="1582447" y="445623"/>
                                </a:lnTo>
                                <a:lnTo>
                                  <a:pt x="1589386" y="427146"/>
                                </a:lnTo>
                                <a:lnTo>
                                  <a:pt x="1589386" y="47460"/>
                                </a:lnTo>
                                <a:lnTo>
                                  <a:pt x="1582447" y="28996"/>
                                </a:lnTo>
                                <a:lnTo>
                                  <a:pt x="1563525" y="13909"/>
                                </a:lnTo>
                                <a:lnTo>
                                  <a:pt x="1535460" y="3732"/>
                                </a:lnTo>
                                <a:lnTo>
                                  <a:pt x="1501092" y="0"/>
                                </a:lnTo>
                                <a:close/>
                              </a:path>
                            </a:pathLst>
                          </a:custGeom>
                          <a:solidFill>
                            <a:srgbClr val="C0D7EC">
                              <a:alpha val="90194"/>
                            </a:srgbClr>
                          </a:solidFill>
                        </wps:spPr>
                        <wps:bodyPr wrap="square" lIns="0" tIns="0" rIns="0" bIns="0" rtlCol="0">
                          <a:prstTxWarp prst="textNoShape">
                            <a:avLst/>
                          </a:prstTxWarp>
                          <a:noAutofit/>
                        </wps:bodyPr>
                      </wps:wsp>
                      <wps:wsp>
                        <wps:cNvPr id="296" name="Graphic 296"/>
                        <wps:cNvSpPr/>
                        <wps:spPr>
                          <a:xfrm>
                            <a:off x="3594693" y="2204894"/>
                            <a:ext cx="1072515" cy="258445"/>
                          </a:xfrm>
                          <a:custGeom>
                            <a:avLst/>
                            <a:gdLst/>
                            <a:ahLst/>
                            <a:cxnLst/>
                            <a:rect l="l" t="t" r="r" b="b"/>
                            <a:pathLst>
                              <a:path w="1072515" h="258445">
                                <a:moveTo>
                                  <a:pt x="1028300" y="0"/>
                                </a:moveTo>
                                <a:lnTo>
                                  <a:pt x="44082" y="0"/>
                                </a:lnTo>
                                <a:lnTo>
                                  <a:pt x="26915" y="3382"/>
                                </a:lnTo>
                                <a:lnTo>
                                  <a:pt x="12904" y="12609"/>
                                </a:lnTo>
                                <a:lnTo>
                                  <a:pt x="3461" y="26300"/>
                                </a:lnTo>
                                <a:lnTo>
                                  <a:pt x="0" y="43074"/>
                                </a:lnTo>
                                <a:lnTo>
                                  <a:pt x="0" y="215374"/>
                                </a:lnTo>
                                <a:lnTo>
                                  <a:pt x="3461" y="232135"/>
                                </a:lnTo>
                                <a:lnTo>
                                  <a:pt x="12904" y="245828"/>
                                </a:lnTo>
                                <a:lnTo>
                                  <a:pt x="26915" y="255062"/>
                                </a:lnTo>
                                <a:lnTo>
                                  <a:pt x="44082" y="258449"/>
                                </a:lnTo>
                                <a:lnTo>
                                  <a:pt x="1028300" y="258449"/>
                                </a:lnTo>
                                <a:lnTo>
                                  <a:pt x="1045472" y="255062"/>
                                </a:lnTo>
                                <a:lnTo>
                                  <a:pt x="1059494" y="245828"/>
                                </a:lnTo>
                                <a:lnTo>
                                  <a:pt x="1068948" y="232135"/>
                                </a:lnTo>
                                <a:lnTo>
                                  <a:pt x="1072414" y="215374"/>
                                </a:lnTo>
                                <a:lnTo>
                                  <a:pt x="1072414" y="43074"/>
                                </a:lnTo>
                                <a:lnTo>
                                  <a:pt x="1068948" y="26300"/>
                                </a:lnTo>
                                <a:lnTo>
                                  <a:pt x="1059494" y="12609"/>
                                </a:lnTo>
                                <a:lnTo>
                                  <a:pt x="1045472" y="3382"/>
                                </a:lnTo>
                                <a:lnTo>
                                  <a:pt x="1028300" y="0"/>
                                </a:lnTo>
                                <a:close/>
                              </a:path>
                            </a:pathLst>
                          </a:custGeom>
                          <a:solidFill>
                            <a:srgbClr val="FFFFFF"/>
                          </a:solidFill>
                        </wps:spPr>
                        <wps:bodyPr wrap="square" lIns="0" tIns="0" rIns="0" bIns="0" rtlCol="0">
                          <a:prstTxWarp prst="textNoShape">
                            <a:avLst/>
                          </a:prstTxWarp>
                          <a:noAutofit/>
                        </wps:bodyPr>
                      </wps:wsp>
                      <wps:wsp>
                        <wps:cNvPr id="297" name="Graphic 297"/>
                        <wps:cNvSpPr/>
                        <wps:spPr>
                          <a:xfrm>
                            <a:off x="3594693" y="2204894"/>
                            <a:ext cx="1072515" cy="258445"/>
                          </a:xfrm>
                          <a:custGeom>
                            <a:avLst/>
                            <a:gdLst/>
                            <a:ahLst/>
                            <a:cxnLst/>
                            <a:rect l="l" t="t" r="r" b="b"/>
                            <a:pathLst>
                              <a:path w="1072515" h="258445">
                                <a:moveTo>
                                  <a:pt x="0" y="43074"/>
                                </a:moveTo>
                                <a:lnTo>
                                  <a:pt x="3461" y="26300"/>
                                </a:lnTo>
                                <a:lnTo>
                                  <a:pt x="12904" y="12609"/>
                                </a:lnTo>
                                <a:lnTo>
                                  <a:pt x="26915" y="3382"/>
                                </a:lnTo>
                                <a:lnTo>
                                  <a:pt x="44082" y="0"/>
                                </a:lnTo>
                                <a:lnTo>
                                  <a:pt x="1028300" y="0"/>
                                </a:lnTo>
                                <a:lnTo>
                                  <a:pt x="1068948" y="26300"/>
                                </a:lnTo>
                                <a:lnTo>
                                  <a:pt x="1072414" y="215374"/>
                                </a:lnTo>
                                <a:lnTo>
                                  <a:pt x="1068948" y="232135"/>
                                </a:lnTo>
                                <a:lnTo>
                                  <a:pt x="1059494" y="245828"/>
                                </a:lnTo>
                                <a:lnTo>
                                  <a:pt x="1045472" y="255062"/>
                                </a:lnTo>
                                <a:lnTo>
                                  <a:pt x="1028300" y="258449"/>
                                </a:lnTo>
                                <a:lnTo>
                                  <a:pt x="44082" y="258449"/>
                                </a:lnTo>
                                <a:lnTo>
                                  <a:pt x="3461" y="232135"/>
                                </a:lnTo>
                                <a:lnTo>
                                  <a:pt x="0" y="43074"/>
                                </a:lnTo>
                                <a:close/>
                              </a:path>
                            </a:pathLst>
                          </a:custGeom>
                          <a:ln w="6273">
                            <a:solidFill>
                              <a:srgbClr val="619DD1"/>
                            </a:solidFill>
                            <a:prstDash val="solid"/>
                          </a:ln>
                        </wps:spPr>
                        <wps:bodyPr wrap="square" lIns="0" tIns="0" rIns="0" bIns="0" rtlCol="0">
                          <a:prstTxWarp prst="textNoShape">
                            <a:avLst/>
                          </a:prstTxWarp>
                          <a:noAutofit/>
                        </wps:bodyPr>
                      </wps:wsp>
                      <wps:wsp>
                        <wps:cNvPr id="298" name="Graphic 298"/>
                        <wps:cNvSpPr/>
                        <wps:spPr>
                          <a:xfrm>
                            <a:off x="1500422" y="2541880"/>
                            <a:ext cx="392430" cy="521970"/>
                          </a:xfrm>
                          <a:custGeom>
                            <a:avLst/>
                            <a:gdLst/>
                            <a:ahLst/>
                            <a:cxnLst/>
                            <a:rect l="l" t="t" r="r" b="b"/>
                            <a:pathLst>
                              <a:path w="392430" h="521970">
                                <a:moveTo>
                                  <a:pt x="0" y="0"/>
                                </a:moveTo>
                                <a:lnTo>
                                  <a:pt x="0" y="382880"/>
                                </a:lnTo>
                                <a:lnTo>
                                  <a:pt x="365134" y="521722"/>
                                </a:lnTo>
                                <a:lnTo>
                                  <a:pt x="376740" y="488032"/>
                                </a:lnTo>
                                <a:lnTo>
                                  <a:pt x="385083" y="453511"/>
                                </a:lnTo>
                                <a:lnTo>
                                  <a:pt x="390119" y="418385"/>
                                </a:lnTo>
                                <a:lnTo>
                                  <a:pt x="391808" y="382880"/>
                                </a:lnTo>
                                <a:lnTo>
                                  <a:pt x="388755" y="334853"/>
                                </a:lnTo>
                                <a:lnTo>
                                  <a:pt x="379842" y="288605"/>
                                </a:lnTo>
                                <a:lnTo>
                                  <a:pt x="365437" y="244497"/>
                                </a:lnTo>
                                <a:lnTo>
                                  <a:pt x="345905" y="202886"/>
                                </a:lnTo>
                                <a:lnTo>
                                  <a:pt x="321613" y="164133"/>
                                </a:lnTo>
                                <a:lnTo>
                                  <a:pt x="292930" y="128594"/>
                                </a:lnTo>
                                <a:lnTo>
                                  <a:pt x="260222" y="96630"/>
                                </a:lnTo>
                                <a:lnTo>
                                  <a:pt x="223855" y="68599"/>
                                </a:lnTo>
                                <a:lnTo>
                                  <a:pt x="184198" y="44860"/>
                                </a:lnTo>
                                <a:lnTo>
                                  <a:pt x="141617" y="25772"/>
                                </a:lnTo>
                                <a:lnTo>
                                  <a:pt x="96478" y="11693"/>
                                </a:lnTo>
                                <a:lnTo>
                                  <a:pt x="49150" y="2983"/>
                                </a:lnTo>
                                <a:lnTo>
                                  <a:pt x="0" y="0"/>
                                </a:lnTo>
                                <a:close/>
                              </a:path>
                            </a:pathLst>
                          </a:custGeom>
                          <a:solidFill>
                            <a:srgbClr val="4966AC"/>
                          </a:solidFill>
                        </wps:spPr>
                        <wps:bodyPr wrap="square" lIns="0" tIns="0" rIns="0" bIns="0" rtlCol="0">
                          <a:prstTxWarp prst="textNoShape">
                            <a:avLst/>
                          </a:prstTxWarp>
                          <a:noAutofit/>
                        </wps:bodyPr>
                      </wps:wsp>
                      <wps:wsp>
                        <wps:cNvPr id="299" name="Graphic 299"/>
                        <wps:cNvSpPr/>
                        <wps:spPr>
                          <a:xfrm>
                            <a:off x="1205564" y="2954334"/>
                            <a:ext cx="647700" cy="383540"/>
                          </a:xfrm>
                          <a:custGeom>
                            <a:avLst/>
                            <a:gdLst/>
                            <a:ahLst/>
                            <a:cxnLst/>
                            <a:rect l="l" t="t" r="r" b="b"/>
                            <a:pathLst>
                              <a:path w="647700" h="383540">
                                <a:moveTo>
                                  <a:pt x="282514" y="0"/>
                                </a:moveTo>
                                <a:lnTo>
                                  <a:pt x="0" y="265278"/>
                                </a:lnTo>
                                <a:lnTo>
                                  <a:pt x="31129" y="293669"/>
                                </a:lnTo>
                                <a:lnTo>
                                  <a:pt x="65114" y="318515"/>
                                </a:lnTo>
                                <a:lnTo>
                                  <a:pt x="101647" y="339619"/>
                                </a:lnTo>
                                <a:lnTo>
                                  <a:pt x="140423" y="356785"/>
                                </a:lnTo>
                                <a:lnTo>
                                  <a:pt x="187333" y="371423"/>
                                </a:lnTo>
                                <a:lnTo>
                                  <a:pt x="234670" y="380078"/>
                                </a:lnTo>
                                <a:lnTo>
                                  <a:pt x="281961" y="382954"/>
                                </a:lnTo>
                                <a:lnTo>
                                  <a:pt x="328729" y="380256"/>
                                </a:lnTo>
                                <a:lnTo>
                                  <a:pt x="374499" y="372188"/>
                                </a:lnTo>
                                <a:lnTo>
                                  <a:pt x="418795" y="358955"/>
                                </a:lnTo>
                                <a:lnTo>
                                  <a:pt x="461143" y="340760"/>
                                </a:lnTo>
                                <a:lnTo>
                                  <a:pt x="501067" y="317808"/>
                                </a:lnTo>
                                <a:lnTo>
                                  <a:pt x="538091" y="290303"/>
                                </a:lnTo>
                                <a:lnTo>
                                  <a:pt x="571739" y="258449"/>
                                </a:lnTo>
                                <a:lnTo>
                                  <a:pt x="601537" y="222452"/>
                                </a:lnTo>
                                <a:lnTo>
                                  <a:pt x="627010" y="182515"/>
                                </a:lnTo>
                                <a:lnTo>
                                  <a:pt x="647680" y="138842"/>
                                </a:lnTo>
                                <a:lnTo>
                                  <a:pt x="282514" y="0"/>
                                </a:lnTo>
                                <a:close/>
                              </a:path>
                            </a:pathLst>
                          </a:custGeom>
                          <a:solidFill>
                            <a:srgbClr val="297ED4"/>
                          </a:solidFill>
                        </wps:spPr>
                        <wps:bodyPr wrap="square" lIns="0" tIns="0" rIns="0" bIns="0" rtlCol="0">
                          <a:prstTxWarp prst="textNoShape">
                            <a:avLst/>
                          </a:prstTxWarp>
                          <a:noAutofit/>
                        </wps:bodyPr>
                      </wps:wsp>
                      <wps:wsp>
                        <wps:cNvPr id="300" name="Graphic 300"/>
                        <wps:cNvSpPr/>
                        <wps:spPr>
                          <a:xfrm>
                            <a:off x="1074707" y="2545201"/>
                            <a:ext cx="391795" cy="648335"/>
                          </a:xfrm>
                          <a:custGeom>
                            <a:avLst/>
                            <a:gdLst/>
                            <a:ahLst/>
                            <a:cxnLst/>
                            <a:rect l="l" t="t" r="r" b="b"/>
                            <a:pathLst>
                              <a:path w="391795" h="648335">
                                <a:moveTo>
                                  <a:pt x="391507" y="0"/>
                                </a:moveTo>
                                <a:lnTo>
                                  <a:pt x="341320" y="3152"/>
                                </a:lnTo>
                                <a:lnTo>
                                  <a:pt x="292353" y="12462"/>
                                </a:lnTo>
                                <a:lnTo>
                                  <a:pt x="245172" y="27704"/>
                                </a:lnTo>
                                <a:lnTo>
                                  <a:pt x="200345" y="48656"/>
                                </a:lnTo>
                                <a:lnTo>
                                  <a:pt x="158439" y="75094"/>
                                </a:lnTo>
                                <a:lnTo>
                                  <a:pt x="120021" y="106794"/>
                                </a:lnTo>
                                <a:lnTo>
                                  <a:pt x="86697" y="142223"/>
                                </a:lnTo>
                                <a:lnTo>
                                  <a:pt x="58749" y="180547"/>
                                </a:lnTo>
                                <a:lnTo>
                                  <a:pt x="36186" y="221261"/>
                                </a:lnTo>
                                <a:lnTo>
                                  <a:pt x="19020" y="263856"/>
                                </a:lnTo>
                                <a:lnTo>
                                  <a:pt x="7260" y="307825"/>
                                </a:lnTo>
                                <a:lnTo>
                                  <a:pt x="916" y="352660"/>
                                </a:lnTo>
                                <a:lnTo>
                                  <a:pt x="0" y="397855"/>
                                </a:lnTo>
                                <a:lnTo>
                                  <a:pt x="4519" y="442902"/>
                                </a:lnTo>
                                <a:lnTo>
                                  <a:pt x="14486" y="487293"/>
                                </a:lnTo>
                                <a:lnTo>
                                  <a:pt x="29910" y="530522"/>
                                </a:lnTo>
                                <a:lnTo>
                                  <a:pt x="50800" y="572081"/>
                                </a:lnTo>
                                <a:lnTo>
                                  <a:pt x="77169" y="611462"/>
                                </a:lnTo>
                                <a:lnTo>
                                  <a:pt x="109024" y="648159"/>
                                </a:lnTo>
                                <a:lnTo>
                                  <a:pt x="391507" y="382849"/>
                                </a:lnTo>
                                <a:lnTo>
                                  <a:pt x="391507" y="0"/>
                                </a:lnTo>
                                <a:close/>
                              </a:path>
                            </a:pathLst>
                          </a:custGeom>
                          <a:solidFill>
                            <a:srgbClr val="5AA1AD"/>
                          </a:solidFill>
                        </wps:spPr>
                        <wps:bodyPr wrap="square" lIns="0" tIns="0" rIns="0" bIns="0" rtlCol="0">
                          <a:prstTxWarp prst="textNoShape">
                            <a:avLst/>
                          </a:prstTxWarp>
                          <a:noAutofit/>
                        </wps:bodyPr>
                      </wps:wsp>
                      <wps:wsp>
                        <wps:cNvPr id="301" name="Graphic 301"/>
                        <wps:cNvSpPr/>
                        <wps:spPr>
                          <a:xfrm>
                            <a:off x="918465" y="2656005"/>
                            <a:ext cx="1125855" cy="683895"/>
                          </a:xfrm>
                          <a:custGeom>
                            <a:avLst/>
                            <a:gdLst/>
                            <a:ahLst/>
                            <a:cxnLst/>
                            <a:rect l="l" t="t" r="r" b="b"/>
                            <a:pathLst>
                              <a:path w="1125855" h="683895">
                                <a:moveTo>
                                  <a:pt x="906503" y="51689"/>
                                </a:moveTo>
                                <a:lnTo>
                                  <a:pt x="1096460" y="0"/>
                                </a:lnTo>
                                <a:lnTo>
                                  <a:pt x="1110887" y="0"/>
                                </a:lnTo>
                              </a:path>
                              <a:path w="1125855" h="683895">
                                <a:moveTo>
                                  <a:pt x="646815" y="674317"/>
                                </a:moveTo>
                                <a:lnTo>
                                  <a:pt x="1110887" y="683715"/>
                                </a:lnTo>
                                <a:lnTo>
                                  <a:pt x="1125314" y="683715"/>
                                </a:lnTo>
                              </a:path>
                              <a:path w="1125855" h="683895">
                                <a:moveTo>
                                  <a:pt x="187552" y="122176"/>
                                </a:moveTo>
                                <a:lnTo>
                                  <a:pt x="14427" y="103379"/>
                                </a:lnTo>
                                <a:lnTo>
                                  <a:pt x="0" y="103379"/>
                                </a:lnTo>
                              </a:path>
                            </a:pathLst>
                          </a:custGeom>
                          <a:ln w="2377">
                            <a:solidFill>
                              <a:srgbClr val="A6A6A6"/>
                            </a:solidFill>
                            <a:prstDash val="solid"/>
                          </a:ln>
                        </wps:spPr>
                        <wps:bodyPr wrap="square" lIns="0" tIns="0" rIns="0" bIns="0" rtlCol="0">
                          <a:prstTxWarp prst="textNoShape">
                            <a:avLst/>
                          </a:prstTxWarp>
                          <a:noAutofit/>
                        </wps:bodyPr>
                      </wps:wsp>
                      <wps:wsp>
                        <wps:cNvPr id="302" name="Graphic 302"/>
                        <wps:cNvSpPr/>
                        <wps:spPr>
                          <a:xfrm>
                            <a:off x="3960821" y="2560739"/>
                            <a:ext cx="379095" cy="643890"/>
                          </a:xfrm>
                          <a:custGeom>
                            <a:avLst/>
                            <a:gdLst/>
                            <a:ahLst/>
                            <a:cxnLst/>
                            <a:rect l="l" t="t" r="r" b="b"/>
                            <a:pathLst>
                              <a:path w="379095" h="643890">
                                <a:moveTo>
                                  <a:pt x="0" y="0"/>
                                </a:moveTo>
                                <a:lnTo>
                                  <a:pt x="0" y="370318"/>
                                </a:lnTo>
                                <a:lnTo>
                                  <a:pt x="255776" y="643554"/>
                                </a:lnTo>
                                <a:lnTo>
                                  <a:pt x="292151" y="606178"/>
                                </a:lnTo>
                                <a:lnTo>
                                  <a:pt x="322592" y="564639"/>
                                </a:lnTo>
                                <a:lnTo>
                                  <a:pt x="346795" y="519612"/>
                                </a:lnTo>
                                <a:lnTo>
                                  <a:pt x="364458" y="471767"/>
                                </a:lnTo>
                                <a:lnTo>
                                  <a:pt x="375278" y="421778"/>
                                </a:lnTo>
                                <a:lnTo>
                                  <a:pt x="378952" y="370318"/>
                                </a:lnTo>
                                <a:lnTo>
                                  <a:pt x="375999" y="323870"/>
                                </a:lnTo>
                                <a:lnTo>
                                  <a:pt x="367378" y="279142"/>
                                </a:lnTo>
                                <a:lnTo>
                                  <a:pt x="353444" y="236482"/>
                                </a:lnTo>
                                <a:lnTo>
                                  <a:pt x="334551" y="196237"/>
                                </a:lnTo>
                                <a:lnTo>
                                  <a:pt x="311056" y="158755"/>
                                </a:lnTo>
                                <a:lnTo>
                                  <a:pt x="283313" y="124382"/>
                                </a:lnTo>
                                <a:lnTo>
                                  <a:pt x="251677" y="93466"/>
                                </a:lnTo>
                                <a:lnTo>
                                  <a:pt x="216503" y="66353"/>
                                </a:lnTo>
                                <a:lnTo>
                                  <a:pt x="178147" y="43392"/>
                                </a:lnTo>
                                <a:lnTo>
                                  <a:pt x="136963" y="24928"/>
                                </a:lnTo>
                                <a:lnTo>
                                  <a:pt x="93307" y="11310"/>
                                </a:lnTo>
                                <a:lnTo>
                                  <a:pt x="47534" y="2885"/>
                                </a:lnTo>
                                <a:lnTo>
                                  <a:pt x="0" y="0"/>
                                </a:lnTo>
                                <a:close/>
                              </a:path>
                            </a:pathLst>
                          </a:custGeom>
                          <a:solidFill>
                            <a:srgbClr val="4966AC"/>
                          </a:solidFill>
                        </wps:spPr>
                        <wps:bodyPr wrap="square" lIns="0" tIns="0" rIns="0" bIns="0" rtlCol="0">
                          <a:prstTxWarp prst="textNoShape">
                            <a:avLst/>
                          </a:prstTxWarp>
                          <a:noAutofit/>
                        </wps:bodyPr>
                      </wps:wsp>
                      <wps:wsp>
                        <wps:cNvPr id="303" name="Graphic 303"/>
                        <wps:cNvSpPr/>
                        <wps:spPr>
                          <a:xfrm>
                            <a:off x="3554268" y="2845190"/>
                            <a:ext cx="635000" cy="478790"/>
                          </a:xfrm>
                          <a:custGeom>
                            <a:avLst/>
                            <a:gdLst/>
                            <a:ahLst/>
                            <a:cxnLst/>
                            <a:rect l="l" t="t" r="r" b="b"/>
                            <a:pathLst>
                              <a:path w="635000" h="478790">
                                <a:moveTo>
                                  <a:pt x="16316" y="0"/>
                                </a:moveTo>
                                <a:lnTo>
                                  <a:pt x="4914" y="47403"/>
                                </a:lnTo>
                                <a:lnTo>
                                  <a:pt x="0" y="95237"/>
                                </a:lnTo>
                                <a:lnTo>
                                  <a:pt x="1437" y="142910"/>
                                </a:lnTo>
                                <a:lnTo>
                                  <a:pt x="9090" y="189830"/>
                                </a:lnTo>
                                <a:lnTo>
                                  <a:pt x="22822" y="235408"/>
                                </a:lnTo>
                                <a:lnTo>
                                  <a:pt x="42496" y="279050"/>
                                </a:lnTo>
                                <a:lnTo>
                                  <a:pt x="67977" y="320165"/>
                                </a:lnTo>
                                <a:lnTo>
                                  <a:pt x="99127" y="358163"/>
                                </a:lnTo>
                                <a:lnTo>
                                  <a:pt x="133389" y="390490"/>
                                </a:lnTo>
                                <a:lnTo>
                                  <a:pt x="170645" y="417807"/>
                                </a:lnTo>
                                <a:lnTo>
                                  <a:pt x="210393" y="440094"/>
                                </a:lnTo>
                                <a:lnTo>
                                  <a:pt x="252131" y="457328"/>
                                </a:lnTo>
                                <a:lnTo>
                                  <a:pt x="295358" y="469488"/>
                                </a:lnTo>
                                <a:lnTo>
                                  <a:pt x="339573" y="476552"/>
                                </a:lnTo>
                                <a:lnTo>
                                  <a:pt x="384272" y="478498"/>
                                </a:lnTo>
                                <a:lnTo>
                                  <a:pt x="428955" y="475303"/>
                                </a:lnTo>
                                <a:lnTo>
                                  <a:pt x="473120" y="466947"/>
                                </a:lnTo>
                                <a:lnTo>
                                  <a:pt x="516265" y="453408"/>
                                </a:lnTo>
                                <a:lnTo>
                                  <a:pt x="557889" y="434663"/>
                                </a:lnTo>
                                <a:lnTo>
                                  <a:pt x="597490" y="410691"/>
                                </a:lnTo>
                                <a:lnTo>
                                  <a:pt x="634565" y="381471"/>
                                </a:lnTo>
                                <a:lnTo>
                                  <a:pt x="378757" y="108235"/>
                                </a:lnTo>
                                <a:lnTo>
                                  <a:pt x="16316" y="0"/>
                                </a:lnTo>
                                <a:close/>
                              </a:path>
                            </a:pathLst>
                          </a:custGeom>
                          <a:solidFill>
                            <a:srgbClr val="297ED4"/>
                          </a:solidFill>
                        </wps:spPr>
                        <wps:bodyPr wrap="square" lIns="0" tIns="0" rIns="0" bIns="0" rtlCol="0">
                          <a:prstTxWarp prst="textNoShape">
                            <a:avLst/>
                          </a:prstTxWarp>
                          <a:noAutofit/>
                        </wps:bodyPr>
                      </wps:wsp>
                      <wps:wsp>
                        <wps:cNvPr id="304" name="Graphic 304"/>
                        <wps:cNvSpPr/>
                        <wps:spPr>
                          <a:xfrm>
                            <a:off x="3569430" y="2552563"/>
                            <a:ext cx="362585" cy="370840"/>
                          </a:xfrm>
                          <a:custGeom>
                            <a:avLst/>
                            <a:gdLst/>
                            <a:ahLst/>
                            <a:cxnLst/>
                            <a:rect l="l" t="t" r="r" b="b"/>
                            <a:pathLst>
                              <a:path w="362585" h="370840">
                                <a:moveTo>
                                  <a:pt x="362440" y="0"/>
                                </a:moveTo>
                                <a:lnTo>
                                  <a:pt x="313111" y="3134"/>
                                </a:lnTo>
                                <a:lnTo>
                                  <a:pt x="265429" y="12310"/>
                                </a:lnTo>
                                <a:lnTo>
                                  <a:pt x="219865" y="27184"/>
                                </a:lnTo>
                                <a:lnTo>
                                  <a:pt x="176894" y="47414"/>
                                </a:lnTo>
                                <a:lnTo>
                                  <a:pt x="136989" y="72659"/>
                                </a:lnTo>
                                <a:lnTo>
                                  <a:pt x="100622" y="102575"/>
                                </a:lnTo>
                                <a:lnTo>
                                  <a:pt x="68267" y="136822"/>
                                </a:lnTo>
                                <a:lnTo>
                                  <a:pt x="40396" y="175055"/>
                                </a:lnTo>
                                <a:lnTo>
                                  <a:pt x="17482" y="216933"/>
                                </a:lnTo>
                                <a:lnTo>
                                  <a:pt x="0" y="262114"/>
                                </a:lnTo>
                                <a:lnTo>
                                  <a:pt x="362440" y="370318"/>
                                </a:lnTo>
                                <a:lnTo>
                                  <a:pt x="362440" y="0"/>
                                </a:lnTo>
                                <a:close/>
                              </a:path>
                            </a:pathLst>
                          </a:custGeom>
                          <a:solidFill>
                            <a:srgbClr val="5AA1AD"/>
                          </a:solidFill>
                        </wps:spPr>
                        <wps:bodyPr wrap="square" lIns="0" tIns="0" rIns="0" bIns="0" rtlCol="0">
                          <a:prstTxWarp prst="textNoShape">
                            <a:avLst/>
                          </a:prstTxWarp>
                          <a:noAutofit/>
                        </wps:bodyPr>
                      </wps:wsp>
                      <wps:wsp>
                        <wps:cNvPr id="305" name="Graphic 305"/>
                        <wps:cNvSpPr/>
                        <wps:spPr>
                          <a:xfrm>
                            <a:off x="3373478" y="2625461"/>
                            <a:ext cx="1048385" cy="669925"/>
                          </a:xfrm>
                          <a:custGeom>
                            <a:avLst/>
                            <a:gdLst/>
                            <a:ahLst/>
                            <a:cxnLst/>
                            <a:rect l="l" t="t" r="r" b="b"/>
                            <a:pathLst>
                              <a:path w="1048385" h="669925">
                                <a:moveTo>
                                  <a:pt x="940166" y="171516"/>
                                </a:moveTo>
                                <a:lnTo>
                                  <a:pt x="1033942" y="133923"/>
                                </a:lnTo>
                                <a:lnTo>
                                  <a:pt x="1048369" y="133923"/>
                                </a:lnTo>
                              </a:path>
                              <a:path w="1048385" h="669925">
                                <a:moveTo>
                                  <a:pt x="358273" y="641424"/>
                                </a:moveTo>
                                <a:lnTo>
                                  <a:pt x="14427" y="669618"/>
                                </a:lnTo>
                                <a:lnTo>
                                  <a:pt x="0" y="669618"/>
                                </a:lnTo>
                              </a:path>
                              <a:path w="1048385" h="669925">
                                <a:moveTo>
                                  <a:pt x="331823" y="0"/>
                                </a:moveTo>
                                <a:lnTo>
                                  <a:pt x="141866" y="44641"/>
                                </a:lnTo>
                                <a:lnTo>
                                  <a:pt x="127439" y="44641"/>
                                </a:lnTo>
                              </a:path>
                            </a:pathLst>
                          </a:custGeom>
                          <a:ln w="2377">
                            <a:solidFill>
                              <a:srgbClr val="A6A6A6"/>
                            </a:solidFill>
                            <a:prstDash val="solid"/>
                          </a:ln>
                        </wps:spPr>
                        <wps:bodyPr wrap="square" lIns="0" tIns="0" rIns="0" bIns="0" rtlCol="0">
                          <a:prstTxWarp prst="textNoShape">
                            <a:avLst/>
                          </a:prstTxWarp>
                          <a:noAutofit/>
                        </wps:bodyPr>
                      </wps:wsp>
                      <wps:wsp>
                        <wps:cNvPr id="306" name="Graphic 306"/>
                        <wps:cNvSpPr/>
                        <wps:spPr>
                          <a:xfrm>
                            <a:off x="830908" y="3982398"/>
                            <a:ext cx="309245" cy="593725"/>
                          </a:xfrm>
                          <a:custGeom>
                            <a:avLst/>
                            <a:gdLst/>
                            <a:ahLst/>
                            <a:cxnLst/>
                            <a:rect l="l" t="t" r="r" b="b"/>
                            <a:pathLst>
                              <a:path w="309245" h="593725">
                                <a:moveTo>
                                  <a:pt x="0" y="0"/>
                                </a:moveTo>
                                <a:lnTo>
                                  <a:pt x="0" y="301806"/>
                                </a:lnTo>
                                <a:lnTo>
                                  <a:pt x="80663" y="593117"/>
                                </a:lnTo>
                                <a:lnTo>
                                  <a:pt x="129127" y="575964"/>
                                </a:lnTo>
                                <a:lnTo>
                                  <a:pt x="173122" y="551741"/>
                                </a:lnTo>
                                <a:lnTo>
                                  <a:pt x="212032" y="521231"/>
                                </a:lnTo>
                                <a:lnTo>
                                  <a:pt x="245244" y="485218"/>
                                </a:lnTo>
                                <a:lnTo>
                                  <a:pt x="272145" y="444486"/>
                                </a:lnTo>
                                <a:lnTo>
                                  <a:pt x="292119" y="399818"/>
                                </a:lnTo>
                                <a:lnTo>
                                  <a:pt x="304554" y="351996"/>
                                </a:lnTo>
                                <a:lnTo>
                                  <a:pt x="308836" y="301806"/>
                                </a:lnTo>
                                <a:lnTo>
                                  <a:pt x="304793" y="252849"/>
                                </a:lnTo>
                                <a:lnTo>
                                  <a:pt x="293091" y="206408"/>
                                </a:lnTo>
                                <a:lnTo>
                                  <a:pt x="274363" y="163104"/>
                                </a:lnTo>
                                <a:lnTo>
                                  <a:pt x="249247" y="123559"/>
                                </a:lnTo>
                                <a:lnTo>
                                  <a:pt x="218378" y="88393"/>
                                </a:lnTo>
                                <a:lnTo>
                                  <a:pt x="182392" y="58228"/>
                                </a:lnTo>
                                <a:lnTo>
                                  <a:pt x="141925" y="33685"/>
                                </a:lnTo>
                                <a:lnTo>
                                  <a:pt x="97614" y="15385"/>
                                </a:lnTo>
                                <a:lnTo>
                                  <a:pt x="50093" y="3949"/>
                                </a:lnTo>
                                <a:lnTo>
                                  <a:pt x="0" y="0"/>
                                </a:lnTo>
                                <a:close/>
                              </a:path>
                            </a:pathLst>
                          </a:custGeom>
                          <a:solidFill>
                            <a:srgbClr val="4966AC"/>
                          </a:solidFill>
                        </wps:spPr>
                        <wps:bodyPr wrap="square" lIns="0" tIns="0" rIns="0" bIns="0" rtlCol="0">
                          <a:prstTxWarp prst="textNoShape">
                            <a:avLst/>
                          </a:prstTxWarp>
                          <a:noAutofit/>
                        </wps:bodyPr>
                      </wps:wsp>
                      <wps:wsp>
                        <wps:cNvPr id="307" name="Graphic 307"/>
                        <wps:cNvSpPr/>
                        <wps:spPr>
                          <a:xfrm>
                            <a:off x="493118" y="4034652"/>
                            <a:ext cx="389255" cy="559435"/>
                          </a:xfrm>
                          <a:custGeom>
                            <a:avLst/>
                            <a:gdLst/>
                            <a:ahLst/>
                            <a:cxnLst/>
                            <a:rect l="l" t="t" r="r" b="b"/>
                            <a:pathLst>
                              <a:path w="389255" h="559435">
                                <a:moveTo>
                                  <a:pt x="147224" y="0"/>
                                </a:moveTo>
                                <a:lnTo>
                                  <a:pt x="106258" y="29219"/>
                                </a:lnTo>
                                <a:lnTo>
                                  <a:pt x="71387" y="63851"/>
                                </a:lnTo>
                                <a:lnTo>
                                  <a:pt x="42968" y="103021"/>
                                </a:lnTo>
                                <a:lnTo>
                                  <a:pt x="21359" y="145855"/>
                                </a:lnTo>
                                <a:lnTo>
                                  <a:pt x="6917" y="191477"/>
                                </a:lnTo>
                                <a:lnTo>
                                  <a:pt x="0" y="239014"/>
                                </a:lnTo>
                                <a:lnTo>
                                  <a:pt x="963" y="287589"/>
                                </a:lnTo>
                                <a:lnTo>
                                  <a:pt x="10166" y="336328"/>
                                </a:lnTo>
                                <a:lnTo>
                                  <a:pt x="27155" y="382551"/>
                                </a:lnTo>
                                <a:lnTo>
                                  <a:pt x="50865" y="424392"/>
                                </a:lnTo>
                                <a:lnTo>
                                  <a:pt x="80517" y="461412"/>
                                </a:lnTo>
                                <a:lnTo>
                                  <a:pt x="115330" y="493174"/>
                                </a:lnTo>
                                <a:lnTo>
                                  <a:pt x="154525" y="519240"/>
                                </a:lnTo>
                                <a:lnTo>
                                  <a:pt x="197324" y="539173"/>
                                </a:lnTo>
                                <a:lnTo>
                                  <a:pt x="242946" y="552535"/>
                                </a:lnTo>
                                <a:lnTo>
                                  <a:pt x="290612" y="558888"/>
                                </a:lnTo>
                                <a:lnTo>
                                  <a:pt x="339542" y="557796"/>
                                </a:lnTo>
                                <a:lnTo>
                                  <a:pt x="388958" y="548820"/>
                                </a:lnTo>
                                <a:lnTo>
                                  <a:pt x="308294" y="257509"/>
                                </a:lnTo>
                                <a:lnTo>
                                  <a:pt x="147224" y="0"/>
                                </a:lnTo>
                                <a:close/>
                              </a:path>
                            </a:pathLst>
                          </a:custGeom>
                          <a:solidFill>
                            <a:srgbClr val="297ED4"/>
                          </a:solidFill>
                        </wps:spPr>
                        <wps:bodyPr wrap="square" lIns="0" tIns="0" rIns="0" bIns="0" rtlCol="0">
                          <a:prstTxWarp prst="textNoShape">
                            <a:avLst/>
                          </a:prstTxWarp>
                          <a:noAutofit/>
                        </wps:bodyPr>
                      </wps:wsp>
                      <wps:wsp>
                        <wps:cNvPr id="308" name="Graphic 308"/>
                        <wps:cNvSpPr/>
                        <wps:spPr>
                          <a:xfrm>
                            <a:off x="650345" y="3969867"/>
                            <a:ext cx="161290" cy="302260"/>
                          </a:xfrm>
                          <a:custGeom>
                            <a:avLst/>
                            <a:gdLst/>
                            <a:ahLst/>
                            <a:cxnLst/>
                            <a:rect l="l" t="t" r="r" b="b"/>
                            <a:pathLst>
                              <a:path w="161290" h="302260">
                                <a:moveTo>
                                  <a:pt x="161070" y="0"/>
                                </a:moveTo>
                                <a:lnTo>
                                  <a:pt x="118744" y="2846"/>
                                </a:lnTo>
                                <a:lnTo>
                                  <a:pt x="77409" y="11281"/>
                                </a:lnTo>
                                <a:lnTo>
                                  <a:pt x="37637" y="25150"/>
                                </a:lnTo>
                                <a:lnTo>
                                  <a:pt x="0" y="44296"/>
                                </a:lnTo>
                                <a:lnTo>
                                  <a:pt x="161070" y="301806"/>
                                </a:lnTo>
                                <a:lnTo>
                                  <a:pt x="161070" y="0"/>
                                </a:lnTo>
                                <a:close/>
                              </a:path>
                            </a:pathLst>
                          </a:custGeom>
                          <a:solidFill>
                            <a:srgbClr val="5AA1AD"/>
                          </a:solidFill>
                        </wps:spPr>
                        <wps:bodyPr wrap="square" lIns="0" tIns="0" rIns="0" bIns="0" rtlCol="0">
                          <a:prstTxWarp prst="textNoShape">
                            <a:avLst/>
                          </a:prstTxWarp>
                          <a:noAutofit/>
                        </wps:bodyPr>
                      </wps:wsp>
                      <wps:wsp>
                        <wps:cNvPr id="309" name="Graphic 309"/>
                        <wps:cNvSpPr/>
                        <wps:spPr>
                          <a:xfrm>
                            <a:off x="411112" y="3981145"/>
                            <a:ext cx="767080" cy="470534"/>
                          </a:xfrm>
                          <a:custGeom>
                            <a:avLst/>
                            <a:gdLst/>
                            <a:ahLst/>
                            <a:cxnLst/>
                            <a:rect l="l" t="t" r="r" b="b"/>
                            <a:pathLst>
                              <a:path w="767080" h="470534">
                                <a:moveTo>
                                  <a:pt x="726164" y="263148"/>
                                </a:moveTo>
                                <a:lnTo>
                                  <a:pt x="752614" y="197361"/>
                                </a:lnTo>
                                <a:lnTo>
                                  <a:pt x="767041" y="197361"/>
                                </a:lnTo>
                              </a:path>
                              <a:path w="767080" h="470534">
                                <a:moveTo>
                                  <a:pt x="105798" y="429965"/>
                                </a:moveTo>
                                <a:lnTo>
                                  <a:pt x="14427" y="469907"/>
                                </a:lnTo>
                                <a:lnTo>
                                  <a:pt x="0" y="469907"/>
                                </a:lnTo>
                              </a:path>
                              <a:path w="767080" h="470534">
                                <a:moveTo>
                                  <a:pt x="317396" y="0"/>
                                </a:moveTo>
                                <a:lnTo>
                                  <a:pt x="86562" y="35243"/>
                                </a:lnTo>
                                <a:lnTo>
                                  <a:pt x="72135" y="35243"/>
                                </a:lnTo>
                              </a:path>
                            </a:pathLst>
                          </a:custGeom>
                          <a:ln w="2377">
                            <a:solidFill>
                              <a:srgbClr val="A6A6A6"/>
                            </a:solidFill>
                            <a:prstDash val="solid"/>
                          </a:ln>
                        </wps:spPr>
                        <wps:bodyPr wrap="square" lIns="0" tIns="0" rIns="0" bIns="0" rtlCol="0">
                          <a:prstTxWarp prst="textNoShape">
                            <a:avLst/>
                          </a:prstTxWarp>
                          <a:noAutofit/>
                        </wps:bodyPr>
                      </wps:wsp>
                      <wps:wsp>
                        <wps:cNvPr id="310" name="Graphic 310"/>
                        <wps:cNvSpPr/>
                        <wps:spPr>
                          <a:xfrm>
                            <a:off x="526529" y="3682754"/>
                            <a:ext cx="848994" cy="220979"/>
                          </a:xfrm>
                          <a:custGeom>
                            <a:avLst/>
                            <a:gdLst/>
                            <a:ahLst/>
                            <a:cxnLst/>
                            <a:rect l="l" t="t" r="r" b="b"/>
                            <a:pathLst>
                              <a:path w="848994" h="220979">
                                <a:moveTo>
                                  <a:pt x="811091" y="0"/>
                                </a:moveTo>
                                <a:lnTo>
                                  <a:pt x="37670" y="0"/>
                                </a:lnTo>
                                <a:lnTo>
                                  <a:pt x="23006" y="2892"/>
                                </a:lnTo>
                                <a:lnTo>
                                  <a:pt x="11032" y="10780"/>
                                </a:lnTo>
                                <a:lnTo>
                                  <a:pt x="2960" y="22480"/>
                                </a:lnTo>
                                <a:lnTo>
                                  <a:pt x="0" y="36809"/>
                                </a:lnTo>
                                <a:lnTo>
                                  <a:pt x="0" y="184047"/>
                                </a:lnTo>
                                <a:lnTo>
                                  <a:pt x="2960" y="198375"/>
                                </a:lnTo>
                                <a:lnTo>
                                  <a:pt x="11032" y="210076"/>
                                </a:lnTo>
                                <a:lnTo>
                                  <a:pt x="23006" y="217964"/>
                                </a:lnTo>
                                <a:lnTo>
                                  <a:pt x="37670" y="220856"/>
                                </a:lnTo>
                                <a:lnTo>
                                  <a:pt x="811091" y="220856"/>
                                </a:lnTo>
                                <a:lnTo>
                                  <a:pt x="825760" y="217964"/>
                                </a:lnTo>
                                <a:lnTo>
                                  <a:pt x="837746" y="210076"/>
                                </a:lnTo>
                                <a:lnTo>
                                  <a:pt x="845829" y="198375"/>
                                </a:lnTo>
                                <a:lnTo>
                                  <a:pt x="848794" y="184047"/>
                                </a:lnTo>
                                <a:lnTo>
                                  <a:pt x="848794" y="36809"/>
                                </a:lnTo>
                                <a:lnTo>
                                  <a:pt x="845829" y="22480"/>
                                </a:lnTo>
                                <a:lnTo>
                                  <a:pt x="837746" y="10780"/>
                                </a:lnTo>
                                <a:lnTo>
                                  <a:pt x="825760" y="2892"/>
                                </a:lnTo>
                                <a:lnTo>
                                  <a:pt x="811091"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526529" y="3682754"/>
                            <a:ext cx="848994" cy="220979"/>
                          </a:xfrm>
                          <a:custGeom>
                            <a:avLst/>
                            <a:gdLst/>
                            <a:ahLst/>
                            <a:cxnLst/>
                            <a:rect l="l" t="t" r="r" b="b"/>
                            <a:pathLst>
                              <a:path w="848994" h="220979">
                                <a:moveTo>
                                  <a:pt x="0" y="36809"/>
                                </a:moveTo>
                                <a:lnTo>
                                  <a:pt x="2960" y="22480"/>
                                </a:lnTo>
                                <a:lnTo>
                                  <a:pt x="11032" y="10780"/>
                                </a:lnTo>
                                <a:lnTo>
                                  <a:pt x="23006" y="2892"/>
                                </a:lnTo>
                                <a:lnTo>
                                  <a:pt x="37670" y="0"/>
                                </a:lnTo>
                                <a:lnTo>
                                  <a:pt x="811091" y="0"/>
                                </a:lnTo>
                                <a:lnTo>
                                  <a:pt x="845829" y="22480"/>
                                </a:lnTo>
                                <a:lnTo>
                                  <a:pt x="848794" y="184047"/>
                                </a:lnTo>
                                <a:lnTo>
                                  <a:pt x="845829" y="198375"/>
                                </a:lnTo>
                                <a:lnTo>
                                  <a:pt x="837746" y="210076"/>
                                </a:lnTo>
                                <a:lnTo>
                                  <a:pt x="825760" y="217964"/>
                                </a:lnTo>
                                <a:lnTo>
                                  <a:pt x="811091" y="220856"/>
                                </a:lnTo>
                                <a:lnTo>
                                  <a:pt x="37670" y="220856"/>
                                </a:lnTo>
                                <a:lnTo>
                                  <a:pt x="2960" y="198375"/>
                                </a:lnTo>
                                <a:lnTo>
                                  <a:pt x="0" y="36809"/>
                                </a:lnTo>
                                <a:close/>
                              </a:path>
                            </a:pathLst>
                          </a:custGeom>
                          <a:ln w="6274">
                            <a:solidFill>
                              <a:srgbClr val="619DD1"/>
                            </a:solidFill>
                            <a:prstDash val="solid"/>
                          </a:ln>
                        </wps:spPr>
                        <wps:bodyPr wrap="square" lIns="0" tIns="0" rIns="0" bIns="0" rtlCol="0">
                          <a:prstTxWarp prst="textNoShape">
                            <a:avLst/>
                          </a:prstTxWarp>
                          <a:noAutofit/>
                        </wps:bodyPr>
                      </wps:wsp>
                      <wps:wsp>
                        <wps:cNvPr id="312" name="Graphic 312"/>
                        <wps:cNvSpPr/>
                        <wps:spPr>
                          <a:xfrm>
                            <a:off x="2016624" y="3982806"/>
                            <a:ext cx="295910" cy="289560"/>
                          </a:xfrm>
                          <a:custGeom>
                            <a:avLst/>
                            <a:gdLst/>
                            <a:ahLst/>
                            <a:cxnLst/>
                            <a:rect l="l" t="t" r="r" b="b"/>
                            <a:pathLst>
                              <a:path w="295910" h="289560">
                                <a:moveTo>
                                  <a:pt x="0" y="0"/>
                                </a:moveTo>
                                <a:lnTo>
                                  <a:pt x="0" y="289118"/>
                                </a:lnTo>
                                <a:lnTo>
                                  <a:pt x="295819" y="283260"/>
                                </a:lnTo>
                                <a:lnTo>
                                  <a:pt x="291091" y="237091"/>
                                </a:lnTo>
                                <a:lnTo>
                                  <a:pt x="279261" y="193376"/>
                                </a:lnTo>
                                <a:lnTo>
                                  <a:pt x="260922" y="152681"/>
                                </a:lnTo>
                                <a:lnTo>
                                  <a:pt x="236666" y="115574"/>
                                </a:lnTo>
                                <a:lnTo>
                                  <a:pt x="207085" y="82621"/>
                                </a:lnTo>
                                <a:lnTo>
                                  <a:pt x="172769" y="54389"/>
                                </a:lnTo>
                                <a:lnTo>
                                  <a:pt x="134311" y="31443"/>
                                </a:lnTo>
                                <a:lnTo>
                                  <a:pt x="92302" y="14352"/>
                                </a:lnTo>
                                <a:lnTo>
                                  <a:pt x="47334" y="3682"/>
                                </a:lnTo>
                                <a:lnTo>
                                  <a:pt x="0" y="0"/>
                                </a:lnTo>
                                <a:close/>
                              </a:path>
                            </a:pathLst>
                          </a:custGeom>
                          <a:solidFill>
                            <a:srgbClr val="4966AC"/>
                          </a:solidFill>
                        </wps:spPr>
                        <wps:bodyPr wrap="square" lIns="0" tIns="0" rIns="0" bIns="0" rtlCol="0">
                          <a:prstTxWarp prst="textNoShape">
                            <a:avLst/>
                          </a:prstTxWarp>
                          <a:noAutofit/>
                        </wps:bodyPr>
                      </wps:wsp>
                      <wps:wsp>
                        <wps:cNvPr id="313" name="Graphic 313"/>
                        <wps:cNvSpPr/>
                        <wps:spPr>
                          <a:xfrm>
                            <a:off x="2017297" y="4286053"/>
                            <a:ext cx="295910" cy="294005"/>
                          </a:xfrm>
                          <a:custGeom>
                            <a:avLst/>
                            <a:gdLst/>
                            <a:ahLst/>
                            <a:cxnLst/>
                            <a:rect l="l" t="t" r="r" b="b"/>
                            <a:pathLst>
                              <a:path w="295910" h="294005">
                                <a:moveTo>
                                  <a:pt x="295819" y="0"/>
                                </a:moveTo>
                                <a:lnTo>
                                  <a:pt x="0" y="5858"/>
                                </a:lnTo>
                                <a:lnTo>
                                  <a:pt x="26674" y="293786"/>
                                </a:lnTo>
                                <a:lnTo>
                                  <a:pt x="76765" y="285102"/>
                                </a:lnTo>
                                <a:lnTo>
                                  <a:pt x="123413" y="268678"/>
                                </a:lnTo>
                                <a:lnTo>
                                  <a:pt x="165930" y="245264"/>
                                </a:lnTo>
                                <a:lnTo>
                                  <a:pt x="203629" y="215609"/>
                                </a:lnTo>
                                <a:lnTo>
                                  <a:pt x="235824" y="180465"/>
                                </a:lnTo>
                                <a:lnTo>
                                  <a:pt x="261827" y="140582"/>
                                </a:lnTo>
                                <a:lnTo>
                                  <a:pt x="280952" y="96710"/>
                                </a:lnTo>
                                <a:lnTo>
                                  <a:pt x="292512" y="49599"/>
                                </a:lnTo>
                                <a:lnTo>
                                  <a:pt x="295819" y="0"/>
                                </a:lnTo>
                                <a:close/>
                              </a:path>
                            </a:pathLst>
                          </a:custGeom>
                          <a:solidFill>
                            <a:srgbClr val="297ED4"/>
                          </a:solidFill>
                        </wps:spPr>
                        <wps:bodyPr wrap="square" lIns="0" tIns="0" rIns="0" bIns="0" rtlCol="0">
                          <a:prstTxWarp prst="textNoShape">
                            <a:avLst/>
                          </a:prstTxWarp>
                          <a:noAutofit/>
                        </wps:bodyPr>
                      </wps:wsp>
                      <wps:wsp>
                        <wps:cNvPr id="314" name="Graphic 314"/>
                        <wps:cNvSpPr/>
                        <wps:spPr>
                          <a:xfrm>
                            <a:off x="1696349" y="3993801"/>
                            <a:ext cx="321945" cy="577850"/>
                          </a:xfrm>
                          <a:custGeom>
                            <a:avLst/>
                            <a:gdLst/>
                            <a:ahLst/>
                            <a:cxnLst/>
                            <a:rect l="l" t="t" r="r" b="b"/>
                            <a:pathLst>
                              <a:path w="321945" h="577850">
                                <a:moveTo>
                                  <a:pt x="295140" y="0"/>
                                </a:moveTo>
                                <a:lnTo>
                                  <a:pt x="221011" y="9160"/>
                                </a:lnTo>
                                <a:lnTo>
                                  <a:pt x="176675" y="24085"/>
                                </a:lnTo>
                                <a:lnTo>
                                  <a:pt x="136011" y="45289"/>
                                </a:lnTo>
                                <a:lnTo>
                                  <a:pt x="99569" y="72123"/>
                                </a:lnTo>
                                <a:lnTo>
                                  <a:pt x="67901" y="103943"/>
                                </a:lnTo>
                                <a:lnTo>
                                  <a:pt x="41559" y="140101"/>
                                </a:lnTo>
                                <a:lnTo>
                                  <a:pt x="21093" y="179950"/>
                                </a:lnTo>
                                <a:lnTo>
                                  <a:pt x="7056" y="222845"/>
                                </a:lnTo>
                                <a:lnTo>
                                  <a:pt x="0" y="268138"/>
                                </a:lnTo>
                                <a:lnTo>
                                  <a:pt x="474" y="315182"/>
                                </a:lnTo>
                                <a:lnTo>
                                  <a:pt x="8654" y="361545"/>
                                </a:lnTo>
                                <a:lnTo>
                                  <a:pt x="23922" y="404862"/>
                                </a:lnTo>
                                <a:lnTo>
                                  <a:pt x="45616" y="444595"/>
                                </a:lnTo>
                                <a:lnTo>
                                  <a:pt x="73074" y="480204"/>
                                </a:lnTo>
                                <a:lnTo>
                                  <a:pt x="105636" y="511149"/>
                                </a:lnTo>
                                <a:lnTo>
                                  <a:pt x="142638" y="536892"/>
                                </a:lnTo>
                                <a:lnTo>
                                  <a:pt x="183418" y="556893"/>
                                </a:lnTo>
                                <a:lnTo>
                                  <a:pt x="227316" y="570612"/>
                                </a:lnTo>
                                <a:lnTo>
                                  <a:pt x="273669" y="577509"/>
                                </a:lnTo>
                                <a:lnTo>
                                  <a:pt x="321814" y="577046"/>
                                </a:lnTo>
                                <a:lnTo>
                                  <a:pt x="295140" y="289118"/>
                                </a:lnTo>
                                <a:lnTo>
                                  <a:pt x="295140" y="0"/>
                                </a:lnTo>
                                <a:close/>
                              </a:path>
                            </a:pathLst>
                          </a:custGeom>
                          <a:solidFill>
                            <a:srgbClr val="5AA1AD"/>
                          </a:solidFill>
                        </wps:spPr>
                        <wps:bodyPr wrap="square" lIns="0" tIns="0" rIns="0" bIns="0" rtlCol="0">
                          <a:prstTxWarp prst="textNoShape">
                            <a:avLst/>
                          </a:prstTxWarp>
                          <a:noAutofit/>
                        </wps:bodyPr>
                      </wps:wsp>
                      <wps:wsp>
                        <wps:cNvPr id="315" name="Graphic 315"/>
                        <wps:cNvSpPr/>
                        <wps:spPr>
                          <a:xfrm>
                            <a:off x="1622989" y="4053981"/>
                            <a:ext cx="743585" cy="461009"/>
                          </a:xfrm>
                          <a:custGeom>
                            <a:avLst/>
                            <a:gdLst/>
                            <a:ahLst/>
                            <a:cxnLst/>
                            <a:rect l="l" t="t" r="r" b="b"/>
                            <a:pathLst>
                              <a:path w="743585" h="461009">
                                <a:moveTo>
                                  <a:pt x="601129" y="11747"/>
                                </a:moveTo>
                                <a:lnTo>
                                  <a:pt x="728568" y="0"/>
                                </a:lnTo>
                                <a:lnTo>
                                  <a:pt x="742995" y="0"/>
                                </a:lnTo>
                              </a:path>
                              <a:path w="743585" h="461009">
                                <a:moveTo>
                                  <a:pt x="615556" y="429965"/>
                                </a:moveTo>
                                <a:lnTo>
                                  <a:pt x="615556" y="460509"/>
                                </a:lnTo>
                                <a:lnTo>
                                  <a:pt x="629983" y="460509"/>
                                </a:lnTo>
                              </a:path>
                              <a:path w="743585" h="461009">
                                <a:moveTo>
                                  <a:pt x="72135" y="242002"/>
                                </a:moveTo>
                                <a:lnTo>
                                  <a:pt x="14427" y="185613"/>
                                </a:lnTo>
                                <a:lnTo>
                                  <a:pt x="0" y="185613"/>
                                </a:lnTo>
                              </a:path>
                            </a:pathLst>
                          </a:custGeom>
                          <a:ln w="2377">
                            <a:solidFill>
                              <a:srgbClr val="A6A6A6"/>
                            </a:solidFill>
                            <a:prstDash val="solid"/>
                          </a:ln>
                        </wps:spPr>
                        <wps:bodyPr wrap="square" lIns="0" tIns="0" rIns="0" bIns="0" rtlCol="0">
                          <a:prstTxWarp prst="textNoShape">
                            <a:avLst/>
                          </a:prstTxWarp>
                          <a:noAutofit/>
                        </wps:bodyPr>
                      </wps:wsp>
                      <wps:wsp>
                        <wps:cNvPr id="316" name="Graphic 316"/>
                        <wps:cNvSpPr/>
                        <wps:spPr>
                          <a:xfrm>
                            <a:off x="1766170" y="5213651"/>
                            <a:ext cx="584835" cy="585470"/>
                          </a:xfrm>
                          <a:custGeom>
                            <a:avLst/>
                            <a:gdLst/>
                            <a:ahLst/>
                            <a:cxnLst/>
                            <a:rect l="l" t="t" r="r" b="b"/>
                            <a:pathLst>
                              <a:path w="584835" h="585470">
                                <a:moveTo>
                                  <a:pt x="285239" y="0"/>
                                </a:moveTo>
                                <a:lnTo>
                                  <a:pt x="285239" y="292627"/>
                                </a:lnTo>
                                <a:lnTo>
                                  <a:pt x="0" y="381690"/>
                                </a:lnTo>
                                <a:lnTo>
                                  <a:pt x="18290" y="425254"/>
                                </a:lnTo>
                                <a:lnTo>
                                  <a:pt x="42968" y="464658"/>
                                </a:lnTo>
                                <a:lnTo>
                                  <a:pt x="73319" y="499392"/>
                                </a:lnTo>
                                <a:lnTo>
                                  <a:pt x="108632" y="528950"/>
                                </a:lnTo>
                                <a:lnTo>
                                  <a:pt x="148193" y="552824"/>
                                </a:lnTo>
                                <a:lnTo>
                                  <a:pt x="191289" y="570506"/>
                                </a:lnTo>
                                <a:lnTo>
                                  <a:pt x="237209" y="581487"/>
                                </a:lnTo>
                                <a:lnTo>
                                  <a:pt x="285239" y="585260"/>
                                </a:lnTo>
                                <a:lnTo>
                                  <a:pt x="333818" y="581430"/>
                                </a:lnTo>
                                <a:lnTo>
                                  <a:pt x="379901" y="570342"/>
                                </a:lnTo>
                                <a:lnTo>
                                  <a:pt x="422874" y="552597"/>
                                </a:lnTo>
                                <a:lnTo>
                                  <a:pt x="462118" y="528799"/>
                                </a:lnTo>
                                <a:lnTo>
                                  <a:pt x="497017" y="499550"/>
                                </a:lnTo>
                                <a:lnTo>
                                  <a:pt x="526955" y="465452"/>
                                </a:lnTo>
                                <a:lnTo>
                                  <a:pt x="551313" y="427109"/>
                                </a:lnTo>
                                <a:lnTo>
                                  <a:pt x="569476" y="385122"/>
                                </a:lnTo>
                                <a:lnTo>
                                  <a:pt x="580826" y="340093"/>
                                </a:lnTo>
                                <a:lnTo>
                                  <a:pt x="584746" y="292627"/>
                                </a:lnTo>
                                <a:lnTo>
                                  <a:pt x="580826" y="245160"/>
                                </a:lnTo>
                                <a:lnTo>
                                  <a:pt x="569476" y="200133"/>
                                </a:lnTo>
                                <a:lnTo>
                                  <a:pt x="551313" y="158146"/>
                                </a:lnTo>
                                <a:lnTo>
                                  <a:pt x="526955" y="119803"/>
                                </a:lnTo>
                                <a:lnTo>
                                  <a:pt x="497017" y="85707"/>
                                </a:lnTo>
                                <a:lnTo>
                                  <a:pt x="462118" y="56459"/>
                                </a:lnTo>
                                <a:lnTo>
                                  <a:pt x="422874" y="32661"/>
                                </a:lnTo>
                                <a:lnTo>
                                  <a:pt x="379901" y="14918"/>
                                </a:lnTo>
                                <a:lnTo>
                                  <a:pt x="333818" y="3829"/>
                                </a:lnTo>
                                <a:lnTo>
                                  <a:pt x="285239" y="0"/>
                                </a:lnTo>
                                <a:close/>
                              </a:path>
                            </a:pathLst>
                          </a:custGeom>
                          <a:solidFill>
                            <a:srgbClr val="4966AC"/>
                          </a:solidFill>
                        </wps:spPr>
                        <wps:bodyPr wrap="square" lIns="0" tIns="0" rIns="0" bIns="0" rtlCol="0">
                          <a:prstTxWarp prst="textNoShape">
                            <a:avLst/>
                          </a:prstTxWarp>
                          <a:noAutofit/>
                        </wps:bodyPr>
                      </wps:wsp>
                      <wps:wsp>
                        <wps:cNvPr id="317" name="Graphic 317"/>
                        <wps:cNvSpPr/>
                        <wps:spPr>
                          <a:xfrm>
                            <a:off x="1725221" y="5382410"/>
                            <a:ext cx="299720" cy="203835"/>
                          </a:xfrm>
                          <a:custGeom>
                            <a:avLst/>
                            <a:gdLst/>
                            <a:ahLst/>
                            <a:cxnLst/>
                            <a:rect l="l" t="t" r="r" b="b"/>
                            <a:pathLst>
                              <a:path w="299720" h="203835">
                                <a:moveTo>
                                  <a:pt x="23572" y="0"/>
                                </a:moveTo>
                                <a:lnTo>
                                  <a:pt x="7136" y="49645"/>
                                </a:lnTo>
                                <a:lnTo>
                                  <a:pt x="0" y="100955"/>
                                </a:lnTo>
                                <a:lnTo>
                                  <a:pt x="2229" y="152695"/>
                                </a:lnTo>
                                <a:lnTo>
                                  <a:pt x="13890" y="203626"/>
                                </a:lnTo>
                                <a:lnTo>
                                  <a:pt x="299162" y="114563"/>
                                </a:lnTo>
                                <a:lnTo>
                                  <a:pt x="23572" y="0"/>
                                </a:lnTo>
                                <a:close/>
                              </a:path>
                            </a:pathLst>
                          </a:custGeom>
                          <a:solidFill>
                            <a:srgbClr val="297ED4"/>
                          </a:solidFill>
                        </wps:spPr>
                        <wps:bodyPr wrap="square" lIns="0" tIns="0" rIns="0" bIns="0" rtlCol="0">
                          <a:prstTxWarp prst="textNoShape">
                            <a:avLst/>
                          </a:prstTxWarp>
                          <a:noAutofit/>
                        </wps:bodyPr>
                      </wps:wsp>
                      <wps:wsp>
                        <wps:cNvPr id="318" name="Graphic 318"/>
                        <wps:cNvSpPr/>
                        <wps:spPr>
                          <a:xfrm>
                            <a:off x="1755494" y="5192818"/>
                            <a:ext cx="275590" cy="292735"/>
                          </a:xfrm>
                          <a:custGeom>
                            <a:avLst/>
                            <a:gdLst/>
                            <a:ahLst/>
                            <a:cxnLst/>
                            <a:rect l="l" t="t" r="r" b="b"/>
                            <a:pathLst>
                              <a:path w="275590" h="292735">
                                <a:moveTo>
                                  <a:pt x="275589" y="0"/>
                                </a:moveTo>
                                <a:lnTo>
                                  <a:pt x="224977" y="4198"/>
                                </a:lnTo>
                                <a:lnTo>
                                  <a:pt x="176660" y="16417"/>
                                </a:lnTo>
                                <a:lnTo>
                                  <a:pt x="131510" y="36092"/>
                                </a:lnTo>
                                <a:lnTo>
                                  <a:pt x="90398" y="62658"/>
                                </a:lnTo>
                                <a:lnTo>
                                  <a:pt x="54195" y="95552"/>
                                </a:lnTo>
                                <a:lnTo>
                                  <a:pt x="23772" y="134208"/>
                                </a:lnTo>
                                <a:lnTo>
                                  <a:pt x="0" y="178063"/>
                                </a:lnTo>
                                <a:lnTo>
                                  <a:pt x="275589" y="292627"/>
                                </a:lnTo>
                                <a:lnTo>
                                  <a:pt x="275589" y="0"/>
                                </a:lnTo>
                                <a:close/>
                              </a:path>
                            </a:pathLst>
                          </a:custGeom>
                          <a:solidFill>
                            <a:srgbClr val="5AA1AD"/>
                          </a:solidFill>
                        </wps:spPr>
                        <wps:bodyPr wrap="square" lIns="0" tIns="0" rIns="0" bIns="0" rtlCol="0">
                          <a:prstTxWarp prst="textNoShape">
                            <a:avLst/>
                          </a:prstTxWarp>
                          <a:noAutofit/>
                        </wps:bodyPr>
                      </wps:wsp>
                      <wps:wsp>
                        <wps:cNvPr id="319" name="Graphic 319"/>
                        <wps:cNvSpPr/>
                        <wps:spPr>
                          <a:xfrm>
                            <a:off x="1594135" y="5482501"/>
                            <a:ext cx="741045" cy="197485"/>
                          </a:xfrm>
                          <a:custGeom>
                            <a:avLst/>
                            <a:gdLst/>
                            <a:ahLst/>
                            <a:cxnLst/>
                            <a:rect l="l" t="t" r="r" b="b"/>
                            <a:pathLst>
                              <a:path w="741045" h="197485">
                                <a:moveTo>
                                  <a:pt x="699714" y="197361"/>
                                </a:moveTo>
                                <a:lnTo>
                                  <a:pt x="726164" y="183264"/>
                                </a:lnTo>
                                <a:lnTo>
                                  <a:pt x="740591" y="183264"/>
                                </a:lnTo>
                              </a:path>
                              <a:path w="741045" h="197485">
                                <a:moveTo>
                                  <a:pt x="132248" y="0"/>
                                </a:moveTo>
                                <a:lnTo>
                                  <a:pt x="14427" y="96331"/>
                                </a:lnTo>
                                <a:lnTo>
                                  <a:pt x="0" y="96331"/>
                                </a:lnTo>
                              </a:path>
                            </a:pathLst>
                          </a:custGeom>
                          <a:ln w="2377">
                            <a:solidFill>
                              <a:srgbClr val="A6A6A6"/>
                            </a:solidFill>
                            <a:prstDash val="solid"/>
                          </a:ln>
                        </wps:spPr>
                        <wps:bodyPr wrap="square" lIns="0" tIns="0" rIns="0" bIns="0" rtlCol="0">
                          <a:prstTxWarp prst="textNoShape">
                            <a:avLst/>
                          </a:prstTxWarp>
                          <a:noAutofit/>
                        </wps:bodyPr>
                      </wps:wsp>
                      <pic:pic>
                        <pic:nvPicPr>
                          <pic:cNvPr id="320" name="Image 320"/>
                          <pic:cNvPicPr/>
                        </pic:nvPicPr>
                        <pic:blipFill>
                          <a:blip r:embed="rId61" cstate="print"/>
                          <a:stretch>
                            <a:fillRect/>
                          </a:stretch>
                        </pic:blipFill>
                        <pic:spPr>
                          <a:xfrm>
                            <a:off x="1431813" y="3500649"/>
                            <a:ext cx="1178213" cy="429965"/>
                          </a:xfrm>
                          <a:prstGeom prst="rect">
                            <a:avLst/>
                          </a:prstGeom>
                        </pic:spPr>
                      </pic:pic>
                      <pic:pic>
                        <pic:nvPicPr>
                          <pic:cNvPr id="321" name="Image 321"/>
                          <pic:cNvPicPr/>
                        </pic:nvPicPr>
                        <pic:blipFill>
                          <a:blip r:embed="rId62" cstate="print"/>
                          <a:stretch>
                            <a:fillRect/>
                          </a:stretch>
                        </pic:blipFill>
                        <pic:spPr>
                          <a:xfrm>
                            <a:off x="1496735" y="3502998"/>
                            <a:ext cx="1045965" cy="218507"/>
                          </a:xfrm>
                          <a:prstGeom prst="rect">
                            <a:avLst/>
                          </a:prstGeom>
                        </pic:spPr>
                      </pic:pic>
                      <wps:wsp>
                        <wps:cNvPr id="322" name="Graphic 322"/>
                        <wps:cNvSpPr/>
                        <wps:spPr>
                          <a:xfrm>
                            <a:off x="1446241" y="3510047"/>
                            <a:ext cx="1149985" cy="401955"/>
                          </a:xfrm>
                          <a:custGeom>
                            <a:avLst/>
                            <a:gdLst/>
                            <a:ahLst/>
                            <a:cxnLst/>
                            <a:rect l="l" t="t" r="r" b="b"/>
                            <a:pathLst>
                              <a:path w="1149985" h="401955">
                                <a:moveTo>
                                  <a:pt x="1060103" y="0"/>
                                </a:moveTo>
                                <a:lnTo>
                                  <a:pt x="89255" y="0"/>
                                </a:lnTo>
                                <a:lnTo>
                                  <a:pt x="54507" y="5262"/>
                                </a:lnTo>
                                <a:lnTo>
                                  <a:pt x="26137" y="19614"/>
                                </a:lnTo>
                                <a:lnTo>
                                  <a:pt x="7012" y="40904"/>
                                </a:lnTo>
                                <a:lnTo>
                                  <a:pt x="0" y="66977"/>
                                </a:lnTo>
                                <a:lnTo>
                                  <a:pt x="0" y="334824"/>
                                </a:lnTo>
                                <a:lnTo>
                                  <a:pt x="7012" y="360880"/>
                                </a:lnTo>
                                <a:lnTo>
                                  <a:pt x="26137" y="382160"/>
                                </a:lnTo>
                                <a:lnTo>
                                  <a:pt x="54507" y="396509"/>
                                </a:lnTo>
                                <a:lnTo>
                                  <a:pt x="89255" y="401771"/>
                                </a:lnTo>
                                <a:lnTo>
                                  <a:pt x="1060103" y="401771"/>
                                </a:lnTo>
                                <a:lnTo>
                                  <a:pt x="1094852" y="396509"/>
                                </a:lnTo>
                                <a:lnTo>
                                  <a:pt x="1123222" y="382160"/>
                                </a:lnTo>
                                <a:lnTo>
                                  <a:pt x="1142347" y="360880"/>
                                </a:lnTo>
                                <a:lnTo>
                                  <a:pt x="1149359" y="334824"/>
                                </a:lnTo>
                                <a:lnTo>
                                  <a:pt x="1149359" y="66977"/>
                                </a:lnTo>
                                <a:lnTo>
                                  <a:pt x="1142347" y="40904"/>
                                </a:lnTo>
                                <a:lnTo>
                                  <a:pt x="1123222" y="19614"/>
                                </a:lnTo>
                                <a:lnTo>
                                  <a:pt x="1094852" y="5262"/>
                                </a:lnTo>
                                <a:lnTo>
                                  <a:pt x="1060103" y="0"/>
                                </a:lnTo>
                                <a:close/>
                              </a:path>
                            </a:pathLst>
                          </a:custGeom>
                          <a:solidFill>
                            <a:srgbClr val="619DD1"/>
                          </a:solidFill>
                        </wps:spPr>
                        <wps:bodyPr wrap="square" lIns="0" tIns="0" rIns="0" bIns="0" rtlCol="0">
                          <a:prstTxWarp prst="textNoShape">
                            <a:avLst/>
                          </a:prstTxWarp>
                          <a:noAutofit/>
                        </wps:bodyPr>
                      </wps:wsp>
                      <wps:wsp>
                        <wps:cNvPr id="323" name="Graphic 323"/>
                        <wps:cNvSpPr/>
                        <wps:spPr>
                          <a:xfrm>
                            <a:off x="1738406" y="3694502"/>
                            <a:ext cx="854075" cy="219075"/>
                          </a:xfrm>
                          <a:custGeom>
                            <a:avLst/>
                            <a:gdLst/>
                            <a:ahLst/>
                            <a:cxnLst/>
                            <a:rect l="l" t="t" r="r" b="b"/>
                            <a:pathLst>
                              <a:path w="854075" h="219075">
                                <a:moveTo>
                                  <a:pt x="816317" y="0"/>
                                </a:moveTo>
                                <a:lnTo>
                                  <a:pt x="37253" y="0"/>
                                </a:lnTo>
                                <a:lnTo>
                                  <a:pt x="22749" y="2859"/>
                                </a:lnTo>
                                <a:lnTo>
                                  <a:pt x="10908" y="10659"/>
                                </a:lnTo>
                                <a:lnTo>
                                  <a:pt x="2926" y="22229"/>
                                </a:lnTo>
                                <a:lnTo>
                                  <a:pt x="0" y="36402"/>
                                </a:lnTo>
                                <a:lnTo>
                                  <a:pt x="0" y="182073"/>
                                </a:lnTo>
                                <a:lnTo>
                                  <a:pt x="2926" y="196251"/>
                                </a:lnTo>
                                <a:lnTo>
                                  <a:pt x="10908" y="207832"/>
                                </a:lnTo>
                                <a:lnTo>
                                  <a:pt x="22749" y="215642"/>
                                </a:lnTo>
                                <a:lnTo>
                                  <a:pt x="37253" y="218507"/>
                                </a:lnTo>
                                <a:lnTo>
                                  <a:pt x="816317" y="218507"/>
                                </a:lnTo>
                                <a:lnTo>
                                  <a:pt x="830827" y="215642"/>
                                </a:lnTo>
                                <a:lnTo>
                                  <a:pt x="842679" y="207832"/>
                                </a:lnTo>
                                <a:lnTo>
                                  <a:pt x="850672" y="196251"/>
                                </a:lnTo>
                                <a:lnTo>
                                  <a:pt x="853603" y="182073"/>
                                </a:lnTo>
                                <a:lnTo>
                                  <a:pt x="853603" y="36402"/>
                                </a:lnTo>
                                <a:lnTo>
                                  <a:pt x="850672" y="22229"/>
                                </a:lnTo>
                                <a:lnTo>
                                  <a:pt x="842679" y="10659"/>
                                </a:lnTo>
                                <a:lnTo>
                                  <a:pt x="830827" y="2859"/>
                                </a:lnTo>
                                <a:lnTo>
                                  <a:pt x="816317" y="0"/>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1738406" y="3694502"/>
                            <a:ext cx="854075" cy="219075"/>
                          </a:xfrm>
                          <a:custGeom>
                            <a:avLst/>
                            <a:gdLst/>
                            <a:ahLst/>
                            <a:cxnLst/>
                            <a:rect l="l" t="t" r="r" b="b"/>
                            <a:pathLst>
                              <a:path w="854075" h="219075">
                                <a:moveTo>
                                  <a:pt x="0" y="36402"/>
                                </a:moveTo>
                                <a:lnTo>
                                  <a:pt x="2926" y="22229"/>
                                </a:lnTo>
                                <a:lnTo>
                                  <a:pt x="10908" y="10659"/>
                                </a:lnTo>
                                <a:lnTo>
                                  <a:pt x="22749" y="2859"/>
                                </a:lnTo>
                                <a:lnTo>
                                  <a:pt x="37253" y="0"/>
                                </a:lnTo>
                                <a:lnTo>
                                  <a:pt x="816317" y="0"/>
                                </a:lnTo>
                                <a:lnTo>
                                  <a:pt x="850672" y="22229"/>
                                </a:lnTo>
                                <a:lnTo>
                                  <a:pt x="853603" y="182073"/>
                                </a:lnTo>
                                <a:lnTo>
                                  <a:pt x="850672" y="196251"/>
                                </a:lnTo>
                                <a:lnTo>
                                  <a:pt x="842679" y="207832"/>
                                </a:lnTo>
                                <a:lnTo>
                                  <a:pt x="830827" y="215642"/>
                                </a:lnTo>
                                <a:lnTo>
                                  <a:pt x="816317" y="218507"/>
                                </a:lnTo>
                                <a:lnTo>
                                  <a:pt x="37253" y="218507"/>
                                </a:lnTo>
                                <a:lnTo>
                                  <a:pt x="2926" y="196251"/>
                                </a:lnTo>
                                <a:lnTo>
                                  <a:pt x="0" y="36402"/>
                                </a:lnTo>
                                <a:close/>
                              </a:path>
                            </a:pathLst>
                          </a:custGeom>
                          <a:ln w="6274">
                            <a:solidFill>
                              <a:srgbClr val="619DD1"/>
                            </a:solidFill>
                            <a:prstDash val="solid"/>
                          </a:ln>
                        </wps:spPr>
                        <wps:bodyPr wrap="square" lIns="0" tIns="0" rIns="0" bIns="0" rtlCol="0">
                          <a:prstTxWarp prst="textNoShape">
                            <a:avLst/>
                          </a:prstTxWarp>
                          <a:noAutofit/>
                        </wps:bodyPr>
                      </wps:wsp>
                      <wps:wsp>
                        <wps:cNvPr id="325" name="Graphic 325"/>
                        <wps:cNvSpPr/>
                        <wps:spPr>
                          <a:xfrm>
                            <a:off x="3275373" y="4280915"/>
                            <a:ext cx="292735" cy="534035"/>
                          </a:xfrm>
                          <a:custGeom>
                            <a:avLst/>
                            <a:gdLst/>
                            <a:ahLst/>
                            <a:cxnLst/>
                            <a:rect l="l" t="t" r="r" b="b"/>
                            <a:pathLst>
                              <a:path w="292735" h="534035">
                                <a:moveTo>
                                  <a:pt x="0" y="0"/>
                                </a:moveTo>
                                <a:lnTo>
                                  <a:pt x="0" y="285954"/>
                                </a:lnTo>
                                <a:lnTo>
                                  <a:pt x="145938" y="533815"/>
                                </a:lnTo>
                                <a:lnTo>
                                  <a:pt x="188320" y="504840"/>
                                </a:lnTo>
                                <a:lnTo>
                                  <a:pt x="224312" y="469610"/>
                                </a:lnTo>
                                <a:lnTo>
                                  <a:pt x="253327" y="429115"/>
                                </a:lnTo>
                                <a:lnTo>
                                  <a:pt x="274779" y="384347"/>
                                </a:lnTo>
                                <a:lnTo>
                                  <a:pt x="288081" y="336296"/>
                                </a:lnTo>
                                <a:lnTo>
                                  <a:pt x="292645" y="285954"/>
                                </a:lnTo>
                                <a:lnTo>
                                  <a:pt x="288815" y="239573"/>
                                </a:lnTo>
                                <a:lnTo>
                                  <a:pt x="277725" y="195573"/>
                                </a:lnTo>
                                <a:lnTo>
                                  <a:pt x="259979" y="154545"/>
                                </a:lnTo>
                                <a:lnTo>
                                  <a:pt x="236179" y="117076"/>
                                </a:lnTo>
                                <a:lnTo>
                                  <a:pt x="206928" y="83757"/>
                                </a:lnTo>
                                <a:lnTo>
                                  <a:pt x="172829" y="55174"/>
                                </a:lnTo>
                                <a:lnTo>
                                  <a:pt x="134484" y="31919"/>
                                </a:lnTo>
                                <a:lnTo>
                                  <a:pt x="92495" y="14578"/>
                                </a:lnTo>
                                <a:lnTo>
                                  <a:pt x="47466" y="3742"/>
                                </a:lnTo>
                                <a:lnTo>
                                  <a:pt x="0" y="0"/>
                                </a:lnTo>
                                <a:close/>
                              </a:path>
                            </a:pathLst>
                          </a:custGeom>
                          <a:solidFill>
                            <a:srgbClr val="4966AC"/>
                          </a:solidFill>
                        </wps:spPr>
                        <wps:bodyPr wrap="square" lIns="0" tIns="0" rIns="0" bIns="0" rtlCol="0">
                          <a:prstTxWarp prst="textNoShape">
                            <a:avLst/>
                          </a:prstTxWarp>
                          <a:noAutofit/>
                        </wps:bodyPr>
                      </wps:wsp>
                      <wps:wsp>
                        <wps:cNvPr id="326" name="Graphic 326"/>
                        <wps:cNvSpPr/>
                        <wps:spPr>
                          <a:xfrm>
                            <a:off x="2952170" y="4465213"/>
                            <a:ext cx="438784" cy="407034"/>
                          </a:xfrm>
                          <a:custGeom>
                            <a:avLst/>
                            <a:gdLst/>
                            <a:ahLst/>
                            <a:cxnLst/>
                            <a:rect l="l" t="t" r="r" b="b"/>
                            <a:pathLst>
                              <a:path w="438784" h="407034">
                                <a:moveTo>
                                  <a:pt x="27126" y="0"/>
                                </a:moveTo>
                                <a:lnTo>
                                  <a:pt x="10703" y="43224"/>
                                </a:lnTo>
                                <a:lnTo>
                                  <a:pt x="1673" y="87887"/>
                                </a:lnTo>
                                <a:lnTo>
                                  <a:pt x="0" y="133117"/>
                                </a:lnTo>
                                <a:lnTo>
                                  <a:pt x="5644" y="178038"/>
                                </a:lnTo>
                                <a:lnTo>
                                  <a:pt x="18567" y="221777"/>
                                </a:lnTo>
                                <a:lnTo>
                                  <a:pt x="38732" y="263461"/>
                                </a:lnTo>
                                <a:lnTo>
                                  <a:pt x="65725" y="301793"/>
                                </a:lnTo>
                                <a:lnTo>
                                  <a:pt x="97794" y="334523"/>
                                </a:lnTo>
                                <a:lnTo>
                                  <a:pt x="134117" y="361434"/>
                                </a:lnTo>
                                <a:lnTo>
                                  <a:pt x="173870" y="382310"/>
                                </a:lnTo>
                                <a:lnTo>
                                  <a:pt x="216230" y="396934"/>
                                </a:lnTo>
                                <a:lnTo>
                                  <a:pt x="260374" y="405090"/>
                                </a:lnTo>
                                <a:lnTo>
                                  <a:pt x="305480" y="406560"/>
                                </a:lnTo>
                                <a:lnTo>
                                  <a:pt x="350723" y="401127"/>
                                </a:lnTo>
                                <a:lnTo>
                                  <a:pt x="395281" y="388576"/>
                                </a:lnTo>
                                <a:lnTo>
                                  <a:pt x="438331" y="368689"/>
                                </a:lnTo>
                                <a:lnTo>
                                  <a:pt x="292361" y="120828"/>
                                </a:lnTo>
                                <a:lnTo>
                                  <a:pt x="27126" y="0"/>
                                </a:lnTo>
                                <a:close/>
                              </a:path>
                            </a:pathLst>
                          </a:custGeom>
                          <a:solidFill>
                            <a:srgbClr val="297ED4"/>
                          </a:solidFill>
                        </wps:spPr>
                        <wps:bodyPr wrap="square" lIns="0" tIns="0" rIns="0" bIns="0" rtlCol="0">
                          <a:prstTxWarp prst="textNoShape">
                            <a:avLst/>
                          </a:prstTxWarp>
                          <a:noAutofit/>
                        </wps:bodyPr>
                      </wps:wsp>
                      <wps:wsp>
                        <wps:cNvPr id="327" name="Graphic 327"/>
                        <wps:cNvSpPr/>
                        <wps:spPr>
                          <a:xfrm>
                            <a:off x="2993147" y="4285332"/>
                            <a:ext cx="265430" cy="286385"/>
                          </a:xfrm>
                          <a:custGeom>
                            <a:avLst/>
                            <a:gdLst/>
                            <a:ahLst/>
                            <a:cxnLst/>
                            <a:rect l="l" t="t" r="r" b="b"/>
                            <a:pathLst>
                              <a:path w="265430" h="286385">
                                <a:moveTo>
                                  <a:pt x="265234" y="0"/>
                                </a:moveTo>
                                <a:lnTo>
                                  <a:pt x="217259" y="3861"/>
                                </a:lnTo>
                                <a:lnTo>
                                  <a:pt x="171332" y="15118"/>
                                </a:lnTo>
                                <a:lnTo>
                                  <a:pt x="128242" y="33278"/>
                                </a:lnTo>
                                <a:lnTo>
                                  <a:pt x="88775" y="57850"/>
                                </a:lnTo>
                                <a:lnTo>
                                  <a:pt x="53721" y="88344"/>
                                </a:lnTo>
                                <a:lnTo>
                                  <a:pt x="23866" y="124266"/>
                                </a:lnTo>
                                <a:lnTo>
                                  <a:pt x="0" y="165125"/>
                                </a:lnTo>
                                <a:lnTo>
                                  <a:pt x="265234" y="285954"/>
                                </a:lnTo>
                                <a:lnTo>
                                  <a:pt x="265234" y="0"/>
                                </a:lnTo>
                                <a:close/>
                              </a:path>
                            </a:pathLst>
                          </a:custGeom>
                          <a:solidFill>
                            <a:srgbClr val="5AA1AD"/>
                          </a:solidFill>
                        </wps:spPr>
                        <wps:bodyPr wrap="square" lIns="0" tIns="0" rIns="0" bIns="0" rtlCol="0">
                          <a:prstTxWarp prst="textNoShape">
                            <a:avLst/>
                          </a:prstTxWarp>
                          <a:noAutofit/>
                        </wps:bodyPr>
                      </wps:wsp>
                      <wps:wsp>
                        <wps:cNvPr id="328" name="Graphic 328"/>
                        <wps:cNvSpPr/>
                        <wps:spPr>
                          <a:xfrm>
                            <a:off x="2933451" y="4331227"/>
                            <a:ext cx="748030" cy="465455"/>
                          </a:xfrm>
                          <a:custGeom>
                            <a:avLst/>
                            <a:gdLst/>
                            <a:ahLst/>
                            <a:cxnLst/>
                            <a:rect l="l" t="t" r="r" b="b"/>
                            <a:pathLst>
                              <a:path w="748030" h="465455">
                                <a:moveTo>
                                  <a:pt x="625174" y="162118"/>
                                </a:moveTo>
                                <a:lnTo>
                                  <a:pt x="733377" y="124525"/>
                                </a:lnTo>
                                <a:lnTo>
                                  <a:pt x="747805" y="124525"/>
                                </a:lnTo>
                              </a:path>
                              <a:path w="748030" h="465455">
                                <a:moveTo>
                                  <a:pt x="113012" y="465208"/>
                                </a:moveTo>
                                <a:lnTo>
                                  <a:pt x="14427" y="425266"/>
                                </a:lnTo>
                                <a:lnTo>
                                  <a:pt x="0" y="425266"/>
                                </a:lnTo>
                              </a:path>
                              <a:path w="748030" h="465455">
                                <a:moveTo>
                                  <a:pt x="168316" y="0"/>
                                </a:moveTo>
                                <a:lnTo>
                                  <a:pt x="81753" y="16446"/>
                                </a:lnTo>
                                <a:lnTo>
                                  <a:pt x="67326" y="16446"/>
                                </a:lnTo>
                              </a:path>
                            </a:pathLst>
                          </a:custGeom>
                          <a:ln w="2377">
                            <a:solidFill>
                              <a:srgbClr val="A6A6A6"/>
                            </a:solidFill>
                            <a:prstDash val="solid"/>
                          </a:ln>
                        </wps:spPr>
                        <wps:bodyPr wrap="square" lIns="0" tIns="0" rIns="0" bIns="0" rtlCol="0">
                          <a:prstTxWarp prst="textNoShape">
                            <a:avLst/>
                          </a:prstTxWarp>
                          <a:noAutofit/>
                        </wps:bodyPr>
                      </wps:wsp>
                      <wps:wsp>
                        <wps:cNvPr id="329" name="Graphic 329"/>
                        <wps:cNvSpPr/>
                        <wps:spPr>
                          <a:xfrm>
                            <a:off x="4564740" y="4259863"/>
                            <a:ext cx="300355" cy="294005"/>
                          </a:xfrm>
                          <a:custGeom>
                            <a:avLst/>
                            <a:gdLst/>
                            <a:ahLst/>
                            <a:cxnLst/>
                            <a:rect l="l" t="t" r="r" b="b"/>
                            <a:pathLst>
                              <a:path w="300355" h="294005">
                                <a:moveTo>
                                  <a:pt x="0" y="0"/>
                                </a:moveTo>
                                <a:lnTo>
                                  <a:pt x="0" y="293817"/>
                                </a:lnTo>
                                <a:lnTo>
                                  <a:pt x="300147" y="276180"/>
                                </a:lnTo>
                                <a:lnTo>
                                  <a:pt x="293716" y="230750"/>
                                </a:lnTo>
                                <a:lnTo>
                                  <a:pt x="280532" y="187886"/>
                                </a:lnTo>
                                <a:lnTo>
                                  <a:pt x="261163" y="148112"/>
                                </a:lnTo>
                                <a:lnTo>
                                  <a:pt x="236175" y="111947"/>
                                </a:lnTo>
                                <a:lnTo>
                                  <a:pt x="206135" y="79915"/>
                                </a:lnTo>
                                <a:lnTo>
                                  <a:pt x="171610" y="52537"/>
                                </a:lnTo>
                                <a:lnTo>
                                  <a:pt x="133167" y="30334"/>
                                </a:lnTo>
                                <a:lnTo>
                                  <a:pt x="91373" y="13830"/>
                                </a:lnTo>
                                <a:lnTo>
                                  <a:pt x="46795" y="3544"/>
                                </a:lnTo>
                                <a:lnTo>
                                  <a:pt x="0" y="0"/>
                                </a:lnTo>
                                <a:close/>
                              </a:path>
                            </a:pathLst>
                          </a:custGeom>
                          <a:solidFill>
                            <a:srgbClr val="4966AC"/>
                          </a:solidFill>
                        </wps:spPr>
                        <wps:bodyPr wrap="square" lIns="0" tIns="0" rIns="0" bIns="0" rtlCol="0">
                          <a:prstTxWarp prst="textNoShape">
                            <a:avLst/>
                          </a:prstTxWarp>
                          <a:noAutofit/>
                        </wps:bodyPr>
                      </wps:wsp>
                      <wps:wsp>
                        <wps:cNvPr id="330" name="Graphic 330"/>
                        <wps:cNvSpPr/>
                        <wps:spPr>
                          <a:xfrm>
                            <a:off x="4267285" y="4561231"/>
                            <a:ext cx="589915" cy="311150"/>
                          </a:xfrm>
                          <a:custGeom>
                            <a:avLst/>
                            <a:gdLst/>
                            <a:ahLst/>
                            <a:cxnLst/>
                            <a:rect l="l" t="t" r="r" b="b"/>
                            <a:pathLst>
                              <a:path w="589915" h="311150">
                                <a:moveTo>
                                  <a:pt x="589812" y="0"/>
                                </a:moveTo>
                                <a:lnTo>
                                  <a:pt x="289632" y="17637"/>
                                </a:lnTo>
                                <a:lnTo>
                                  <a:pt x="0" y="96613"/>
                                </a:lnTo>
                                <a:lnTo>
                                  <a:pt x="15927" y="139360"/>
                                </a:lnTo>
                                <a:lnTo>
                                  <a:pt x="37895" y="178402"/>
                                </a:lnTo>
                                <a:lnTo>
                                  <a:pt x="65272" y="213298"/>
                                </a:lnTo>
                                <a:lnTo>
                                  <a:pt x="97425" y="243608"/>
                                </a:lnTo>
                                <a:lnTo>
                                  <a:pt x="133723" y="268892"/>
                                </a:lnTo>
                                <a:lnTo>
                                  <a:pt x="173533" y="288709"/>
                                </a:lnTo>
                                <a:lnTo>
                                  <a:pt x="216223" y="302618"/>
                                </a:lnTo>
                                <a:lnTo>
                                  <a:pt x="261161" y="310180"/>
                                </a:lnTo>
                                <a:lnTo>
                                  <a:pt x="307714" y="310953"/>
                                </a:lnTo>
                                <a:lnTo>
                                  <a:pt x="356159" y="304244"/>
                                </a:lnTo>
                                <a:lnTo>
                                  <a:pt x="401658" y="290409"/>
                                </a:lnTo>
                                <a:lnTo>
                                  <a:pt x="443628" y="270088"/>
                                </a:lnTo>
                                <a:lnTo>
                                  <a:pt x="481488" y="243920"/>
                                </a:lnTo>
                                <a:lnTo>
                                  <a:pt x="514658" y="212547"/>
                                </a:lnTo>
                                <a:lnTo>
                                  <a:pt x="542557" y="176608"/>
                                </a:lnTo>
                                <a:lnTo>
                                  <a:pt x="564603" y="136743"/>
                                </a:lnTo>
                                <a:lnTo>
                                  <a:pt x="580214" y="93594"/>
                                </a:lnTo>
                                <a:lnTo>
                                  <a:pt x="588811" y="47799"/>
                                </a:lnTo>
                                <a:lnTo>
                                  <a:pt x="589812" y="0"/>
                                </a:lnTo>
                                <a:close/>
                              </a:path>
                            </a:pathLst>
                          </a:custGeom>
                          <a:solidFill>
                            <a:srgbClr val="297ED4"/>
                          </a:solidFill>
                        </wps:spPr>
                        <wps:bodyPr wrap="square" lIns="0" tIns="0" rIns="0" bIns="0" rtlCol="0">
                          <a:prstTxWarp prst="textNoShape">
                            <a:avLst/>
                          </a:prstTxWarp>
                          <a:noAutofit/>
                        </wps:bodyPr>
                      </wps:wsp>
                      <wps:wsp>
                        <wps:cNvPr id="331" name="Graphic 331"/>
                        <wps:cNvSpPr/>
                        <wps:spPr>
                          <a:xfrm>
                            <a:off x="4242050" y="4261680"/>
                            <a:ext cx="300990" cy="373380"/>
                          </a:xfrm>
                          <a:custGeom>
                            <a:avLst/>
                            <a:gdLst/>
                            <a:ahLst/>
                            <a:cxnLst/>
                            <a:rect l="l" t="t" r="r" b="b"/>
                            <a:pathLst>
                              <a:path w="300990" h="373380">
                                <a:moveTo>
                                  <a:pt x="300408" y="0"/>
                                </a:moveTo>
                                <a:lnTo>
                                  <a:pt x="259627" y="2713"/>
                                </a:lnTo>
                                <a:lnTo>
                                  <a:pt x="219616" y="10807"/>
                                </a:lnTo>
                                <a:lnTo>
                                  <a:pt x="173688" y="27319"/>
                                </a:lnTo>
                                <a:lnTo>
                                  <a:pt x="132179" y="50192"/>
                                </a:lnTo>
                                <a:lnTo>
                                  <a:pt x="95520" y="78682"/>
                                </a:lnTo>
                                <a:lnTo>
                                  <a:pt x="64139" y="112044"/>
                                </a:lnTo>
                                <a:lnTo>
                                  <a:pt x="38467" y="149532"/>
                                </a:lnTo>
                                <a:lnTo>
                                  <a:pt x="18934" y="190402"/>
                                </a:lnTo>
                                <a:lnTo>
                                  <a:pt x="5968" y="233908"/>
                                </a:lnTo>
                                <a:lnTo>
                                  <a:pt x="0" y="279305"/>
                                </a:lnTo>
                                <a:lnTo>
                                  <a:pt x="1459" y="325848"/>
                                </a:lnTo>
                                <a:lnTo>
                                  <a:pt x="10775" y="372793"/>
                                </a:lnTo>
                                <a:lnTo>
                                  <a:pt x="300408" y="293817"/>
                                </a:lnTo>
                                <a:lnTo>
                                  <a:pt x="300408" y="0"/>
                                </a:lnTo>
                                <a:close/>
                              </a:path>
                            </a:pathLst>
                          </a:custGeom>
                          <a:solidFill>
                            <a:srgbClr val="5AA1AD"/>
                          </a:solidFill>
                        </wps:spPr>
                        <wps:bodyPr wrap="square" lIns="0" tIns="0" rIns="0" bIns="0" rtlCol="0">
                          <a:prstTxWarp prst="textNoShape">
                            <a:avLst/>
                          </a:prstTxWarp>
                          <a:noAutofit/>
                        </wps:bodyPr>
                      </wps:wsp>
                      <wps:wsp>
                        <wps:cNvPr id="332" name="Graphic 332"/>
                        <wps:cNvSpPr/>
                        <wps:spPr>
                          <a:xfrm>
                            <a:off x="4188609" y="4321828"/>
                            <a:ext cx="719455" cy="66040"/>
                          </a:xfrm>
                          <a:custGeom>
                            <a:avLst/>
                            <a:gdLst/>
                            <a:ahLst/>
                            <a:cxnLst/>
                            <a:rect l="l" t="t" r="r" b="b"/>
                            <a:pathLst>
                              <a:path w="719455" h="66040">
                                <a:moveTo>
                                  <a:pt x="581893" y="18796"/>
                                </a:moveTo>
                                <a:lnTo>
                                  <a:pt x="704523" y="0"/>
                                </a:lnTo>
                                <a:lnTo>
                                  <a:pt x="718950" y="0"/>
                                </a:lnTo>
                              </a:path>
                              <a:path w="719455" h="66040">
                                <a:moveTo>
                                  <a:pt x="115416" y="56388"/>
                                </a:moveTo>
                                <a:lnTo>
                                  <a:pt x="14427" y="65787"/>
                                </a:lnTo>
                                <a:lnTo>
                                  <a:pt x="0" y="65787"/>
                                </a:lnTo>
                              </a:path>
                            </a:pathLst>
                          </a:custGeom>
                          <a:ln w="2377">
                            <a:solidFill>
                              <a:srgbClr val="A6A6A6"/>
                            </a:solidFill>
                            <a:prstDash val="solid"/>
                          </a:ln>
                        </wps:spPr>
                        <wps:bodyPr wrap="square" lIns="0" tIns="0" rIns="0" bIns="0" rtlCol="0">
                          <a:prstTxWarp prst="textNoShape">
                            <a:avLst/>
                          </a:prstTxWarp>
                          <a:noAutofit/>
                        </wps:bodyPr>
                      </wps:wsp>
                      <wps:wsp>
                        <wps:cNvPr id="333" name="Graphic 333"/>
                        <wps:cNvSpPr/>
                        <wps:spPr>
                          <a:xfrm>
                            <a:off x="2909406" y="3967048"/>
                            <a:ext cx="916305" cy="204470"/>
                          </a:xfrm>
                          <a:custGeom>
                            <a:avLst/>
                            <a:gdLst/>
                            <a:ahLst/>
                            <a:cxnLst/>
                            <a:rect l="l" t="t" r="r" b="b"/>
                            <a:pathLst>
                              <a:path w="916305" h="204470">
                                <a:moveTo>
                                  <a:pt x="881239" y="0"/>
                                </a:moveTo>
                                <a:lnTo>
                                  <a:pt x="34849" y="0"/>
                                </a:lnTo>
                                <a:lnTo>
                                  <a:pt x="21275" y="2677"/>
                                </a:lnTo>
                                <a:lnTo>
                                  <a:pt x="10199" y="9977"/>
                                </a:lnTo>
                                <a:lnTo>
                                  <a:pt x="2735" y="20802"/>
                                </a:lnTo>
                                <a:lnTo>
                                  <a:pt x="0" y="34052"/>
                                </a:lnTo>
                                <a:lnTo>
                                  <a:pt x="0" y="170325"/>
                                </a:lnTo>
                                <a:lnTo>
                                  <a:pt x="2735" y="183594"/>
                                </a:lnTo>
                                <a:lnTo>
                                  <a:pt x="10199" y="194428"/>
                                </a:lnTo>
                                <a:lnTo>
                                  <a:pt x="21275" y="201731"/>
                                </a:lnTo>
                                <a:lnTo>
                                  <a:pt x="34849" y="204409"/>
                                </a:lnTo>
                                <a:lnTo>
                                  <a:pt x="881239" y="204409"/>
                                </a:lnTo>
                                <a:lnTo>
                                  <a:pt x="894818" y="201731"/>
                                </a:lnTo>
                                <a:lnTo>
                                  <a:pt x="905906" y="194428"/>
                                </a:lnTo>
                                <a:lnTo>
                                  <a:pt x="913380" y="183594"/>
                                </a:lnTo>
                                <a:lnTo>
                                  <a:pt x="916121" y="170325"/>
                                </a:lnTo>
                                <a:lnTo>
                                  <a:pt x="916121" y="34052"/>
                                </a:lnTo>
                                <a:lnTo>
                                  <a:pt x="913380" y="20802"/>
                                </a:lnTo>
                                <a:lnTo>
                                  <a:pt x="905906" y="9977"/>
                                </a:lnTo>
                                <a:lnTo>
                                  <a:pt x="894818" y="2677"/>
                                </a:lnTo>
                                <a:lnTo>
                                  <a:pt x="881239"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2909406" y="3967048"/>
                            <a:ext cx="916305" cy="204470"/>
                          </a:xfrm>
                          <a:custGeom>
                            <a:avLst/>
                            <a:gdLst/>
                            <a:ahLst/>
                            <a:cxnLst/>
                            <a:rect l="l" t="t" r="r" b="b"/>
                            <a:pathLst>
                              <a:path w="916305" h="204470">
                                <a:moveTo>
                                  <a:pt x="0" y="34052"/>
                                </a:moveTo>
                                <a:lnTo>
                                  <a:pt x="2735" y="20802"/>
                                </a:lnTo>
                                <a:lnTo>
                                  <a:pt x="10199" y="9977"/>
                                </a:lnTo>
                                <a:lnTo>
                                  <a:pt x="21275" y="2677"/>
                                </a:lnTo>
                                <a:lnTo>
                                  <a:pt x="34849" y="0"/>
                                </a:lnTo>
                                <a:lnTo>
                                  <a:pt x="881239" y="0"/>
                                </a:lnTo>
                                <a:lnTo>
                                  <a:pt x="913380" y="20802"/>
                                </a:lnTo>
                                <a:lnTo>
                                  <a:pt x="916121" y="170325"/>
                                </a:lnTo>
                                <a:lnTo>
                                  <a:pt x="913380" y="183594"/>
                                </a:lnTo>
                                <a:lnTo>
                                  <a:pt x="905906" y="194428"/>
                                </a:lnTo>
                                <a:lnTo>
                                  <a:pt x="894818" y="201731"/>
                                </a:lnTo>
                                <a:lnTo>
                                  <a:pt x="881239" y="204409"/>
                                </a:lnTo>
                                <a:lnTo>
                                  <a:pt x="34849" y="204409"/>
                                </a:lnTo>
                                <a:lnTo>
                                  <a:pt x="2735" y="183594"/>
                                </a:lnTo>
                                <a:lnTo>
                                  <a:pt x="0" y="34052"/>
                                </a:lnTo>
                                <a:close/>
                              </a:path>
                            </a:pathLst>
                          </a:custGeom>
                          <a:ln w="6272">
                            <a:solidFill>
                              <a:srgbClr val="619DD1"/>
                            </a:solidFill>
                            <a:prstDash val="solid"/>
                          </a:ln>
                        </wps:spPr>
                        <wps:bodyPr wrap="square" lIns="0" tIns="0" rIns="0" bIns="0" rtlCol="0">
                          <a:prstTxWarp prst="textNoShape">
                            <a:avLst/>
                          </a:prstTxWarp>
                          <a:noAutofit/>
                        </wps:bodyPr>
                      </wps:wsp>
                      <wps:wsp>
                        <wps:cNvPr id="335" name="Graphic 335"/>
                        <wps:cNvSpPr/>
                        <wps:spPr>
                          <a:xfrm>
                            <a:off x="4203036" y="3959999"/>
                            <a:ext cx="899794" cy="197485"/>
                          </a:xfrm>
                          <a:custGeom>
                            <a:avLst/>
                            <a:gdLst/>
                            <a:ahLst/>
                            <a:cxnLst/>
                            <a:rect l="l" t="t" r="r" b="b"/>
                            <a:pathLst>
                              <a:path w="899794" h="197485">
                                <a:moveTo>
                                  <a:pt x="865594" y="0"/>
                                </a:moveTo>
                                <a:lnTo>
                                  <a:pt x="33663" y="0"/>
                                </a:lnTo>
                                <a:lnTo>
                                  <a:pt x="20558" y="2584"/>
                                </a:lnTo>
                                <a:lnTo>
                                  <a:pt x="9858" y="9633"/>
                                </a:lnTo>
                                <a:lnTo>
                                  <a:pt x="2644" y="20088"/>
                                </a:lnTo>
                                <a:lnTo>
                                  <a:pt x="0" y="32893"/>
                                </a:lnTo>
                                <a:lnTo>
                                  <a:pt x="0" y="164467"/>
                                </a:lnTo>
                                <a:lnTo>
                                  <a:pt x="2644" y="177272"/>
                                </a:lnTo>
                                <a:lnTo>
                                  <a:pt x="9858" y="187728"/>
                                </a:lnTo>
                                <a:lnTo>
                                  <a:pt x="20558" y="194776"/>
                                </a:lnTo>
                                <a:lnTo>
                                  <a:pt x="33663" y="197361"/>
                                </a:lnTo>
                                <a:lnTo>
                                  <a:pt x="865594" y="197361"/>
                                </a:lnTo>
                                <a:lnTo>
                                  <a:pt x="878703" y="194776"/>
                                </a:lnTo>
                                <a:lnTo>
                                  <a:pt x="889415" y="187728"/>
                                </a:lnTo>
                                <a:lnTo>
                                  <a:pt x="896639" y="177272"/>
                                </a:lnTo>
                                <a:lnTo>
                                  <a:pt x="899289" y="164467"/>
                                </a:lnTo>
                                <a:lnTo>
                                  <a:pt x="899289" y="32893"/>
                                </a:lnTo>
                                <a:lnTo>
                                  <a:pt x="896639" y="20088"/>
                                </a:lnTo>
                                <a:lnTo>
                                  <a:pt x="889415" y="9633"/>
                                </a:lnTo>
                                <a:lnTo>
                                  <a:pt x="878703" y="2584"/>
                                </a:lnTo>
                                <a:lnTo>
                                  <a:pt x="865594"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4203036" y="3959999"/>
                            <a:ext cx="899794" cy="197485"/>
                          </a:xfrm>
                          <a:custGeom>
                            <a:avLst/>
                            <a:gdLst/>
                            <a:ahLst/>
                            <a:cxnLst/>
                            <a:rect l="l" t="t" r="r" b="b"/>
                            <a:pathLst>
                              <a:path w="899794" h="197485">
                                <a:moveTo>
                                  <a:pt x="0" y="32893"/>
                                </a:moveTo>
                                <a:lnTo>
                                  <a:pt x="2644" y="20088"/>
                                </a:lnTo>
                                <a:lnTo>
                                  <a:pt x="9858" y="9633"/>
                                </a:lnTo>
                                <a:lnTo>
                                  <a:pt x="20558" y="2584"/>
                                </a:lnTo>
                                <a:lnTo>
                                  <a:pt x="33663" y="0"/>
                                </a:lnTo>
                                <a:lnTo>
                                  <a:pt x="865594" y="0"/>
                                </a:lnTo>
                                <a:lnTo>
                                  <a:pt x="899289" y="32893"/>
                                </a:lnTo>
                                <a:lnTo>
                                  <a:pt x="899289" y="164467"/>
                                </a:lnTo>
                                <a:lnTo>
                                  <a:pt x="896639" y="177272"/>
                                </a:lnTo>
                                <a:lnTo>
                                  <a:pt x="889415" y="187728"/>
                                </a:lnTo>
                                <a:lnTo>
                                  <a:pt x="878703" y="194776"/>
                                </a:lnTo>
                                <a:lnTo>
                                  <a:pt x="865594" y="197361"/>
                                </a:lnTo>
                                <a:lnTo>
                                  <a:pt x="33663" y="197361"/>
                                </a:lnTo>
                                <a:lnTo>
                                  <a:pt x="0" y="164467"/>
                                </a:lnTo>
                                <a:lnTo>
                                  <a:pt x="0" y="32893"/>
                                </a:lnTo>
                                <a:close/>
                              </a:path>
                            </a:pathLst>
                          </a:custGeom>
                          <a:ln w="6272">
                            <a:solidFill>
                              <a:srgbClr val="619DD1"/>
                            </a:solidFill>
                            <a:prstDash val="solid"/>
                          </a:ln>
                        </wps:spPr>
                        <wps:bodyPr wrap="square" lIns="0" tIns="0" rIns="0" bIns="0" rtlCol="0">
                          <a:prstTxWarp prst="textNoShape">
                            <a:avLst/>
                          </a:prstTxWarp>
                          <a:noAutofit/>
                        </wps:bodyPr>
                      </wps:wsp>
                      <pic:pic>
                        <pic:nvPicPr>
                          <pic:cNvPr id="337" name="Image 337"/>
                          <pic:cNvPicPr/>
                        </pic:nvPicPr>
                        <pic:blipFill>
                          <a:blip r:embed="rId63" cstate="print"/>
                          <a:stretch>
                            <a:fillRect/>
                          </a:stretch>
                        </pic:blipFill>
                        <pic:spPr>
                          <a:xfrm>
                            <a:off x="3187935" y="5261249"/>
                            <a:ext cx="166700" cy="111217"/>
                          </a:xfrm>
                          <a:prstGeom prst="rect">
                            <a:avLst/>
                          </a:prstGeom>
                        </pic:spPr>
                      </pic:pic>
                      <pic:pic>
                        <pic:nvPicPr>
                          <pic:cNvPr id="338" name="Image 338"/>
                          <pic:cNvPicPr/>
                        </pic:nvPicPr>
                        <pic:blipFill>
                          <a:blip r:embed="rId64" cstate="print"/>
                          <a:stretch>
                            <a:fillRect/>
                          </a:stretch>
                        </pic:blipFill>
                        <pic:spPr>
                          <a:xfrm>
                            <a:off x="3187936" y="5453912"/>
                            <a:ext cx="171509" cy="106517"/>
                          </a:xfrm>
                          <a:prstGeom prst="rect">
                            <a:avLst/>
                          </a:prstGeom>
                        </pic:spPr>
                      </pic:pic>
                      <pic:pic>
                        <pic:nvPicPr>
                          <pic:cNvPr id="339" name="Image 339"/>
                          <pic:cNvPicPr/>
                        </pic:nvPicPr>
                        <pic:blipFill>
                          <a:blip r:embed="rId65" cstate="print"/>
                          <a:stretch>
                            <a:fillRect/>
                          </a:stretch>
                        </pic:blipFill>
                        <pic:spPr>
                          <a:xfrm>
                            <a:off x="3187542" y="5615636"/>
                            <a:ext cx="167487" cy="100256"/>
                          </a:xfrm>
                          <a:prstGeom prst="rect">
                            <a:avLst/>
                          </a:prstGeom>
                        </pic:spPr>
                      </pic:pic>
                      <pic:pic>
                        <pic:nvPicPr>
                          <pic:cNvPr id="340" name="Image 340"/>
                          <pic:cNvPicPr/>
                        </pic:nvPicPr>
                        <pic:blipFill>
                          <a:blip r:embed="rId66" cstate="print"/>
                          <a:stretch>
                            <a:fillRect/>
                          </a:stretch>
                        </pic:blipFill>
                        <pic:spPr>
                          <a:xfrm>
                            <a:off x="347376" y="1905312"/>
                            <a:ext cx="2228987" cy="1515452"/>
                          </a:xfrm>
                          <a:prstGeom prst="rect">
                            <a:avLst/>
                          </a:prstGeom>
                        </pic:spPr>
                      </pic:pic>
                      <wps:wsp>
                        <wps:cNvPr id="341" name="Graphic 341"/>
                        <wps:cNvSpPr/>
                        <wps:spPr>
                          <a:xfrm>
                            <a:off x="360617" y="1918250"/>
                            <a:ext cx="2188210" cy="1475740"/>
                          </a:xfrm>
                          <a:custGeom>
                            <a:avLst/>
                            <a:gdLst/>
                            <a:ahLst/>
                            <a:cxnLst/>
                            <a:rect l="l" t="t" r="r" b="b"/>
                            <a:pathLst>
                              <a:path w="2188210" h="1475740">
                                <a:moveTo>
                                  <a:pt x="0" y="245918"/>
                                </a:moveTo>
                                <a:lnTo>
                                  <a:pt x="4054" y="201709"/>
                                </a:lnTo>
                                <a:lnTo>
                                  <a:pt x="15743" y="160102"/>
                                </a:lnTo>
                                <a:lnTo>
                                  <a:pt x="34356" y="121790"/>
                                </a:lnTo>
                                <a:lnTo>
                                  <a:pt x="59184" y="87469"/>
                                </a:lnTo>
                                <a:lnTo>
                                  <a:pt x="89515" y="57831"/>
                                </a:lnTo>
                                <a:lnTo>
                                  <a:pt x="124640" y="33571"/>
                                </a:lnTo>
                                <a:lnTo>
                                  <a:pt x="163848" y="15383"/>
                                </a:lnTo>
                                <a:lnTo>
                                  <a:pt x="206429" y="3961"/>
                                </a:lnTo>
                                <a:lnTo>
                                  <a:pt x="251672" y="0"/>
                                </a:lnTo>
                                <a:lnTo>
                                  <a:pt x="1936406" y="0"/>
                                </a:lnTo>
                                <a:lnTo>
                                  <a:pt x="1981650" y="3961"/>
                                </a:lnTo>
                                <a:lnTo>
                                  <a:pt x="2024234" y="15383"/>
                                </a:lnTo>
                                <a:lnTo>
                                  <a:pt x="2063446" y="33571"/>
                                </a:lnTo>
                                <a:lnTo>
                                  <a:pt x="2098576" y="57831"/>
                                </a:lnTo>
                                <a:lnTo>
                                  <a:pt x="2128913" y="87469"/>
                                </a:lnTo>
                                <a:lnTo>
                                  <a:pt x="2153746" y="121790"/>
                                </a:lnTo>
                                <a:lnTo>
                                  <a:pt x="2172363" y="160102"/>
                                </a:lnTo>
                                <a:lnTo>
                                  <a:pt x="2184055" y="201709"/>
                                </a:lnTo>
                                <a:lnTo>
                                  <a:pt x="2188111" y="245918"/>
                                </a:lnTo>
                                <a:lnTo>
                                  <a:pt x="2188111" y="1229591"/>
                                </a:lnTo>
                                <a:lnTo>
                                  <a:pt x="2184055" y="1273792"/>
                                </a:lnTo>
                                <a:lnTo>
                                  <a:pt x="2172363" y="1315395"/>
                                </a:lnTo>
                                <a:lnTo>
                                  <a:pt x="2153746" y="1353705"/>
                                </a:lnTo>
                                <a:lnTo>
                                  <a:pt x="2128913" y="1388028"/>
                                </a:lnTo>
                                <a:lnTo>
                                  <a:pt x="2098576" y="1417668"/>
                                </a:lnTo>
                                <a:lnTo>
                                  <a:pt x="2063446" y="1441932"/>
                                </a:lnTo>
                                <a:lnTo>
                                  <a:pt x="2024234" y="1460123"/>
                                </a:lnTo>
                                <a:lnTo>
                                  <a:pt x="1981650" y="1471547"/>
                                </a:lnTo>
                                <a:lnTo>
                                  <a:pt x="1936406" y="1475510"/>
                                </a:lnTo>
                                <a:lnTo>
                                  <a:pt x="251672" y="1475510"/>
                                </a:lnTo>
                                <a:lnTo>
                                  <a:pt x="206429" y="1471547"/>
                                </a:lnTo>
                                <a:lnTo>
                                  <a:pt x="163848" y="1460123"/>
                                </a:lnTo>
                                <a:lnTo>
                                  <a:pt x="124640" y="1441932"/>
                                </a:lnTo>
                                <a:lnTo>
                                  <a:pt x="89515" y="1417668"/>
                                </a:lnTo>
                                <a:lnTo>
                                  <a:pt x="59184" y="1388028"/>
                                </a:lnTo>
                                <a:lnTo>
                                  <a:pt x="34356" y="1353705"/>
                                </a:lnTo>
                                <a:lnTo>
                                  <a:pt x="15743" y="1315395"/>
                                </a:lnTo>
                                <a:lnTo>
                                  <a:pt x="4054" y="1273792"/>
                                </a:lnTo>
                                <a:lnTo>
                                  <a:pt x="0" y="1229591"/>
                                </a:lnTo>
                                <a:lnTo>
                                  <a:pt x="0" y="245918"/>
                                </a:lnTo>
                                <a:close/>
                              </a:path>
                            </a:pathLst>
                          </a:custGeom>
                          <a:ln w="6311">
                            <a:solidFill>
                              <a:srgbClr val="3477B1"/>
                            </a:solidFill>
                            <a:prstDash val="solid"/>
                          </a:ln>
                        </wps:spPr>
                        <wps:bodyPr wrap="square" lIns="0" tIns="0" rIns="0" bIns="0" rtlCol="0">
                          <a:prstTxWarp prst="textNoShape">
                            <a:avLst/>
                          </a:prstTxWarp>
                          <a:noAutofit/>
                        </wps:bodyPr>
                      </wps:wsp>
                      <pic:pic>
                        <pic:nvPicPr>
                          <pic:cNvPr id="342" name="Image 342"/>
                          <pic:cNvPicPr/>
                        </pic:nvPicPr>
                        <pic:blipFill>
                          <a:blip r:embed="rId67" cstate="print"/>
                          <a:stretch>
                            <a:fillRect/>
                          </a:stretch>
                        </pic:blipFill>
                        <pic:spPr>
                          <a:xfrm>
                            <a:off x="1556848" y="16283"/>
                            <a:ext cx="2272269" cy="1705765"/>
                          </a:xfrm>
                          <a:prstGeom prst="rect">
                            <a:avLst/>
                          </a:prstGeom>
                        </pic:spPr>
                      </pic:pic>
                      <wps:wsp>
                        <wps:cNvPr id="343" name="Graphic 343"/>
                        <wps:cNvSpPr/>
                        <wps:spPr>
                          <a:xfrm>
                            <a:off x="1570089" y="29221"/>
                            <a:ext cx="2231390" cy="1666239"/>
                          </a:xfrm>
                          <a:custGeom>
                            <a:avLst/>
                            <a:gdLst/>
                            <a:ahLst/>
                            <a:cxnLst/>
                            <a:rect l="l" t="t" r="r" b="b"/>
                            <a:pathLst>
                              <a:path w="2231390" h="1666239">
                                <a:moveTo>
                                  <a:pt x="0" y="277621"/>
                                </a:moveTo>
                                <a:lnTo>
                                  <a:pt x="3718" y="232592"/>
                                </a:lnTo>
                                <a:lnTo>
                                  <a:pt x="14482" y="189875"/>
                                </a:lnTo>
                                <a:lnTo>
                                  <a:pt x="31708" y="150043"/>
                                </a:lnTo>
                                <a:lnTo>
                                  <a:pt x="54812" y="113666"/>
                                </a:lnTo>
                                <a:lnTo>
                                  <a:pt x="83208" y="81317"/>
                                </a:lnTo>
                                <a:lnTo>
                                  <a:pt x="116312" y="53567"/>
                                </a:lnTo>
                                <a:lnTo>
                                  <a:pt x="153540" y="30989"/>
                                </a:lnTo>
                                <a:lnTo>
                                  <a:pt x="194306" y="14154"/>
                                </a:lnTo>
                                <a:lnTo>
                                  <a:pt x="238027" y="3633"/>
                                </a:lnTo>
                                <a:lnTo>
                                  <a:pt x="284117" y="0"/>
                                </a:lnTo>
                                <a:lnTo>
                                  <a:pt x="1947242" y="0"/>
                                </a:lnTo>
                                <a:lnTo>
                                  <a:pt x="1993333" y="3633"/>
                                </a:lnTo>
                                <a:lnTo>
                                  <a:pt x="2037057" y="14154"/>
                                </a:lnTo>
                                <a:lnTo>
                                  <a:pt x="2077827" y="30989"/>
                                </a:lnTo>
                                <a:lnTo>
                                  <a:pt x="2115059" y="53567"/>
                                </a:lnTo>
                                <a:lnTo>
                                  <a:pt x="2148168" y="81317"/>
                                </a:lnTo>
                                <a:lnTo>
                                  <a:pt x="2176568" y="113666"/>
                                </a:lnTo>
                                <a:lnTo>
                                  <a:pt x="2199676" y="150043"/>
                                </a:lnTo>
                                <a:lnTo>
                                  <a:pt x="2216906" y="189875"/>
                                </a:lnTo>
                                <a:lnTo>
                                  <a:pt x="2227673" y="232592"/>
                                </a:lnTo>
                                <a:lnTo>
                                  <a:pt x="2231392" y="277621"/>
                                </a:lnTo>
                                <a:lnTo>
                                  <a:pt x="2231392" y="1388170"/>
                                </a:lnTo>
                                <a:lnTo>
                                  <a:pt x="2227673" y="1433207"/>
                                </a:lnTo>
                                <a:lnTo>
                                  <a:pt x="2216906" y="1475931"/>
                                </a:lnTo>
                                <a:lnTo>
                                  <a:pt x="2199676" y="1515769"/>
                                </a:lnTo>
                                <a:lnTo>
                                  <a:pt x="2176568" y="1552149"/>
                                </a:lnTo>
                                <a:lnTo>
                                  <a:pt x="2148168" y="1584501"/>
                                </a:lnTo>
                                <a:lnTo>
                                  <a:pt x="2115059" y="1612253"/>
                                </a:lnTo>
                                <a:lnTo>
                                  <a:pt x="2077827" y="1634832"/>
                                </a:lnTo>
                                <a:lnTo>
                                  <a:pt x="2037057" y="1651668"/>
                                </a:lnTo>
                                <a:lnTo>
                                  <a:pt x="1993333" y="1662189"/>
                                </a:lnTo>
                                <a:lnTo>
                                  <a:pt x="1947242" y="1665822"/>
                                </a:lnTo>
                                <a:lnTo>
                                  <a:pt x="284117" y="1665822"/>
                                </a:lnTo>
                                <a:lnTo>
                                  <a:pt x="238027" y="1662189"/>
                                </a:lnTo>
                                <a:lnTo>
                                  <a:pt x="194306" y="1651668"/>
                                </a:lnTo>
                                <a:lnTo>
                                  <a:pt x="153540" y="1634832"/>
                                </a:lnTo>
                                <a:lnTo>
                                  <a:pt x="116312" y="1612253"/>
                                </a:lnTo>
                                <a:lnTo>
                                  <a:pt x="83208" y="1584501"/>
                                </a:lnTo>
                                <a:lnTo>
                                  <a:pt x="54812" y="1552149"/>
                                </a:lnTo>
                                <a:lnTo>
                                  <a:pt x="31708" y="1515769"/>
                                </a:lnTo>
                                <a:lnTo>
                                  <a:pt x="14482" y="1475931"/>
                                </a:lnTo>
                                <a:lnTo>
                                  <a:pt x="3718" y="1433207"/>
                                </a:lnTo>
                                <a:lnTo>
                                  <a:pt x="0" y="1388170"/>
                                </a:lnTo>
                                <a:lnTo>
                                  <a:pt x="0" y="277621"/>
                                </a:lnTo>
                                <a:close/>
                              </a:path>
                            </a:pathLst>
                          </a:custGeom>
                          <a:ln w="6317">
                            <a:solidFill>
                              <a:srgbClr val="3477B1"/>
                            </a:solidFill>
                            <a:prstDash val="solid"/>
                          </a:ln>
                        </wps:spPr>
                        <wps:bodyPr wrap="square" lIns="0" tIns="0" rIns="0" bIns="0" rtlCol="0">
                          <a:prstTxWarp prst="textNoShape">
                            <a:avLst/>
                          </a:prstTxWarp>
                          <a:noAutofit/>
                        </wps:bodyPr>
                      </wps:wsp>
                      <pic:pic>
                        <pic:nvPicPr>
                          <pic:cNvPr id="344" name="Image 344"/>
                          <pic:cNvPicPr/>
                        </pic:nvPicPr>
                        <pic:blipFill>
                          <a:blip r:embed="rId68" cstate="print"/>
                          <a:stretch>
                            <a:fillRect/>
                          </a:stretch>
                        </pic:blipFill>
                        <pic:spPr>
                          <a:xfrm>
                            <a:off x="2785557" y="1895914"/>
                            <a:ext cx="2164065" cy="1517802"/>
                          </a:xfrm>
                          <a:prstGeom prst="rect">
                            <a:avLst/>
                          </a:prstGeom>
                        </pic:spPr>
                      </pic:pic>
                      <wps:wsp>
                        <wps:cNvPr id="345" name="Graphic 345"/>
                        <wps:cNvSpPr/>
                        <wps:spPr>
                          <a:xfrm>
                            <a:off x="2798798" y="1908852"/>
                            <a:ext cx="2123440" cy="1478280"/>
                          </a:xfrm>
                          <a:custGeom>
                            <a:avLst/>
                            <a:gdLst/>
                            <a:ahLst/>
                            <a:cxnLst/>
                            <a:rect l="l" t="t" r="r" b="b"/>
                            <a:pathLst>
                              <a:path w="2123440" h="1478280">
                                <a:moveTo>
                                  <a:pt x="0" y="246294"/>
                                </a:moveTo>
                                <a:lnTo>
                                  <a:pt x="4061" y="202023"/>
                                </a:lnTo>
                                <a:lnTo>
                                  <a:pt x="15769" y="160355"/>
                                </a:lnTo>
                                <a:lnTo>
                                  <a:pt x="34413" y="121985"/>
                                </a:lnTo>
                                <a:lnTo>
                                  <a:pt x="59281" y="87610"/>
                                </a:lnTo>
                                <a:lnTo>
                                  <a:pt x="89660" y="57925"/>
                                </a:lnTo>
                                <a:lnTo>
                                  <a:pt x="124840" y="33626"/>
                                </a:lnTo>
                                <a:lnTo>
                                  <a:pt x="164107" y="15409"/>
                                </a:lnTo>
                                <a:lnTo>
                                  <a:pt x="206750" y="3968"/>
                                </a:lnTo>
                                <a:lnTo>
                                  <a:pt x="252057" y="0"/>
                                </a:lnTo>
                                <a:lnTo>
                                  <a:pt x="1871099" y="0"/>
                                </a:lnTo>
                                <a:lnTo>
                                  <a:pt x="1916407" y="3968"/>
                                </a:lnTo>
                                <a:lnTo>
                                  <a:pt x="1959053" y="15409"/>
                                </a:lnTo>
                                <a:lnTo>
                                  <a:pt x="1998325" y="33626"/>
                                </a:lnTo>
                                <a:lnTo>
                                  <a:pt x="2033509" y="57925"/>
                                </a:lnTo>
                                <a:lnTo>
                                  <a:pt x="2063894" y="87610"/>
                                </a:lnTo>
                                <a:lnTo>
                                  <a:pt x="2088767" y="121985"/>
                                </a:lnTo>
                                <a:lnTo>
                                  <a:pt x="2107415" y="160355"/>
                                </a:lnTo>
                                <a:lnTo>
                                  <a:pt x="2119127" y="202023"/>
                                </a:lnTo>
                                <a:lnTo>
                                  <a:pt x="2123189" y="246294"/>
                                </a:lnTo>
                                <a:lnTo>
                                  <a:pt x="2123189" y="1231534"/>
                                </a:lnTo>
                                <a:lnTo>
                                  <a:pt x="2119127" y="1275814"/>
                                </a:lnTo>
                                <a:lnTo>
                                  <a:pt x="2107415" y="1317490"/>
                                </a:lnTo>
                                <a:lnTo>
                                  <a:pt x="2088767" y="1355864"/>
                                </a:lnTo>
                                <a:lnTo>
                                  <a:pt x="2063894" y="1390243"/>
                                </a:lnTo>
                                <a:lnTo>
                                  <a:pt x="2033509" y="1419931"/>
                                </a:lnTo>
                                <a:lnTo>
                                  <a:pt x="1998325" y="1444231"/>
                                </a:lnTo>
                                <a:lnTo>
                                  <a:pt x="1959053" y="1462450"/>
                                </a:lnTo>
                                <a:lnTo>
                                  <a:pt x="1916407" y="1473891"/>
                                </a:lnTo>
                                <a:lnTo>
                                  <a:pt x="1871099" y="1477859"/>
                                </a:lnTo>
                                <a:lnTo>
                                  <a:pt x="252057" y="1477859"/>
                                </a:lnTo>
                                <a:lnTo>
                                  <a:pt x="206750" y="1473891"/>
                                </a:lnTo>
                                <a:lnTo>
                                  <a:pt x="164107" y="1462450"/>
                                </a:lnTo>
                                <a:lnTo>
                                  <a:pt x="124840" y="1444231"/>
                                </a:lnTo>
                                <a:lnTo>
                                  <a:pt x="89660" y="1419931"/>
                                </a:lnTo>
                                <a:lnTo>
                                  <a:pt x="59281" y="1390243"/>
                                </a:lnTo>
                                <a:lnTo>
                                  <a:pt x="34413" y="1355864"/>
                                </a:lnTo>
                                <a:lnTo>
                                  <a:pt x="15769" y="1317490"/>
                                </a:lnTo>
                                <a:lnTo>
                                  <a:pt x="4061" y="1275814"/>
                                </a:lnTo>
                                <a:lnTo>
                                  <a:pt x="0" y="1231534"/>
                                </a:lnTo>
                                <a:lnTo>
                                  <a:pt x="0" y="246294"/>
                                </a:lnTo>
                                <a:close/>
                              </a:path>
                            </a:pathLst>
                          </a:custGeom>
                          <a:ln w="6313">
                            <a:solidFill>
                              <a:srgbClr val="3477B1"/>
                            </a:solidFill>
                            <a:prstDash val="solid"/>
                          </a:ln>
                        </wps:spPr>
                        <wps:bodyPr wrap="square" lIns="0" tIns="0" rIns="0" bIns="0" rtlCol="0">
                          <a:prstTxWarp prst="textNoShape">
                            <a:avLst/>
                          </a:prstTxWarp>
                          <a:noAutofit/>
                        </wps:bodyPr>
                      </wps:wsp>
                      <pic:pic>
                        <pic:nvPicPr>
                          <pic:cNvPr id="346" name="Image 346"/>
                          <pic:cNvPicPr/>
                        </pic:nvPicPr>
                        <pic:blipFill>
                          <a:blip r:embed="rId69" cstate="print"/>
                          <a:stretch>
                            <a:fillRect/>
                          </a:stretch>
                        </pic:blipFill>
                        <pic:spPr>
                          <a:xfrm>
                            <a:off x="198296" y="3418415"/>
                            <a:ext cx="1238326" cy="1268750"/>
                          </a:xfrm>
                          <a:prstGeom prst="rect">
                            <a:avLst/>
                          </a:prstGeom>
                        </pic:spPr>
                      </pic:pic>
                      <wps:wsp>
                        <wps:cNvPr id="347" name="Graphic 347"/>
                        <wps:cNvSpPr/>
                        <wps:spPr>
                          <a:xfrm>
                            <a:off x="211521" y="3431353"/>
                            <a:ext cx="1197610" cy="1229360"/>
                          </a:xfrm>
                          <a:custGeom>
                            <a:avLst/>
                            <a:gdLst/>
                            <a:ahLst/>
                            <a:cxnLst/>
                            <a:rect l="l" t="t" r="r" b="b"/>
                            <a:pathLst>
                              <a:path w="1197610" h="1229360">
                                <a:moveTo>
                                  <a:pt x="0" y="195011"/>
                                </a:moveTo>
                                <a:lnTo>
                                  <a:pt x="5271" y="150297"/>
                                </a:lnTo>
                                <a:lnTo>
                                  <a:pt x="20285" y="109250"/>
                                </a:lnTo>
                                <a:lnTo>
                                  <a:pt x="43846" y="73041"/>
                                </a:lnTo>
                                <a:lnTo>
                                  <a:pt x="74754" y="42841"/>
                                </a:lnTo>
                                <a:lnTo>
                                  <a:pt x="111813" y="19821"/>
                                </a:lnTo>
                                <a:lnTo>
                                  <a:pt x="153825" y="5150"/>
                                </a:lnTo>
                                <a:lnTo>
                                  <a:pt x="199590" y="0"/>
                                </a:lnTo>
                                <a:lnTo>
                                  <a:pt x="997858" y="0"/>
                                </a:lnTo>
                                <a:lnTo>
                                  <a:pt x="1043621" y="5150"/>
                                </a:lnTo>
                                <a:lnTo>
                                  <a:pt x="1085633" y="19821"/>
                                </a:lnTo>
                                <a:lnTo>
                                  <a:pt x="1122695" y="42841"/>
                                </a:lnTo>
                                <a:lnTo>
                                  <a:pt x="1153609" y="73041"/>
                                </a:lnTo>
                                <a:lnTo>
                                  <a:pt x="1177174" y="109250"/>
                                </a:lnTo>
                                <a:lnTo>
                                  <a:pt x="1192193" y="150297"/>
                                </a:lnTo>
                                <a:lnTo>
                                  <a:pt x="1197465" y="195011"/>
                                </a:lnTo>
                                <a:lnTo>
                                  <a:pt x="1197465" y="1033797"/>
                                </a:lnTo>
                                <a:lnTo>
                                  <a:pt x="1192193" y="1078511"/>
                                </a:lnTo>
                                <a:lnTo>
                                  <a:pt x="1177174" y="1119558"/>
                                </a:lnTo>
                                <a:lnTo>
                                  <a:pt x="1153609" y="1155767"/>
                                </a:lnTo>
                                <a:lnTo>
                                  <a:pt x="1122695" y="1185967"/>
                                </a:lnTo>
                                <a:lnTo>
                                  <a:pt x="1085633" y="1208987"/>
                                </a:lnTo>
                                <a:lnTo>
                                  <a:pt x="1043621" y="1223658"/>
                                </a:lnTo>
                                <a:lnTo>
                                  <a:pt x="997858" y="1228808"/>
                                </a:lnTo>
                                <a:lnTo>
                                  <a:pt x="199591" y="1228808"/>
                                </a:lnTo>
                                <a:lnTo>
                                  <a:pt x="153825" y="1223658"/>
                                </a:lnTo>
                                <a:lnTo>
                                  <a:pt x="111813" y="1208987"/>
                                </a:lnTo>
                                <a:lnTo>
                                  <a:pt x="74754" y="1185967"/>
                                </a:lnTo>
                                <a:lnTo>
                                  <a:pt x="43846" y="1155767"/>
                                </a:lnTo>
                                <a:lnTo>
                                  <a:pt x="20285" y="1119558"/>
                                </a:lnTo>
                                <a:lnTo>
                                  <a:pt x="5271" y="1078511"/>
                                </a:lnTo>
                                <a:lnTo>
                                  <a:pt x="0" y="1033797"/>
                                </a:lnTo>
                                <a:lnTo>
                                  <a:pt x="0" y="195011"/>
                                </a:lnTo>
                                <a:close/>
                              </a:path>
                            </a:pathLst>
                          </a:custGeom>
                          <a:ln w="6340">
                            <a:solidFill>
                              <a:srgbClr val="3477B1"/>
                            </a:solidFill>
                            <a:prstDash val="solid"/>
                          </a:ln>
                        </wps:spPr>
                        <wps:bodyPr wrap="square" lIns="0" tIns="0" rIns="0" bIns="0" rtlCol="0">
                          <a:prstTxWarp prst="textNoShape">
                            <a:avLst/>
                          </a:prstTxWarp>
                          <a:noAutofit/>
                        </wps:bodyPr>
                      </wps:wsp>
                      <pic:pic>
                        <pic:nvPicPr>
                          <pic:cNvPr id="348" name="Image 348"/>
                          <pic:cNvPicPr/>
                        </pic:nvPicPr>
                        <pic:blipFill>
                          <a:blip r:embed="rId70" cstate="print"/>
                          <a:stretch>
                            <a:fillRect/>
                          </a:stretch>
                        </pic:blipFill>
                        <pic:spPr>
                          <a:xfrm>
                            <a:off x="1417386" y="4677777"/>
                            <a:ext cx="1262371" cy="1278149"/>
                          </a:xfrm>
                          <a:prstGeom prst="rect">
                            <a:avLst/>
                          </a:prstGeom>
                        </pic:spPr>
                      </pic:pic>
                      <wps:wsp>
                        <wps:cNvPr id="349" name="Graphic 349"/>
                        <wps:cNvSpPr/>
                        <wps:spPr>
                          <a:xfrm>
                            <a:off x="1430627" y="4690706"/>
                            <a:ext cx="1221740" cy="1238250"/>
                          </a:xfrm>
                          <a:custGeom>
                            <a:avLst/>
                            <a:gdLst/>
                            <a:ahLst/>
                            <a:cxnLst/>
                            <a:rect l="l" t="t" r="r" b="b"/>
                            <a:pathLst>
                              <a:path w="1221740" h="1238250">
                                <a:moveTo>
                                  <a:pt x="0" y="198927"/>
                                </a:moveTo>
                                <a:lnTo>
                                  <a:pt x="5376" y="153315"/>
                                </a:lnTo>
                                <a:lnTo>
                                  <a:pt x="20692" y="111444"/>
                                </a:lnTo>
                                <a:lnTo>
                                  <a:pt x="44724" y="74508"/>
                                </a:lnTo>
                                <a:lnTo>
                                  <a:pt x="76252" y="43702"/>
                                </a:lnTo>
                                <a:lnTo>
                                  <a:pt x="114052" y="20219"/>
                                </a:lnTo>
                                <a:lnTo>
                                  <a:pt x="156902" y="5253"/>
                                </a:lnTo>
                                <a:lnTo>
                                  <a:pt x="203582" y="0"/>
                                </a:lnTo>
                                <a:lnTo>
                                  <a:pt x="1017880" y="0"/>
                                </a:lnTo>
                                <a:lnTo>
                                  <a:pt x="1064561" y="5253"/>
                                </a:lnTo>
                                <a:lnTo>
                                  <a:pt x="1107417" y="20219"/>
                                </a:lnTo>
                                <a:lnTo>
                                  <a:pt x="1145223" y="43702"/>
                                </a:lnTo>
                                <a:lnTo>
                                  <a:pt x="1176757" y="74508"/>
                                </a:lnTo>
                                <a:lnTo>
                                  <a:pt x="1200796" y="111444"/>
                                </a:lnTo>
                                <a:lnTo>
                                  <a:pt x="1216116" y="153315"/>
                                </a:lnTo>
                                <a:lnTo>
                                  <a:pt x="1221495" y="198927"/>
                                </a:lnTo>
                                <a:lnTo>
                                  <a:pt x="1221495" y="1039279"/>
                                </a:lnTo>
                                <a:lnTo>
                                  <a:pt x="1216116" y="1084889"/>
                                </a:lnTo>
                                <a:lnTo>
                                  <a:pt x="1200796" y="1126758"/>
                                </a:lnTo>
                                <a:lnTo>
                                  <a:pt x="1176757" y="1163693"/>
                                </a:lnTo>
                                <a:lnTo>
                                  <a:pt x="1145223" y="1194498"/>
                                </a:lnTo>
                                <a:lnTo>
                                  <a:pt x="1107417" y="1217981"/>
                                </a:lnTo>
                                <a:lnTo>
                                  <a:pt x="1064561" y="1232946"/>
                                </a:lnTo>
                                <a:lnTo>
                                  <a:pt x="1017880" y="1238200"/>
                                </a:lnTo>
                                <a:lnTo>
                                  <a:pt x="203582" y="1238200"/>
                                </a:lnTo>
                                <a:lnTo>
                                  <a:pt x="156902" y="1232946"/>
                                </a:lnTo>
                                <a:lnTo>
                                  <a:pt x="114052" y="1217981"/>
                                </a:lnTo>
                                <a:lnTo>
                                  <a:pt x="76252" y="1194498"/>
                                </a:lnTo>
                                <a:lnTo>
                                  <a:pt x="44724" y="1163693"/>
                                </a:lnTo>
                                <a:lnTo>
                                  <a:pt x="20692" y="1126758"/>
                                </a:lnTo>
                                <a:lnTo>
                                  <a:pt x="5376" y="1084889"/>
                                </a:lnTo>
                                <a:lnTo>
                                  <a:pt x="0" y="1039279"/>
                                </a:lnTo>
                                <a:lnTo>
                                  <a:pt x="0" y="198927"/>
                                </a:lnTo>
                                <a:close/>
                              </a:path>
                            </a:pathLst>
                          </a:custGeom>
                          <a:ln w="6339">
                            <a:solidFill>
                              <a:srgbClr val="3477B1"/>
                            </a:solidFill>
                            <a:prstDash val="solid"/>
                          </a:ln>
                        </wps:spPr>
                        <wps:bodyPr wrap="square" lIns="0" tIns="0" rIns="0" bIns="0" rtlCol="0">
                          <a:prstTxWarp prst="textNoShape">
                            <a:avLst/>
                          </a:prstTxWarp>
                          <a:noAutofit/>
                        </wps:bodyPr>
                      </wps:wsp>
                      <pic:pic>
                        <pic:nvPicPr>
                          <pic:cNvPr id="350" name="Image 350"/>
                          <pic:cNvPicPr/>
                        </pic:nvPicPr>
                        <pic:blipFill>
                          <a:blip r:embed="rId71" cstate="print"/>
                          <a:stretch>
                            <a:fillRect/>
                          </a:stretch>
                        </pic:blipFill>
                        <pic:spPr>
                          <a:xfrm>
                            <a:off x="1414982" y="3430163"/>
                            <a:ext cx="1238326" cy="1261702"/>
                          </a:xfrm>
                          <a:prstGeom prst="rect">
                            <a:avLst/>
                          </a:prstGeom>
                        </pic:spPr>
                      </pic:pic>
                      <wps:wsp>
                        <wps:cNvPr id="351" name="Graphic 351"/>
                        <wps:cNvSpPr/>
                        <wps:spPr>
                          <a:xfrm>
                            <a:off x="1428223" y="3443101"/>
                            <a:ext cx="1197610" cy="1222375"/>
                          </a:xfrm>
                          <a:custGeom>
                            <a:avLst/>
                            <a:gdLst/>
                            <a:ahLst/>
                            <a:cxnLst/>
                            <a:rect l="l" t="t" r="r" b="b"/>
                            <a:pathLst>
                              <a:path w="1197610" h="1222375">
                                <a:moveTo>
                                  <a:pt x="0" y="195011"/>
                                </a:moveTo>
                                <a:lnTo>
                                  <a:pt x="5270" y="150297"/>
                                </a:lnTo>
                                <a:lnTo>
                                  <a:pt x="20284" y="109250"/>
                                </a:lnTo>
                                <a:lnTo>
                                  <a:pt x="43844" y="73041"/>
                                </a:lnTo>
                                <a:lnTo>
                                  <a:pt x="74750" y="42841"/>
                                </a:lnTo>
                                <a:lnTo>
                                  <a:pt x="111806" y="19821"/>
                                </a:lnTo>
                                <a:lnTo>
                                  <a:pt x="153813" y="5150"/>
                                </a:lnTo>
                                <a:lnTo>
                                  <a:pt x="199574" y="0"/>
                                </a:lnTo>
                                <a:lnTo>
                                  <a:pt x="997842" y="0"/>
                                </a:lnTo>
                                <a:lnTo>
                                  <a:pt x="1043605" y="5150"/>
                                </a:lnTo>
                                <a:lnTo>
                                  <a:pt x="1085617" y="19821"/>
                                </a:lnTo>
                                <a:lnTo>
                                  <a:pt x="1122679" y="42841"/>
                                </a:lnTo>
                                <a:lnTo>
                                  <a:pt x="1153593" y="73041"/>
                                </a:lnTo>
                                <a:lnTo>
                                  <a:pt x="1177158" y="109250"/>
                                </a:lnTo>
                                <a:lnTo>
                                  <a:pt x="1192177" y="150297"/>
                                </a:lnTo>
                                <a:lnTo>
                                  <a:pt x="1197449" y="195011"/>
                                </a:lnTo>
                                <a:lnTo>
                                  <a:pt x="1197449" y="1026748"/>
                                </a:lnTo>
                                <a:lnTo>
                                  <a:pt x="1192177" y="1071463"/>
                                </a:lnTo>
                                <a:lnTo>
                                  <a:pt x="1177158" y="1112510"/>
                                </a:lnTo>
                                <a:lnTo>
                                  <a:pt x="1153593" y="1148718"/>
                                </a:lnTo>
                                <a:lnTo>
                                  <a:pt x="1122679" y="1178918"/>
                                </a:lnTo>
                                <a:lnTo>
                                  <a:pt x="1085617" y="1201939"/>
                                </a:lnTo>
                                <a:lnTo>
                                  <a:pt x="1043605" y="1216609"/>
                                </a:lnTo>
                                <a:lnTo>
                                  <a:pt x="997842" y="1221760"/>
                                </a:lnTo>
                                <a:lnTo>
                                  <a:pt x="199574" y="1221760"/>
                                </a:lnTo>
                                <a:lnTo>
                                  <a:pt x="153813" y="1216609"/>
                                </a:lnTo>
                                <a:lnTo>
                                  <a:pt x="111806" y="1201939"/>
                                </a:lnTo>
                                <a:lnTo>
                                  <a:pt x="74750" y="1178918"/>
                                </a:lnTo>
                                <a:lnTo>
                                  <a:pt x="43844" y="1148718"/>
                                </a:lnTo>
                                <a:lnTo>
                                  <a:pt x="20284" y="1112510"/>
                                </a:lnTo>
                                <a:lnTo>
                                  <a:pt x="5270" y="1071463"/>
                                </a:lnTo>
                                <a:lnTo>
                                  <a:pt x="0" y="1026748"/>
                                </a:lnTo>
                                <a:lnTo>
                                  <a:pt x="0" y="195011"/>
                                </a:lnTo>
                                <a:close/>
                              </a:path>
                            </a:pathLst>
                          </a:custGeom>
                          <a:ln w="6340">
                            <a:solidFill>
                              <a:srgbClr val="3477B1"/>
                            </a:solidFill>
                            <a:prstDash val="solid"/>
                          </a:ln>
                        </wps:spPr>
                        <wps:bodyPr wrap="square" lIns="0" tIns="0" rIns="0" bIns="0" rtlCol="0">
                          <a:prstTxWarp prst="textNoShape">
                            <a:avLst/>
                          </a:prstTxWarp>
                          <a:noAutofit/>
                        </wps:bodyPr>
                      </wps:wsp>
                      <pic:pic>
                        <pic:nvPicPr>
                          <pic:cNvPr id="352" name="Image 352"/>
                          <pic:cNvPicPr/>
                        </pic:nvPicPr>
                        <pic:blipFill>
                          <a:blip r:embed="rId72" cstate="print"/>
                          <a:stretch>
                            <a:fillRect/>
                          </a:stretch>
                        </pic:blipFill>
                        <pic:spPr>
                          <a:xfrm>
                            <a:off x="3913276" y="3721506"/>
                            <a:ext cx="1279203" cy="1259352"/>
                          </a:xfrm>
                          <a:prstGeom prst="rect">
                            <a:avLst/>
                          </a:prstGeom>
                        </pic:spPr>
                      </pic:pic>
                      <wps:wsp>
                        <wps:cNvPr id="353" name="Graphic 353"/>
                        <wps:cNvSpPr/>
                        <wps:spPr>
                          <a:xfrm>
                            <a:off x="3926517" y="3734444"/>
                            <a:ext cx="1238885" cy="1219835"/>
                          </a:xfrm>
                          <a:custGeom>
                            <a:avLst/>
                            <a:gdLst/>
                            <a:ahLst/>
                            <a:cxnLst/>
                            <a:rect l="l" t="t" r="r" b="b"/>
                            <a:pathLst>
                              <a:path w="1238885" h="1219835">
                                <a:moveTo>
                                  <a:pt x="0" y="201653"/>
                                </a:moveTo>
                                <a:lnTo>
                                  <a:pt x="5450" y="155416"/>
                                </a:lnTo>
                                <a:lnTo>
                                  <a:pt x="20976" y="112971"/>
                                </a:lnTo>
                                <a:lnTo>
                                  <a:pt x="45338" y="75530"/>
                                </a:lnTo>
                                <a:lnTo>
                                  <a:pt x="77297" y="44301"/>
                                </a:lnTo>
                                <a:lnTo>
                                  <a:pt x="115615" y="20496"/>
                                </a:lnTo>
                                <a:lnTo>
                                  <a:pt x="159053" y="5325"/>
                                </a:lnTo>
                                <a:lnTo>
                                  <a:pt x="206371" y="0"/>
                                </a:lnTo>
                                <a:lnTo>
                                  <a:pt x="1031922" y="0"/>
                                </a:lnTo>
                                <a:lnTo>
                                  <a:pt x="1079243" y="5325"/>
                                </a:lnTo>
                                <a:lnTo>
                                  <a:pt x="1122685" y="20496"/>
                                </a:lnTo>
                                <a:lnTo>
                                  <a:pt x="1161009" y="44301"/>
                                </a:lnTo>
                                <a:lnTo>
                                  <a:pt x="1192975" y="75530"/>
                                </a:lnTo>
                                <a:lnTo>
                                  <a:pt x="1217344" y="112971"/>
                                </a:lnTo>
                                <a:lnTo>
                                  <a:pt x="1232874" y="155416"/>
                                </a:lnTo>
                                <a:lnTo>
                                  <a:pt x="1238326" y="201653"/>
                                </a:lnTo>
                                <a:lnTo>
                                  <a:pt x="1238326" y="1017726"/>
                                </a:lnTo>
                                <a:lnTo>
                                  <a:pt x="1232874" y="1063974"/>
                                </a:lnTo>
                                <a:lnTo>
                                  <a:pt x="1217344" y="1106427"/>
                                </a:lnTo>
                                <a:lnTo>
                                  <a:pt x="1192975" y="1143874"/>
                                </a:lnTo>
                                <a:lnTo>
                                  <a:pt x="1161009" y="1175106"/>
                                </a:lnTo>
                                <a:lnTo>
                                  <a:pt x="1122685" y="1198913"/>
                                </a:lnTo>
                                <a:lnTo>
                                  <a:pt x="1079243" y="1214084"/>
                                </a:lnTo>
                                <a:lnTo>
                                  <a:pt x="1031922" y="1219410"/>
                                </a:lnTo>
                                <a:lnTo>
                                  <a:pt x="206371" y="1219410"/>
                                </a:lnTo>
                                <a:lnTo>
                                  <a:pt x="159053" y="1214084"/>
                                </a:lnTo>
                                <a:lnTo>
                                  <a:pt x="115615" y="1198913"/>
                                </a:lnTo>
                                <a:lnTo>
                                  <a:pt x="77297" y="1175106"/>
                                </a:lnTo>
                                <a:lnTo>
                                  <a:pt x="45338" y="1143874"/>
                                </a:lnTo>
                                <a:lnTo>
                                  <a:pt x="20976" y="1106427"/>
                                </a:lnTo>
                                <a:lnTo>
                                  <a:pt x="5450" y="1063974"/>
                                </a:lnTo>
                                <a:lnTo>
                                  <a:pt x="0" y="1017726"/>
                                </a:lnTo>
                                <a:lnTo>
                                  <a:pt x="0" y="201653"/>
                                </a:lnTo>
                                <a:close/>
                              </a:path>
                            </a:pathLst>
                          </a:custGeom>
                          <a:ln w="6337">
                            <a:solidFill>
                              <a:srgbClr val="3477B1"/>
                            </a:solidFill>
                            <a:prstDash val="solid"/>
                          </a:ln>
                        </wps:spPr>
                        <wps:bodyPr wrap="square" lIns="0" tIns="0" rIns="0" bIns="0" rtlCol="0">
                          <a:prstTxWarp prst="textNoShape">
                            <a:avLst/>
                          </a:prstTxWarp>
                          <a:noAutofit/>
                        </wps:bodyPr>
                      </wps:wsp>
                      <pic:pic>
                        <pic:nvPicPr>
                          <pic:cNvPr id="354" name="Image 354"/>
                          <pic:cNvPicPr/>
                        </pic:nvPicPr>
                        <pic:blipFill>
                          <a:blip r:embed="rId73" cstate="print"/>
                          <a:stretch>
                            <a:fillRect/>
                          </a:stretch>
                        </pic:blipFill>
                        <pic:spPr>
                          <a:xfrm>
                            <a:off x="2648499" y="3716806"/>
                            <a:ext cx="1276798" cy="1268750"/>
                          </a:xfrm>
                          <a:prstGeom prst="rect">
                            <a:avLst/>
                          </a:prstGeom>
                        </pic:spPr>
                      </pic:pic>
                      <wps:wsp>
                        <wps:cNvPr id="355" name="Graphic 355"/>
                        <wps:cNvSpPr/>
                        <wps:spPr>
                          <a:xfrm>
                            <a:off x="2661740" y="3729745"/>
                            <a:ext cx="1236345" cy="1229360"/>
                          </a:xfrm>
                          <a:custGeom>
                            <a:avLst/>
                            <a:gdLst/>
                            <a:ahLst/>
                            <a:cxnLst/>
                            <a:rect l="l" t="t" r="r" b="b"/>
                            <a:pathLst>
                              <a:path w="1236345" h="1229360">
                                <a:moveTo>
                                  <a:pt x="0" y="201277"/>
                                </a:moveTo>
                                <a:lnTo>
                                  <a:pt x="5439" y="155120"/>
                                </a:lnTo>
                                <a:lnTo>
                                  <a:pt x="20933" y="112752"/>
                                </a:lnTo>
                                <a:lnTo>
                                  <a:pt x="45247" y="75381"/>
                                </a:lnTo>
                                <a:lnTo>
                                  <a:pt x="77144" y="44212"/>
                                </a:lnTo>
                                <a:lnTo>
                                  <a:pt x="115391" y="20454"/>
                                </a:lnTo>
                                <a:lnTo>
                                  <a:pt x="158750" y="5314"/>
                                </a:lnTo>
                                <a:lnTo>
                                  <a:pt x="205987" y="0"/>
                                </a:lnTo>
                                <a:lnTo>
                                  <a:pt x="1029903" y="0"/>
                                </a:lnTo>
                                <a:lnTo>
                                  <a:pt x="1077141" y="5314"/>
                                </a:lnTo>
                                <a:lnTo>
                                  <a:pt x="1120505" y="20454"/>
                                </a:lnTo>
                                <a:lnTo>
                                  <a:pt x="1158757" y="44212"/>
                                </a:lnTo>
                                <a:lnTo>
                                  <a:pt x="1190662" y="75381"/>
                                </a:lnTo>
                                <a:lnTo>
                                  <a:pt x="1214982" y="112752"/>
                                </a:lnTo>
                                <a:lnTo>
                                  <a:pt x="1230481" y="155120"/>
                                </a:lnTo>
                                <a:lnTo>
                                  <a:pt x="1235922" y="201277"/>
                                </a:lnTo>
                                <a:lnTo>
                                  <a:pt x="1235922" y="1027531"/>
                                </a:lnTo>
                                <a:lnTo>
                                  <a:pt x="1230481" y="1073678"/>
                                </a:lnTo>
                                <a:lnTo>
                                  <a:pt x="1214982" y="1116042"/>
                                </a:lnTo>
                                <a:lnTo>
                                  <a:pt x="1190662" y="1153414"/>
                                </a:lnTo>
                                <a:lnTo>
                                  <a:pt x="1158757" y="1184586"/>
                                </a:lnTo>
                                <a:lnTo>
                                  <a:pt x="1120505" y="1208348"/>
                                </a:lnTo>
                                <a:lnTo>
                                  <a:pt x="1077141" y="1223492"/>
                                </a:lnTo>
                                <a:lnTo>
                                  <a:pt x="1029903" y="1228808"/>
                                </a:lnTo>
                                <a:lnTo>
                                  <a:pt x="205987" y="1228808"/>
                                </a:lnTo>
                                <a:lnTo>
                                  <a:pt x="158750" y="1223492"/>
                                </a:lnTo>
                                <a:lnTo>
                                  <a:pt x="115391" y="1208348"/>
                                </a:lnTo>
                                <a:lnTo>
                                  <a:pt x="77144" y="1184586"/>
                                </a:lnTo>
                                <a:lnTo>
                                  <a:pt x="45247" y="1153414"/>
                                </a:lnTo>
                                <a:lnTo>
                                  <a:pt x="20933" y="1116042"/>
                                </a:lnTo>
                                <a:lnTo>
                                  <a:pt x="5439" y="1073678"/>
                                </a:lnTo>
                                <a:lnTo>
                                  <a:pt x="0" y="1027531"/>
                                </a:lnTo>
                                <a:lnTo>
                                  <a:pt x="0" y="201277"/>
                                </a:lnTo>
                                <a:close/>
                              </a:path>
                            </a:pathLst>
                          </a:custGeom>
                          <a:ln w="6338">
                            <a:solidFill>
                              <a:srgbClr val="3477B1"/>
                            </a:solidFill>
                            <a:prstDash val="solid"/>
                          </a:ln>
                        </wps:spPr>
                        <wps:bodyPr wrap="square" lIns="0" tIns="0" rIns="0" bIns="0" rtlCol="0">
                          <a:prstTxWarp prst="textNoShape">
                            <a:avLst/>
                          </a:prstTxWarp>
                          <a:noAutofit/>
                        </wps:bodyPr>
                      </wps:wsp>
                      <pic:pic>
                        <pic:nvPicPr>
                          <pic:cNvPr id="356" name="Image 356"/>
                          <pic:cNvPicPr/>
                        </pic:nvPicPr>
                        <pic:blipFill>
                          <a:blip r:embed="rId74" cstate="print"/>
                          <a:stretch>
                            <a:fillRect/>
                          </a:stretch>
                        </pic:blipFill>
                        <pic:spPr>
                          <a:xfrm>
                            <a:off x="2989941" y="5194676"/>
                            <a:ext cx="2135211" cy="610880"/>
                          </a:xfrm>
                          <a:prstGeom prst="rect">
                            <a:avLst/>
                          </a:prstGeom>
                        </pic:spPr>
                      </pic:pic>
                      <pic:pic>
                        <pic:nvPicPr>
                          <pic:cNvPr id="357" name="Image 357"/>
                          <pic:cNvPicPr/>
                        </pic:nvPicPr>
                        <pic:blipFill>
                          <a:blip r:embed="rId75" cstate="print"/>
                          <a:stretch>
                            <a:fillRect/>
                          </a:stretch>
                        </pic:blipFill>
                        <pic:spPr>
                          <a:xfrm>
                            <a:off x="3398709" y="5222870"/>
                            <a:ext cx="1697589" cy="549792"/>
                          </a:xfrm>
                          <a:prstGeom prst="rect">
                            <a:avLst/>
                          </a:prstGeom>
                        </pic:spPr>
                      </pic:pic>
                      <pic:pic>
                        <pic:nvPicPr>
                          <pic:cNvPr id="358" name="Image 358"/>
                          <pic:cNvPicPr/>
                        </pic:nvPicPr>
                        <pic:blipFill>
                          <a:blip r:embed="rId76" cstate="print"/>
                          <a:stretch>
                            <a:fillRect/>
                          </a:stretch>
                        </pic:blipFill>
                        <pic:spPr>
                          <a:xfrm>
                            <a:off x="1527994" y="1684455"/>
                            <a:ext cx="776659" cy="251400"/>
                          </a:xfrm>
                          <a:prstGeom prst="rect">
                            <a:avLst/>
                          </a:prstGeom>
                        </pic:spPr>
                      </pic:pic>
                      <wps:wsp>
                        <wps:cNvPr id="359" name="Graphic 359"/>
                        <wps:cNvSpPr/>
                        <wps:spPr>
                          <a:xfrm>
                            <a:off x="1546044" y="1697394"/>
                            <a:ext cx="742315" cy="215900"/>
                          </a:xfrm>
                          <a:custGeom>
                            <a:avLst/>
                            <a:gdLst/>
                            <a:ahLst/>
                            <a:cxnLst/>
                            <a:rect l="l" t="t" r="r" b="b"/>
                            <a:pathLst>
                              <a:path w="742315" h="215900">
                                <a:moveTo>
                                  <a:pt x="742194" y="0"/>
                                </a:moveTo>
                                <a:lnTo>
                                  <a:pt x="0" y="215374"/>
                                </a:lnTo>
                              </a:path>
                            </a:pathLst>
                          </a:custGeom>
                          <a:ln w="6276">
                            <a:solidFill>
                              <a:srgbClr val="619DD1"/>
                            </a:solidFill>
                            <a:prstDash val="solid"/>
                          </a:ln>
                        </wps:spPr>
                        <wps:bodyPr wrap="square" lIns="0" tIns="0" rIns="0" bIns="0" rtlCol="0">
                          <a:prstTxWarp prst="textNoShape">
                            <a:avLst/>
                          </a:prstTxWarp>
                          <a:noAutofit/>
                        </wps:bodyPr>
                      </wps:wsp>
                      <pic:pic>
                        <pic:nvPicPr>
                          <pic:cNvPr id="360" name="Image 360"/>
                          <pic:cNvPicPr/>
                        </pic:nvPicPr>
                        <pic:blipFill>
                          <a:blip r:embed="rId77" cstate="print"/>
                          <a:stretch>
                            <a:fillRect/>
                          </a:stretch>
                        </pic:blipFill>
                        <pic:spPr>
                          <a:xfrm>
                            <a:off x="3153448" y="1682106"/>
                            <a:ext cx="752613" cy="253750"/>
                          </a:xfrm>
                          <a:prstGeom prst="rect">
                            <a:avLst/>
                          </a:prstGeom>
                        </pic:spPr>
                      </pic:pic>
                      <wps:wsp>
                        <wps:cNvPr id="361" name="Graphic 361"/>
                        <wps:cNvSpPr/>
                        <wps:spPr>
                          <a:xfrm>
                            <a:off x="3169094" y="1695044"/>
                            <a:ext cx="718185" cy="219710"/>
                          </a:xfrm>
                          <a:custGeom>
                            <a:avLst/>
                            <a:gdLst/>
                            <a:ahLst/>
                            <a:cxnLst/>
                            <a:rect l="l" t="t" r="r" b="b"/>
                            <a:pathLst>
                              <a:path w="718185" h="219710">
                                <a:moveTo>
                                  <a:pt x="0" y="0"/>
                                </a:moveTo>
                                <a:lnTo>
                                  <a:pt x="718149" y="219290"/>
                                </a:lnTo>
                              </a:path>
                            </a:pathLst>
                          </a:custGeom>
                          <a:ln w="6277">
                            <a:solidFill>
                              <a:srgbClr val="619DD1"/>
                            </a:solidFill>
                            <a:prstDash val="solid"/>
                          </a:ln>
                        </wps:spPr>
                        <wps:bodyPr wrap="square" lIns="0" tIns="0" rIns="0" bIns="0" rtlCol="0">
                          <a:prstTxWarp prst="textNoShape">
                            <a:avLst/>
                          </a:prstTxWarp>
                          <a:noAutofit/>
                        </wps:bodyPr>
                      </wps:wsp>
                      <pic:pic>
                        <pic:nvPicPr>
                          <pic:cNvPr id="362" name="Image 362"/>
                          <pic:cNvPicPr/>
                        </pic:nvPicPr>
                        <pic:blipFill>
                          <a:blip r:embed="rId78" cstate="print"/>
                          <a:stretch>
                            <a:fillRect/>
                          </a:stretch>
                        </pic:blipFill>
                        <pic:spPr>
                          <a:xfrm>
                            <a:off x="1011023" y="3383172"/>
                            <a:ext cx="93776" cy="70486"/>
                          </a:xfrm>
                          <a:prstGeom prst="rect">
                            <a:avLst/>
                          </a:prstGeom>
                        </pic:spPr>
                      </pic:pic>
                      <wps:wsp>
                        <wps:cNvPr id="363" name="Graphic 363"/>
                        <wps:cNvSpPr/>
                        <wps:spPr>
                          <a:xfrm>
                            <a:off x="1029073" y="3396110"/>
                            <a:ext cx="60960" cy="34925"/>
                          </a:xfrm>
                          <a:custGeom>
                            <a:avLst/>
                            <a:gdLst/>
                            <a:ahLst/>
                            <a:cxnLst/>
                            <a:rect l="l" t="t" r="r" b="b"/>
                            <a:pathLst>
                              <a:path w="60960" h="34925">
                                <a:moveTo>
                                  <a:pt x="60690" y="0"/>
                                </a:moveTo>
                                <a:lnTo>
                                  <a:pt x="0" y="34647"/>
                                </a:lnTo>
                              </a:path>
                            </a:pathLst>
                          </a:custGeom>
                          <a:ln w="6301">
                            <a:solidFill>
                              <a:srgbClr val="619DD1"/>
                            </a:solidFill>
                            <a:prstDash val="solid"/>
                          </a:ln>
                        </wps:spPr>
                        <wps:bodyPr wrap="square" lIns="0" tIns="0" rIns="0" bIns="0" rtlCol="0">
                          <a:prstTxWarp prst="textNoShape">
                            <a:avLst/>
                          </a:prstTxWarp>
                          <a:noAutofit/>
                        </wps:bodyPr>
                      </wps:wsp>
                      <pic:pic>
                        <pic:nvPicPr>
                          <pic:cNvPr id="364" name="Image 364"/>
                          <pic:cNvPicPr/>
                        </pic:nvPicPr>
                        <pic:blipFill>
                          <a:blip r:embed="rId79" cstate="print"/>
                          <a:stretch>
                            <a:fillRect/>
                          </a:stretch>
                        </pic:blipFill>
                        <pic:spPr>
                          <a:xfrm>
                            <a:off x="1816536" y="3380822"/>
                            <a:ext cx="105798" cy="77534"/>
                          </a:xfrm>
                          <a:prstGeom prst="rect">
                            <a:avLst/>
                          </a:prstGeom>
                        </pic:spPr>
                      </pic:pic>
                      <wps:wsp>
                        <wps:cNvPr id="365" name="Graphic 365"/>
                        <wps:cNvSpPr/>
                        <wps:spPr>
                          <a:xfrm>
                            <a:off x="1832182" y="3393761"/>
                            <a:ext cx="73025" cy="43815"/>
                          </a:xfrm>
                          <a:custGeom>
                            <a:avLst/>
                            <a:gdLst/>
                            <a:ahLst/>
                            <a:cxnLst/>
                            <a:rect l="l" t="t" r="r" b="b"/>
                            <a:pathLst>
                              <a:path w="73025" h="43815">
                                <a:moveTo>
                                  <a:pt x="0" y="0"/>
                                </a:moveTo>
                                <a:lnTo>
                                  <a:pt x="72712" y="43450"/>
                                </a:lnTo>
                              </a:path>
                            </a:pathLst>
                          </a:custGeom>
                          <a:ln w="6304">
                            <a:solidFill>
                              <a:srgbClr val="619DD1"/>
                            </a:solidFill>
                            <a:prstDash val="solid"/>
                          </a:ln>
                        </wps:spPr>
                        <wps:bodyPr wrap="square" lIns="0" tIns="0" rIns="0" bIns="0" rtlCol="0">
                          <a:prstTxWarp prst="textNoShape">
                            <a:avLst/>
                          </a:prstTxWarp>
                          <a:noAutofit/>
                        </wps:bodyPr>
                      </wps:wsp>
                      <pic:pic>
                        <pic:nvPicPr>
                          <pic:cNvPr id="366" name="Image 366"/>
                          <pic:cNvPicPr/>
                        </pic:nvPicPr>
                        <pic:blipFill>
                          <a:blip r:embed="rId80" cstate="print"/>
                          <a:stretch>
                            <a:fillRect/>
                          </a:stretch>
                        </pic:blipFill>
                        <pic:spPr>
                          <a:xfrm>
                            <a:off x="3141425" y="3371424"/>
                            <a:ext cx="502544" cy="378275"/>
                          </a:xfrm>
                          <a:prstGeom prst="rect">
                            <a:avLst/>
                          </a:prstGeom>
                        </pic:spPr>
                      </pic:pic>
                      <wps:wsp>
                        <wps:cNvPr id="367" name="Graphic 367"/>
                        <wps:cNvSpPr/>
                        <wps:spPr>
                          <a:xfrm>
                            <a:off x="3159476" y="3382013"/>
                            <a:ext cx="468630" cy="345440"/>
                          </a:xfrm>
                          <a:custGeom>
                            <a:avLst/>
                            <a:gdLst/>
                            <a:ahLst/>
                            <a:cxnLst/>
                            <a:rect l="l" t="t" r="r" b="b"/>
                            <a:pathLst>
                              <a:path w="468630" h="345440">
                                <a:moveTo>
                                  <a:pt x="468464" y="0"/>
                                </a:moveTo>
                                <a:lnTo>
                                  <a:pt x="0" y="345382"/>
                                </a:lnTo>
                              </a:path>
                            </a:pathLst>
                          </a:custGeom>
                          <a:ln w="6317">
                            <a:solidFill>
                              <a:srgbClr val="619DD1"/>
                            </a:solidFill>
                            <a:prstDash val="solid"/>
                          </a:ln>
                        </wps:spPr>
                        <wps:bodyPr wrap="square" lIns="0" tIns="0" rIns="0" bIns="0" rtlCol="0">
                          <a:prstTxWarp prst="textNoShape">
                            <a:avLst/>
                          </a:prstTxWarp>
                          <a:noAutofit/>
                        </wps:bodyPr>
                      </wps:wsp>
                      <pic:pic>
                        <pic:nvPicPr>
                          <pic:cNvPr id="368" name="Image 368"/>
                          <pic:cNvPicPr/>
                        </pic:nvPicPr>
                        <pic:blipFill>
                          <a:blip r:embed="rId81" cstate="print"/>
                          <a:stretch>
                            <a:fillRect/>
                          </a:stretch>
                        </pic:blipFill>
                        <pic:spPr>
                          <a:xfrm>
                            <a:off x="4218649" y="3378473"/>
                            <a:ext cx="480903" cy="375926"/>
                          </a:xfrm>
                          <a:prstGeom prst="rect">
                            <a:avLst/>
                          </a:prstGeom>
                        </pic:spPr>
                      </pic:pic>
                      <wps:wsp>
                        <wps:cNvPr id="369" name="Graphic 369"/>
                        <wps:cNvSpPr/>
                        <wps:spPr>
                          <a:xfrm>
                            <a:off x="4234295" y="3389061"/>
                            <a:ext cx="447040" cy="343535"/>
                          </a:xfrm>
                          <a:custGeom>
                            <a:avLst/>
                            <a:gdLst/>
                            <a:ahLst/>
                            <a:cxnLst/>
                            <a:rect l="l" t="t" r="r" b="b"/>
                            <a:pathLst>
                              <a:path w="447040" h="343535">
                                <a:moveTo>
                                  <a:pt x="0" y="0"/>
                                </a:moveTo>
                                <a:lnTo>
                                  <a:pt x="446631" y="343408"/>
                                </a:lnTo>
                              </a:path>
                            </a:pathLst>
                          </a:custGeom>
                          <a:ln w="6319">
                            <a:solidFill>
                              <a:srgbClr val="619DD1"/>
                            </a:solidFill>
                            <a:prstDash val="solid"/>
                          </a:ln>
                        </wps:spPr>
                        <wps:bodyPr wrap="square" lIns="0" tIns="0" rIns="0" bIns="0" rtlCol="0">
                          <a:prstTxWarp prst="textNoShape">
                            <a:avLst/>
                          </a:prstTxWarp>
                          <a:noAutofit/>
                        </wps:bodyPr>
                      </wps:wsp>
                      <pic:pic>
                        <pic:nvPicPr>
                          <pic:cNvPr id="370" name="Image 370"/>
                          <pic:cNvPicPr/>
                        </pic:nvPicPr>
                        <pic:blipFill>
                          <a:blip r:embed="rId82" cstate="print"/>
                          <a:stretch>
                            <a:fillRect/>
                          </a:stretch>
                        </pic:blipFill>
                        <pic:spPr>
                          <a:xfrm>
                            <a:off x="1460668" y="4727108"/>
                            <a:ext cx="1178213" cy="432315"/>
                          </a:xfrm>
                          <a:prstGeom prst="rect">
                            <a:avLst/>
                          </a:prstGeom>
                        </pic:spPr>
                      </pic:pic>
                      <pic:pic>
                        <pic:nvPicPr>
                          <pic:cNvPr id="371" name="Image 371"/>
                          <pic:cNvPicPr/>
                        </pic:nvPicPr>
                        <pic:blipFill>
                          <a:blip r:embed="rId83" cstate="print"/>
                          <a:stretch>
                            <a:fillRect/>
                          </a:stretch>
                        </pic:blipFill>
                        <pic:spPr>
                          <a:xfrm>
                            <a:off x="1527994" y="4729458"/>
                            <a:ext cx="1045965" cy="218507"/>
                          </a:xfrm>
                          <a:prstGeom prst="rect">
                            <a:avLst/>
                          </a:prstGeom>
                        </pic:spPr>
                      </pic:pic>
                      <wps:wsp>
                        <wps:cNvPr id="372" name="Graphic 372"/>
                        <wps:cNvSpPr/>
                        <wps:spPr>
                          <a:xfrm>
                            <a:off x="1475095" y="4736506"/>
                            <a:ext cx="1149985" cy="404495"/>
                          </a:xfrm>
                          <a:custGeom>
                            <a:avLst/>
                            <a:gdLst/>
                            <a:ahLst/>
                            <a:cxnLst/>
                            <a:rect l="l" t="t" r="r" b="b"/>
                            <a:pathLst>
                              <a:path w="1149985" h="404495">
                                <a:moveTo>
                                  <a:pt x="1060103" y="0"/>
                                </a:moveTo>
                                <a:lnTo>
                                  <a:pt x="89255" y="0"/>
                                </a:lnTo>
                                <a:lnTo>
                                  <a:pt x="54507" y="5294"/>
                                </a:lnTo>
                                <a:lnTo>
                                  <a:pt x="26137" y="19732"/>
                                </a:lnTo>
                                <a:lnTo>
                                  <a:pt x="7012" y="41141"/>
                                </a:lnTo>
                                <a:lnTo>
                                  <a:pt x="0" y="67353"/>
                                </a:lnTo>
                                <a:lnTo>
                                  <a:pt x="0" y="336767"/>
                                </a:lnTo>
                                <a:lnTo>
                                  <a:pt x="7012" y="362991"/>
                                </a:lnTo>
                                <a:lnTo>
                                  <a:pt x="26137" y="384400"/>
                                </a:lnTo>
                                <a:lnTo>
                                  <a:pt x="54507" y="398830"/>
                                </a:lnTo>
                                <a:lnTo>
                                  <a:pt x="89255" y="404120"/>
                                </a:lnTo>
                                <a:lnTo>
                                  <a:pt x="1060103" y="404120"/>
                                </a:lnTo>
                                <a:lnTo>
                                  <a:pt x="1094852" y="398830"/>
                                </a:lnTo>
                                <a:lnTo>
                                  <a:pt x="1123222" y="384400"/>
                                </a:lnTo>
                                <a:lnTo>
                                  <a:pt x="1142347" y="362991"/>
                                </a:lnTo>
                                <a:lnTo>
                                  <a:pt x="1149359" y="336767"/>
                                </a:lnTo>
                                <a:lnTo>
                                  <a:pt x="1149359" y="67353"/>
                                </a:lnTo>
                                <a:lnTo>
                                  <a:pt x="1142347" y="41141"/>
                                </a:lnTo>
                                <a:lnTo>
                                  <a:pt x="1123222" y="19732"/>
                                </a:lnTo>
                                <a:lnTo>
                                  <a:pt x="1094852" y="5294"/>
                                </a:lnTo>
                                <a:lnTo>
                                  <a:pt x="1060103" y="0"/>
                                </a:lnTo>
                                <a:close/>
                              </a:path>
                            </a:pathLst>
                          </a:custGeom>
                          <a:solidFill>
                            <a:srgbClr val="619DD1"/>
                          </a:solidFill>
                        </wps:spPr>
                        <wps:bodyPr wrap="square" lIns="0" tIns="0" rIns="0" bIns="0" rtlCol="0">
                          <a:prstTxWarp prst="textNoShape">
                            <a:avLst/>
                          </a:prstTxWarp>
                          <a:noAutofit/>
                        </wps:bodyPr>
                      </wps:wsp>
                      <wps:wsp>
                        <wps:cNvPr id="373" name="Graphic 373"/>
                        <wps:cNvSpPr/>
                        <wps:spPr>
                          <a:xfrm>
                            <a:off x="1767260" y="4918611"/>
                            <a:ext cx="851535" cy="220979"/>
                          </a:xfrm>
                          <a:custGeom>
                            <a:avLst/>
                            <a:gdLst/>
                            <a:ahLst/>
                            <a:cxnLst/>
                            <a:rect l="l" t="t" r="r" b="b"/>
                            <a:pathLst>
                              <a:path w="851535" h="220979">
                                <a:moveTo>
                                  <a:pt x="813496" y="0"/>
                                </a:moveTo>
                                <a:lnTo>
                                  <a:pt x="37670" y="0"/>
                                </a:lnTo>
                                <a:lnTo>
                                  <a:pt x="23006" y="2892"/>
                                </a:lnTo>
                                <a:lnTo>
                                  <a:pt x="11032" y="10780"/>
                                </a:lnTo>
                                <a:lnTo>
                                  <a:pt x="2960" y="22480"/>
                                </a:lnTo>
                                <a:lnTo>
                                  <a:pt x="0" y="36809"/>
                                </a:lnTo>
                                <a:lnTo>
                                  <a:pt x="0" y="184047"/>
                                </a:lnTo>
                                <a:lnTo>
                                  <a:pt x="2960" y="198375"/>
                                </a:lnTo>
                                <a:lnTo>
                                  <a:pt x="11032" y="210076"/>
                                </a:lnTo>
                                <a:lnTo>
                                  <a:pt x="23006" y="217964"/>
                                </a:lnTo>
                                <a:lnTo>
                                  <a:pt x="37670" y="220856"/>
                                </a:lnTo>
                                <a:lnTo>
                                  <a:pt x="813496" y="220856"/>
                                </a:lnTo>
                                <a:lnTo>
                                  <a:pt x="828165" y="217964"/>
                                </a:lnTo>
                                <a:lnTo>
                                  <a:pt x="840150" y="210076"/>
                                </a:lnTo>
                                <a:lnTo>
                                  <a:pt x="848234" y="198375"/>
                                </a:lnTo>
                                <a:lnTo>
                                  <a:pt x="851199" y="184047"/>
                                </a:lnTo>
                                <a:lnTo>
                                  <a:pt x="851199" y="36809"/>
                                </a:lnTo>
                                <a:lnTo>
                                  <a:pt x="848234" y="22480"/>
                                </a:lnTo>
                                <a:lnTo>
                                  <a:pt x="840150" y="10780"/>
                                </a:lnTo>
                                <a:lnTo>
                                  <a:pt x="828165" y="2892"/>
                                </a:lnTo>
                                <a:lnTo>
                                  <a:pt x="813496" y="0"/>
                                </a:lnTo>
                                <a:close/>
                              </a:path>
                            </a:pathLst>
                          </a:custGeom>
                          <a:solidFill>
                            <a:srgbClr val="FFFFFF"/>
                          </a:solidFill>
                        </wps:spPr>
                        <wps:bodyPr wrap="square" lIns="0" tIns="0" rIns="0" bIns="0" rtlCol="0">
                          <a:prstTxWarp prst="textNoShape">
                            <a:avLst/>
                          </a:prstTxWarp>
                          <a:noAutofit/>
                        </wps:bodyPr>
                      </wps:wsp>
                      <wps:wsp>
                        <wps:cNvPr id="374" name="Graphic 374"/>
                        <wps:cNvSpPr/>
                        <wps:spPr>
                          <a:xfrm>
                            <a:off x="1767260" y="4918611"/>
                            <a:ext cx="851535" cy="220979"/>
                          </a:xfrm>
                          <a:custGeom>
                            <a:avLst/>
                            <a:gdLst/>
                            <a:ahLst/>
                            <a:cxnLst/>
                            <a:rect l="l" t="t" r="r" b="b"/>
                            <a:pathLst>
                              <a:path w="851535" h="220979">
                                <a:moveTo>
                                  <a:pt x="0" y="36809"/>
                                </a:moveTo>
                                <a:lnTo>
                                  <a:pt x="2960" y="22480"/>
                                </a:lnTo>
                                <a:lnTo>
                                  <a:pt x="11032" y="10780"/>
                                </a:lnTo>
                                <a:lnTo>
                                  <a:pt x="23006" y="2892"/>
                                </a:lnTo>
                                <a:lnTo>
                                  <a:pt x="37670" y="0"/>
                                </a:lnTo>
                                <a:lnTo>
                                  <a:pt x="813496" y="0"/>
                                </a:lnTo>
                                <a:lnTo>
                                  <a:pt x="848234" y="22480"/>
                                </a:lnTo>
                                <a:lnTo>
                                  <a:pt x="851199" y="184047"/>
                                </a:lnTo>
                                <a:lnTo>
                                  <a:pt x="848234" y="198375"/>
                                </a:lnTo>
                                <a:lnTo>
                                  <a:pt x="840150" y="210076"/>
                                </a:lnTo>
                                <a:lnTo>
                                  <a:pt x="828165" y="217964"/>
                                </a:lnTo>
                                <a:lnTo>
                                  <a:pt x="813496" y="220856"/>
                                </a:lnTo>
                                <a:lnTo>
                                  <a:pt x="37670" y="220856"/>
                                </a:lnTo>
                                <a:lnTo>
                                  <a:pt x="2960" y="198375"/>
                                </a:lnTo>
                                <a:lnTo>
                                  <a:pt x="0" y="36809"/>
                                </a:lnTo>
                                <a:close/>
                              </a:path>
                            </a:pathLst>
                          </a:custGeom>
                          <a:ln w="6274">
                            <a:solidFill>
                              <a:srgbClr val="619DD1"/>
                            </a:solidFill>
                            <a:prstDash val="solid"/>
                          </a:ln>
                        </wps:spPr>
                        <wps:bodyPr wrap="square" lIns="0" tIns="0" rIns="0" bIns="0" rtlCol="0">
                          <a:prstTxWarp prst="textNoShape">
                            <a:avLst/>
                          </a:prstTxWarp>
                          <a:noAutofit/>
                        </wps:bodyPr>
                      </wps:wsp>
                      <pic:pic>
                        <pic:nvPicPr>
                          <pic:cNvPr id="375" name="Image 375"/>
                          <pic:cNvPicPr/>
                        </pic:nvPicPr>
                        <pic:blipFill>
                          <a:blip r:embed="rId84" cstate="print"/>
                          <a:stretch>
                            <a:fillRect/>
                          </a:stretch>
                        </pic:blipFill>
                        <pic:spPr>
                          <a:xfrm>
                            <a:off x="193487" y="4677777"/>
                            <a:ext cx="1235922" cy="1273449"/>
                          </a:xfrm>
                          <a:prstGeom prst="rect">
                            <a:avLst/>
                          </a:prstGeom>
                        </pic:spPr>
                      </pic:pic>
                      <wps:wsp>
                        <wps:cNvPr id="376" name="Graphic 376"/>
                        <wps:cNvSpPr/>
                        <wps:spPr>
                          <a:xfrm>
                            <a:off x="206712" y="4690706"/>
                            <a:ext cx="1195070" cy="1233805"/>
                          </a:xfrm>
                          <a:custGeom>
                            <a:avLst/>
                            <a:gdLst/>
                            <a:ahLst/>
                            <a:cxnLst/>
                            <a:rect l="l" t="t" r="r" b="b"/>
                            <a:pathLst>
                              <a:path w="1195070" h="1233805">
                                <a:moveTo>
                                  <a:pt x="0" y="194604"/>
                                </a:moveTo>
                                <a:lnTo>
                                  <a:pt x="5260" y="149981"/>
                                </a:lnTo>
                                <a:lnTo>
                                  <a:pt x="20244" y="109019"/>
                                </a:lnTo>
                                <a:lnTo>
                                  <a:pt x="43757" y="72886"/>
                                </a:lnTo>
                                <a:lnTo>
                                  <a:pt x="74601" y="42750"/>
                                </a:lnTo>
                                <a:lnTo>
                                  <a:pt x="111583" y="19778"/>
                                </a:lnTo>
                                <a:lnTo>
                                  <a:pt x="153506" y="5139"/>
                                </a:lnTo>
                                <a:lnTo>
                                  <a:pt x="199174" y="0"/>
                                </a:lnTo>
                                <a:lnTo>
                                  <a:pt x="995871" y="0"/>
                                </a:lnTo>
                                <a:lnTo>
                                  <a:pt x="1041540" y="5139"/>
                                </a:lnTo>
                                <a:lnTo>
                                  <a:pt x="1083465" y="19778"/>
                                </a:lnTo>
                                <a:lnTo>
                                  <a:pt x="1120449" y="42750"/>
                                </a:lnTo>
                                <a:lnTo>
                                  <a:pt x="1151297" y="72886"/>
                                </a:lnTo>
                                <a:lnTo>
                                  <a:pt x="1174813" y="109019"/>
                                </a:lnTo>
                                <a:lnTo>
                                  <a:pt x="1189800" y="149981"/>
                                </a:lnTo>
                                <a:lnTo>
                                  <a:pt x="1195061" y="194604"/>
                                </a:lnTo>
                                <a:lnTo>
                                  <a:pt x="1195061" y="1038872"/>
                                </a:lnTo>
                                <a:lnTo>
                                  <a:pt x="1189800" y="1083499"/>
                                </a:lnTo>
                                <a:lnTo>
                                  <a:pt x="1174813" y="1124466"/>
                                </a:lnTo>
                                <a:lnTo>
                                  <a:pt x="1151298" y="1160603"/>
                                </a:lnTo>
                                <a:lnTo>
                                  <a:pt x="1120449" y="1190744"/>
                                </a:lnTo>
                                <a:lnTo>
                                  <a:pt x="1083465" y="1213719"/>
                                </a:lnTo>
                                <a:lnTo>
                                  <a:pt x="1041540" y="1228361"/>
                                </a:lnTo>
                                <a:lnTo>
                                  <a:pt x="995871" y="1233501"/>
                                </a:lnTo>
                                <a:lnTo>
                                  <a:pt x="199174" y="1233501"/>
                                </a:lnTo>
                                <a:lnTo>
                                  <a:pt x="153506" y="1228361"/>
                                </a:lnTo>
                                <a:lnTo>
                                  <a:pt x="111583" y="1213719"/>
                                </a:lnTo>
                                <a:lnTo>
                                  <a:pt x="74601" y="1190744"/>
                                </a:lnTo>
                                <a:lnTo>
                                  <a:pt x="43757" y="1160603"/>
                                </a:lnTo>
                                <a:lnTo>
                                  <a:pt x="20244" y="1124466"/>
                                </a:lnTo>
                                <a:lnTo>
                                  <a:pt x="5260" y="1083499"/>
                                </a:lnTo>
                                <a:lnTo>
                                  <a:pt x="0" y="1038872"/>
                                </a:lnTo>
                                <a:lnTo>
                                  <a:pt x="0" y="194604"/>
                                </a:lnTo>
                                <a:close/>
                              </a:path>
                            </a:pathLst>
                          </a:custGeom>
                          <a:ln w="6341">
                            <a:solidFill>
                              <a:srgbClr val="3477B1"/>
                            </a:solidFill>
                            <a:prstDash val="solid"/>
                          </a:ln>
                        </wps:spPr>
                        <wps:bodyPr wrap="square" lIns="0" tIns="0" rIns="0" bIns="0" rtlCol="0">
                          <a:prstTxWarp prst="textNoShape">
                            <a:avLst/>
                          </a:prstTxWarp>
                          <a:noAutofit/>
                        </wps:bodyPr>
                      </wps:wsp>
                      <pic:pic>
                        <pic:nvPicPr>
                          <pic:cNvPr id="377" name="Image 377"/>
                          <pic:cNvPicPr/>
                        </pic:nvPicPr>
                        <pic:blipFill>
                          <a:blip r:embed="rId47" cstate="print"/>
                          <a:stretch>
                            <a:fillRect/>
                          </a:stretch>
                        </pic:blipFill>
                        <pic:spPr>
                          <a:xfrm>
                            <a:off x="229555" y="4736506"/>
                            <a:ext cx="1156573" cy="413518"/>
                          </a:xfrm>
                          <a:prstGeom prst="rect">
                            <a:avLst/>
                          </a:prstGeom>
                        </pic:spPr>
                      </pic:pic>
                      <pic:pic>
                        <pic:nvPicPr>
                          <pic:cNvPr id="378" name="Image 378"/>
                          <pic:cNvPicPr/>
                        </pic:nvPicPr>
                        <pic:blipFill>
                          <a:blip r:embed="rId85" cstate="print"/>
                          <a:stretch>
                            <a:fillRect/>
                          </a:stretch>
                        </pic:blipFill>
                        <pic:spPr>
                          <a:xfrm>
                            <a:off x="231959" y="4745904"/>
                            <a:ext cx="1149359" cy="199710"/>
                          </a:xfrm>
                          <a:prstGeom prst="rect">
                            <a:avLst/>
                          </a:prstGeom>
                        </pic:spPr>
                      </pic:pic>
                      <wps:wsp>
                        <wps:cNvPr id="379" name="Graphic 379"/>
                        <wps:cNvSpPr/>
                        <wps:spPr>
                          <a:xfrm>
                            <a:off x="243982" y="4745904"/>
                            <a:ext cx="1127760" cy="385445"/>
                          </a:xfrm>
                          <a:custGeom>
                            <a:avLst/>
                            <a:gdLst/>
                            <a:ahLst/>
                            <a:cxnLst/>
                            <a:rect l="l" t="t" r="r" b="b"/>
                            <a:pathLst>
                              <a:path w="1127760" h="385445">
                                <a:moveTo>
                                  <a:pt x="1040162" y="0"/>
                                </a:moveTo>
                                <a:lnTo>
                                  <a:pt x="87556" y="0"/>
                                </a:lnTo>
                                <a:lnTo>
                                  <a:pt x="53478" y="5047"/>
                                </a:lnTo>
                                <a:lnTo>
                                  <a:pt x="25646" y="18811"/>
                                </a:lnTo>
                                <a:lnTo>
                                  <a:pt x="6881" y="39225"/>
                                </a:lnTo>
                                <a:lnTo>
                                  <a:pt x="0" y="64220"/>
                                </a:lnTo>
                                <a:lnTo>
                                  <a:pt x="0" y="321103"/>
                                </a:lnTo>
                                <a:lnTo>
                                  <a:pt x="6881" y="346098"/>
                                </a:lnTo>
                                <a:lnTo>
                                  <a:pt x="25646" y="366512"/>
                                </a:lnTo>
                                <a:lnTo>
                                  <a:pt x="53478" y="380276"/>
                                </a:lnTo>
                                <a:lnTo>
                                  <a:pt x="87556" y="385324"/>
                                </a:lnTo>
                                <a:lnTo>
                                  <a:pt x="1040162" y="385324"/>
                                </a:lnTo>
                                <a:lnTo>
                                  <a:pt x="1074239" y="380276"/>
                                </a:lnTo>
                                <a:lnTo>
                                  <a:pt x="1102070" y="366512"/>
                                </a:lnTo>
                                <a:lnTo>
                                  <a:pt x="1120836" y="346098"/>
                                </a:lnTo>
                                <a:lnTo>
                                  <a:pt x="1127718" y="321103"/>
                                </a:lnTo>
                                <a:lnTo>
                                  <a:pt x="1127718" y="64220"/>
                                </a:lnTo>
                                <a:lnTo>
                                  <a:pt x="1120836" y="39225"/>
                                </a:lnTo>
                                <a:lnTo>
                                  <a:pt x="1102070" y="18811"/>
                                </a:lnTo>
                                <a:lnTo>
                                  <a:pt x="1074239" y="5047"/>
                                </a:lnTo>
                                <a:lnTo>
                                  <a:pt x="1040162" y="0"/>
                                </a:lnTo>
                                <a:close/>
                              </a:path>
                            </a:pathLst>
                          </a:custGeom>
                          <a:solidFill>
                            <a:srgbClr val="619DD1"/>
                          </a:solidFill>
                        </wps:spPr>
                        <wps:bodyPr wrap="square" lIns="0" tIns="0" rIns="0" bIns="0" rtlCol="0">
                          <a:prstTxWarp prst="textNoShape">
                            <a:avLst/>
                          </a:prstTxWarp>
                          <a:noAutofit/>
                        </wps:bodyPr>
                      </wps:wsp>
                      <wps:wsp>
                        <wps:cNvPr id="380" name="Graphic 380"/>
                        <wps:cNvSpPr/>
                        <wps:spPr>
                          <a:xfrm>
                            <a:off x="519315" y="4913912"/>
                            <a:ext cx="848994" cy="220979"/>
                          </a:xfrm>
                          <a:custGeom>
                            <a:avLst/>
                            <a:gdLst/>
                            <a:ahLst/>
                            <a:cxnLst/>
                            <a:rect l="l" t="t" r="r" b="b"/>
                            <a:pathLst>
                              <a:path w="848994" h="220979">
                                <a:moveTo>
                                  <a:pt x="811091" y="0"/>
                                </a:moveTo>
                                <a:lnTo>
                                  <a:pt x="37670" y="0"/>
                                </a:lnTo>
                                <a:lnTo>
                                  <a:pt x="23006" y="2892"/>
                                </a:lnTo>
                                <a:lnTo>
                                  <a:pt x="11032" y="10780"/>
                                </a:lnTo>
                                <a:lnTo>
                                  <a:pt x="2960" y="22480"/>
                                </a:lnTo>
                                <a:lnTo>
                                  <a:pt x="0" y="36809"/>
                                </a:lnTo>
                                <a:lnTo>
                                  <a:pt x="0" y="184047"/>
                                </a:lnTo>
                                <a:lnTo>
                                  <a:pt x="2960" y="198375"/>
                                </a:lnTo>
                                <a:lnTo>
                                  <a:pt x="11032" y="210076"/>
                                </a:lnTo>
                                <a:lnTo>
                                  <a:pt x="23006" y="217964"/>
                                </a:lnTo>
                                <a:lnTo>
                                  <a:pt x="37670" y="220856"/>
                                </a:lnTo>
                                <a:lnTo>
                                  <a:pt x="811091" y="220856"/>
                                </a:lnTo>
                                <a:lnTo>
                                  <a:pt x="825760" y="217964"/>
                                </a:lnTo>
                                <a:lnTo>
                                  <a:pt x="837746" y="210076"/>
                                </a:lnTo>
                                <a:lnTo>
                                  <a:pt x="845829" y="198375"/>
                                </a:lnTo>
                                <a:lnTo>
                                  <a:pt x="848794" y="184047"/>
                                </a:lnTo>
                                <a:lnTo>
                                  <a:pt x="848794" y="36809"/>
                                </a:lnTo>
                                <a:lnTo>
                                  <a:pt x="845829" y="22480"/>
                                </a:lnTo>
                                <a:lnTo>
                                  <a:pt x="837746" y="10780"/>
                                </a:lnTo>
                                <a:lnTo>
                                  <a:pt x="825760" y="2892"/>
                                </a:lnTo>
                                <a:lnTo>
                                  <a:pt x="811091" y="0"/>
                                </a:lnTo>
                                <a:close/>
                              </a:path>
                            </a:pathLst>
                          </a:custGeom>
                          <a:solidFill>
                            <a:srgbClr val="FFFFFF"/>
                          </a:solidFill>
                        </wps:spPr>
                        <wps:bodyPr wrap="square" lIns="0" tIns="0" rIns="0" bIns="0" rtlCol="0">
                          <a:prstTxWarp prst="textNoShape">
                            <a:avLst/>
                          </a:prstTxWarp>
                          <a:noAutofit/>
                        </wps:bodyPr>
                      </wps:wsp>
                      <wps:wsp>
                        <wps:cNvPr id="381" name="Graphic 381"/>
                        <wps:cNvSpPr/>
                        <wps:spPr>
                          <a:xfrm>
                            <a:off x="519315" y="4913912"/>
                            <a:ext cx="848994" cy="220979"/>
                          </a:xfrm>
                          <a:custGeom>
                            <a:avLst/>
                            <a:gdLst/>
                            <a:ahLst/>
                            <a:cxnLst/>
                            <a:rect l="l" t="t" r="r" b="b"/>
                            <a:pathLst>
                              <a:path w="848994" h="220979">
                                <a:moveTo>
                                  <a:pt x="0" y="36809"/>
                                </a:moveTo>
                                <a:lnTo>
                                  <a:pt x="2960" y="22480"/>
                                </a:lnTo>
                                <a:lnTo>
                                  <a:pt x="11032" y="10780"/>
                                </a:lnTo>
                                <a:lnTo>
                                  <a:pt x="23006" y="2892"/>
                                </a:lnTo>
                                <a:lnTo>
                                  <a:pt x="37670" y="0"/>
                                </a:lnTo>
                                <a:lnTo>
                                  <a:pt x="811091" y="0"/>
                                </a:lnTo>
                                <a:lnTo>
                                  <a:pt x="845829" y="22480"/>
                                </a:lnTo>
                                <a:lnTo>
                                  <a:pt x="848794" y="184047"/>
                                </a:lnTo>
                                <a:lnTo>
                                  <a:pt x="845829" y="198375"/>
                                </a:lnTo>
                                <a:lnTo>
                                  <a:pt x="837746" y="210076"/>
                                </a:lnTo>
                                <a:lnTo>
                                  <a:pt x="825760" y="217964"/>
                                </a:lnTo>
                                <a:lnTo>
                                  <a:pt x="811091" y="220856"/>
                                </a:lnTo>
                                <a:lnTo>
                                  <a:pt x="37670" y="220856"/>
                                </a:lnTo>
                                <a:lnTo>
                                  <a:pt x="2960" y="198375"/>
                                </a:lnTo>
                                <a:lnTo>
                                  <a:pt x="0" y="36809"/>
                                </a:lnTo>
                                <a:close/>
                              </a:path>
                            </a:pathLst>
                          </a:custGeom>
                          <a:ln w="6274">
                            <a:solidFill>
                              <a:srgbClr val="619DD1"/>
                            </a:solidFill>
                            <a:prstDash val="solid"/>
                          </a:ln>
                        </wps:spPr>
                        <wps:bodyPr wrap="square" lIns="0" tIns="0" rIns="0" bIns="0" rtlCol="0">
                          <a:prstTxWarp prst="textNoShape">
                            <a:avLst/>
                          </a:prstTxWarp>
                          <a:noAutofit/>
                        </wps:bodyPr>
                      </wps:wsp>
                      <wps:wsp>
                        <wps:cNvPr id="382" name="Graphic 382"/>
                        <wps:cNvSpPr/>
                        <wps:spPr>
                          <a:xfrm>
                            <a:off x="781600" y="5238368"/>
                            <a:ext cx="287020" cy="306070"/>
                          </a:xfrm>
                          <a:custGeom>
                            <a:avLst/>
                            <a:gdLst/>
                            <a:ahLst/>
                            <a:cxnLst/>
                            <a:rect l="l" t="t" r="r" b="b"/>
                            <a:pathLst>
                              <a:path w="287020" h="306070">
                                <a:moveTo>
                                  <a:pt x="0" y="0"/>
                                </a:moveTo>
                                <a:lnTo>
                                  <a:pt x="0" y="280096"/>
                                </a:lnTo>
                                <a:lnTo>
                                  <a:pt x="285464" y="305628"/>
                                </a:lnTo>
                                <a:lnTo>
                                  <a:pt x="285987" y="299255"/>
                                </a:lnTo>
                                <a:lnTo>
                                  <a:pt x="286358" y="292873"/>
                                </a:lnTo>
                                <a:lnTo>
                                  <a:pt x="286577" y="286486"/>
                                </a:lnTo>
                                <a:lnTo>
                                  <a:pt x="286650" y="280096"/>
                                </a:lnTo>
                                <a:lnTo>
                                  <a:pt x="282898" y="234663"/>
                                </a:lnTo>
                                <a:lnTo>
                                  <a:pt x="272037" y="191563"/>
                                </a:lnTo>
                                <a:lnTo>
                                  <a:pt x="254655" y="151375"/>
                                </a:lnTo>
                                <a:lnTo>
                                  <a:pt x="231343" y="114674"/>
                                </a:lnTo>
                                <a:lnTo>
                                  <a:pt x="202692" y="82038"/>
                                </a:lnTo>
                                <a:lnTo>
                                  <a:pt x="169292" y="54042"/>
                                </a:lnTo>
                                <a:lnTo>
                                  <a:pt x="131732" y="31263"/>
                                </a:lnTo>
                                <a:lnTo>
                                  <a:pt x="90604" y="14279"/>
                                </a:lnTo>
                                <a:lnTo>
                                  <a:pt x="46496" y="3665"/>
                                </a:lnTo>
                                <a:lnTo>
                                  <a:pt x="0" y="0"/>
                                </a:lnTo>
                                <a:close/>
                              </a:path>
                            </a:pathLst>
                          </a:custGeom>
                          <a:solidFill>
                            <a:srgbClr val="4966AC"/>
                          </a:solidFill>
                        </wps:spPr>
                        <wps:bodyPr wrap="square" lIns="0" tIns="0" rIns="0" bIns="0" rtlCol="0">
                          <a:prstTxWarp prst="textNoShape">
                            <a:avLst/>
                          </a:prstTxWarp>
                          <a:noAutofit/>
                        </wps:bodyPr>
                      </wps:wsp>
                      <wps:wsp>
                        <wps:cNvPr id="383" name="Graphic 383"/>
                        <wps:cNvSpPr/>
                        <wps:spPr>
                          <a:xfrm>
                            <a:off x="627839" y="5540424"/>
                            <a:ext cx="435609" cy="280035"/>
                          </a:xfrm>
                          <a:custGeom>
                            <a:avLst/>
                            <a:gdLst/>
                            <a:ahLst/>
                            <a:cxnLst/>
                            <a:rect l="l" t="t" r="r" b="b"/>
                            <a:pathLst>
                              <a:path w="435609" h="280035">
                                <a:moveTo>
                                  <a:pt x="149625" y="0"/>
                                </a:moveTo>
                                <a:lnTo>
                                  <a:pt x="0" y="238910"/>
                                </a:lnTo>
                                <a:lnTo>
                                  <a:pt x="28953" y="254065"/>
                                </a:lnTo>
                                <a:lnTo>
                                  <a:pt x="59391" y="265851"/>
                                </a:lnTo>
                                <a:lnTo>
                                  <a:pt x="91007" y="274170"/>
                                </a:lnTo>
                                <a:lnTo>
                                  <a:pt x="123496" y="278921"/>
                                </a:lnTo>
                                <a:lnTo>
                                  <a:pt x="170136" y="279411"/>
                                </a:lnTo>
                                <a:lnTo>
                                  <a:pt x="215047" y="272769"/>
                                </a:lnTo>
                                <a:lnTo>
                                  <a:pt x="257585" y="259518"/>
                                </a:lnTo>
                                <a:lnTo>
                                  <a:pt x="297111" y="240180"/>
                                </a:lnTo>
                                <a:lnTo>
                                  <a:pt x="332981" y="215276"/>
                                </a:lnTo>
                                <a:lnTo>
                                  <a:pt x="364555" y="185328"/>
                                </a:lnTo>
                                <a:lnTo>
                                  <a:pt x="391191" y="150858"/>
                                </a:lnTo>
                                <a:lnTo>
                                  <a:pt x="412248" y="112387"/>
                                </a:lnTo>
                                <a:lnTo>
                                  <a:pt x="427084" y="70437"/>
                                </a:lnTo>
                                <a:lnTo>
                                  <a:pt x="435057" y="25531"/>
                                </a:lnTo>
                                <a:lnTo>
                                  <a:pt x="149625" y="0"/>
                                </a:lnTo>
                                <a:close/>
                              </a:path>
                            </a:pathLst>
                          </a:custGeom>
                          <a:solidFill>
                            <a:srgbClr val="297ED4"/>
                          </a:solidFill>
                        </wps:spPr>
                        <wps:bodyPr wrap="square" lIns="0" tIns="0" rIns="0" bIns="0" rtlCol="0">
                          <a:prstTxWarp prst="textNoShape">
                            <a:avLst/>
                          </a:prstTxWarp>
                          <a:noAutofit/>
                        </wps:bodyPr>
                      </wps:wsp>
                      <wps:wsp>
                        <wps:cNvPr id="384" name="Graphic 384"/>
                        <wps:cNvSpPr/>
                        <wps:spPr>
                          <a:xfrm>
                            <a:off x="471252" y="5244007"/>
                            <a:ext cx="286385" cy="519430"/>
                          </a:xfrm>
                          <a:custGeom>
                            <a:avLst/>
                            <a:gdLst/>
                            <a:ahLst/>
                            <a:cxnLst/>
                            <a:rect l="l" t="t" r="r" b="b"/>
                            <a:pathLst>
                              <a:path w="286385" h="519430">
                                <a:moveTo>
                                  <a:pt x="285982" y="0"/>
                                </a:moveTo>
                                <a:lnTo>
                                  <a:pt x="236833" y="4142"/>
                                </a:lnTo>
                                <a:lnTo>
                                  <a:pt x="189807" y="16230"/>
                                </a:lnTo>
                                <a:lnTo>
                                  <a:pt x="145831" y="35759"/>
                                </a:lnTo>
                                <a:lnTo>
                                  <a:pt x="105830" y="62222"/>
                                </a:lnTo>
                                <a:lnTo>
                                  <a:pt x="70730" y="95112"/>
                                </a:lnTo>
                                <a:lnTo>
                                  <a:pt x="41459" y="133923"/>
                                </a:lnTo>
                                <a:lnTo>
                                  <a:pt x="20393" y="174582"/>
                                </a:lnTo>
                                <a:lnTo>
                                  <a:pt x="6639" y="216878"/>
                                </a:lnTo>
                                <a:lnTo>
                                  <a:pt x="0" y="260018"/>
                                </a:lnTo>
                                <a:lnTo>
                                  <a:pt x="281" y="303209"/>
                                </a:lnTo>
                                <a:lnTo>
                                  <a:pt x="7286" y="345658"/>
                                </a:lnTo>
                                <a:lnTo>
                                  <a:pt x="20822" y="386572"/>
                                </a:lnTo>
                                <a:lnTo>
                                  <a:pt x="40692" y="425157"/>
                                </a:lnTo>
                                <a:lnTo>
                                  <a:pt x="66702" y="460621"/>
                                </a:lnTo>
                                <a:lnTo>
                                  <a:pt x="98655" y="492171"/>
                                </a:lnTo>
                                <a:lnTo>
                                  <a:pt x="136357" y="519013"/>
                                </a:lnTo>
                                <a:lnTo>
                                  <a:pt x="285982" y="280096"/>
                                </a:lnTo>
                                <a:lnTo>
                                  <a:pt x="285982" y="0"/>
                                </a:lnTo>
                                <a:close/>
                              </a:path>
                            </a:pathLst>
                          </a:custGeom>
                          <a:solidFill>
                            <a:srgbClr val="5AA1AD"/>
                          </a:solidFill>
                        </wps:spPr>
                        <wps:bodyPr wrap="square" lIns="0" tIns="0" rIns="0" bIns="0" rtlCol="0">
                          <a:prstTxWarp prst="textNoShape">
                            <a:avLst/>
                          </a:prstTxWarp>
                          <a:noAutofit/>
                        </wps:bodyPr>
                      </wps:wsp>
                      <wps:wsp>
                        <wps:cNvPr id="385" name="Graphic 385"/>
                        <wps:cNvSpPr/>
                        <wps:spPr>
                          <a:xfrm>
                            <a:off x="439966" y="5329780"/>
                            <a:ext cx="637540" cy="461009"/>
                          </a:xfrm>
                          <a:custGeom>
                            <a:avLst/>
                            <a:gdLst/>
                            <a:ahLst/>
                            <a:cxnLst/>
                            <a:rect l="l" t="t" r="r" b="b"/>
                            <a:pathLst>
                              <a:path w="637540" h="461009">
                                <a:moveTo>
                                  <a:pt x="553039" y="0"/>
                                </a:moveTo>
                                <a:lnTo>
                                  <a:pt x="622770" y="7048"/>
                                </a:lnTo>
                                <a:lnTo>
                                  <a:pt x="637197" y="7048"/>
                                </a:lnTo>
                              </a:path>
                              <a:path w="637540" h="461009">
                                <a:moveTo>
                                  <a:pt x="466476" y="460503"/>
                                </a:moveTo>
                                <a:lnTo>
                                  <a:pt x="617961" y="439357"/>
                                </a:lnTo>
                                <a:lnTo>
                                  <a:pt x="632388" y="439357"/>
                                </a:lnTo>
                              </a:path>
                              <a:path w="637540" h="461009">
                                <a:moveTo>
                                  <a:pt x="40876" y="117476"/>
                                </a:moveTo>
                                <a:lnTo>
                                  <a:pt x="14427" y="98680"/>
                                </a:lnTo>
                                <a:lnTo>
                                  <a:pt x="0" y="98680"/>
                                </a:lnTo>
                              </a:path>
                            </a:pathLst>
                          </a:custGeom>
                          <a:ln w="2377">
                            <a:solidFill>
                              <a:srgbClr val="A6A6A6"/>
                            </a:solidFill>
                            <a:prstDash val="solid"/>
                          </a:ln>
                        </wps:spPr>
                        <wps:bodyPr wrap="square" lIns="0" tIns="0" rIns="0" bIns="0" rtlCol="0">
                          <a:prstTxWarp prst="textNoShape">
                            <a:avLst/>
                          </a:prstTxWarp>
                          <a:noAutofit/>
                        </wps:bodyPr>
                      </wps:wsp>
                      <wps:wsp>
                        <wps:cNvPr id="386" name="Textbox 386"/>
                        <wps:cNvSpPr txBox="1"/>
                        <wps:spPr>
                          <a:xfrm>
                            <a:off x="1934614" y="117318"/>
                            <a:ext cx="1592580" cy="486409"/>
                          </a:xfrm>
                          <a:prstGeom prst="rect">
                            <a:avLst/>
                          </a:prstGeom>
                        </wps:spPr>
                        <wps:txbx>
                          <w:txbxContent>
                            <w:p>
                              <w:pPr>
                                <w:spacing w:line="254" w:lineRule="auto" w:before="0"/>
                                <w:ind w:left="0" w:right="44" w:firstLine="0"/>
                                <w:jc w:val="center"/>
                                <w:rPr>
                                  <w:b/>
                                  <w:sz w:val="13"/>
                                </w:rPr>
                              </w:pPr>
                              <w:r>
                                <w:rPr>
                                  <w:b/>
                                  <w:color w:val="FFFFFF"/>
                                  <w:w w:val="105"/>
                                  <w:sz w:val="13"/>
                                </w:rPr>
                                <w:t>ΣΥΝΟΛΟ ΔΑΝΕΙΩΝ: 171,9 δ</w:t>
                              </w:r>
                              <w:r>
                                <w:rPr>
                                  <w:b/>
                                  <w:smallCaps/>
                                  <w:color w:val="FFFFFF"/>
                                  <w:w w:val="105"/>
                                  <w:sz w:val="13"/>
                                </w:rPr>
                                <w:t>ι</w:t>
                              </w:r>
                              <w:r>
                                <w:rPr>
                                  <w:b/>
                                  <w:smallCaps w:val="0"/>
                                  <w:color w:val="FFFFFF"/>
                                  <w:w w:val="105"/>
                                  <w:sz w:val="13"/>
                                </w:rPr>
                                <w:t>σεκ. ευρώ</w:t>
                              </w:r>
                              <w:r>
                                <w:rPr>
                                  <w:b/>
                                  <w:smallCaps w:val="0"/>
                                  <w:color w:val="FFFFFF"/>
                                  <w:spacing w:val="40"/>
                                  <w:w w:val="105"/>
                                  <w:sz w:val="13"/>
                                </w:rPr>
                                <w:t> </w:t>
                              </w:r>
                              <w:r>
                                <w:rPr>
                                  <w:b/>
                                  <w:smallCaps w:val="0"/>
                                  <w:color w:val="FFFFFF"/>
                                  <w:w w:val="105"/>
                                  <w:sz w:val="13"/>
                                </w:rPr>
                                <w:t>Δ(2024-2025):</w:t>
                              </w:r>
                              <w:r>
                                <w:rPr>
                                  <w:b/>
                                  <w:smallCaps w:val="0"/>
                                  <w:color w:val="FFFFFF"/>
                                  <w:spacing w:val="-9"/>
                                  <w:w w:val="105"/>
                                  <w:sz w:val="13"/>
                                </w:rPr>
                                <w:t> </w:t>
                              </w:r>
                              <w:r>
                                <w:rPr>
                                  <w:b/>
                                  <w:smallCaps w:val="0"/>
                                  <w:color w:val="FFFFFF"/>
                                  <w:w w:val="105"/>
                                  <w:sz w:val="13"/>
                                </w:rPr>
                                <w:t>8,2%</w:t>
                              </w:r>
                            </w:p>
                            <w:p>
                              <w:pPr>
                                <w:spacing w:before="41"/>
                                <w:ind w:left="889" w:right="0" w:firstLine="0"/>
                                <w:jc w:val="center"/>
                                <w:rPr>
                                  <w:b/>
                                  <w:sz w:val="12"/>
                                </w:rPr>
                              </w:pPr>
                              <w:r>
                                <w:rPr>
                                  <w:b/>
                                  <w:color w:val="FFFFFF"/>
                                  <w:sz w:val="12"/>
                                </w:rPr>
                                <w:t>Ποσοστό</w:t>
                              </w:r>
                              <w:r>
                                <w:rPr>
                                  <w:b/>
                                  <w:color w:val="FFFFFF"/>
                                  <w:spacing w:val="-8"/>
                                  <w:sz w:val="12"/>
                                </w:rPr>
                                <w:t> </w:t>
                              </w:r>
                              <w:r>
                                <w:rPr>
                                  <w:b/>
                                  <w:color w:val="FFFFFF"/>
                                  <w:sz w:val="12"/>
                                </w:rPr>
                                <w:t>μη</w:t>
                              </w:r>
                              <w:r>
                                <w:rPr>
                                  <w:b/>
                                  <w:color w:val="FFFFFF"/>
                                  <w:spacing w:val="-8"/>
                                  <w:sz w:val="12"/>
                                </w:rPr>
                                <w:t> </w:t>
                              </w:r>
                              <w:r>
                                <w:rPr>
                                  <w:b/>
                                  <w:color w:val="FFFFFF"/>
                                  <w:sz w:val="12"/>
                                </w:rPr>
                                <w:t>εξυπηρετούμενων</w:t>
                              </w:r>
                              <w:r>
                                <w:rPr>
                                  <w:b/>
                                  <w:color w:val="FFFFFF"/>
                                  <w:spacing w:val="40"/>
                                  <w:sz w:val="12"/>
                                </w:rPr>
                                <w:t> </w:t>
                              </w:r>
                              <w:r>
                                <w:rPr>
                                  <w:b/>
                                  <w:color w:val="FFFFFF"/>
                                  <w:sz w:val="12"/>
                                </w:rPr>
                                <w:t>δανείων:</w:t>
                              </w:r>
                              <w:r>
                                <w:rPr>
                                  <w:b/>
                                  <w:color w:val="FFFFFF"/>
                                  <w:spacing w:val="-8"/>
                                  <w:sz w:val="12"/>
                                </w:rPr>
                                <w:t> </w:t>
                              </w:r>
                              <w:r>
                                <w:rPr>
                                  <w:b/>
                                  <w:color w:val="FFFFFF"/>
                                  <w:sz w:val="12"/>
                                </w:rPr>
                                <w:t>3,3%</w:t>
                              </w:r>
                            </w:p>
                            <w:p>
                              <w:pPr>
                                <w:spacing w:line="132" w:lineRule="exact" w:before="0"/>
                                <w:ind w:left="882" w:right="0" w:firstLine="0"/>
                                <w:jc w:val="center"/>
                                <w:rPr>
                                  <w:b/>
                                  <w:sz w:val="12"/>
                                </w:rPr>
                              </w:pPr>
                              <w:r>
                                <w:rPr>
                                  <w:b/>
                                  <w:color w:val="FFFFFF"/>
                                  <w:sz w:val="12"/>
                                </w:rPr>
                                <w:t>Δ(2024-2025):</w:t>
                              </w:r>
                              <w:r>
                                <w:rPr>
                                  <w:b/>
                                  <w:color w:val="FFFFFF"/>
                                  <w:spacing w:val="-1"/>
                                  <w:sz w:val="12"/>
                                </w:rPr>
                                <w:t> </w:t>
                              </w:r>
                              <w:r>
                                <w:rPr>
                                  <w:b/>
                                  <w:color w:val="FFFFFF"/>
                                  <w:sz w:val="12"/>
                                </w:rPr>
                                <w:t>-</w:t>
                              </w:r>
                              <w:r>
                                <w:rPr>
                                  <w:b/>
                                  <w:color w:val="FFFFFF"/>
                                  <w:spacing w:val="-4"/>
                                  <w:sz w:val="12"/>
                                </w:rPr>
                                <w:t>5,2%</w:t>
                              </w:r>
                            </w:p>
                          </w:txbxContent>
                        </wps:txbx>
                        <wps:bodyPr wrap="square" lIns="0" tIns="0" rIns="0" bIns="0" rtlCol="0">
                          <a:noAutofit/>
                        </wps:bodyPr>
                      </wps:wsp>
                      <wps:wsp>
                        <wps:cNvPr id="387" name="Textbox 387"/>
                        <wps:cNvSpPr txBox="1"/>
                        <wps:spPr>
                          <a:xfrm>
                            <a:off x="1869917" y="712430"/>
                            <a:ext cx="247650" cy="315595"/>
                          </a:xfrm>
                          <a:prstGeom prst="rect">
                            <a:avLst/>
                          </a:prstGeom>
                        </wps:spPr>
                        <wps:txbx>
                          <w:txbxContent>
                            <w:p>
                              <w:pPr>
                                <w:spacing w:line="261" w:lineRule="auto" w:before="2"/>
                                <w:ind w:left="0" w:right="18" w:hanging="8"/>
                                <w:jc w:val="center"/>
                                <w:rPr>
                                  <w:b/>
                                  <w:sz w:val="10"/>
                                </w:rPr>
                              </w:pPr>
                              <w:r>
                                <w:rPr>
                                  <w:b/>
                                  <w:color w:val="404040"/>
                                  <w:spacing w:val="-4"/>
                                  <w:w w:val="110"/>
                                  <w:sz w:val="10"/>
                                </w:rPr>
                                <w:t>29%</w:t>
                              </w:r>
                              <w:r>
                                <w:rPr>
                                  <w:b/>
                                  <w:color w:val="404040"/>
                                  <w:spacing w:val="40"/>
                                  <w:w w:val="110"/>
                                  <w:sz w:val="10"/>
                                </w:rPr>
                                <w:t> </w:t>
                              </w:r>
                              <w:r>
                                <w:rPr>
                                  <w:b/>
                                  <w:color w:val="404040"/>
                                  <w:w w:val="110"/>
                                  <w:sz w:val="10"/>
                                </w:rPr>
                                <w:t>Δ(2024-</w:t>
                              </w:r>
                              <w:r>
                                <w:rPr>
                                  <w:b/>
                                  <w:color w:val="404040"/>
                                  <w:spacing w:val="-2"/>
                                  <w:w w:val="110"/>
                                  <w:sz w:val="10"/>
                                </w:rPr>
                                <w:t>2025):</w:t>
                              </w:r>
                            </w:p>
                            <w:p>
                              <w:pPr>
                                <w:spacing w:before="1"/>
                                <w:ind w:left="0" w:right="24" w:firstLine="0"/>
                                <w:jc w:val="center"/>
                                <w:rPr>
                                  <w:b/>
                                  <w:sz w:val="10"/>
                                </w:rPr>
                              </w:pPr>
                              <w:r>
                                <w:rPr>
                                  <w:b/>
                                  <w:color w:val="404040"/>
                                  <w:spacing w:val="-4"/>
                                  <w:w w:val="110"/>
                                  <w:sz w:val="10"/>
                                </w:rPr>
                                <w:t>5,8%</w:t>
                              </w:r>
                            </w:p>
                          </w:txbxContent>
                        </wps:txbx>
                        <wps:bodyPr wrap="square" lIns="0" tIns="0" rIns="0" bIns="0" rtlCol="0">
                          <a:noAutofit/>
                        </wps:bodyPr>
                      </wps:wsp>
                      <wps:wsp>
                        <wps:cNvPr id="388" name="Textbox 388"/>
                        <wps:cNvSpPr txBox="1"/>
                        <wps:spPr>
                          <a:xfrm>
                            <a:off x="3442151" y="779244"/>
                            <a:ext cx="247650" cy="315595"/>
                          </a:xfrm>
                          <a:prstGeom prst="rect">
                            <a:avLst/>
                          </a:prstGeom>
                        </wps:spPr>
                        <wps:txbx>
                          <w:txbxContent>
                            <w:p>
                              <w:pPr>
                                <w:spacing w:line="261" w:lineRule="auto" w:before="2"/>
                                <w:ind w:left="0" w:right="18" w:hanging="3"/>
                                <w:jc w:val="center"/>
                                <w:rPr>
                                  <w:b/>
                                  <w:sz w:val="10"/>
                                </w:rPr>
                              </w:pPr>
                              <w:r>
                                <w:rPr>
                                  <w:b/>
                                  <w:color w:val="404040"/>
                                  <w:spacing w:val="-4"/>
                                  <w:w w:val="110"/>
                                  <w:sz w:val="10"/>
                                </w:rPr>
                                <w:t>34%</w:t>
                              </w:r>
                              <w:r>
                                <w:rPr>
                                  <w:b/>
                                  <w:color w:val="404040"/>
                                  <w:spacing w:val="40"/>
                                  <w:w w:val="110"/>
                                  <w:sz w:val="10"/>
                                </w:rPr>
                                <w:t> </w:t>
                              </w:r>
                              <w:r>
                                <w:rPr>
                                  <w:b/>
                                  <w:color w:val="404040"/>
                                  <w:w w:val="110"/>
                                  <w:sz w:val="10"/>
                                </w:rPr>
                                <w:t>Δ(2024-</w:t>
                              </w:r>
                              <w:r>
                                <w:rPr>
                                  <w:b/>
                                  <w:color w:val="404040"/>
                                  <w:spacing w:val="-2"/>
                                  <w:w w:val="110"/>
                                  <w:sz w:val="10"/>
                                </w:rPr>
                                <w:t>2025):</w:t>
                              </w:r>
                            </w:p>
                            <w:p>
                              <w:pPr>
                                <w:spacing w:before="2"/>
                                <w:ind w:left="0" w:right="24" w:firstLine="0"/>
                                <w:jc w:val="center"/>
                                <w:rPr>
                                  <w:b/>
                                  <w:sz w:val="10"/>
                                </w:rPr>
                              </w:pPr>
                              <w:r>
                                <w:rPr>
                                  <w:b/>
                                  <w:color w:val="404040"/>
                                  <w:w w:val="105"/>
                                  <w:sz w:val="10"/>
                                </w:rPr>
                                <w:t>-</w:t>
                              </w:r>
                              <w:r>
                                <w:rPr>
                                  <w:b/>
                                  <w:color w:val="404040"/>
                                  <w:spacing w:val="-4"/>
                                  <w:w w:val="110"/>
                                  <w:sz w:val="10"/>
                                </w:rPr>
                                <w:t>3,4%</w:t>
                              </w:r>
                            </w:p>
                          </w:txbxContent>
                        </wps:txbx>
                        <wps:bodyPr wrap="square" lIns="0" tIns="0" rIns="0" bIns="0" rtlCol="0">
                          <a:noAutofit/>
                        </wps:bodyPr>
                      </wps:wsp>
                      <wps:wsp>
                        <wps:cNvPr id="389" name="Textbox 389"/>
                        <wps:cNvSpPr txBox="1"/>
                        <wps:spPr>
                          <a:xfrm>
                            <a:off x="1890435" y="1303668"/>
                            <a:ext cx="247650" cy="315595"/>
                          </a:xfrm>
                          <a:prstGeom prst="rect">
                            <a:avLst/>
                          </a:prstGeom>
                        </wps:spPr>
                        <wps:txbx>
                          <w:txbxContent>
                            <w:p>
                              <w:pPr>
                                <w:spacing w:line="261" w:lineRule="auto" w:before="2"/>
                                <w:ind w:left="0" w:right="18" w:hanging="1"/>
                                <w:jc w:val="center"/>
                                <w:rPr>
                                  <w:b/>
                                  <w:sz w:val="10"/>
                                </w:rPr>
                              </w:pPr>
                              <w:r>
                                <w:rPr>
                                  <w:b/>
                                  <w:color w:val="404040"/>
                                  <w:spacing w:val="-4"/>
                                  <w:w w:val="110"/>
                                  <w:sz w:val="10"/>
                                </w:rPr>
                                <w:t>36%</w:t>
                              </w:r>
                              <w:r>
                                <w:rPr>
                                  <w:b/>
                                  <w:color w:val="404040"/>
                                  <w:spacing w:val="40"/>
                                  <w:w w:val="110"/>
                                  <w:sz w:val="10"/>
                                </w:rPr>
                                <w:t> </w:t>
                              </w:r>
                              <w:r>
                                <w:rPr>
                                  <w:b/>
                                  <w:color w:val="404040"/>
                                  <w:w w:val="110"/>
                                  <w:sz w:val="10"/>
                                </w:rPr>
                                <w:t>Δ(2024-</w:t>
                              </w:r>
                              <w:r>
                                <w:rPr>
                                  <w:b/>
                                  <w:color w:val="404040"/>
                                  <w:spacing w:val="-2"/>
                                  <w:w w:val="110"/>
                                  <w:sz w:val="10"/>
                                </w:rPr>
                                <w:t>2025):</w:t>
                              </w:r>
                            </w:p>
                            <w:p>
                              <w:pPr>
                                <w:spacing w:before="1"/>
                                <w:ind w:left="0" w:right="21" w:firstLine="0"/>
                                <w:jc w:val="center"/>
                                <w:rPr>
                                  <w:b/>
                                  <w:sz w:val="10"/>
                                </w:rPr>
                              </w:pPr>
                              <w:r>
                                <w:rPr>
                                  <w:b/>
                                  <w:color w:val="404040"/>
                                  <w:w w:val="105"/>
                                  <w:sz w:val="10"/>
                                </w:rPr>
                                <w:t>-</w:t>
                              </w:r>
                              <w:r>
                                <w:rPr>
                                  <w:b/>
                                  <w:color w:val="404040"/>
                                  <w:spacing w:val="-2"/>
                                  <w:w w:val="110"/>
                                  <w:sz w:val="10"/>
                                </w:rPr>
                                <w:t>13,9%</w:t>
                              </w:r>
                            </w:p>
                          </w:txbxContent>
                        </wps:txbx>
                        <wps:bodyPr wrap="square" lIns="0" tIns="0" rIns="0" bIns="0" rtlCol="0">
                          <a:noAutofit/>
                        </wps:bodyPr>
                      </wps:wsp>
                      <wps:wsp>
                        <wps:cNvPr id="390" name="Textbox 390"/>
                        <wps:cNvSpPr txBox="1"/>
                        <wps:spPr>
                          <a:xfrm>
                            <a:off x="809204" y="2012438"/>
                            <a:ext cx="1271905" cy="439420"/>
                          </a:xfrm>
                          <a:prstGeom prst="rect">
                            <a:avLst/>
                          </a:prstGeom>
                        </wps:spPr>
                        <wps:txbx>
                          <w:txbxContent>
                            <w:p>
                              <w:pPr>
                                <w:spacing w:line="324" w:lineRule="auto" w:before="2"/>
                                <w:ind w:left="0" w:right="71" w:firstLine="0"/>
                                <w:jc w:val="center"/>
                                <w:rPr>
                                  <w:b/>
                                  <w:sz w:val="10"/>
                                </w:rPr>
                              </w:pPr>
                              <w:r>
                                <w:rPr>
                                  <w:b/>
                                  <w:w w:val="110"/>
                                  <w:sz w:val="10"/>
                                </w:rPr>
                                <w:t>ΕΠΙΧΕΙΡΗΜΑΤΙΚΑ:</w:t>
                              </w:r>
                              <w:r>
                                <w:rPr>
                                  <w:b/>
                                  <w:spacing w:val="-6"/>
                                  <w:w w:val="110"/>
                                  <w:sz w:val="10"/>
                                </w:rPr>
                                <w:t> </w:t>
                              </w:r>
                              <w:r>
                                <w:rPr>
                                  <w:b/>
                                  <w:w w:val="110"/>
                                  <w:sz w:val="10"/>
                                </w:rPr>
                                <w:t>137,1</w:t>
                              </w:r>
                              <w:r>
                                <w:rPr>
                                  <w:b/>
                                  <w:spacing w:val="-7"/>
                                  <w:w w:val="110"/>
                                  <w:sz w:val="10"/>
                                </w:rPr>
                                <w:t> </w:t>
                              </w:r>
                              <w:r>
                                <w:rPr>
                                  <w:b/>
                                  <w:w w:val="110"/>
                                  <w:sz w:val="10"/>
                                </w:rPr>
                                <w:t>δ</w:t>
                              </w:r>
                              <w:r>
                                <w:rPr>
                                  <w:b/>
                                  <w:smallCaps/>
                                  <w:w w:val="110"/>
                                  <w:sz w:val="10"/>
                                </w:rPr>
                                <w:t>ι</w:t>
                              </w:r>
                              <w:r>
                                <w:rPr>
                                  <w:b/>
                                  <w:smallCaps w:val="0"/>
                                  <w:w w:val="110"/>
                                  <w:sz w:val="10"/>
                                </w:rPr>
                                <w:t>σεκ.</w:t>
                              </w:r>
                              <w:r>
                                <w:rPr>
                                  <w:b/>
                                  <w:smallCaps w:val="0"/>
                                  <w:spacing w:val="-7"/>
                                  <w:w w:val="110"/>
                                  <w:sz w:val="10"/>
                                </w:rPr>
                                <w:t> </w:t>
                              </w:r>
                              <w:r>
                                <w:rPr>
                                  <w:b/>
                                  <w:smallCaps w:val="0"/>
                                  <w:w w:val="110"/>
                                  <w:sz w:val="10"/>
                                </w:rPr>
                                <w:t>ευρώ</w:t>
                              </w:r>
                              <w:r>
                                <w:rPr>
                                  <w:b/>
                                  <w:smallCaps w:val="0"/>
                                  <w:spacing w:val="40"/>
                                  <w:w w:val="110"/>
                                  <w:sz w:val="10"/>
                                </w:rPr>
                                <w:t> </w:t>
                              </w:r>
                              <w:r>
                                <w:rPr>
                                  <w:b/>
                                  <w:smallCaps w:val="0"/>
                                  <w:w w:val="110"/>
                                  <w:sz w:val="10"/>
                                </w:rPr>
                                <w:t>Δ(2024-2025):</w:t>
                              </w:r>
                              <w:r>
                                <w:rPr>
                                  <w:b/>
                                  <w:smallCaps w:val="0"/>
                                  <w:spacing w:val="-12"/>
                                  <w:w w:val="110"/>
                                  <w:sz w:val="10"/>
                                </w:rPr>
                                <w:t> </w:t>
                              </w:r>
                              <w:r>
                                <w:rPr>
                                  <w:b/>
                                  <w:smallCaps w:val="0"/>
                                  <w:w w:val="110"/>
                                  <w:sz w:val="10"/>
                                </w:rPr>
                                <w:t>10,5%</w:t>
                              </w:r>
                            </w:p>
                            <w:p>
                              <w:pPr>
                                <w:spacing w:line="261" w:lineRule="auto" w:before="10"/>
                                <w:ind w:left="537" w:right="0" w:firstLine="0"/>
                                <w:jc w:val="center"/>
                                <w:rPr>
                                  <w:b/>
                                  <w:sz w:val="10"/>
                                </w:rPr>
                              </w:pPr>
                              <w:r>
                                <w:rPr>
                                  <w:b/>
                                  <w:w w:val="110"/>
                                  <w:sz w:val="10"/>
                                </w:rPr>
                                <w:t>Ποσοστό</w:t>
                              </w:r>
                              <w:r>
                                <w:rPr>
                                  <w:b/>
                                  <w:spacing w:val="-7"/>
                                  <w:w w:val="110"/>
                                  <w:sz w:val="10"/>
                                </w:rPr>
                                <w:t> </w:t>
                              </w:r>
                              <w:r>
                                <w:rPr>
                                  <w:b/>
                                  <w:w w:val="110"/>
                                  <w:sz w:val="10"/>
                                </w:rPr>
                                <w:t>μη</w:t>
                              </w:r>
                              <w:r>
                                <w:rPr>
                                  <w:b/>
                                  <w:spacing w:val="-7"/>
                                  <w:w w:val="110"/>
                                  <w:sz w:val="10"/>
                                </w:rPr>
                                <w:t> </w:t>
                              </w:r>
                              <w:r>
                                <w:rPr>
                                  <w:b/>
                                  <w:w w:val="110"/>
                                  <w:sz w:val="10"/>
                                </w:rPr>
                                <w:t>εξυπηρετούμενων</w:t>
                              </w:r>
                              <w:r>
                                <w:rPr>
                                  <w:b/>
                                  <w:spacing w:val="40"/>
                                  <w:w w:val="110"/>
                                  <w:sz w:val="10"/>
                                </w:rPr>
                                <w:t> </w:t>
                              </w:r>
                              <w:r>
                                <w:rPr>
                                  <w:b/>
                                  <w:w w:val="110"/>
                                  <w:sz w:val="10"/>
                                </w:rPr>
                                <w:t>δανείων:</w:t>
                              </w:r>
                              <w:r>
                                <w:rPr>
                                  <w:b/>
                                  <w:spacing w:val="-7"/>
                                  <w:w w:val="110"/>
                                  <w:sz w:val="10"/>
                                </w:rPr>
                                <w:t> </w:t>
                              </w:r>
                              <w:r>
                                <w:rPr>
                                  <w:b/>
                                  <w:w w:val="110"/>
                                  <w:sz w:val="10"/>
                                </w:rPr>
                                <w:t>2,2%</w:t>
                              </w:r>
                            </w:p>
                            <w:p>
                              <w:pPr>
                                <w:spacing w:before="1"/>
                                <w:ind w:left="530" w:right="0" w:firstLine="0"/>
                                <w:jc w:val="center"/>
                                <w:rPr>
                                  <w:b/>
                                  <w:sz w:val="10"/>
                                </w:rPr>
                              </w:pPr>
                              <w:r>
                                <w:rPr>
                                  <w:b/>
                                  <w:sz w:val="10"/>
                                </w:rPr>
                                <w:t>Δ(2024-2025):</w:t>
                              </w:r>
                              <w:r>
                                <w:rPr>
                                  <w:b/>
                                  <w:spacing w:val="58"/>
                                  <w:sz w:val="10"/>
                                </w:rPr>
                                <w:t> </w:t>
                              </w:r>
                              <w:r>
                                <w:rPr>
                                  <w:b/>
                                  <w:sz w:val="10"/>
                                </w:rPr>
                                <w:t>-</w:t>
                              </w:r>
                              <w:r>
                                <w:rPr>
                                  <w:b/>
                                  <w:spacing w:val="-2"/>
                                  <w:sz w:val="10"/>
                                </w:rPr>
                                <w:t>15,2%</w:t>
                              </w:r>
                            </w:p>
                          </w:txbxContent>
                        </wps:txbx>
                        <wps:bodyPr wrap="square" lIns="0" tIns="0" rIns="0" bIns="0" rtlCol="0">
                          <a:noAutofit/>
                        </wps:bodyPr>
                      </wps:wsp>
                      <wps:wsp>
                        <wps:cNvPr id="391" name="Textbox 391"/>
                        <wps:cNvSpPr txBox="1"/>
                        <wps:spPr>
                          <a:xfrm>
                            <a:off x="3380435" y="1988160"/>
                            <a:ext cx="1224915" cy="465455"/>
                          </a:xfrm>
                          <a:prstGeom prst="rect">
                            <a:avLst/>
                          </a:prstGeom>
                        </wps:spPr>
                        <wps:txbx>
                          <w:txbxContent>
                            <w:p>
                              <w:pPr>
                                <w:spacing w:line="324" w:lineRule="auto" w:before="2"/>
                                <w:ind w:left="0" w:right="339" w:firstLine="0"/>
                                <w:jc w:val="center"/>
                                <w:rPr>
                                  <w:b/>
                                  <w:sz w:val="10"/>
                                </w:rPr>
                              </w:pPr>
                              <w:r>
                                <w:rPr>
                                  <w:b/>
                                  <w:w w:val="110"/>
                                  <w:sz w:val="10"/>
                                </w:rPr>
                                <w:t>ΝΟΙΚΟΚΥΡΙΑ:</w:t>
                              </w:r>
                              <w:r>
                                <w:rPr>
                                  <w:b/>
                                  <w:spacing w:val="-7"/>
                                  <w:w w:val="110"/>
                                  <w:sz w:val="10"/>
                                </w:rPr>
                                <w:t> </w:t>
                              </w:r>
                              <w:r>
                                <w:rPr>
                                  <w:b/>
                                  <w:w w:val="110"/>
                                  <w:sz w:val="10"/>
                                </w:rPr>
                                <w:t>34,8</w:t>
                              </w:r>
                              <w:r>
                                <w:rPr>
                                  <w:b/>
                                  <w:spacing w:val="-7"/>
                                  <w:w w:val="110"/>
                                  <w:sz w:val="10"/>
                                </w:rPr>
                                <w:t> </w:t>
                              </w:r>
                              <w:r>
                                <w:rPr>
                                  <w:b/>
                                  <w:w w:val="110"/>
                                  <w:sz w:val="10"/>
                                </w:rPr>
                                <w:t>δ</w:t>
                              </w:r>
                              <w:r>
                                <w:rPr>
                                  <w:b/>
                                  <w:smallCaps/>
                                  <w:w w:val="110"/>
                                  <w:sz w:val="10"/>
                                </w:rPr>
                                <w:t>ι</w:t>
                              </w:r>
                              <w:r>
                                <w:rPr>
                                  <w:b/>
                                  <w:smallCaps w:val="0"/>
                                  <w:w w:val="110"/>
                                  <w:sz w:val="10"/>
                                </w:rPr>
                                <w:t>σεκ.</w:t>
                              </w:r>
                              <w:r>
                                <w:rPr>
                                  <w:b/>
                                  <w:smallCaps w:val="0"/>
                                  <w:spacing w:val="-7"/>
                                  <w:w w:val="110"/>
                                  <w:sz w:val="10"/>
                                </w:rPr>
                                <w:t> </w:t>
                              </w:r>
                              <w:r>
                                <w:rPr>
                                  <w:b/>
                                  <w:smallCaps w:val="0"/>
                                  <w:w w:val="110"/>
                                  <w:sz w:val="10"/>
                                </w:rPr>
                                <w:t>ευρώ</w:t>
                              </w:r>
                              <w:r>
                                <w:rPr>
                                  <w:b/>
                                  <w:smallCaps w:val="0"/>
                                  <w:spacing w:val="40"/>
                                  <w:w w:val="110"/>
                                  <w:sz w:val="10"/>
                                </w:rPr>
                                <w:t> </w:t>
                              </w:r>
                              <w:r>
                                <w:rPr>
                                  <w:b/>
                                  <w:smallCaps w:val="0"/>
                                  <w:w w:val="110"/>
                                  <w:sz w:val="10"/>
                                </w:rPr>
                                <w:t>Δ(2024-2025):</w:t>
                              </w:r>
                              <w:r>
                                <w:rPr>
                                  <w:b/>
                                  <w:smallCaps w:val="0"/>
                                  <w:spacing w:val="-12"/>
                                  <w:w w:val="110"/>
                                  <w:sz w:val="10"/>
                                </w:rPr>
                                <w:t> </w:t>
                              </w:r>
                              <w:r>
                                <w:rPr>
                                  <w:b/>
                                  <w:smallCaps w:val="0"/>
                                  <w:w w:val="110"/>
                                  <w:sz w:val="10"/>
                                </w:rPr>
                                <w:t>0,1%</w:t>
                              </w:r>
                            </w:p>
                            <w:p>
                              <w:pPr>
                                <w:spacing w:line="261" w:lineRule="auto" w:before="51"/>
                                <w:ind w:left="433" w:right="0" w:firstLine="0"/>
                                <w:jc w:val="center"/>
                                <w:rPr>
                                  <w:b/>
                                  <w:sz w:val="10"/>
                                </w:rPr>
                              </w:pPr>
                              <w:r>
                                <w:rPr>
                                  <w:b/>
                                  <w:w w:val="110"/>
                                  <w:sz w:val="10"/>
                                </w:rPr>
                                <w:t>Ποσοστό</w:t>
                              </w:r>
                              <w:r>
                                <w:rPr>
                                  <w:b/>
                                  <w:spacing w:val="-2"/>
                                  <w:w w:val="110"/>
                                  <w:sz w:val="10"/>
                                </w:rPr>
                                <w:t> </w:t>
                              </w:r>
                              <w:r>
                                <w:rPr>
                                  <w:b/>
                                  <w:w w:val="110"/>
                                  <w:sz w:val="10"/>
                                </w:rPr>
                                <w:t>μη</w:t>
                              </w:r>
                              <w:r>
                                <w:rPr>
                                  <w:b/>
                                  <w:spacing w:val="-7"/>
                                  <w:w w:val="110"/>
                                  <w:sz w:val="10"/>
                                </w:rPr>
                                <w:t> </w:t>
                              </w:r>
                              <w:r>
                                <w:rPr>
                                  <w:b/>
                                  <w:w w:val="110"/>
                                  <w:sz w:val="10"/>
                                </w:rPr>
                                <w:t>εξυπηρετούμενων</w:t>
                              </w:r>
                              <w:r>
                                <w:rPr>
                                  <w:b/>
                                  <w:spacing w:val="40"/>
                                  <w:w w:val="110"/>
                                  <w:sz w:val="10"/>
                                </w:rPr>
                                <w:t> </w:t>
                              </w:r>
                              <w:r>
                                <w:rPr>
                                  <w:b/>
                                  <w:w w:val="110"/>
                                  <w:sz w:val="10"/>
                                </w:rPr>
                                <w:t>δανείων:</w:t>
                              </w:r>
                              <w:r>
                                <w:rPr>
                                  <w:b/>
                                  <w:spacing w:val="-7"/>
                                  <w:w w:val="110"/>
                                  <w:sz w:val="10"/>
                                </w:rPr>
                                <w:t> </w:t>
                              </w:r>
                              <w:r>
                                <w:rPr>
                                  <w:b/>
                                  <w:w w:val="110"/>
                                  <w:sz w:val="10"/>
                                </w:rPr>
                                <w:t>7,5%</w:t>
                              </w:r>
                            </w:p>
                            <w:p>
                              <w:pPr>
                                <w:spacing w:before="1"/>
                                <w:ind w:left="427" w:right="0" w:firstLine="0"/>
                                <w:jc w:val="center"/>
                                <w:rPr>
                                  <w:b/>
                                  <w:sz w:val="10"/>
                                </w:rPr>
                              </w:pPr>
                              <w:r>
                                <w:rPr>
                                  <w:b/>
                                  <w:spacing w:val="2"/>
                                  <w:sz w:val="10"/>
                                </w:rPr>
                                <w:t>Δ(2024-2025):</w:t>
                              </w:r>
                              <w:r>
                                <w:rPr>
                                  <w:b/>
                                  <w:spacing w:val="28"/>
                                  <w:sz w:val="10"/>
                                </w:rPr>
                                <w:t> </w:t>
                              </w:r>
                              <w:r>
                                <w:rPr>
                                  <w:b/>
                                  <w:spacing w:val="-2"/>
                                  <w:sz w:val="10"/>
                                </w:rPr>
                                <w:t>10,2%</w:t>
                              </w:r>
                            </w:p>
                          </w:txbxContent>
                        </wps:txbx>
                        <wps:bodyPr wrap="square" lIns="0" tIns="0" rIns="0" bIns="0" rtlCol="0">
                          <a:noAutofit/>
                        </wps:bodyPr>
                      </wps:wsp>
                      <wps:wsp>
                        <wps:cNvPr id="392" name="Textbox 392"/>
                        <wps:cNvSpPr txBox="1"/>
                        <wps:spPr>
                          <a:xfrm>
                            <a:off x="729213" y="2620316"/>
                            <a:ext cx="247650" cy="314960"/>
                          </a:xfrm>
                          <a:prstGeom prst="rect">
                            <a:avLst/>
                          </a:prstGeom>
                        </wps:spPr>
                        <wps:txbx>
                          <w:txbxContent>
                            <w:p>
                              <w:pPr>
                                <w:spacing w:line="107" w:lineRule="exact" w:before="0"/>
                                <w:ind w:left="91" w:right="0" w:firstLine="0"/>
                                <w:jc w:val="left"/>
                                <w:rPr>
                                  <w:rFonts w:ascii="Calibri"/>
                                  <w:b/>
                                  <w:sz w:val="10"/>
                                </w:rPr>
                              </w:pPr>
                              <w:r>
                                <w:rPr>
                                  <w:rFonts w:ascii="Calibri"/>
                                  <w:b/>
                                  <w:color w:val="404040"/>
                                  <w:spacing w:val="-5"/>
                                  <w:w w:val="110"/>
                                  <w:sz w:val="10"/>
                                </w:rPr>
                                <w:t>37%</w:t>
                              </w:r>
                            </w:p>
                            <w:p>
                              <w:pPr>
                                <w:spacing w:before="9"/>
                                <w:ind w:left="0" w:right="0" w:firstLine="0"/>
                                <w:jc w:val="left"/>
                                <w:rPr>
                                  <w:b/>
                                  <w:sz w:val="10"/>
                                </w:rPr>
                              </w:pPr>
                              <w:r>
                                <w:rPr>
                                  <w:b/>
                                  <w:color w:val="404040"/>
                                  <w:w w:val="110"/>
                                  <w:sz w:val="10"/>
                                </w:rPr>
                                <w:t>Δ(2024-</w:t>
                              </w:r>
                            </w:p>
                            <w:p>
                              <w:pPr>
                                <w:spacing w:before="11"/>
                                <w:ind w:left="34" w:right="0" w:firstLine="0"/>
                                <w:jc w:val="left"/>
                                <w:rPr>
                                  <w:b/>
                                  <w:sz w:val="10"/>
                                </w:rPr>
                              </w:pPr>
                              <w:r>
                                <w:rPr>
                                  <w:b/>
                                  <w:color w:val="404040"/>
                                  <w:spacing w:val="-2"/>
                                  <w:w w:val="110"/>
                                  <w:sz w:val="10"/>
                                </w:rPr>
                                <w:t>2025):</w:t>
                              </w:r>
                            </w:p>
                            <w:p>
                              <w:pPr>
                                <w:spacing w:before="16"/>
                                <w:ind w:left="60" w:right="0" w:firstLine="0"/>
                                <w:jc w:val="left"/>
                                <w:rPr>
                                  <w:rFonts w:ascii="Calibri"/>
                                  <w:b/>
                                  <w:sz w:val="10"/>
                                </w:rPr>
                              </w:pPr>
                              <w:r>
                                <w:rPr>
                                  <w:rFonts w:ascii="Calibri"/>
                                  <w:b/>
                                  <w:color w:val="404040"/>
                                  <w:w w:val="105"/>
                                  <w:sz w:val="10"/>
                                </w:rPr>
                                <w:t>-</w:t>
                              </w:r>
                              <w:r>
                                <w:rPr>
                                  <w:rFonts w:ascii="Calibri"/>
                                  <w:b/>
                                  <w:color w:val="404040"/>
                                  <w:spacing w:val="-4"/>
                                  <w:w w:val="110"/>
                                  <w:sz w:val="10"/>
                                </w:rPr>
                                <w:t>5,3%</w:t>
                              </w:r>
                            </w:p>
                          </w:txbxContent>
                        </wps:txbx>
                        <wps:bodyPr wrap="square" lIns="0" tIns="0" rIns="0" bIns="0" rtlCol="0">
                          <a:noAutofit/>
                        </wps:bodyPr>
                      </wps:wsp>
                      <wps:wsp>
                        <wps:cNvPr id="393" name="Textbox 393"/>
                        <wps:cNvSpPr txBox="1"/>
                        <wps:spPr>
                          <a:xfrm>
                            <a:off x="2073435" y="2529815"/>
                            <a:ext cx="247650" cy="315595"/>
                          </a:xfrm>
                          <a:prstGeom prst="rect">
                            <a:avLst/>
                          </a:prstGeom>
                        </wps:spPr>
                        <wps:txbx>
                          <w:txbxContent>
                            <w:p>
                              <w:pPr>
                                <w:spacing w:line="107" w:lineRule="exact" w:before="0"/>
                                <w:ind w:left="90" w:right="0" w:firstLine="0"/>
                                <w:jc w:val="left"/>
                                <w:rPr>
                                  <w:rFonts w:ascii="Calibri"/>
                                  <w:b/>
                                  <w:sz w:val="10"/>
                                </w:rPr>
                              </w:pPr>
                              <w:r>
                                <w:rPr>
                                  <w:rFonts w:ascii="Calibri"/>
                                  <w:b/>
                                  <w:color w:val="404040"/>
                                  <w:spacing w:val="-5"/>
                                  <w:w w:val="110"/>
                                  <w:sz w:val="10"/>
                                </w:rPr>
                                <w:t>31%</w:t>
                              </w:r>
                            </w:p>
                            <w:p>
                              <w:pPr>
                                <w:spacing w:before="9"/>
                                <w:ind w:left="0" w:right="0" w:firstLine="0"/>
                                <w:jc w:val="left"/>
                                <w:rPr>
                                  <w:b/>
                                  <w:sz w:val="10"/>
                                </w:rPr>
                              </w:pPr>
                              <w:r>
                                <w:rPr>
                                  <w:b/>
                                  <w:color w:val="404040"/>
                                  <w:w w:val="110"/>
                                  <w:sz w:val="10"/>
                                </w:rPr>
                                <w:t>Δ(2024-</w:t>
                              </w:r>
                            </w:p>
                            <w:p>
                              <w:pPr>
                                <w:spacing w:before="11"/>
                                <w:ind w:left="34" w:right="0" w:firstLine="0"/>
                                <w:jc w:val="left"/>
                                <w:rPr>
                                  <w:b/>
                                  <w:sz w:val="10"/>
                                </w:rPr>
                              </w:pPr>
                              <w:r>
                                <w:rPr>
                                  <w:b/>
                                  <w:color w:val="404040"/>
                                  <w:spacing w:val="-2"/>
                                  <w:w w:val="110"/>
                                  <w:sz w:val="10"/>
                                </w:rPr>
                                <w:t>2025):</w:t>
                              </w:r>
                            </w:p>
                            <w:p>
                              <w:pPr>
                                <w:spacing w:before="16"/>
                                <w:ind w:left="30" w:right="0" w:firstLine="0"/>
                                <w:jc w:val="left"/>
                                <w:rPr>
                                  <w:rFonts w:ascii="Calibri"/>
                                  <w:b/>
                                  <w:sz w:val="10"/>
                                </w:rPr>
                              </w:pPr>
                              <w:r>
                                <w:rPr>
                                  <w:rFonts w:ascii="Calibri"/>
                                  <w:b/>
                                  <w:color w:val="404040"/>
                                  <w:w w:val="105"/>
                                  <w:sz w:val="10"/>
                                </w:rPr>
                                <w:t>-</w:t>
                              </w:r>
                              <w:r>
                                <w:rPr>
                                  <w:rFonts w:ascii="Calibri"/>
                                  <w:b/>
                                  <w:color w:val="404040"/>
                                  <w:spacing w:val="-2"/>
                                  <w:w w:val="110"/>
                                  <w:sz w:val="10"/>
                                </w:rPr>
                                <w:t>24,3%</w:t>
                              </w:r>
                            </w:p>
                          </w:txbxContent>
                        </wps:txbx>
                        <wps:bodyPr wrap="square" lIns="0" tIns="0" rIns="0" bIns="0" rtlCol="0">
                          <a:noAutofit/>
                        </wps:bodyPr>
                      </wps:wsp>
                      <wps:wsp>
                        <wps:cNvPr id="394" name="Textbox 394"/>
                        <wps:cNvSpPr txBox="1"/>
                        <wps:spPr>
                          <a:xfrm>
                            <a:off x="3308780" y="2502646"/>
                            <a:ext cx="248285" cy="315595"/>
                          </a:xfrm>
                          <a:prstGeom prst="rect">
                            <a:avLst/>
                          </a:prstGeom>
                        </wps:spPr>
                        <wps:txbx>
                          <w:txbxContent>
                            <w:p>
                              <w:pPr>
                                <w:spacing w:line="261" w:lineRule="auto" w:before="2"/>
                                <w:ind w:left="0" w:right="18" w:hanging="9"/>
                                <w:jc w:val="center"/>
                                <w:rPr>
                                  <w:b/>
                                  <w:sz w:val="10"/>
                                </w:rPr>
                              </w:pPr>
                              <w:r>
                                <w:rPr>
                                  <w:b/>
                                  <w:color w:val="404040"/>
                                  <w:spacing w:val="-4"/>
                                  <w:w w:val="110"/>
                                  <w:sz w:val="10"/>
                                </w:rPr>
                                <w:t>20%</w:t>
                              </w:r>
                              <w:r>
                                <w:rPr>
                                  <w:b/>
                                  <w:color w:val="404040"/>
                                  <w:spacing w:val="40"/>
                                  <w:w w:val="110"/>
                                  <w:sz w:val="10"/>
                                </w:rPr>
                                <w:t> </w:t>
                              </w:r>
                              <w:r>
                                <w:rPr>
                                  <w:b/>
                                  <w:color w:val="404040"/>
                                  <w:w w:val="110"/>
                                  <w:sz w:val="10"/>
                                </w:rPr>
                                <w:t>Δ(2024-</w:t>
                              </w:r>
                              <w:r>
                                <w:rPr>
                                  <w:b/>
                                  <w:color w:val="404040"/>
                                  <w:spacing w:val="-2"/>
                                  <w:w w:val="110"/>
                                  <w:sz w:val="10"/>
                                </w:rPr>
                                <w:t>2025):</w:t>
                              </w:r>
                            </w:p>
                            <w:p>
                              <w:pPr>
                                <w:spacing w:before="2"/>
                                <w:ind w:left="0" w:right="26" w:firstLine="0"/>
                                <w:jc w:val="center"/>
                                <w:rPr>
                                  <w:b/>
                                  <w:sz w:val="10"/>
                                </w:rPr>
                              </w:pPr>
                              <w:r>
                                <w:rPr>
                                  <w:b/>
                                  <w:color w:val="404040"/>
                                  <w:spacing w:val="-5"/>
                                  <w:w w:val="110"/>
                                  <w:sz w:val="10"/>
                                </w:rPr>
                                <w:t>42%</w:t>
                              </w:r>
                            </w:p>
                          </w:txbxContent>
                        </wps:txbx>
                        <wps:bodyPr wrap="square" lIns="0" tIns="0" rIns="0" bIns="0" rtlCol="0">
                          <a:noAutofit/>
                        </wps:bodyPr>
                      </wps:wsp>
                      <wps:wsp>
                        <wps:cNvPr id="395" name="Textbox 395"/>
                        <wps:cNvSpPr txBox="1"/>
                        <wps:spPr>
                          <a:xfrm>
                            <a:off x="4439961" y="2540309"/>
                            <a:ext cx="247650" cy="315595"/>
                          </a:xfrm>
                          <a:prstGeom prst="rect">
                            <a:avLst/>
                          </a:prstGeom>
                        </wps:spPr>
                        <wps:txbx>
                          <w:txbxContent>
                            <w:p>
                              <w:pPr>
                                <w:spacing w:line="261" w:lineRule="auto" w:before="2"/>
                                <w:ind w:left="0" w:right="18" w:hanging="1"/>
                                <w:jc w:val="center"/>
                                <w:rPr>
                                  <w:b/>
                                  <w:sz w:val="10"/>
                                </w:rPr>
                              </w:pPr>
                              <w:r>
                                <w:rPr>
                                  <w:b/>
                                  <w:color w:val="404040"/>
                                  <w:spacing w:val="-4"/>
                                  <w:w w:val="110"/>
                                  <w:sz w:val="10"/>
                                </w:rPr>
                                <w:t>38%</w:t>
                              </w:r>
                              <w:r>
                                <w:rPr>
                                  <w:b/>
                                  <w:color w:val="404040"/>
                                  <w:spacing w:val="40"/>
                                  <w:w w:val="110"/>
                                  <w:sz w:val="10"/>
                                </w:rPr>
                                <w:t> </w:t>
                              </w:r>
                              <w:r>
                                <w:rPr>
                                  <w:b/>
                                  <w:color w:val="404040"/>
                                  <w:w w:val="110"/>
                                  <w:sz w:val="10"/>
                                </w:rPr>
                                <w:t>Δ(2024-</w:t>
                              </w:r>
                              <w:r>
                                <w:rPr>
                                  <w:b/>
                                  <w:color w:val="404040"/>
                                  <w:spacing w:val="-2"/>
                                  <w:w w:val="110"/>
                                  <w:sz w:val="10"/>
                                </w:rPr>
                                <w:t>2025):</w:t>
                              </w:r>
                            </w:p>
                            <w:p>
                              <w:pPr>
                                <w:spacing w:before="1"/>
                                <w:ind w:left="0" w:right="20" w:firstLine="0"/>
                                <w:jc w:val="center"/>
                                <w:rPr>
                                  <w:b/>
                                  <w:sz w:val="10"/>
                                </w:rPr>
                              </w:pPr>
                              <w:r>
                                <w:rPr>
                                  <w:b/>
                                  <w:color w:val="404040"/>
                                  <w:spacing w:val="-2"/>
                                  <w:w w:val="110"/>
                                  <w:sz w:val="10"/>
                                </w:rPr>
                                <w:t>30,9%</w:t>
                              </w:r>
                            </w:p>
                          </w:txbxContent>
                        </wps:txbx>
                        <wps:bodyPr wrap="square" lIns="0" tIns="0" rIns="0" bIns="0" rtlCol="0">
                          <a:noAutofit/>
                        </wps:bodyPr>
                      </wps:wsp>
                      <wps:wsp>
                        <wps:cNvPr id="396" name="Textbox 396"/>
                        <wps:cNvSpPr txBox="1"/>
                        <wps:spPr>
                          <a:xfrm>
                            <a:off x="2070710" y="2968481"/>
                            <a:ext cx="1366520" cy="403225"/>
                          </a:xfrm>
                          <a:prstGeom prst="rect">
                            <a:avLst/>
                          </a:prstGeom>
                        </wps:spPr>
                        <wps:txbx>
                          <w:txbxContent>
                            <w:p>
                              <w:pPr>
                                <w:spacing w:before="2"/>
                                <w:ind w:left="0" w:right="94" w:firstLine="0"/>
                                <w:jc w:val="right"/>
                                <w:rPr>
                                  <w:b/>
                                  <w:sz w:val="10"/>
                                </w:rPr>
                              </w:pPr>
                              <w:r>
                                <w:rPr>
                                  <w:b/>
                                  <w:color w:val="404040"/>
                                  <w:spacing w:val="-5"/>
                                  <w:w w:val="110"/>
                                  <w:sz w:val="10"/>
                                </w:rPr>
                                <w:t>42%</w:t>
                              </w:r>
                            </w:p>
                            <w:p>
                              <w:pPr>
                                <w:tabs>
                                  <w:tab w:pos="1670" w:val="left" w:leader="none"/>
                                </w:tabs>
                                <w:spacing w:before="9"/>
                                <w:ind w:left="0" w:right="18" w:firstLine="0"/>
                                <w:jc w:val="right"/>
                                <w:rPr>
                                  <w:b/>
                                  <w:sz w:val="10"/>
                                </w:rPr>
                              </w:pPr>
                              <w:r>
                                <w:rPr>
                                  <w:rFonts w:ascii="Calibri" w:hAnsi="Calibri"/>
                                  <w:b/>
                                  <w:color w:val="404040"/>
                                  <w:spacing w:val="-5"/>
                                  <w:w w:val="110"/>
                                  <w:sz w:val="10"/>
                                </w:rPr>
                                <w:t>32%</w:t>
                              </w:r>
                              <w:r>
                                <w:rPr>
                                  <w:rFonts w:ascii="Calibri" w:hAnsi="Calibri"/>
                                  <w:b/>
                                  <w:color w:val="404040"/>
                                  <w:sz w:val="10"/>
                                </w:rPr>
                                <w:tab/>
                              </w:r>
                              <w:r>
                                <w:rPr>
                                  <w:b/>
                                  <w:color w:val="404040"/>
                                  <w:w w:val="110"/>
                                  <w:sz w:val="10"/>
                                </w:rPr>
                                <w:t>Δ(2024-</w:t>
                              </w:r>
                            </w:p>
                            <w:p>
                              <w:pPr>
                                <w:tabs>
                                  <w:tab w:pos="1795" w:val="left" w:leader="none"/>
                                </w:tabs>
                                <w:spacing w:before="7"/>
                                <w:ind w:left="0" w:right="52" w:firstLine="0"/>
                                <w:jc w:val="right"/>
                                <w:rPr>
                                  <w:b/>
                                  <w:sz w:val="10"/>
                                </w:rPr>
                              </w:pPr>
                              <w:r>
                                <w:rPr>
                                  <w:b/>
                                  <w:color w:val="404040"/>
                                  <w:w w:val="110"/>
                                  <w:sz w:val="10"/>
                                </w:rPr>
                                <w:t>Δ(2024-</w:t>
                              </w:r>
                              <w:r>
                                <w:rPr>
                                  <w:b/>
                                  <w:color w:val="404040"/>
                                  <w:sz w:val="10"/>
                                </w:rPr>
                                <w:tab/>
                              </w:r>
                              <w:r>
                                <w:rPr>
                                  <w:b/>
                                  <w:color w:val="404040"/>
                                  <w:spacing w:val="-2"/>
                                  <w:w w:val="110"/>
                                  <w:sz w:val="10"/>
                                </w:rPr>
                                <w:t>2025):</w:t>
                              </w:r>
                            </w:p>
                            <w:p>
                              <w:pPr>
                                <w:tabs>
                                  <w:tab w:pos="1734" w:val="left" w:leader="none"/>
                                </w:tabs>
                                <w:spacing w:before="11"/>
                                <w:ind w:left="0" w:right="36" w:firstLine="0"/>
                                <w:jc w:val="right"/>
                                <w:rPr>
                                  <w:b/>
                                  <w:sz w:val="10"/>
                                </w:rPr>
                              </w:pPr>
                              <w:r>
                                <w:rPr>
                                  <w:b/>
                                  <w:color w:val="404040"/>
                                  <w:spacing w:val="-2"/>
                                  <w:w w:val="110"/>
                                  <w:sz w:val="10"/>
                                </w:rPr>
                                <w:t>2025):</w:t>
                              </w:r>
                              <w:r>
                                <w:rPr>
                                  <w:b/>
                                  <w:color w:val="404040"/>
                                  <w:sz w:val="10"/>
                                </w:rPr>
                                <w:tab/>
                              </w:r>
                              <w:r>
                                <w:rPr>
                                  <w:b/>
                                  <w:color w:val="404040"/>
                                  <w:w w:val="105"/>
                                  <w:sz w:val="10"/>
                                </w:rPr>
                                <w:t>-</w:t>
                              </w:r>
                              <w:r>
                                <w:rPr>
                                  <w:b/>
                                  <w:color w:val="404040"/>
                                  <w:spacing w:val="-2"/>
                                  <w:w w:val="110"/>
                                  <w:sz w:val="10"/>
                                </w:rPr>
                                <w:t>12,3%</w:t>
                              </w:r>
                            </w:p>
                            <w:p>
                              <w:pPr>
                                <w:spacing w:before="16"/>
                                <w:ind w:left="30" w:right="0" w:firstLine="0"/>
                                <w:jc w:val="left"/>
                                <w:rPr>
                                  <w:rFonts w:ascii="Calibri"/>
                                  <w:b/>
                                  <w:sz w:val="10"/>
                                </w:rPr>
                              </w:pPr>
                              <w:r>
                                <w:rPr>
                                  <w:rFonts w:ascii="Calibri"/>
                                  <w:b/>
                                  <w:color w:val="404040"/>
                                  <w:w w:val="105"/>
                                  <w:sz w:val="10"/>
                                </w:rPr>
                                <w:t>-</w:t>
                              </w:r>
                              <w:r>
                                <w:rPr>
                                  <w:rFonts w:ascii="Calibri"/>
                                  <w:b/>
                                  <w:color w:val="404040"/>
                                  <w:spacing w:val="-2"/>
                                  <w:w w:val="110"/>
                                  <w:sz w:val="10"/>
                                </w:rPr>
                                <w:t>15,6%</w:t>
                              </w:r>
                            </w:p>
                          </w:txbxContent>
                        </wps:txbx>
                        <wps:bodyPr wrap="square" lIns="0" tIns="0" rIns="0" bIns="0" rtlCol="0">
                          <a:noAutofit/>
                        </wps:bodyPr>
                      </wps:wsp>
                      <wps:wsp>
                        <wps:cNvPr id="397" name="Textbox 397"/>
                        <wps:cNvSpPr txBox="1"/>
                        <wps:spPr>
                          <a:xfrm>
                            <a:off x="324774" y="3530598"/>
                            <a:ext cx="1050290" cy="462280"/>
                          </a:xfrm>
                          <a:prstGeom prst="rect">
                            <a:avLst/>
                          </a:prstGeom>
                        </wps:spPr>
                        <wps:txbx>
                          <w:txbxContent>
                            <w:p>
                              <w:pPr>
                                <w:spacing w:line="99" w:lineRule="exact" w:before="0"/>
                                <w:ind w:left="0" w:right="109" w:firstLine="0"/>
                                <w:jc w:val="center"/>
                                <w:rPr>
                                  <w:b/>
                                  <w:sz w:val="9"/>
                                </w:rPr>
                              </w:pPr>
                              <w:r>
                                <w:rPr>
                                  <w:b/>
                                  <w:color w:val="FFFFFF"/>
                                  <w:sz w:val="9"/>
                                </w:rPr>
                                <w:t>Μεγάλες</w:t>
                              </w:r>
                              <w:r>
                                <w:rPr>
                                  <w:b/>
                                  <w:color w:val="FFFFFF"/>
                                  <w:spacing w:val="-3"/>
                                  <w:sz w:val="9"/>
                                </w:rPr>
                                <w:t> </w:t>
                              </w:r>
                              <w:r>
                                <w:rPr>
                                  <w:b/>
                                  <w:color w:val="FFFFFF"/>
                                  <w:spacing w:val="-2"/>
                                  <w:sz w:val="9"/>
                                </w:rPr>
                                <w:t>Επ</w:t>
                              </w:r>
                              <w:r>
                                <w:rPr>
                                  <w:b/>
                                  <w:smallCaps/>
                                  <w:color w:val="FFFFFF"/>
                                  <w:spacing w:val="-2"/>
                                  <w:sz w:val="9"/>
                                </w:rPr>
                                <w:t>ι</w:t>
                              </w:r>
                              <w:r>
                                <w:rPr>
                                  <w:b/>
                                  <w:smallCaps w:val="0"/>
                                  <w:color w:val="FFFFFF"/>
                                  <w:spacing w:val="-2"/>
                                  <w:sz w:val="9"/>
                                </w:rPr>
                                <w:t>χε</w:t>
                              </w:r>
                              <w:r>
                                <w:rPr>
                                  <w:b/>
                                  <w:smallCaps/>
                                  <w:color w:val="FFFFFF"/>
                                  <w:spacing w:val="-2"/>
                                  <w:sz w:val="9"/>
                                </w:rPr>
                                <w:t>ι</w:t>
                              </w:r>
                              <w:r>
                                <w:rPr>
                                  <w:b/>
                                  <w:smallCaps w:val="0"/>
                                  <w:color w:val="FFFFFF"/>
                                  <w:spacing w:val="-2"/>
                                  <w:sz w:val="9"/>
                                </w:rPr>
                                <w:t>ρήσε</w:t>
                              </w:r>
                              <w:r>
                                <w:rPr>
                                  <w:b/>
                                  <w:smallCaps/>
                                  <w:color w:val="FFFFFF"/>
                                  <w:spacing w:val="-2"/>
                                  <w:sz w:val="9"/>
                                </w:rPr>
                                <w:t>ι</w:t>
                              </w:r>
                              <w:r>
                                <w:rPr>
                                  <w:b/>
                                  <w:smallCaps w:val="0"/>
                                  <w:color w:val="FFFFFF"/>
                                  <w:spacing w:val="-2"/>
                                  <w:sz w:val="9"/>
                                </w:rPr>
                                <w:t>ς:</w:t>
                              </w:r>
                            </w:p>
                            <w:p>
                              <w:pPr>
                                <w:spacing w:before="0"/>
                                <w:ind w:left="0" w:right="105" w:firstLine="0"/>
                                <w:jc w:val="center"/>
                                <w:rPr>
                                  <w:b/>
                                  <w:sz w:val="9"/>
                                </w:rPr>
                              </w:pPr>
                              <w:r>
                                <w:rPr>
                                  <w:b/>
                                  <w:color w:val="FFFFFF"/>
                                  <w:sz w:val="9"/>
                                </w:rPr>
                                <w:t>85,5</w:t>
                              </w:r>
                              <w:r>
                                <w:rPr>
                                  <w:b/>
                                  <w:color w:val="FFFFFF"/>
                                  <w:spacing w:val="-3"/>
                                  <w:sz w:val="9"/>
                                </w:rPr>
                                <w:t> </w:t>
                              </w:r>
                              <w:r>
                                <w:rPr>
                                  <w:b/>
                                  <w:color w:val="FFFFFF"/>
                                  <w:sz w:val="9"/>
                                </w:rPr>
                                <w:t>δ</w:t>
                              </w:r>
                              <w:r>
                                <w:rPr>
                                  <w:b/>
                                  <w:smallCaps/>
                                  <w:color w:val="FFFFFF"/>
                                  <w:sz w:val="9"/>
                                </w:rPr>
                                <w:t>ι</w:t>
                              </w:r>
                              <w:r>
                                <w:rPr>
                                  <w:b/>
                                  <w:smallCaps w:val="0"/>
                                  <w:color w:val="FFFFFF"/>
                                  <w:sz w:val="9"/>
                                </w:rPr>
                                <w:t>σεκ.</w:t>
                              </w:r>
                              <w:r>
                                <w:rPr>
                                  <w:b/>
                                  <w:smallCaps w:val="0"/>
                                  <w:color w:val="FFFFFF"/>
                                  <w:spacing w:val="4"/>
                                  <w:sz w:val="9"/>
                                </w:rPr>
                                <w:t> </w:t>
                              </w:r>
                              <w:r>
                                <w:rPr>
                                  <w:b/>
                                  <w:smallCaps w:val="0"/>
                                  <w:color w:val="FFFFFF"/>
                                  <w:sz w:val="9"/>
                                </w:rPr>
                                <w:t>ευρώ</w:t>
                              </w:r>
                              <w:r>
                                <w:rPr>
                                  <w:b/>
                                  <w:smallCaps w:val="0"/>
                                  <w:color w:val="FFFFFF"/>
                                  <w:spacing w:val="-2"/>
                                  <w:sz w:val="9"/>
                                </w:rPr>
                                <w:t> </w:t>
                              </w:r>
                              <w:r>
                                <w:rPr>
                                  <w:b/>
                                  <w:smallCaps w:val="0"/>
                                  <w:color w:val="FFFFFF"/>
                                  <w:sz w:val="9"/>
                                </w:rPr>
                                <w:t>[Δ(2024-2025):</w:t>
                              </w:r>
                              <w:r>
                                <w:rPr>
                                  <w:b/>
                                  <w:smallCaps w:val="0"/>
                                  <w:color w:val="FFFFFF"/>
                                  <w:spacing w:val="-3"/>
                                  <w:sz w:val="9"/>
                                </w:rPr>
                                <w:t> </w:t>
                              </w:r>
                              <w:r>
                                <w:rPr>
                                  <w:b/>
                                  <w:smallCaps w:val="0"/>
                                  <w:color w:val="FFFFFF"/>
                                  <w:spacing w:val="-2"/>
                                  <w:sz w:val="9"/>
                                </w:rPr>
                                <w:t>13,0%]</w:t>
                              </w:r>
                            </w:p>
                            <w:p>
                              <w:pPr>
                                <w:spacing w:before="55"/>
                                <w:ind w:left="316" w:right="0" w:firstLine="0"/>
                                <w:jc w:val="center"/>
                                <w:rPr>
                                  <w:b/>
                                  <w:sz w:val="9"/>
                                </w:rPr>
                              </w:pPr>
                              <w:r>
                                <w:rPr>
                                  <w:b/>
                                  <w:sz w:val="9"/>
                                </w:rPr>
                                <w:t>Ποσοστό</w:t>
                              </w:r>
                              <w:r>
                                <w:rPr>
                                  <w:b/>
                                  <w:spacing w:val="-6"/>
                                  <w:sz w:val="9"/>
                                </w:rPr>
                                <w:t> </w:t>
                              </w:r>
                              <w:r>
                                <w:rPr>
                                  <w:b/>
                                  <w:sz w:val="9"/>
                                </w:rPr>
                                <w:t>μη</w:t>
                              </w:r>
                              <w:r>
                                <w:rPr>
                                  <w:b/>
                                  <w:spacing w:val="-6"/>
                                  <w:sz w:val="9"/>
                                </w:rPr>
                                <w:t> </w:t>
                              </w:r>
                              <w:r>
                                <w:rPr>
                                  <w:b/>
                                  <w:sz w:val="9"/>
                                </w:rPr>
                                <w:t>εξυπηρετούμενων</w:t>
                              </w:r>
                              <w:r>
                                <w:rPr>
                                  <w:b/>
                                  <w:spacing w:val="40"/>
                                  <w:sz w:val="9"/>
                                </w:rPr>
                                <w:t> </w:t>
                              </w:r>
                              <w:r>
                                <w:rPr>
                                  <w:b/>
                                  <w:sz w:val="9"/>
                                </w:rPr>
                                <w:t>δανείων:</w:t>
                              </w:r>
                              <w:r>
                                <w:rPr>
                                  <w:b/>
                                  <w:spacing w:val="-6"/>
                                  <w:sz w:val="9"/>
                                </w:rPr>
                                <w:t> </w:t>
                              </w:r>
                              <w:r>
                                <w:rPr>
                                  <w:b/>
                                  <w:sz w:val="9"/>
                                </w:rPr>
                                <w:t>0,9%</w:t>
                              </w:r>
                            </w:p>
                            <w:p>
                              <w:pPr>
                                <w:spacing w:before="0"/>
                                <w:ind w:left="312" w:right="0" w:firstLine="0"/>
                                <w:jc w:val="center"/>
                                <w:rPr>
                                  <w:b/>
                                  <w:sz w:val="9"/>
                                </w:rPr>
                              </w:pPr>
                              <w:r>
                                <w:rPr>
                                  <w:b/>
                                  <w:sz w:val="9"/>
                                </w:rPr>
                                <w:t>Δ(2024-2025):</w:t>
                              </w:r>
                              <w:r>
                                <w:rPr>
                                  <w:b/>
                                  <w:spacing w:val="-2"/>
                                  <w:sz w:val="9"/>
                                </w:rPr>
                                <w:t> </w:t>
                              </w:r>
                              <w:r>
                                <w:rPr>
                                  <w:b/>
                                  <w:sz w:val="9"/>
                                </w:rPr>
                                <w:t>-</w:t>
                              </w:r>
                              <w:r>
                                <w:rPr>
                                  <w:b/>
                                  <w:spacing w:val="-4"/>
                                  <w:sz w:val="9"/>
                                </w:rPr>
                                <w:t>35,5%</w:t>
                              </w:r>
                            </w:p>
                            <w:p>
                              <w:pPr>
                                <w:spacing w:before="66"/>
                                <w:ind w:left="0" w:right="18" w:firstLine="0"/>
                                <w:jc w:val="right"/>
                                <w:rPr>
                                  <w:b/>
                                  <w:sz w:val="8"/>
                                </w:rPr>
                              </w:pPr>
                              <w:r>
                                <w:rPr>
                                  <w:b/>
                                  <w:color w:val="404040"/>
                                  <w:spacing w:val="-5"/>
                                  <w:w w:val="110"/>
                                  <w:sz w:val="8"/>
                                </w:rPr>
                                <w:t>46%</w:t>
                              </w:r>
                            </w:p>
                          </w:txbxContent>
                        </wps:txbx>
                        <wps:bodyPr wrap="square" lIns="0" tIns="0" rIns="0" bIns="0" rtlCol="0">
                          <a:noAutofit/>
                        </wps:bodyPr>
                      </wps:wsp>
                      <wps:wsp>
                        <wps:cNvPr id="398" name="Textbox 398"/>
                        <wps:cNvSpPr txBox="1"/>
                        <wps:spPr>
                          <a:xfrm>
                            <a:off x="1544441" y="3529814"/>
                            <a:ext cx="1006475" cy="372110"/>
                          </a:xfrm>
                          <a:prstGeom prst="rect">
                            <a:avLst/>
                          </a:prstGeom>
                        </wps:spPr>
                        <wps:txbx>
                          <w:txbxContent>
                            <w:p>
                              <w:pPr>
                                <w:spacing w:line="292" w:lineRule="auto" w:before="0"/>
                                <w:ind w:left="0" w:right="82" w:firstLine="0"/>
                                <w:jc w:val="center"/>
                                <w:rPr>
                                  <w:b/>
                                  <w:sz w:val="9"/>
                                </w:rPr>
                              </w:pPr>
                              <w:r>
                                <w:rPr>
                                  <w:b/>
                                  <w:color w:val="FFFFFF"/>
                                  <w:sz w:val="9"/>
                                </w:rPr>
                                <w:t>Μ</w:t>
                              </w:r>
                              <w:r>
                                <w:rPr>
                                  <w:b/>
                                  <w:smallCaps/>
                                  <w:color w:val="FFFFFF"/>
                                  <w:sz w:val="9"/>
                                </w:rPr>
                                <w:t>ι</w:t>
                              </w:r>
                              <w:r>
                                <w:rPr>
                                  <w:b/>
                                  <w:smallCaps w:val="0"/>
                                  <w:color w:val="FFFFFF"/>
                                  <w:sz w:val="9"/>
                                </w:rPr>
                                <w:t>κρές κα</w:t>
                              </w:r>
                              <w:r>
                                <w:rPr>
                                  <w:b/>
                                  <w:smallCaps/>
                                  <w:color w:val="FFFFFF"/>
                                  <w:sz w:val="9"/>
                                </w:rPr>
                                <w:t>ι</w:t>
                              </w:r>
                              <w:r>
                                <w:rPr>
                                  <w:b/>
                                  <w:smallCaps w:val="0"/>
                                  <w:color w:val="FFFFFF"/>
                                  <w:sz w:val="9"/>
                                </w:rPr>
                                <w:t> Μεσαίες Επ</w:t>
                              </w:r>
                              <w:r>
                                <w:rPr>
                                  <w:b/>
                                  <w:smallCaps/>
                                  <w:color w:val="FFFFFF"/>
                                  <w:sz w:val="9"/>
                                </w:rPr>
                                <w:t>ι</w:t>
                              </w:r>
                              <w:r>
                                <w:rPr>
                                  <w:b/>
                                  <w:smallCaps w:val="0"/>
                                  <w:color w:val="FFFFFF"/>
                                  <w:sz w:val="9"/>
                                </w:rPr>
                                <w:t>χε</w:t>
                              </w:r>
                              <w:r>
                                <w:rPr>
                                  <w:b/>
                                  <w:smallCaps/>
                                  <w:color w:val="FFFFFF"/>
                                  <w:sz w:val="9"/>
                                </w:rPr>
                                <w:t>ι</w:t>
                              </w:r>
                              <w:r>
                                <w:rPr>
                                  <w:b/>
                                  <w:smallCaps w:val="0"/>
                                  <w:color w:val="FFFFFF"/>
                                  <w:sz w:val="9"/>
                                </w:rPr>
                                <w:t>ρήσε</w:t>
                              </w:r>
                              <w:r>
                                <w:rPr>
                                  <w:b/>
                                  <w:smallCaps/>
                                  <w:color w:val="FFFFFF"/>
                                  <w:sz w:val="9"/>
                                </w:rPr>
                                <w:t>ι</w:t>
                              </w:r>
                              <w:r>
                                <w:rPr>
                                  <w:b/>
                                  <w:smallCaps w:val="0"/>
                                  <w:color w:val="FFFFFF"/>
                                  <w:sz w:val="9"/>
                                </w:rPr>
                                <w:t>ς:</w:t>
                              </w:r>
                              <w:r>
                                <w:rPr>
                                  <w:b/>
                                  <w:smallCaps w:val="0"/>
                                  <w:color w:val="FFFFFF"/>
                                  <w:spacing w:val="40"/>
                                  <w:sz w:val="9"/>
                                </w:rPr>
                                <w:t> </w:t>
                              </w:r>
                              <w:r>
                                <w:rPr>
                                  <w:b/>
                                  <w:smallCaps w:val="0"/>
                                  <w:color w:val="FFFFFF"/>
                                  <w:sz w:val="9"/>
                                </w:rPr>
                                <w:t>27,7</w:t>
                              </w:r>
                              <w:r>
                                <w:rPr>
                                  <w:b/>
                                  <w:smallCaps w:val="0"/>
                                  <w:color w:val="FFFFFF"/>
                                  <w:spacing w:val="-6"/>
                                  <w:sz w:val="9"/>
                                </w:rPr>
                                <w:t> </w:t>
                              </w:r>
                              <w:r>
                                <w:rPr>
                                  <w:b/>
                                  <w:smallCaps w:val="0"/>
                                  <w:color w:val="FFFFFF"/>
                                  <w:sz w:val="9"/>
                                </w:rPr>
                                <w:t>δ</w:t>
                              </w:r>
                              <w:r>
                                <w:rPr>
                                  <w:b/>
                                  <w:smallCaps/>
                                  <w:color w:val="FFFFFF"/>
                                  <w:sz w:val="9"/>
                                </w:rPr>
                                <w:t>ι</w:t>
                              </w:r>
                              <w:r>
                                <w:rPr>
                                  <w:b/>
                                  <w:smallCaps w:val="0"/>
                                  <w:color w:val="FFFFFF"/>
                                  <w:sz w:val="9"/>
                                </w:rPr>
                                <w:t>σεκ.</w:t>
                              </w:r>
                              <w:r>
                                <w:rPr>
                                  <w:b/>
                                  <w:smallCaps w:val="0"/>
                                  <w:color w:val="FFFFFF"/>
                                  <w:spacing w:val="-1"/>
                                  <w:sz w:val="9"/>
                                </w:rPr>
                                <w:t> </w:t>
                              </w:r>
                              <w:r>
                                <w:rPr>
                                  <w:b/>
                                  <w:smallCaps w:val="0"/>
                                  <w:color w:val="FFFFFF"/>
                                  <w:sz w:val="9"/>
                                </w:rPr>
                                <w:t>ευρώ</w:t>
                              </w:r>
                              <w:r>
                                <w:rPr>
                                  <w:b/>
                                  <w:smallCaps w:val="0"/>
                                  <w:color w:val="FFFFFF"/>
                                  <w:spacing w:val="-5"/>
                                  <w:sz w:val="9"/>
                                </w:rPr>
                                <w:t> </w:t>
                              </w:r>
                              <w:r>
                                <w:rPr>
                                  <w:b/>
                                  <w:smallCaps w:val="0"/>
                                  <w:color w:val="FFFFFF"/>
                                  <w:sz w:val="9"/>
                                </w:rPr>
                                <w:t>[Δ(2024-2025):</w:t>
                              </w:r>
                              <w:r>
                                <w:rPr>
                                  <w:b/>
                                  <w:smallCaps w:val="0"/>
                                  <w:color w:val="FFFFFF"/>
                                  <w:spacing w:val="-6"/>
                                  <w:sz w:val="9"/>
                                </w:rPr>
                                <w:t> </w:t>
                              </w:r>
                              <w:r>
                                <w:rPr>
                                  <w:b/>
                                  <w:smallCaps w:val="0"/>
                                  <w:color w:val="FFFFFF"/>
                                  <w:sz w:val="9"/>
                                </w:rPr>
                                <w:t>7,2%]</w:t>
                              </w:r>
                            </w:p>
                            <w:p>
                              <w:pPr>
                                <w:spacing w:before="23"/>
                                <w:ind w:left="366" w:right="0" w:firstLine="0"/>
                                <w:jc w:val="center"/>
                                <w:rPr>
                                  <w:b/>
                                  <w:sz w:val="9"/>
                                </w:rPr>
                              </w:pPr>
                              <w:r>
                                <w:rPr>
                                  <w:b/>
                                  <w:sz w:val="9"/>
                                </w:rPr>
                                <w:t>Ποσοστό</w:t>
                              </w:r>
                              <w:r>
                                <w:rPr>
                                  <w:b/>
                                  <w:spacing w:val="-6"/>
                                  <w:sz w:val="9"/>
                                </w:rPr>
                                <w:t> </w:t>
                              </w:r>
                              <w:r>
                                <w:rPr>
                                  <w:b/>
                                  <w:sz w:val="9"/>
                                </w:rPr>
                                <w:t>μη</w:t>
                              </w:r>
                              <w:r>
                                <w:rPr>
                                  <w:b/>
                                  <w:spacing w:val="-6"/>
                                  <w:sz w:val="9"/>
                                </w:rPr>
                                <w:t> </w:t>
                              </w:r>
                              <w:r>
                                <w:rPr>
                                  <w:b/>
                                  <w:sz w:val="9"/>
                                </w:rPr>
                                <w:t>εξυπηρετούμενων</w:t>
                              </w:r>
                              <w:r>
                                <w:rPr>
                                  <w:b/>
                                  <w:spacing w:val="40"/>
                                  <w:sz w:val="9"/>
                                </w:rPr>
                                <w:t> </w:t>
                              </w:r>
                              <w:r>
                                <w:rPr>
                                  <w:b/>
                                  <w:sz w:val="9"/>
                                </w:rPr>
                                <w:t>δανείων:</w:t>
                              </w:r>
                              <w:r>
                                <w:rPr>
                                  <w:b/>
                                  <w:spacing w:val="-6"/>
                                  <w:sz w:val="9"/>
                                </w:rPr>
                                <w:t> </w:t>
                              </w:r>
                              <w:r>
                                <w:rPr>
                                  <w:b/>
                                  <w:sz w:val="9"/>
                                </w:rPr>
                                <w:t>4,7%</w:t>
                              </w:r>
                            </w:p>
                            <w:p>
                              <w:pPr>
                                <w:spacing w:line="103" w:lineRule="exact" w:before="0"/>
                                <w:ind w:left="366" w:right="3" w:firstLine="0"/>
                                <w:jc w:val="center"/>
                                <w:rPr>
                                  <w:b/>
                                  <w:sz w:val="9"/>
                                </w:rPr>
                              </w:pPr>
                              <w:r>
                                <w:rPr>
                                  <w:b/>
                                  <w:sz w:val="9"/>
                                </w:rPr>
                                <w:t>Δ(2024-2025):</w:t>
                              </w:r>
                              <w:r>
                                <w:rPr>
                                  <w:b/>
                                  <w:spacing w:val="-2"/>
                                  <w:sz w:val="9"/>
                                </w:rPr>
                                <w:t> </w:t>
                              </w:r>
                              <w:r>
                                <w:rPr>
                                  <w:b/>
                                  <w:sz w:val="9"/>
                                </w:rPr>
                                <w:t>-</w:t>
                              </w:r>
                              <w:r>
                                <w:rPr>
                                  <w:b/>
                                  <w:spacing w:val="-4"/>
                                  <w:sz w:val="9"/>
                                </w:rPr>
                                <w:t>9,2%</w:t>
                              </w:r>
                            </w:p>
                          </w:txbxContent>
                        </wps:txbx>
                        <wps:bodyPr wrap="square" lIns="0" tIns="0" rIns="0" bIns="0" rtlCol="0">
                          <a:noAutofit/>
                        </wps:bodyPr>
                      </wps:wsp>
                      <wps:wsp>
                        <wps:cNvPr id="399" name="Textbox 399"/>
                        <wps:cNvSpPr txBox="1"/>
                        <wps:spPr>
                          <a:xfrm>
                            <a:off x="391940" y="3948027"/>
                            <a:ext cx="200025" cy="243204"/>
                          </a:xfrm>
                          <a:prstGeom prst="rect">
                            <a:avLst/>
                          </a:prstGeom>
                        </wps:spPr>
                        <wps:txbx>
                          <w:txbxContent>
                            <w:p>
                              <w:pPr>
                                <w:spacing w:line="252" w:lineRule="auto" w:before="1"/>
                                <w:ind w:left="0" w:right="18" w:hanging="3"/>
                                <w:jc w:val="center"/>
                                <w:rPr>
                                  <w:b/>
                                  <w:sz w:val="8"/>
                                </w:rPr>
                              </w:pPr>
                              <w:r>
                                <w:rPr>
                                  <w:b/>
                                  <w:color w:val="404040"/>
                                  <w:spacing w:val="-6"/>
                                  <w:w w:val="110"/>
                                  <w:sz w:val="8"/>
                                </w:rPr>
                                <w:t>9%</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20" w:firstLine="0"/>
                                <w:jc w:val="center"/>
                                <w:rPr>
                                  <w:b/>
                                  <w:sz w:val="8"/>
                                </w:rPr>
                              </w:pPr>
                              <w:r>
                                <w:rPr>
                                  <w:b/>
                                  <w:color w:val="404040"/>
                                  <w:sz w:val="8"/>
                                </w:rPr>
                                <w:t>-</w:t>
                              </w:r>
                              <w:r>
                                <w:rPr>
                                  <w:b/>
                                  <w:color w:val="404040"/>
                                  <w:spacing w:val="-4"/>
                                  <w:sz w:val="8"/>
                                </w:rPr>
                                <w:t>9,4%</w:t>
                              </w:r>
                            </w:p>
                          </w:txbxContent>
                        </wps:txbx>
                        <wps:bodyPr wrap="square" lIns="0" tIns="0" rIns="0" bIns="0" rtlCol="0">
                          <a:noAutofit/>
                        </wps:bodyPr>
                      </wps:wsp>
                      <wps:wsp>
                        <wps:cNvPr id="400" name="Textbox 400"/>
                        <wps:cNvSpPr txBox="1"/>
                        <wps:spPr>
                          <a:xfrm>
                            <a:off x="1212746" y="3993514"/>
                            <a:ext cx="475615" cy="95250"/>
                          </a:xfrm>
                          <a:prstGeom prst="rect">
                            <a:avLst/>
                          </a:prstGeom>
                        </wps:spPr>
                        <wps:txbx>
                          <w:txbxContent>
                            <w:p>
                              <w:pPr>
                                <w:spacing w:before="1"/>
                                <w:ind w:left="0" w:right="0" w:firstLine="0"/>
                                <w:jc w:val="left"/>
                                <w:rPr>
                                  <w:b/>
                                  <w:position w:val="-4"/>
                                  <w:sz w:val="8"/>
                                </w:rPr>
                              </w:pPr>
                              <w:r>
                                <w:rPr>
                                  <w:b/>
                                  <w:color w:val="404040"/>
                                  <w:w w:val="110"/>
                                  <w:sz w:val="8"/>
                                </w:rPr>
                                <w:t>Δ(2024-</w:t>
                              </w:r>
                              <w:r>
                                <w:rPr>
                                  <w:b/>
                                  <w:color w:val="404040"/>
                                  <w:spacing w:val="46"/>
                                  <w:w w:val="110"/>
                                  <w:sz w:val="8"/>
                                </w:rPr>
                                <w:t>  </w:t>
                              </w:r>
                              <w:r>
                                <w:rPr>
                                  <w:b/>
                                  <w:color w:val="404040"/>
                                  <w:spacing w:val="-2"/>
                                  <w:w w:val="110"/>
                                  <w:position w:val="-4"/>
                                  <w:sz w:val="8"/>
                                </w:rPr>
                                <w:t>Δ(2024-</w:t>
                              </w:r>
                            </w:p>
                          </w:txbxContent>
                        </wps:txbx>
                        <wps:bodyPr wrap="square" lIns="0" tIns="0" rIns="0" bIns="0" rtlCol="0">
                          <a:noAutofit/>
                        </wps:bodyPr>
                      </wps:wsp>
                      <wps:wsp>
                        <wps:cNvPr id="401" name="Textbox 401"/>
                        <wps:cNvSpPr txBox="1"/>
                        <wps:spPr>
                          <a:xfrm>
                            <a:off x="1524403" y="3967129"/>
                            <a:ext cx="125730" cy="60325"/>
                          </a:xfrm>
                          <a:prstGeom prst="rect">
                            <a:avLst/>
                          </a:prstGeom>
                        </wps:spPr>
                        <wps:txbx>
                          <w:txbxContent>
                            <w:p>
                              <w:pPr>
                                <w:spacing w:before="1"/>
                                <w:ind w:left="0" w:right="0" w:firstLine="0"/>
                                <w:jc w:val="left"/>
                                <w:rPr>
                                  <w:b/>
                                  <w:sz w:val="8"/>
                                </w:rPr>
                              </w:pPr>
                              <w:r>
                                <w:rPr>
                                  <w:b/>
                                  <w:color w:val="404040"/>
                                  <w:spacing w:val="-5"/>
                                  <w:w w:val="110"/>
                                  <w:sz w:val="8"/>
                                </w:rPr>
                                <w:t>51%</w:t>
                              </w:r>
                            </w:p>
                          </w:txbxContent>
                        </wps:txbx>
                        <wps:bodyPr wrap="square" lIns="0" tIns="0" rIns="0" bIns="0" rtlCol="0">
                          <a:noAutofit/>
                        </wps:bodyPr>
                      </wps:wsp>
                      <wps:wsp>
                        <wps:cNvPr id="402" name="Textbox 402"/>
                        <wps:cNvSpPr txBox="1"/>
                        <wps:spPr>
                          <a:xfrm>
                            <a:off x="1219959" y="4054532"/>
                            <a:ext cx="188595" cy="121285"/>
                          </a:xfrm>
                          <a:prstGeom prst="rect">
                            <a:avLst/>
                          </a:prstGeom>
                        </wps:spPr>
                        <wps:txbx>
                          <w:txbxContent>
                            <w:p>
                              <w:pPr>
                                <w:spacing w:before="1"/>
                                <w:ind w:left="18" w:right="0" w:firstLine="0"/>
                                <w:jc w:val="left"/>
                                <w:rPr>
                                  <w:b/>
                                  <w:sz w:val="8"/>
                                </w:rPr>
                              </w:pPr>
                              <w:r>
                                <w:rPr>
                                  <w:b/>
                                  <w:color w:val="404040"/>
                                  <w:spacing w:val="-2"/>
                                  <w:w w:val="110"/>
                                  <w:sz w:val="8"/>
                                </w:rPr>
                                <w:t>2025):</w:t>
                              </w:r>
                            </w:p>
                            <w:p>
                              <w:pPr>
                                <w:spacing w:before="4"/>
                                <w:ind w:left="0" w:right="0" w:firstLine="0"/>
                                <w:jc w:val="left"/>
                                <w:rPr>
                                  <w:b/>
                                  <w:sz w:val="8"/>
                                </w:rPr>
                              </w:pPr>
                              <w:r>
                                <w:rPr>
                                  <w:b/>
                                  <w:color w:val="404040"/>
                                  <w:sz w:val="8"/>
                                </w:rPr>
                                <w:t>-</w:t>
                              </w:r>
                              <w:r>
                                <w:rPr>
                                  <w:b/>
                                  <w:color w:val="404040"/>
                                  <w:spacing w:val="-2"/>
                                  <w:sz w:val="8"/>
                                </w:rPr>
                                <w:t>36,4%</w:t>
                              </w:r>
                            </w:p>
                          </w:txbxContent>
                        </wps:txbx>
                        <wps:bodyPr wrap="square" lIns="0" tIns="0" rIns="0" bIns="0" rtlCol="0">
                          <a:noAutofit/>
                        </wps:bodyPr>
                      </wps:wsp>
                      <wps:wsp>
                        <wps:cNvPr id="403" name="Textbox 403"/>
                        <wps:cNvSpPr txBox="1"/>
                        <wps:spPr>
                          <a:xfrm>
                            <a:off x="1495549" y="4089469"/>
                            <a:ext cx="188595" cy="121285"/>
                          </a:xfrm>
                          <a:prstGeom prst="rect">
                            <a:avLst/>
                          </a:prstGeom>
                        </wps:spPr>
                        <wps:txbx>
                          <w:txbxContent>
                            <w:p>
                              <w:pPr>
                                <w:spacing w:before="1"/>
                                <w:ind w:left="18" w:right="0" w:firstLine="0"/>
                                <w:jc w:val="left"/>
                                <w:rPr>
                                  <w:b/>
                                  <w:sz w:val="8"/>
                                </w:rPr>
                              </w:pPr>
                              <w:r>
                                <w:rPr>
                                  <w:b/>
                                  <w:color w:val="404040"/>
                                  <w:spacing w:val="-2"/>
                                  <w:w w:val="110"/>
                                  <w:sz w:val="8"/>
                                </w:rPr>
                                <w:t>2025):</w:t>
                              </w:r>
                            </w:p>
                            <w:p>
                              <w:pPr>
                                <w:spacing w:before="4"/>
                                <w:ind w:left="0" w:right="0" w:firstLine="0"/>
                                <w:jc w:val="left"/>
                                <w:rPr>
                                  <w:b/>
                                  <w:sz w:val="8"/>
                                </w:rPr>
                              </w:pPr>
                              <w:r>
                                <w:rPr>
                                  <w:b/>
                                  <w:color w:val="404040"/>
                                  <w:sz w:val="8"/>
                                </w:rPr>
                                <w:t>-</w:t>
                              </w:r>
                              <w:r>
                                <w:rPr>
                                  <w:b/>
                                  <w:color w:val="404040"/>
                                  <w:spacing w:val="-2"/>
                                  <w:sz w:val="8"/>
                                </w:rPr>
                                <w:t>12,6%</w:t>
                              </w:r>
                            </w:p>
                          </w:txbxContent>
                        </wps:txbx>
                        <wps:bodyPr wrap="square" lIns="0" tIns="0" rIns="0" bIns="0" rtlCol="0">
                          <a:noAutofit/>
                        </wps:bodyPr>
                      </wps:wsp>
                      <wps:wsp>
                        <wps:cNvPr id="404" name="Textbox 404"/>
                        <wps:cNvSpPr txBox="1"/>
                        <wps:spPr>
                          <a:xfrm>
                            <a:off x="2381438" y="3972305"/>
                            <a:ext cx="200025" cy="243204"/>
                          </a:xfrm>
                          <a:prstGeom prst="rect">
                            <a:avLst/>
                          </a:prstGeom>
                        </wps:spPr>
                        <wps:txbx>
                          <w:txbxContent>
                            <w:p>
                              <w:pPr>
                                <w:spacing w:line="252" w:lineRule="auto" w:before="1"/>
                                <w:ind w:left="-1" w:right="18" w:hanging="3"/>
                                <w:jc w:val="center"/>
                                <w:rPr>
                                  <w:b/>
                                  <w:sz w:val="8"/>
                                </w:rPr>
                              </w:pPr>
                              <w:r>
                                <w:rPr>
                                  <w:b/>
                                  <w:color w:val="404040"/>
                                  <w:spacing w:val="-4"/>
                                  <w:w w:val="110"/>
                                  <w:sz w:val="8"/>
                                </w:rPr>
                                <w:t>25%</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13" w:firstLine="0"/>
                                <w:jc w:val="center"/>
                                <w:rPr>
                                  <w:b/>
                                  <w:sz w:val="8"/>
                                </w:rPr>
                              </w:pPr>
                              <w:r>
                                <w:rPr>
                                  <w:b/>
                                  <w:color w:val="404040"/>
                                  <w:sz w:val="8"/>
                                </w:rPr>
                                <w:t>-</w:t>
                              </w:r>
                              <w:r>
                                <w:rPr>
                                  <w:b/>
                                  <w:color w:val="404040"/>
                                  <w:spacing w:val="-2"/>
                                  <w:sz w:val="8"/>
                                </w:rPr>
                                <w:t>20,6%</w:t>
                              </w:r>
                            </w:p>
                          </w:txbxContent>
                        </wps:txbx>
                        <wps:bodyPr wrap="square" lIns="0" tIns="0" rIns="0" bIns="0" rtlCol="0">
                          <a:noAutofit/>
                        </wps:bodyPr>
                      </wps:wsp>
                      <wps:wsp>
                        <wps:cNvPr id="405" name="Textbox 405"/>
                        <wps:cNvSpPr txBox="1"/>
                        <wps:spPr>
                          <a:xfrm>
                            <a:off x="2907931" y="3808939"/>
                            <a:ext cx="853440" cy="360045"/>
                          </a:xfrm>
                          <a:prstGeom prst="rect">
                            <a:avLst/>
                          </a:prstGeom>
                        </wps:spPr>
                        <wps:txbx>
                          <w:txbxContent>
                            <w:p>
                              <w:pPr>
                                <w:spacing w:line="292" w:lineRule="auto" w:before="0"/>
                                <w:ind w:left="0" w:right="200" w:firstLine="0"/>
                                <w:jc w:val="center"/>
                                <w:rPr>
                                  <w:b/>
                                  <w:sz w:val="9"/>
                                </w:rPr>
                              </w:pPr>
                              <w:r>
                                <w:rPr>
                                  <w:b/>
                                  <w:color w:val="FFFFFF"/>
                                  <w:sz w:val="9"/>
                                </w:rPr>
                                <w:t>Στεγαστ</w:t>
                              </w:r>
                              <w:r>
                                <w:rPr>
                                  <w:b/>
                                  <w:smallCaps/>
                                  <w:color w:val="FFFFFF"/>
                                  <w:sz w:val="9"/>
                                </w:rPr>
                                <w:t>ι</w:t>
                              </w:r>
                              <w:r>
                                <w:rPr>
                                  <w:b/>
                                  <w:smallCaps w:val="0"/>
                                  <w:color w:val="FFFFFF"/>
                                  <w:sz w:val="9"/>
                                </w:rPr>
                                <w:t>κά:</w:t>
                              </w:r>
                              <w:r>
                                <w:rPr>
                                  <w:b/>
                                  <w:smallCaps w:val="0"/>
                                  <w:color w:val="FFFFFF"/>
                                  <w:spacing w:val="-6"/>
                                  <w:sz w:val="9"/>
                                </w:rPr>
                                <w:t> </w:t>
                              </w:r>
                              <w:r>
                                <w:rPr>
                                  <w:b/>
                                  <w:smallCaps w:val="0"/>
                                  <w:color w:val="FFFFFF"/>
                                  <w:sz w:val="9"/>
                                </w:rPr>
                                <w:t>27,2</w:t>
                              </w:r>
                              <w:r>
                                <w:rPr>
                                  <w:b/>
                                  <w:smallCaps w:val="0"/>
                                  <w:color w:val="FFFFFF"/>
                                  <w:spacing w:val="-6"/>
                                  <w:sz w:val="9"/>
                                </w:rPr>
                                <w:t> </w:t>
                              </w:r>
                              <w:r>
                                <w:rPr>
                                  <w:b/>
                                  <w:smallCaps w:val="0"/>
                                  <w:color w:val="FFFFFF"/>
                                  <w:sz w:val="9"/>
                                </w:rPr>
                                <w:t>δ</w:t>
                              </w:r>
                              <w:r>
                                <w:rPr>
                                  <w:b/>
                                  <w:smallCaps/>
                                  <w:color w:val="FFFFFF"/>
                                  <w:sz w:val="9"/>
                                </w:rPr>
                                <w:t>ι</w:t>
                              </w:r>
                              <w:r>
                                <w:rPr>
                                  <w:b/>
                                  <w:smallCaps w:val="0"/>
                                  <w:color w:val="FFFFFF"/>
                                  <w:sz w:val="9"/>
                                </w:rPr>
                                <w:t>σεκ.</w:t>
                              </w:r>
                              <w:r>
                                <w:rPr>
                                  <w:b/>
                                  <w:smallCaps w:val="0"/>
                                  <w:color w:val="FFFFFF"/>
                                  <w:spacing w:val="-6"/>
                                  <w:sz w:val="9"/>
                                </w:rPr>
                                <w:t> </w:t>
                              </w:r>
                              <w:r>
                                <w:rPr>
                                  <w:b/>
                                  <w:smallCaps w:val="0"/>
                                  <w:color w:val="FFFFFF"/>
                                  <w:sz w:val="9"/>
                                </w:rPr>
                                <w:t>ευρώ</w:t>
                              </w:r>
                              <w:r>
                                <w:rPr>
                                  <w:b/>
                                  <w:smallCaps w:val="0"/>
                                  <w:color w:val="FFFFFF"/>
                                  <w:spacing w:val="40"/>
                                  <w:sz w:val="9"/>
                                </w:rPr>
                                <w:t> </w:t>
                              </w:r>
                              <w:r>
                                <w:rPr>
                                  <w:b/>
                                  <w:smallCaps w:val="0"/>
                                  <w:color w:val="FFFFFF"/>
                                  <w:sz w:val="9"/>
                                </w:rPr>
                                <w:t>[Δ(2024-2025):</w:t>
                              </w:r>
                              <w:r>
                                <w:rPr>
                                  <w:b/>
                                  <w:smallCaps w:val="0"/>
                                  <w:color w:val="FFFFFF"/>
                                  <w:spacing w:val="-6"/>
                                  <w:sz w:val="9"/>
                                </w:rPr>
                                <w:t> </w:t>
                              </w:r>
                              <w:r>
                                <w:rPr>
                                  <w:b/>
                                  <w:smallCaps w:val="0"/>
                                  <w:color w:val="FFFFFF"/>
                                  <w:sz w:val="9"/>
                                </w:rPr>
                                <w:t>-1,1%]</w:t>
                              </w:r>
                            </w:p>
                            <w:p>
                              <w:pPr>
                                <w:spacing w:before="3"/>
                                <w:ind w:left="103" w:right="0" w:firstLine="0"/>
                                <w:jc w:val="center"/>
                                <w:rPr>
                                  <w:b/>
                                  <w:sz w:val="9"/>
                                </w:rPr>
                              </w:pPr>
                              <w:r>
                                <w:rPr>
                                  <w:b/>
                                  <w:sz w:val="9"/>
                                </w:rPr>
                                <w:t>Ποσοστό</w:t>
                              </w:r>
                              <w:r>
                                <w:rPr>
                                  <w:b/>
                                  <w:spacing w:val="-3"/>
                                  <w:sz w:val="9"/>
                                </w:rPr>
                                <w:t> </w:t>
                              </w:r>
                              <w:r>
                                <w:rPr>
                                  <w:b/>
                                  <w:sz w:val="9"/>
                                </w:rPr>
                                <w:t>μη</w:t>
                              </w:r>
                              <w:r>
                                <w:rPr>
                                  <w:b/>
                                  <w:spacing w:val="-5"/>
                                  <w:sz w:val="9"/>
                                </w:rPr>
                                <w:t> </w:t>
                              </w:r>
                              <w:r>
                                <w:rPr>
                                  <w:b/>
                                  <w:sz w:val="9"/>
                                </w:rPr>
                                <w:t>εξυπηρετούμενων</w:t>
                              </w:r>
                              <w:r>
                                <w:rPr>
                                  <w:b/>
                                  <w:spacing w:val="40"/>
                                  <w:sz w:val="9"/>
                                </w:rPr>
                                <w:t> </w:t>
                              </w:r>
                              <w:r>
                                <w:rPr>
                                  <w:b/>
                                  <w:sz w:val="9"/>
                                </w:rPr>
                                <w:t>δανείων:</w:t>
                              </w:r>
                              <w:r>
                                <w:rPr>
                                  <w:b/>
                                  <w:spacing w:val="-6"/>
                                  <w:sz w:val="9"/>
                                </w:rPr>
                                <w:t> </w:t>
                              </w:r>
                              <w:r>
                                <w:rPr>
                                  <w:b/>
                                  <w:sz w:val="9"/>
                                </w:rPr>
                                <w:t>7,7%</w:t>
                              </w:r>
                            </w:p>
                            <w:p>
                              <w:pPr>
                                <w:spacing w:line="103" w:lineRule="exact" w:before="0"/>
                                <w:ind w:left="99" w:right="0" w:firstLine="0"/>
                                <w:jc w:val="center"/>
                                <w:rPr>
                                  <w:b/>
                                  <w:sz w:val="9"/>
                                </w:rPr>
                              </w:pPr>
                              <w:r>
                                <w:rPr>
                                  <w:b/>
                                  <w:sz w:val="9"/>
                                </w:rPr>
                                <w:t>Δ(2024-2025):</w:t>
                              </w:r>
                              <w:r>
                                <w:rPr>
                                  <w:b/>
                                  <w:spacing w:val="-1"/>
                                  <w:sz w:val="9"/>
                                </w:rPr>
                                <w:t> </w:t>
                              </w:r>
                              <w:r>
                                <w:rPr>
                                  <w:b/>
                                  <w:spacing w:val="-4"/>
                                  <w:sz w:val="9"/>
                                </w:rPr>
                                <w:t>9,3%</w:t>
                              </w:r>
                            </w:p>
                          </w:txbxContent>
                        </wps:txbx>
                        <wps:bodyPr wrap="square" lIns="0" tIns="0" rIns="0" bIns="0" rtlCol="0">
                          <a:noAutofit/>
                        </wps:bodyPr>
                      </wps:wsp>
                      <wps:wsp>
                        <wps:cNvPr id="406" name="Textbox 406"/>
                        <wps:cNvSpPr txBox="1"/>
                        <wps:spPr>
                          <a:xfrm>
                            <a:off x="4148021" y="3809347"/>
                            <a:ext cx="892175" cy="349250"/>
                          </a:xfrm>
                          <a:prstGeom prst="rect">
                            <a:avLst/>
                          </a:prstGeom>
                        </wps:spPr>
                        <wps:txbx>
                          <w:txbxContent>
                            <w:p>
                              <w:pPr>
                                <w:spacing w:line="292" w:lineRule="auto" w:before="0"/>
                                <w:ind w:left="0" w:right="169" w:firstLine="0"/>
                                <w:jc w:val="center"/>
                                <w:rPr>
                                  <w:b/>
                                  <w:sz w:val="9"/>
                                </w:rPr>
                              </w:pPr>
                              <w:r>
                                <w:rPr>
                                  <w:b/>
                                  <w:color w:val="FFFFFF"/>
                                  <w:sz w:val="9"/>
                                </w:rPr>
                                <w:t>Καταναλωτ</w:t>
                              </w:r>
                              <w:r>
                                <w:rPr>
                                  <w:b/>
                                  <w:smallCaps/>
                                  <w:color w:val="FFFFFF"/>
                                  <w:sz w:val="9"/>
                                </w:rPr>
                                <w:t>ι</w:t>
                              </w:r>
                              <w:r>
                                <w:rPr>
                                  <w:b/>
                                  <w:smallCaps w:val="0"/>
                                  <w:color w:val="FFFFFF"/>
                                  <w:sz w:val="9"/>
                                </w:rPr>
                                <w:t>κά:</w:t>
                              </w:r>
                              <w:r>
                                <w:rPr>
                                  <w:b/>
                                  <w:smallCaps w:val="0"/>
                                  <w:color w:val="FFFFFF"/>
                                  <w:spacing w:val="-6"/>
                                  <w:sz w:val="9"/>
                                </w:rPr>
                                <w:t> </w:t>
                              </w:r>
                              <w:r>
                                <w:rPr>
                                  <w:b/>
                                  <w:smallCaps w:val="0"/>
                                  <w:color w:val="FFFFFF"/>
                                  <w:sz w:val="9"/>
                                </w:rPr>
                                <w:t>7,6</w:t>
                              </w:r>
                              <w:r>
                                <w:rPr>
                                  <w:b/>
                                  <w:smallCaps w:val="0"/>
                                  <w:color w:val="FFFFFF"/>
                                  <w:spacing w:val="-6"/>
                                  <w:sz w:val="9"/>
                                </w:rPr>
                                <w:t> </w:t>
                              </w:r>
                              <w:r>
                                <w:rPr>
                                  <w:b/>
                                  <w:smallCaps w:val="0"/>
                                  <w:color w:val="FFFFFF"/>
                                  <w:sz w:val="9"/>
                                </w:rPr>
                                <w:t>δ</w:t>
                              </w:r>
                              <w:r>
                                <w:rPr>
                                  <w:b/>
                                  <w:smallCaps/>
                                  <w:color w:val="FFFFFF"/>
                                  <w:sz w:val="9"/>
                                </w:rPr>
                                <w:t>ι</w:t>
                              </w:r>
                              <w:r>
                                <w:rPr>
                                  <w:b/>
                                  <w:smallCaps w:val="0"/>
                                  <w:color w:val="FFFFFF"/>
                                  <w:sz w:val="9"/>
                                </w:rPr>
                                <w:t>σεκ.</w:t>
                              </w:r>
                              <w:r>
                                <w:rPr>
                                  <w:b/>
                                  <w:smallCaps w:val="0"/>
                                  <w:color w:val="FFFFFF"/>
                                  <w:spacing w:val="-5"/>
                                  <w:sz w:val="9"/>
                                </w:rPr>
                                <w:t> </w:t>
                              </w:r>
                              <w:r>
                                <w:rPr>
                                  <w:b/>
                                  <w:smallCaps w:val="0"/>
                                  <w:color w:val="FFFFFF"/>
                                  <w:sz w:val="9"/>
                                </w:rPr>
                                <w:t>ευρώ</w:t>
                              </w:r>
                              <w:r>
                                <w:rPr>
                                  <w:b/>
                                  <w:smallCaps w:val="0"/>
                                  <w:color w:val="FFFFFF"/>
                                  <w:spacing w:val="40"/>
                                  <w:sz w:val="9"/>
                                </w:rPr>
                                <w:t> </w:t>
                              </w:r>
                              <w:r>
                                <w:rPr>
                                  <w:b/>
                                  <w:smallCaps w:val="0"/>
                                  <w:color w:val="FFFFFF"/>
                                  <w:sz w:val="9"/>
                                </w:rPr>
                                <w:t>[Δ(2024-2025):</w:t>
                              </w:r>
                              <w:r>
                                <w:rPr>
                                  <w:b/>
                                  <w:smallCaps w:val="0"/>
                                  <w:color w:val="FFFFFF"/>
                                  <w:spacing w:val="-6"/>
                                  <w:sz w:val="9"/>
                                </w:rPr>
                                <w:t> </w:t>
                              </w:r>
                              <w:r>
                                <w:rPr>
                                  <w:b/>
                                  <w:smallCaps w:val="0"/>
                                  <w:color w:val="FFFFFF"/>
                                  <w:sz w:val="9"/>
                                </w:rPr>
                                <w:t>4,5%]</w:t>
                              </w:r>
                            </w:p>
                            <w:p>
                              <w:pPr>
                                <w:spacing w:line="95" w:lineRule="exact" w:before="0"/>
                                <w:ind w:left="184" w:right="0" w:firstLine="0"/>
                                <w:jc w:val="center"/>
                                <w:rPr>
                                  <w:b/>
                                  <w:sz w:val="9"/>
                                </w:rPr>
                              </w:pPr>
                              <w:r>
                                <w:rPr>
                                  <w:b/>
                                  <w:sz w:val="9"/>
                                </w:rPr>
                                <w:t>Ποσοστό</w:t>
                              </w:r>
                              <w:r>
                                <w:rPr>
                                  <w:b/>
                                  <w:spacing w:val="1"/>
                                  <w:sz w:val="9"/>
                                </w:rPr>
                                <w:t> </w:t>
                              </w:r>
                              <w:r>
                                <w:rPr>
                                  <w:b/>
                                  <w:sz w:val="9"/>
                                </w:rPr>
                                <w:t>μη</w:t>
                              </w:r>
                              <w:r>
                                <w:rPr>
                                  <w:b/>
                                  <w:spacing w:val="-1"/>
                                  <w:sz w:val="9"/>
                                </w:rPr>
                                <w:t> </w:t>
                              </w:r>
                              <w:r>
                                <w:rPr>
                                  <w:b/>
                                  <w:spacing w:val="-2"/>
                                  <w:sz w:val="9"/>
                                </w:rPr>
                                <w:t>εξυπηρετούμενων</w:t>
                              </w:r>
                            </w:p>
                            <w:p>
                              <w:pPr>
                                <w:spacing w:before="0"/>
                                <w:ind w:left="182" w:right="0" w:firstLine="0"/>
                                <w:jc w:val="center"/>
                                <w:rPr>
                                  <w:b/>
                                  <w:sz w:val="9"/>
                                </w:rPr>
                              </w:pPr>
                              <w:r>
                                <w:rPr>
                                  <w:b/>
                                  <w:sz w:val="9"/>
                                </w:rPr>
                                <w:t>δανείων:</w:t>
                              </w:r>
                              <w:r>
                                <w:rPr>
                                  <w:b/>
                                  <w:spacing w:val="-2"/>
                                  <w:sz w:val="9"/>
                                </w:rPr>
                                <w:t> </w:t>
                              </w:r>
                              <w:r>
                                <w:rPr>
                                  <w:b/>
                                  <w:spacing w:val="-4"/>
                                  <w:sz w:val="9"/>
                                </w:rPr>
                                <w:t>6,8%</w:t>
                              </w:r>
                            </w:p>
                            <w:p>
                              <w:pPr>
                                <w:spacing w:line="103" w:lineRule="exact" w:before="0"/>
                                <w:ind w:left="182" w:right="0" w:firstLine="0"/>
                                <w:jc w:val="center"/>
                                <w:rPr>
                                  <w:b/>
                                  <w:sz w:val="9"/>
                                </w:rPr>
                              </w:pPr>
                              <w:r>
                                <w:rPr>
                                  <w:b/>
                                  <w:sz w:val="9"/>
                                </w:rPr>
                                <w:t>Δ(2024-2025):</w:t>
                              </w:r>
                              <w:r>
                                <w:rPr>
                                  <w:b/>
                                  <w:spacing w:val="-1"/>
                                  <w:sz w:val="9"/>
                                </w:rPr>
                                <w:t> </w:t>
                              </w:r>
                              <w:r>
                                <w:rPr>
                                  <w:b/>
                                  <w:spacing w:val="-2"/>
                                  <w:sz w:val="9"/>
                                </w:rPr>
                                <w:t>13,9%</w:t>
                              </w:r>
                            </w:p>
                          </w:txbxContent>
                        </wps:txbx>
                        <wps:bodyPr wrap="square" lIns="0" tIns="0" rIns="0" bIns="0" rtlCol="0">
                          <a:noAutofit/>
                        </wps:bodyPr>
                      </wps:wsp>
                      <wps:wsp>
                        <wps:cNvPr id="407" name="Textbox 407"/>
                        <wps:cNvSpPr txBox="1"/>
                        <wps:spPr>
                          <a:xfrm>
                            <a:off x="300087" y="4360462"/>
                            <a:ext cx="200025" cy="244475"/>
                          </a:xfrm>
                          <a:prstGeom prst="rect">
                            <a:avLst/>
                          </a:prstGeom>
                        </wps:spPr>
                        <wps:txbx>
                          <w:txbxContent>
                            <w:p>
                              <w:pPr>
                                <w:spacing w:line="85" w:lineRule="exact" w:before="0"/>
                                <w:ind w:left="71" w:right="0" w:firstLine="0"/>
                                <w:jc w:val="left"/>
                                <w:rPr>
                                  <w:rFonts w:ascii="Calibri"/>
                                  <w:b/>
                                  <w:sz w:val="8"/>
                                </w:rPr>
                              </w:pPr>
                              <w:r>
                                <w:rPr>
                                  <w:rFonts w:ascii="Calibri"/>
                                  <w:b/>
                                  <w:color w:val="404040"/>
                                  <w:spacing w:val="-5"/>
                                  <w:w w:val="110"/>
                                  <w:sz w:val="8"/>
                                </w:rPr>
                                <w:t>45%</w:t>
                              </w:r>
                            </w:p>
                            <w:p>
                              <w:pPr>
                                <w:spacing w:before="4"/>
                                <w:ind w:left="0" w:right="0" w:firstLine="0"/>
                                <w:jc w:val="left"/>
                                <w:rPr>
                                  <w:b/>
                                  <w:sz w:val="8"/>
                                </w:rPr>
                              </w:pPr>
                              <w:r>
                                <w:rPr>
                                  <w:b/>
                                  <w:color w:val="404040"/>
                                  <w:w w:val="110"/>
                                  <w:sz w:val="8"/>
                                </w:rPr>
                                <w:t>Δ(2024-</w:t>
                              </w:r>
                            </w:p>
                            <w:p>
                              <w:pPr>
                                <w:spacing w:before="2"/>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line="97" w:lineRule="exact" w:before="6"/>
                                <w:ind w:left="22" w:right="0" w:firstLine="0"/>
                                <w:jc w:val="left"/>
                                <w:rPr>
                                  <w:rFonts w:ascii="Calibri"/>
                                  <w:b/>
                                  <w:sz w:val="8"/>
                                </w:rPr>
                              </w:pPr>
                              <w:r>
                                <w:rPr>
                                  <w:rFonts w:ascii="Calibri"/>
                                  <w:b/>
                                  <w:color w:val="404040"/>
                                  <w:sz w:val="8"/>
                                </w:rPr>
                                <w:t>-</w:t>
                              </w:r>
                              <w:r>
                                <w:rPr>
                                  <w:rFonts w:ascii="Calibri"/>
                                  <w:b/>
                                  <w:color w:val="404040"/>
                                  <w:spacing w:val="-2"/>
                                  <w:sz w:val="8"/>
                                </w:rPr>
                                <w:t>38,0%</w:t>
                              </w:r>
                            </w:p>
                          </w:txbxContent>
                        </wps:txbx>
                        <wps:bodyPr wrap="square" lIns="0" tIns="0" rIns="0" bIns="0" rtlCol="0">
                          <a:noAutofit/>
                        </wps:bodyPr>
                      </wps:wsp>
                      <wps:wsp>
                        <wps:cNvPr id="408" name="Textbox 408"/>
                        <wps:cNvSpPr txBox="1"/>
                        <wps:spPr>
                          <a:xfrm>
                            <a:off x="2313149" y="4360850"/>
                            <a:ext cx="200025" cy="243840"/>
                          </a:xfrm>
                          <a:prstGeom prst="rect">
                            <a:avLst/>
                          </a:prstGeom>
                        </wps:spPr>
                        <wps:txbx>
                          <w:txbxContent>
                            <w:p>
                              <w:pPr>
                                <w:spacing w:line="252" w:lineRule="auto" w:before="1"/>
                                <w:ind w:left="-1" w:right="18" w:hanging="3"/>
                                <w:jc w:val="center"/>
                                <w:rPr>
                                  <w:b/>
                                  <w:sz w:val="8"/>
                                </w:rPr>
                              </w:pPr>
                              <w:r>
                                <w:rPr>
                                  <w:b/>
                                  <w:color w:val="404040"/>
                                  <w:spacing w:val="-4"/>
                                  <w:w w:val="110"/>
                                  <w:sz w:val="8"/>
                                </w:rPr>
                                <w:t>24%</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13" w:firstLine="0"/>
                                <w:jc w:val="center"/>
                                <w:rPr>
                                  <w:b/>
                                  <w:sz w:val="8"/>
                                </w:rPr>
                              </w:pPr>
                              <w:r>
                                <w:rPr>
                                  <w:b/>
                                  <w:color w:val="404040"/>
                                  <w:spacing w:val="-2"/>
                                  <w:w w:val="110"/>
                                  <w:sz w:val="8"/>
                                </w:rPr>
                                <w:t>18,5%</w:t>
                              </w:r>
                            </w:p>
                          </w:txbxContent>
                        </wps:txbx>
                        <wps:bodyPr wrap="square" lIns="0" tIns="0" rIns="0" bIns="0" rtlCol="0">
                          <a:noAutofit/>
                        </wps:bodyPr>
                      </wps:wsp>
                      <wps:wsp>
                        <wps:cNvPr id="409" name="Textbox 409"/>
                        <wps:cNvSpPr txBox="1"/>
                        <wps:spPr>
                          <a:xfrm>
                            <a:off x="2824510" y="4237069"/>
                            <a:ext cx="200025" cy="245110"/>
                          </a:xfrm>
                          <a:prstGeom prst="rect">
                            <a:avLst/>
                          </a:prstGeom>
                        </wps:spPr>
                        <wps:txbx>
                          <w:txbxContent>
                            <w:p>
                              <w:pPr>
                                <w:spacing w:line="85" w:lineRule="exact" w:before="0"/>
                                <w:ind w:left="72" w:right="0" w:firstLine="0"/>
                                <w:jc w:val="left"/>
                                <w:rPr>
                                  <w:rFonts w:ascii="Calibri"/>
                                  <w:b/>
                                  <w:sz w:val="8"/>
                                </w:rPr>
                              </w:pPr>
                              <w:r>
                                <w:rPr>
                                  <w:rFonts w:ascii="Calibri"/>
                                  <w:b/>
                                  <w:color w:val="404040"/>
                                  <w:spacing w:val="-5"/>
                                  <w:w w:val="110"/>
                                  <w:sz w:val="8"/>
                                </w:rPr>
                                <w:t>18%</w:t>
                              </w:r>
                            </w:p>
                            <w:p>
                              <w:pPr>
                                <w:spacing w:before="4"/>
                                <w:ind w:left="0" w:right="0" w:firstLine="0"/>
                                <w:jc w:val="left"/>
                                <w:rPr>
                                  <w:b/>
                                  <w:sz w:val="8"/>
                                </w:rPr>
                              </w:pPr>
                              <w:r>
                                <w:rPr>
                                  <w:b/>
                                  <w:color w:val="404040"/>
                                  <w:w w:val="110"/>
                                  <w:sz w:val="8"/>
                                </w:rPr>
                                <w:t>Δ(2024-</w:t>
                              </w:r>
                            </w:p>
                            <w:p>
                              <w:pPr>
                                <w:spacing w:before="2"/>
                                <w:ind w:left="34"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before="6"/>
                                <w:ind w:left="37" w:right="0" w:firstLine="0"/>
                                <w:jc w:val="left"/>
                                <w:rPr>
                                  <w:rFonts w:ascii="Calibri"/>
                                  <w:b/>
                                  <w:sz w:val="8"/>
                                </w:rPr>
                              </w:pPr>
                              <w:r>
                                <w:rPr>
                                  <w:rFonts w:ascii="Calibri"/>
                                  <w:b/>
                                  <w:color w:val="404040"/>
                                  <w:spacing w:val="-2"/>
                                  <w:w w:val="110"/>
                                  <w:sz w:val="8"/>
                                </w:rPr>
                                <w:t>42,5%</w:t>
                              </w:r>
                            </w:p>
                          </w:txbxContent>
                        </wps:txbx>
                        <wps:bodyPr wrap="square" lIns="0" tIns="0" rIns="0" bIns="0" rtlCol="0">
                          <a:noAutofit/>
                        </wps:bodyPr>
                      </wps:wsp>
                      <wps:wsp>
                        <wps:cNvPr id="410" name="Textbox 410"/>
                        <wps:cNvSpPr txBox="1"/>
                        <wps:spPr>
                          <a:xfrm>
                            <a:off x="3686866" y="4338256"/>
                            <a:ext cx="200025" cy="245110"/>
                          </a:xfrm>
                          <a:prstGeom prst="rect">
                            <a:avLst/>
                          </a:prstGeom>
                        </wps:spPr>
                        <wps:txbx>
                          <w:txbxContent>
                            <w:p>
                              <w:pPr>
                                <w:spacing w:line="85" w:lineRule="exact" w:before="0"/>
                                <w:ind w:left="71" w:right="0" w:firstLine="0"/>
                                <w:jc w:val="left"/>
                                <w:rPr>
                                  <w:rFonts w:ascii="Calibri"/>
                                  <w:b/>
                                  <w:sz w:val="8"/>
                                </w:rPr>
                              </w:pPr>
                              <w:r>
                                <w:rPr>
                                  <w:rFonts w:ascii="Calibri"/>
                                  <w:b/>
                                  <w:color w:val="404040"/>
                                  <w:spacing w:val="-5"/>
                                  <w:w w:val="110"/>
                                  <w:sz w:val="8"/>
                                </w:rPr>
                                <w:t>42%</w:t>
                              </w:r>
                            </w:p>
                            <w:p>
                              <w:pPr>
                                <w:spacing w:before="4"/>
                                <w:ind w:left="0" w:right="0" w:firstLine="0"/>
                                <w:jc w:val="left"/>
                                <w:rPr>
                                  <w:b/>
                                  <w:sz w:val="8"/>
                                </w:rPr>
                              </w:pPr>
                              <w:r>
                                <w:rPr>
                                  <w:b/>
                                  <w:color w:val="404040"/>
                                  <w:w w:val="110"/>
                                  <w:sz w:val="8"/>
                                </w:rPr>
                                <w:t>Δ(2024-</w:t>
                              </w:r>
                            </w:p>
                            <w:p>
                              <w:pPr>
                                <w:spacing w:before="2"/>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before="6"/>
                                <w:ind w:left="37" w:right="0" w:firstLine="0"/>
                                <w:jc w:val="left"/>
                                <w:rPr>
                                  <w:rFonts w:ascii="Calibri"/>
                                  <w:b/>
                                  <w:sz w:val="8"/>
                                </w:rPr>
                              </w:pPr>
                              <w:r>
                                <w:rPr>
                                  <w:rFonts w:ascii="Calibri"/>
                                  <w:b/>
                                  <w:color w:val="404040"/>
                                  <w:spacing w:val="-2"/>
                                  <w:w w:val="110"/>
                                  <w:sz w:val="8"/>
                                </w:rPr>
                                <w:t>39,0%</w:t>
                              </w:r>
                            </w:p>
                          </w:txbxContent>
                        </wps:txbx>
                        <wps:bodyPr wrap="square" lIns="0" tIns="0" rIns="0" bIns="0" rtlCol="0">
                          <a:noAutofit/>
                        </wps:bodyPr>
                      </wps:wsp>
                      <wps:wsp>
                        <wps:cNvPr id="411" name="Textbox 411"/>
                        <wps:cNvSpPr txBox="1"/>
                        <wps:spPr>
                          <a:xfrm>
                            <a:off x="4062356" y="4228405"/>
                            <a:ext cx="200025" cy="243204"/>
                          </a:xfrm>
                          <a:prstGeom prst="rect">
                            <a:avLst/>
                          </a:prstGeom>
                        </wps:spPr>
                        <wps:txbx>
                          <w:txbxContent>
                            <w:p>
                              <w:pPr>
                                <w:spacing w:line="252" w:lineRule="auto" w:before="1"/>
                                <w:ind w:left="0" w:right="18" w:hanging="3"/>
                                <w:jc w:val="center"/>
                                <w:rPr>
                                  <w:b/>
                                  <w:sz w:val="8"/>
                                </w:rPr>
                              </w:pPr>
                              <w:r>
                                <w:rPr>
                                  <w:b/>
                                  <w:color w:val="404040"/>
                                  <w:spacing w:val="-4"/>
                                  <w:w w:val="110"/>
                                  <w:sz w:val="8"/>
                                </w:rPr>
                                <w:t>29%</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20" w:firstLine="0"/>
                                <w:jc w:val="center"/>
                                <w:rPr>
                                  <w:b/>
                                  <w:sz w:val="8"/>
                                </w:rPr>
                              </w:pPr>
                              <w:r>
                                <w:rPr>
                                  <w:b/>
                                  <w:color w:val="404040"/>
                                  <w:spacing w:val="-2"/>
                                  <w:w w:val="110"/>
                                  <w:sz w:val="8"/>
                                </w:rPr>
                                <w:t>40,7%</w:t>
                              </w:r>
                            </w:p>
                          </w:txbxContent>
                        </wps:txbx>
                        <wps:bodyPr wrap="square" lIns="0" tIns="0" rIns="0" bIns="0" rtlCol="0">
                          <a:noAutofit/>
                        </wps:bodyPr>
                      </wps:wsp>
                      <wps:wsp>
                        <wps:cNvPr id="412" name="Textbox 412"/>
                        <wps:cNvSpPr txBox="1"/>
                        <wps:spPr>
                          <a:xfrm>
                            <a:off x="4940325" y="4232321"/>
                            <a:ext cx="200025" cy="243204"/>
                          </a:xfrm>
                          <a:prstGeom prst="rect">
                            <a:avLst/>
                          </a:prstGeom>
                        </wps:spPr>
                        <wps:txbx>
                          <w:txbxContent>
                            <w:p>
                              <w:pPr>
                                <w:spacing w:line="252" w:lineRule="auto" w:before="1"/>
                                <w:ind w:left="0" w:right="18" w:hanging="3"/>
                                <w:jc w:val="center"/>
                                <w:rPr>
                                  <w:b/>
                                  <w:sz w:val="8"/>
                                </w:rPr>
                              </w:pPr>
                              <w:r>
                                <w:rPr>
                                  <w:b/>
                                  <w:color w:val="404040"/>
                                  <w:spacing w:val="-4"/>
                                  <w:w w:val="110"/>
                                  <w:sz w:val="8"/>
                                </w:rPr>
                                <w:t>24%</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20" w:firstLine="0"/>
                                <w:jc w:val="center"/>
                                <w:rPr>
                                  <w:b/>
                                  <w:sz w:val="8"/>
                                </w:rPr>
                              </w:pPr>
                              <w:r>
                                <w:rPr>
                                  <w:b/>
                                  <w:color w:val="404040"/>
                                  <w:sz w:val="8"/>
                                </w:rPr>
                                <w:t>-</w:t>
                              </w:r>
                              <w:r>
                                <w:rPr>
                                  <w:b/>
                                  <w:color w:val="404040"/>
                                  <w:spacing w:val="-4"/>
                                  <w:sz w:val="8"/>
                                </w:rPr>
                                <w:t>7,1%</w:t>
                              </w:r>
                            </w:p>
                          </w:txbxContent>
                        </wps:txbx>
                        <wps:bodyPr wrap="square" lIns="0" tIns="0" rIns="0" bIns="0" rtlCol="0">
                          <a:noAutofit/>
                        </wps:bodyPr>
                      </wps:wsp>
                      <wps:wsp>
                        <wps:cNvPr id="413" name="Textbox 413"/>
                        <wps:cNvSpPr txBox="1"/>
                        <wps:spPr>
                          <a:xfrm>
                            <a:off x="276844" y="4775806"/>
                            <a:ext cx="1073785" cy="348615"/>
                          </a:xfrm>
                          <a:prstGeom prst="rect">
                            <a:avLst/>
                          </a:prstGeom>
                        </wps:spPr>
                        <wps:txbx>
                          <w:txbxContent>
                            <w:p>
                              <w:pPr>
                                <w:spacing w:before="4"/>
                                <w:ind w:left="0" w:right="18" w:firstLine="0"/>
                                <w:jc w:val="center"/>
                                <w:rPr>
                                  <w:b/>
                                  <w:sz w:val="7"/>
                                </w:rPr>
                              </w:pPr>
                              <w:r>
                                <w:rPr>
                                  <w:b/>
                                  <w:color w:val="FFFFFF"/>
                                  <w:w w:val="110"/>
                                  <w:sz w:val="7"/>
                                </w:rPr>
                                <w:t>Ελ.</w:t>
                              </w:r>
                              <w:r>
                                <w:rPr>
                                  <w:b/>
                                  <w:color w:val="FFFFFF"/>
                                  <w:spacing w:val="4"/>
                                  <w:w w:val="110"/>
                                  <w:sz w:val="7"/>
                                </w:rPr>
                                <w:t> </w:t>
                              </w:r>
                              <w:r>
                                <w:rPr>
                                  <w:b/>
                                  <w:color w:val="FFFFFF"/>
                                  <w:w w:val="110"/>
                                  <w:sz w:val="7"/>
                                </w:rPr>
                                <w:t>επαγγελματίες</w:t>
                              </w:r>
                              <w:r>
                                <w:rPr>
                                  <w:b/>
                                  <w:color w:val="FFFFFF"/>
                                  <w:spacing w:val="8"/>
                                  <w:w w:val="110"/>
                                  <w:sz w:val="7"/>
                                </w:rPr>
                                <w:t> </w:t>
                              </w:r>
                              <w:r>
                                <w:rPr>
                                  <w:b/>
                                  <w:color w:val="FFFFFF"/>
                                  <w:w w:val="110"/>
                                  <w:sz w:val="7"/>
                                </w:rPr>
                                <w:t>κα</w:t>
                              </w:r>
                              <w:r>
                                <w:rPr>
                                  <w:b/>
                                  <w:smallCaps/>
                                  <w:color w:val="FFFFFF"/>
                                  <w:w w:val="110"/>
                                  <w:sz w:val="7"/>
                                </w:rPr>
                                <w:t>ι</w:t>
                              </w:r>
                              <w:r>
                                <w:rPr>
                                  <w:b/>
                                  <w:smallCaps w:val="0"/>
                                  <w:color w:val="FFFFFF"/>
                                  <w:spacing w:val="5"/>
                                  <w:w w:val="110"/>
                                  <w:sz w:val="7"/>
                                </w:rPr>
                                <w:t> </w:t>
                              </w:r>
                              <w:r>
                                <w:rPr>
                                  <w:b/>
                                  <w:smallCaps w:val="0"/>
                                  <w:color w:val="FFFFFF"/>
                                  <w:w w:val="110"/>
                                  <w:sz w:val="7"/>
                                </w:rPr>
                                <w:t>πολύ</w:t>
                              </w:r>
                              <w:r>
                                <w:rPr>
                                  <w:b/>
                                  <w:smallCaps w:val="0"/>
                                  <w:color w:val="FFFFFF"/>
                                  <w:spacing w:val="5"/>
                                  <w:w w:val="110"/>
                                  <w:sz w:val="7"/>
                                </w:rPr>
                                <w:t> </w:t>
                              </w:r>
                              <w:r>
                                <w:rPr>
                                  <w:b/>
                                  <w:smallCaps w:val="0"/>
                                  <w:color w:val="FFFFFF"/>
                                  <w:w w:val="110"/>
                                  <w:sz w:val="7"/>
                                </w:rPr>
                                <w:t>μ</w:t>
                              </w:r>
                              <w:r>
                                <w:rPr>
                                  <w:b/>
                                  <w:smallCaps/>
                                  <w:color w:val="FFFFFF"/>
                                  <w:w w:val="110"/>
                                  <w:sz w:val="7"/>
                                </w:rPr>
                                <w:t>ι</w:t>
                              </w:r>
                              <w:r>
                                <w:rPr>
                                  <w:b/>
                                  <w:smallCaps w:val="0"/>
                                  <w:color w:val="FFFFFF"/>
                                  <w:w w:val="110"/>
                                  <w:sz w:val="7"/>
                                </w:rPr>
                                <w:t>κρές</w:t>
                              </w:r>
                              <w:r>
                                <w:rPr>
                                  <w:b/>
                                  <w:smallCaps w:val="0"/>
                                  <w:color w:val="FFFFFF"/>
                                  <w:spacing w:val="4"/>
                                  <w:w w:val="110"/>
                                  <w:sz w:val="7"/>
                                </w:rPr>
                                <w:t> </w:t>
                              </w:r>
                              <w:r>
                                <w:rPr>
                                  <w:b/>
                                  <w:smallCaps w:val="0"/>
                                  <w:color w:val="FFFFFF"/>
                                  <w:spacing w:val="-2"/>
                                  <w:w w:val="110"/>
                                  <w:sz w:val="7"/>
                                </w:rPr>
                                <w:t>επ</w:t>
                              </w:r>
                              <w:r>
                                <w:rPr>
                                  <w:b/>
                                  <w:smallCaps/>
                                  <w:color w:val="FFFFFF"/>
                                  <w:spacing w:val="-2"/>
                                  <w:w w:val="110"/>
                                  <w:sz w:val="7"/>
                                </w:rPr>
                                <w:t>ι</w:t>
                              </w:r>
                              <w:r>
                                <w:rPr>
                                  <w:b/>
                                  <w:smallCaps w:val="0"/>
                                  <w:color w:val="FFFFFF"/>
                                  <w:spacing w:val="-2"/>
                                  <w:w w:val="110"/>
                                  <w:sz w:val="7"/>
                                </w:rPr>
                                <w:t>χε</w:t>
                              </w:r>
                              <w:r>
                                <w:rPr>
                                  <w:b/>
                                  <w:smallCaps/>
                                  <w:color w:val="FFFFFF"/>
                                  <w:spacing w:val="-2"/>
                                  <w:w w:val="110"/>
                                  <w:sz w:val="7"/>
                                </w:rPr>
                                <w:t>ι</w:t>
                              </w:r>
                              <w:r>
                                <w:rPr>
                                  <w:b/>
                                  <w:smallCaps w:val="0"/>
                                  <w:color w:val="FFFFFF"/>
                                  <w:spacing w:val="-2"/>
                                  <w:w w:val="110"/>
                                  <w:sz w:val="7"/>
                                </w:rPr>
                                <w:t>ρήσε</w:t>
                              </w:r>
                              <w:r>
                                <w:rPr>
                                  <w:b/>
                                  <w:smallCaps/>
                                  <w:color w:val="FFFFFF"/>
                                  <w:spacing w:val="-2"/>
                                  <w:w w:val="110"/>
                                  <w:sz w:val="7"/>
                                </w:rPr>
                                <w:t>ι</w:t>
                              </w:r>
                              <w:r>
                                <w:rPr>
                                  <w:b/>
                                  <w:smallCaps w:val="0"/>
                                  <w:color w:val="FFFFFF"/>
                                  <w:spacing w:val="-2"/>
                                  <w:w w:val="110"/>
                                  <w:sz w:val="7"/>
                                </w:rPr>
                                <w:t>ς:</w:t>
                              </w:r>
                            </w:p>
                            <w:p>
                              <w:pPr>
                                <w:spacing w:before="4"/>
                                <w:ind w:left="4" w:right="18" w:firstLine="0"/>
                                <w:jc w:val="center"/>
                                <w:rPr>
                                  <w:b/>
                                  <w:sz w:val="9"/>
                                </w:rPr>
                              </w:pPr>
                              <w:r>
                                <w:rPr>
                                  <w:b/>
                                  <w:color w:val="FFFFFF"/>
                                  <w:sz w:val="9"/>
                                </w:rPr>
                                <w:t>9,7</w:t>
                              </w:r>
                              <w:r>
                                <w:rPr>
                                  <w:b/>
                                  <w:color w:val="FFFFFF"/>
                                  <w:spacing w:val="-3"/>
                                  <w:sz w:val="9"/>
                                </w:rPr>
                                <w:t> </w:t>
                              </w:r>
                              <w:r>
                                <w:rPr>
                                  <w:b/>
                                  <w:color w:val="FFFFFF"/>
                                  <w:sz w:val="9"/>
                                </w:rPr>
                                <w:t>δ</w:t>
                              </w:r>
                              <w:r>
                                <w:rPr>
                                  <w:b/>
                                  <w:smallCaps/>
                                  <w:color w:val="FFFFFF"/>
                                  <w:sz w:val="9"/>
                                </w:rPr>
                                <w:t>ι</w:t>
                              </w:r>
                              <w:r>
                                <w:rPr>
                                  <w:b/>
                                  <w:smallCaps w:val="0"/>
                                  <w:color w:val="FFFFFF"/>
                                  <w:sz w:val="9"/>
                                </w:rPr>
                                <w:t>σεκ.</w:t>
                              </w:r>
                              <w:r>
                                <w:rPr>
                                  <w:b/>
                                  <w:smallCaps w:val="0"/>
                                  <w:color w:val="FFFFFF"/>
                                  <w:spacing w:val="3"/>
                                  <w:sz w:val="9"/>
                                </w:rPr>
                                <w:t> </w:t>
                              </w:r>
                              <w:r>
                                <w:rPr>
                                  <w:b/>
                                  <w:smallCaps w:val="0"/>
                                  <w:color w:val="FFFFFF"/>
                                  <w:sz w:val="9"/>
                                </w:rPr>
                                <w:t>ευρώ</w:t>
                              </w:r>
                              <w:r>
                                <w:rPr>
                                  <w:b/>
                                  <w:smallCaps w:val="0"/>
                                  <w:color w:val="FFFFFF"/>
                                  <w:spacing w:val="-1"/>
                                  <w:sz w:val="9"/>
                                </w:rPr>
                                <w:t> </w:t>
                              </w:r>
                              <w:r>
                                <w:rPr>
                                  <w:b/>
                                  <w:smallCaps w:val="0"/>
                                  <w:color w:val="FFFFFF"/>
                                  <w:sz w:val="9"/>
                                </w:rPr>
                                <w:t>[Δ(2024-2025):</w:t>
                              </w:r>
                              <w:r>
                                <w:rPr>
                                  <w:b/>
                                  <w:smallCaps w:val="0"/>
                                  <w:color w:val="FFFFFF"/>
                                  <w:spacing w:val="-3"/>
                                  <w:sz w:val="9"/>
                                </w:rPr>
                                <w:t> </w:t>
                              </w:r>
                              <w:r>
                                <w:rPr>
                                  <w:b/>
                                  <w:smallCaps w:val="0"/>
                                  <w:color w:val="FFFFFF"/>
                                  <w:spacing w:val="-2"/>
                                  <w:sz w:val="9"/>
                                </w:rPr>
                                <w:t>2,4%]</w:t>
                              </w:r>
                            </w:p>
                            <w:p>
                              <w:pPr>
                                <w:spacing w:before="45"/>
                                <w:ind w:left="421" w:right="18" w:firstLine="0"/>
                                <w:jc w:val="center"/>
                                <w:rPr>
                                  <w:b/>
                                  <w:sz w:val="9"/>
                                </w:rPr>
                              </w:pPr>
                              <w:r>
                                <w:rPr>
                                  <w:b/>
                                  <w:sz w:val="9"/>
                                </w:rPr>
                                <w:t>Ποσοστό</w:t>
                              </w:r>
                              <w:r>
                                <w:rPr>
                                  <w:b/>
                                  <w:spacing w:val="-6"/>
                                  <w:sz w:val="9"/>
                                </w:rPr>
                                <w:t> </w:t>
                              </w:r>
                              <w:r>
                                <w:rPr>
                                  <w:b/>
                                  <w:sz w:val="9"/>
                                </w:rPr>
                                <w:t>μη</w:t>
                              </w:r>
                              <w:r>
                                <w:rPr>
                                  <w:b/>
                                  <w:spacing w:val="-6"/>
                                  <w:sz w:val="9"/>
                                </w:rPr>
                                <w:t> </w:t>
                              </w:r>
                              <w:r>
                                <w:rPr>
                                  <w:b/>
                                  <w:sz w:val="9"/>
                                </w:rPr>
                                <w:t>εξυπηρετούμενων</w:t>
                              </w:r>
                              <w:r>
                                <w:rPr>
                                  <w:b/>
                                  <w:spacing w:val="40"/>
                                  <w:sz w:val="9"/>
                                </w:rPr>
                                <w:t> </w:t>
                              </w:r>
                              <w:r>
                                <w:rPr>
                                  <w:b/>
                                  <w:sz w:val="9"/>
                                </w:rPr>
                                <w:t>δανείων:</w:t>
                              </w:r>
                              <w:r>
                                <w:rPr>
                                  <w:b/>
                                  <w:spacing w:val="-6"/>
                                  <w:sz w:val="9"/>
                                </w:rPr>
                                <w:t> </w:t>
                              </w:r>
                              <w:r>
                                <w:rPr>
                                  <w:b/>
                                  <w:sz w:val="9"/>
                                </w:rPr>
                                <w:t>10,0%</w:t>
                              </w:r>
                            </w:p>
                            <w:p>
                              <w:pPr>
                                <w:spacing w:line="103" w:lineRule="exact" w:before="1"/>
                                <w:ind w:left="419" w:right="18" w:firstLine="0"/>
                                <w:jc w:val="center"/>
                                <w:rPr>
                                  <w:b/>
                                  <w:sz w:val="9"/>
                                </w:rPr>
                              </w:pPr>
                              <w:r>
                                <w:rPr>
                                  <w:b/>
                                  <w:sz w:val="9"/>
                                </w:rPr>
                                <w:t>Δ(2024-2025):</w:t>
                              </w:r>
                              <w:r>
                                <w:rPr>
                                  <w:b/>
                                  <w:spacing w:val="-1"/>
                                  <w:sz w:val="9"/>
                                </w:rPr>
                                <w:t> </w:t>
                              </w:r>
                              <w:r>
                                <w:rPr>
                                  <w:b/>
                                  <w:spacing w:val="-4"/>
                                  <w:sz w:val="9"/>
                                </w:rPr>
                                <w:t>1,4%</w:t>
                              </w:r>
                            </w:p>
                          </w:txbxContent>
                        </wps:txbx>
                        <wps:bodyPr wrap="square" lIns="0" tIns="0" rIns="0" bIns="0" rtlCol="0">
                          <a:noAutofit/>
                        </wps:bodyPr>
                      </wps:wsp>
                      <wps:wsp>
                        <wps:cNvPr id="414" name="Textbox 414"/>
                        <wps:cNvSpPr txBox="1"/>
                        <wps:spPr>
                          <a:xfrm>
                            <a:off x="1574481" y="4756830"/>
                            <a:ext cx="1004569" cy="372110"/>
                          </a:xfrm>
                          <a:prstGeom prst="rect">
                            <a:avLst/>
                          </a:prstGeom>
                        </wps:spPr>
                        <wps:txbx>
                          <w:txbxContent>
                            <w:p>
                              <w:pPr>
                                <w:spacing w:line="99" w:lineRule="exact" w:before="0"/>
                                <w:ind w:left="0" w:right="83" w:firstLine="0"/>
                                <w:jc w:val="center"/>
                                <w:rPr>
                                  <w:b/>
                                  <w:sz w:val="9"/>
                                </w:rPr>
                              </w:pPr>
                              <w:r>
                                <w:rPr>
                                  <w:b/>
                                  <w:color w:val="FFFFFF"/>
                                  <w:spacing w:val="-2"/>
                                  <w:sz w:val="9"/>
                                </w:rPr>
                                <w:t>Ναυτ</w:t>
                              </w:r>
                              <w:r>
                                <w:rPr>
                                  <w:b/>
                                  <w:smallCaps/>
                                  <w:color w:val="FFFFFF"/>
                                  <w:spacing w:val="-2"/>
                                  <w:sz w:val="9"/>
                                </w:rPr>
                                <w:t>ι</w:t>
                              </w:r>
                              <w:r>
                                <w:rPr>
                                  <w:b/>
                                  <w:smallCaps w:val="0"/>
                                  <w:color w:val="FFFFFF"/>
                                  <w:spacing w:val="-2"/>
                                  <w:sz w:val="9"/>
                                </w:rPr>
                                <w:t>λ</w:t>
                              </w:r>
                              <w:r>
                                <w:rPr>
                                  <w:b/>
                                  <w:smallCaps/>
                                  <w:color w:val="FFFFFF"/>
                                  <w:spacing w:val="-2"/>
                                  <w:sz w:val="9"/>
                                </w:rPr>
                                <w:t>ι</w:t>
                              </w:r>
                              <w:r>
                                <w:rPr>
                                  <w:b/>
                                  <w:smallCaps w:val="0"/>
                                  <w:color w:val="FFFFFF"/>
                                  <w:spacing w:val="-2"/>
                                  <w:sz w:val="9"/>
                                </w:rPr>
                                <w:t>ακά:</w:t>
                              </w:r>
                            </w:p>
                            <w:p>
                              <w:pPr>
                                <w:spacing w:before="22"/>
                                <w:ind w:left="0" w:right="76" w:firstLine="0"/>
                                <w:jc w:val="center"/>
                                <w:rPr>
                                  <w:b/>
                                  <w:sz w:val="9"/>
                                </w:rPr>
                              </w:pPr>
                              <w:r>
                                <w:rPr>
                                  <w:b/>
                                  <w:color w:val="FFFFFF"/>
                                  <w:sz w:val="9"/>
                                </w:rPr>
                                <w:t>14,2</w:t>
                              </w:r>
                              <w:r>
                                <w:rPr>
                                  <w:b/>
                                  <w:color w:val="FFFFFF"/>
                                  <w:spacing w:val="-3"/>
                                  <w:sz w:val="9"/>
                                </w:rPr>
                                <w:t> </w:t>
                              </w:r>
                              <w:r>
                                <w:rPr>
                                  <w:b/>
                                  <w:color w:val="FFFFFF"/>
                                  <w:sz w:val="9"/>
                                </w:rPr>
                                <w:t>δ</w:t>
                              </w:r>
                              <w:r>
                                <w:rPr>
                                  <w:b/>
                                  <w:smallCaps/>
                                  <w:color w:val="FFFFFF"/>
                                  <w:sz w:val="9"/>
                                </w:rPr>
                                <w:t>ι</w:t>
                              </w:r>
                              <w:r>
                                <w:rPr>
                                  <w:b/>
                                  <w:smallCaps w:val="0"/>
                                  <w:color w:val="FFFFFF"/>
                                  <w:sz w:val="9"/>
                                </w:rPr>
                                <w:t>σεκ.</w:t>
                              </w:r>
                              <w:r>
                                <w:rPr>
                                  <w:b/>
                                  <w:smallCaps w:val="0"/>
                                  <w:color w:val="FFFFFF"/>
                                  <w:spacing w:val="4"/>
                                  <w:sz w:val="9"/>
                                </w:rPr>
                                <w:t> </w:t>
                              </w:r>
                              <w:r>
                                <w:rPr>
                                  <w:b/>
                                  <w:smallCaps w:val="0"/>
                                  <w:color w:val="FFFFFF"/>
                                  <w:sz w:val="9"/>
                                </w:rPr>
                                <w:t>ευρώ</w:t>
                              </w:r>
                              <w:r>
                                <w:rPr>
                                  <w:b/>
                                  <w:smallCaps w:val="0"/>
                                  <w:color w:val="FFFFFF"/>
                                  <w:spacing w:val="-2"/>
                                  <w:sz w:val="9"/>
                                </w:rPr>
                                <w:t> </w:t>
                              </w:r>
                              <w:r>
                                <w:rPr>
                                  <w:b/>
                                  <w:smallCaps w:val="0"/>
                                  <w:color w:val="FFFFFF"/>
                                  <w:sz w:val="9"/>
                                </w:rPr>
                                <w:t>[Δ(2024-2025):</w:t>
                              </w:r>
                              <w:r>
                                <w:rPr>
                                  <w:b/>
                                  <w:smallCaps w:val="0"/>
                                  <w:color w:val="FFFFFF"/>
                                  <w:spacing w:val="-3"/>
                                  <w:sz w:val="9"/>
                                </w:rPr>
                                <w:t> </w:t>
                              </w:r>
                              <w:r>
                                <w:rPr>
                                  <w:b/>
                                  <w:smallCaps w:val="0"/>
                                  <w:color w:val="FFFFFF"/>
                                  <w:spacing w:val="-2"/>
                                  <w:sz w:val="9"/>
                                </w:rPr>
                                <w:t>8,6%]</w:t>
                              </w:r>
                            </w:p>
                            <w:p>
                              <w:pPr>
                                <w:spacing w:before="51"/>
                                <w:ind w:left="363" w:right="0" w:firstLine="0"/>
                                <w:jc w:val="center"/>
                                <w:rPr>
                                  <w:b/>
                                  <w:sz w:val="9"/>
                                </w:rPr>
                              </w:pPr>
                              <w:r>
                                <w:rPr>
                                  <w:b/>
                                  <w:sz w:val="9"/>
                                </w:rPr>
                                <w:t>Ποσοστό</w:t>
                              </w:r>
                              <w:r>
                                <w:rPr>
                                  <w:b/>
                                  <w:spacing w:val="-6"/>
                                  <w:sz w:val="9"/>
                                </w:rPr>
                                <w:t> </w:t>
                              </w:r>
                              <w:r>
                                <w:rPr>
                                  <w:b/>
                                  <w:sz w:val="9"/>
                                </w:rPr>
                                <w:t>μη</w:t>
                              </w:r>
                              <w:r>
                                <w:rPr>
                                  <w:b/>
                                  <w:spacing w:val="-6"/>
                                  <w:sz w:val="9"/>
                                </w:rPr>
                                <w:t> </w:t>
                              </w:r>
                              <w:r>
                                <w:rPr>
                                  <w:b/>
                                  <w:sz w:val="9"/>
                                </w:rPr>
                                <w:t>εξυπηρετούμενων</w:t>
                              </w:r>
                              <w:r>
                                <w:rPr>
                                  <w:b/>
                                  <w:spacing w:val="40"/>
                                  <w:sz w:val="9"/>
                                </w:rPr>
                                <w:t> </w:t>
                              </w:r>
                              <w:r>
                                <w:rPr>
                                  <w:b/>
                                  <w:sz w:val="9"/>
                                </w:rPr>
                                <w:t>δανείων:</w:t>
                              </w:r>
                              <w:r>
                                <w:rPr>
                                  <w:b/>
                                  <w:spacing w:val="-6"/>
                                  <w:sz w:val="9"/>
                                </w:rPr>
                                <w:t> </w:t>
                              </w:r>
                              <w:r>
                                <w:rPr>
                                  <w:b/>
                                  <w:sz w:val="9"/>
                                </w:rPr>
                                <w:t>0,2%</w:t>
                              </w:r>
                            </w:p>
                            <w:p>
                              <w:pPr>
                                <w:spacing w:line="103" w:lineRule="exact" w:before="0"/>
                                <w:ind w:left="360" w:right="0" w:firstLine="0"/>
                                <w:jc w:val="center"/>
                                <w:rPr>
                                  <w:b/>
                                  <w:sz w:val="9"/>
                                </w:rPr>
                              </w:pPr>
                              <w:r>
                                <w:rPr>
                                  <w:b/>
                                  <w:sz w:val="9"/>
                                </w:rPr>
                                <w:t>Δ(2024-2025):</w:t>
                              </w:r>
                              <w:r>
                                <w:rPr>
                                  <w:b/>
                                  <w:spacing w:val="-4"/>
                                  <w:sz w:val="9"/>
                                </w:rPr>
                                <w:t> </w:t>
                              </w:r>
                              <w:r>
                                <w:rPr>
                                  <w:b/>
                                  <w:sz w:val="9"/>
                                </w:rPr>
                                <w:t>-</w:t>
                              </w:r>
                              <w:r>
                                <w:rPr>
                                  <w:b/>
                                  <w:spacing w:val="-2"/>
                                  <w:sz w:val="9"/>
                                </w:rPr>
                                <w:t>17,9%</w:t>
                              </w:r>
                            </w:p>
                          </w:txbxContent>
                        </wps:txbx>
                        <wps:bodyPr wrap="square" lIns="0" tIns="0" rIns="0" bIns="0" rtlCol="0">
                          <a:noAutofit/>
                        </wps:bodyPr>
                      </wps:wsp>
                      <wps:wsp>
                        <wps:cNvPr id="415" name="Textbox 415"/>
                        <wps:cNvSpPr txBox="1"/>
                        <wps:spPr>
                          <a:xfrm>
                            <a:off x="2761255" y="4621575"/>
                            <a:ext cx="200025" cy="244475"/>
                          </a:xfrm>
                          <a:prstGeom prst="rect">
                            <a:avLst/>
                          </a:prstGeom>
                        </wps:spPr>
                        <wps:txbx>
                          <w:txbxContent>
                            <w:p>
                              <w:pPr>
                                <w:spacing w:line="85" w:lineRule="exact" w:before="0"/>
                                <w:ind w:left="71" w:right="0" w:firstLine="0"/>
                                <w:jc w:val="left"/>
                                <w:rPr>
                                  <w:rFonts w:ascii="Calibri"/>
                                  <w:b/>
                                  <w:sz w:val="8"/>
                                </w:rPr>
                              </w:pPr>
                              <w:r>
                                <w:rPr>
                                  <w:rFonts w:ascii="Calibri"/>
                                  <w:b/>
                                  <w:color w:val="404040"/>
                                  <w:spacing w:val="-5"/>
                                  <w:w w:val="110"/>
                                  <w:sz w:val="8"/>
                                </w:rPr>
                                <w:t>40%</w:t>
                              </w:r>
                            </w:p>
                            <w:p>
                              <w:pPr>
                                <w:spacing w:before="3"/>
                                <w:ind w:left="0" w:right="0" w:firstLine="0"/>
                                <w:jc w:val="left"/>
                                <w:rPr>
                                  <w:b/>
                                  <w:sz w:val="8"/>
                                </w:rPr>
                              </w:pPr>
                              <w:r>
                                <w:rPr>
                                  <w:b/>
                                  <w:color w:val="404040"/>
                                  <w:w w:val="110"/>
                                  <w:sz w:val="8"/>
                                </w:rPr>
                                <w:t>Δ(2024-</w:t>
                              </w:r>
                            </w:p>
                            <w:p>
                              <w:pPr>
                                <w:spacing w:before="3"/>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line="97" w:lineRule="exact" w:before="6"/>
                                <w:ind w:left="22" w:right="0" w:firstLine="0"/>
                                <w:jc w:val="left"/>
                                <w:rPr>
                                  <w:rFonts w:ascii="Calibri"/>
                                  <w:b/>
                                  <w:sz w:val="8"/>
                                </w:rPr>
                              </w:pPr>
                              <w:r>
                                <w:rPr>
                                  <w:rFonts w:ascii="Calibri"/>
                                  <w:b/>
                                  <w:color w:val="404040"/>
                                  <w:sz w:val="8"/>
                                </w:rPr>
                                <w:t>-</w:t>
                              </w:r>
                              <w:r>
                                <w:rPr>
                                  <w:rFonts w:ascii="Calibri"/>
                                  <w:b/>
                                  <w:color w:val="404040"/>
                                  <w:spacing w:val="-2"/>
                                  <w:sz w:val="8"/>
                                </w:rPr>
                                <w:t>17,6%</w:t>
                              </w:r>
                            </w:p>
                          </w:txbxContent>
                        </wps:txbx>
                        <wps:bodyPr wrap="square" lIns="0" tIns="0" rIns="0" bIns="0" rtlCol="0">
                          <a:noAutofit/>
                        </wps:bodyPr>
                      </wps:wsp>
                      <wps:wsp>
                        <wps:cNvPr id="416" name="Textbox 416"/>
                        <wps:cNvSpPr txBox="1"/>
                        <wps:spPr>
                          <a:xfrm>
                            <a:off x="4825325" y="4647469"/>
                            <a:ext cx="200025" cy="243204"/>
                          </a:xfrm>
                          <a:prstGeom prst="rect">
                            <a:avLst/>
                          </a:prstGeom>
                        </wps:spPr>
                        <wps:txbx>
                          <w:txbxContent>
                            <w:p>
                              <w:pPr>
                                <w:spacing w:line="252" w:lineRule="auto" w:before="1"/>
                                <w:ind w:left="-1" w:right="18" w:hanging="3"/>
                                <w:jc w:val="center"/>
                                <w:rPr>
                                  <w:b/>
                                  <w:sz w:val="8"/>
                                </w:rPr>
                              </w:pPr>
                              <w:r>
                                <w:rPr>
                                  <w:b/>
                                  <w:color w:val="404040"/>
                                  <w:spacing w:val="-4"/>
                                  <w:w w:val="110"/>
                                  <w:sz w:val="8"/>
                                </w:rPr>
                                <w:t>47%</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0" w:firstLine="0"/>
                                <w:jc w:val="center"/>
                                <w:rPr>
                                  <w:b/>
                                  <w:sz w:val="8"/>
                                </w:rPr>
                              </w:pPr>
                              <w:r>
                                <w:rPr>
                                  <w:b/>
                                  <w:color w:val="404040"/>
                                  <w:spacing w:val="-2"/>
                                  <w:w w:val="110"/>
                                  <w:sz w:val="8"/>
                                </w:rPr>
                                <w:t>13,5%</w:t>
                              </w:r>
                            </w:p>
                          </w:txbxContent>
                        </wps:txbx>
                        <wps:bodyPr wrap="square" lIns="0" tIns="0" rIns="0" bIns="0" rtlCol="0">
                          <a:noAutofit/>
                        </wps:bodyPr>
                      </wps:wsp>
                      <wps:wsp>
                        <wps:cNvPr id="417" name="Textbox 417"/>
                        <wps:cNvSpPr txBox="1"/>
                        <wps:spPr>
                          <a:xfrm>
                            <a:off x="286301" y="5193233"/>
                            <a:ext cx="200025" cy="244475"/>
                          </a:xfrm>
                          <a:prstGeom prst="rect">
                            <a:avLst/>
                          </a:prstGeom>
                        </wps:spPr>
                        <wps:txbx>
                          <w:txbxContent>
                            <w:p>
                              <w:pPr>
                                <w:spacing w:line="85" w:lineRule="exact" w:before="0"/>
                                <w:ind w:left="71" w:right="0" w:firstLine="0"/>
                                <w:jc w:val="left"/>
                                <w:rPr>
                                  <w:rFonts w:ascii="Calibri"/>
                                  <w:b/>
                                  <w:sz w:val="8"/>
                                </w:rPr>
                              </w:pPr>
                              <w:r>
                                <w:rPr>
                                  <w:rFonts w:ascii="Calibri"/>
                                  <w:b/>
                                  <w:color w:val="404040"/>
                                  <w:spacing w:val="-5"/>
                                  <w:w w:val="110"/>
                                  <w:sz w:val="8"/>
                                </w:rPr>
                                <w:t>41%</w:t>
                              </w:r>
                            </w:p>
                            <w:p>
                              <w:pPr>
                                <w:spacing w:before="3"/>
                                <w:ind w:left="0" w:right="0" w:firstLine="0"/>
                                <w:jc w:val="left"/>
                                <w:rPr>
                                  <w:b/>
                                  <w:sz w:val="8"/>
                                </w:rPr>
                              </w:pPr>
                              <w:r>
                                <w:rPr>
                                  <w:b/>
                                  <w:color w:val="404040"/>
                                  <w:w w:val="110"/>
                                  <w:sz w:val="8"/>
                                </w:rPr>
                                <w:t>Δ(2024-</w:t>
                              </w:r>
                            </w:p>
                            <w:p>
                              <w:pPr>
                                <w:spacing w:before="3"/>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line="97" w:lineRule="exact" w:before="6"/>
                                <w:ind w:left="37" w:right="0" w:firstLine="0"/>
                                <w:jc w:val="left"/>
                                <w:rPr>
                                  <w:rFonts w:ascii="Calibri"/>
                                  <w:b/>
                                  <w:sz w:val="8"/>
                                </w:rPr>
                              </w:pPr>
                              <w:r>
                                <w:rPr>
                                  <w:rFonts w:ascii="Calibri"/>
                                  <w:b/>
                                  <w:color w:val="404040"/>
                                  <w:spacing w:val="-2"/>
                                  <w:w w:val="110"/>
                                  <w:sz w:val="8"/>
                                </w:rPr>
                                <w:t>11,2%</w:t>
                              </w:r>
                            </w:p>
                          </w:txbxContent>
                        </wps:txbx>
                        <wps:bodyPr wrap="square" lIns="0" tIns="0" rIns="0" bIns="0" rtlCol="0">
                          <a:noAutofit/>
                        </wps:bodyPr>
                      </wps:wsp>
                      <wps:wsp>
                        <wps:cNvPr id="418" name="Textbox 418"/>
                        <wps:cNvSpPr txBox="1"/>
                        <wps:spPr>
                          <a:xfrm>
                            <a:off x="1103132" y="5208476"/>
                            <a:ext cx="200025" cy="243204"/>
                          </a:xfrm>
                          <a:prstGeom prst="rect">
                            <a:avLst/>
                          </a:prstGeom>
                        </wps:spPr>
                        <wps:txbx>
                          <w:txbxContent>
                            <w:p>
                              <w:pPr>
                                <w:spacing w:line="252" w:lineRule="auto" w:before="1"/>
                                <w:ind w:left="0" w:right="18" w:hanging="3"/>
                                <w:jc w:val="center"/>
                                <w:rPr>
                                  <w:b/>
                                  <w:sz w:val="8"/>
                                </w:rPr>
                              </w:pPr>
                              <w:r>
                                <w:rPr>
                                  <w:b/>
                                  <w:color w:val="404040"/>
                                  <w:spacing w:val="-4"/>
                                  <w:w w:val="110"/>
                                  <w:sz w:val="8"/>
                                </w:rPr>
                                <w:t>26%</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20" w:firstLine="0"/>
                                <w:jc w:val="center"/>
                                <w:rPr>
                                  <w:b/>
                                  <w:sz w:val="8"/>
                                </w:rPr>
                              </w:pPr>
                              <w:r>
                                <w:rPr>
                                  <w:b/>
                                  <w:color w:val="404040"/>
                                  <w:sz w:val="8"/>
                                </w:rPr>
                                <w:t>-</w:t>
                              </w:r>
                              <w:r>
                                <w:rPr>
                                  <w:b/>
                                  <w:color w:val="404040"/>
                                  <w:spacing w:val="-4"/>
                                  <w:sz w:val="8"/>
                                </w:rPr>
                                <w:t>4,9%</w:t>
                              </w:r>
                            </w:p>
                          </w:txbxContent>
                        </wps:txbx>
                        <wps:bodyPr wrap="square" lIns="0" tIns="0" rIns="0" bIns="0" rtlCol="0">
                          <a:noAutofit/>
                        </wps:bodyPr>
                      </wps:wsp>
                      <wps:wsp>
                        <wps:cNvPr id="419" name="Textbox 419"/>
                        <wps:cNvSpPr txBox="1"/>
                        <wps:spPr>
                          <a:xfrm>
                            <a:off x="1527289" y="5192767"/>
                            <a:ext cx="351790" cy="245110"/>
                          </a:xfrm>
                          <a:prstGeom prst="rect">
                            <a:avLst/>
                          </a:prstGeom>
                        </wps:spPr>
                        <wps:txbx>
                          <w:txbxContent>
                            <w:p>
                              <w:pPr>
                                <w:tabs>
                                  <w:tab w:pos="533" w:val="left" w:leader="none"/>
                                </w:tabs>
                                <w:spacing w:line="85" w:lineRule="exact" w:before="0"/>
                                <w:ind w:left="71" w:right="0" w:firstLine="0"/>
                                <w:jc w:val="left"/>
                                <w:rPr>
                                  <w:rFonts w:ascii="Calibri"/>
                                  <w:b/>
                                  <w:sz w:val="8"/>
                                </w:rPr>
                              </w:pPr>
                              <w:r>
                                <w:rPr>
                                  <w:rFonts w:ascii="Calibri"/>
                                  <w:b/>
                                  <w:color w:val="404040"/>
                                  <w:spacing w:val="-5"/>
                                  <w:w w:val="110"/>
                                  <w:sz w:val="8"/>
                                </w:rPr>
                                <w:t>1</w:t>
                              </w:r>
                              <w:r>
                                <w:rPr>
                                  <w:rFonts w:ascii="Calibri"/>
                                  <w:b/>
                                  <w:color w:val="404040"/>
                                  <w:spacing w:val="-5"/>
                                  <w:w w:val="110"/>
                                  <w:sz w:val="8"/>
                                  <w:u w:val="single" w:color="A6A6A6"/>
                                </w:rPr>
                                <w:t>9%</w:t>
                              </w:r>
                              <w:r>
                                <w:rPr>
                                  <w:rFonts w:ascii="Calibri"/>
                                  <w:b/>
                                  <w:color w:val="404040"/>
                                  <w:sz w:val="8"/>
                                  <w:u w:val="single" w:color="A6A6A6"/>
                                </w:rPr>
                                <w:tab/>
                              </w:r>
                            </w:p>
                            <w:p>
                              <w:pPr>
                                <w:spacing w:before="4"/>
                                <w:ind w:left="0" w:right="0" w:firstLine="0"/>
                                <w:jc w:val="left"/>
                                <w:rPr>
                                  <w:b/>
                                  <w:sz w:val="8"/>
                                </w:rPr>
                              </w:pPr>
                              <w:r>
                                <w:rPr>
                                  <w:b/>
                                  <w:color w:val="404040"/>
                                  <w:w w:val="110"/>
                                  <w:sz w:val="8"/>
                                </w:rPr>
                                <w:t>Δ(2024-</w:t>
                              </w:r>
                            </w:p>
                            <w:p>
                              <w:pPr>
                                <w:spacing w:before="2"/>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before="6"/>
                                <w:ind w:left="22" w:right="0" w:firstLine="0"/>
                                <w:jc w:val="left"/>
                                <w:rPr>
                                  <w:rFonts w:ascii="Calibri"/>
                                  <w:b/>
                                  <w:sz w:val="8"/>
                                </w:rPr>
                              </w:pPr>
                              <w:r>
                                <w:rPr>
                                  <w:rFonts w:ascii="Calibri"/>
                                  <w:b/>
                                  <w:color w:val="404040"/>
                                  <w:sz w:val="8"/>
                                </w:rPr>
                                <w:t>-</w:t>
                              </w:r>
                              <w:r>
                                <w:rPr>
                                  <w:rFonts w:ascii="Calibri"/>
                                  <w:b/>
                                  <w:color w:val="404040"/>
                                  <w:spacing w:val="-2"/>
                                  <w:sz w:val="8"/>
                                </w:rPr>
                                <w:t>12,7%</w:t>
                              </w:r>
                            </w:p>
                          </w:txbxContent>
                        </wps:txbx>
                        <wps:bodyPr wrap="square" lIns="0" tIns="0" rIns="0" bIns="0" rtlCol="0">
                          <a:noAutofit/>
                        </wps:bodyPr>
                      </wps:wsp>
                      <wps:wsp>
                        <wps:cNvPr id="420" name="Textbox 420"/>
                        <wps:cNvSpPr txBox="1"/>
                        <wps:spPr>
                          <a:xfrm>
                            <a:off x="1100054" y="5599753"/>
                            <a:ext cx="200025" cy="243204"/>
                          </a:xfrm>
                          <a:prstGeom prst="rect">
                            <a:avLst/>
                          </a:prstGeom>
                        </wps:spPr>
                        <wps:txbx>
                          <w:txbxContent>
                            <w:p>
                              <w:pPr>
                                <w:spacing w:line="252" w:lineRule="auto" w:before="1"/>
                                <w:ind w:left="-1" w:right="18" w:hanging="3"/>
                                <w:jc w:val="center"/>
                                <w:rPr>
                                  <w:b/>
                                  <w:sz w:val="8"/>
                                </w:rPr>
                              </w:pPr>
                              <w:r>
                                <w:rPr>
                                  <w:b/>
                                  <w:color w:val="404040"/>
                                  <w:spacing w:val="-4"/>
                                  <w:w w:val="110"/>
                                  <w:sz w:val="8"/>
                                </w:rPr>
                                <w:t>32%</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20" w:firstLine="0"/>
                                <w:jc w:val="center"/>
                                <w:rPr>
                                  <w:b/>
                                  <w:sz w:val="8"/>
                                </w:rPr>
                              </w:pPr>
                              <w:r>
                                <w:rPr>
                                  <w:b/>
                                  <w:color w:val="404040"/>
                                  <w:sz w:val="8"/>
                                </w:rPr>
                                <w:t>-</w:t>
                              </w:r>
                              <w:r>
                                <w:rPr>
                                  <w:b/>
                                  <w:color w:val="404040"/>
                                  <w:spacing w:val="-4"/>
                                  <w:sz w:val="8"/>
                                </w:rPr>
                                <w:t>4,1%</w:t>
                              </w:r>
                            </w:p>
                          </w:txbxContent>
                        </wps:txbx>
                        <wps:bodyPr wrap="square" lIns="0" tIns="0" rIns="0" bIns="0" rtlCol="0">
                          <a:noAutofit/>
                        </wps:bodyPr>
                      </wps:wsp>
                      <wps:wsp>
                        <wps:cNvPr id="421" name="Textbox 421"/>
                        <wps:cNvSpPr txBox="1"/>
                        <wps:spPr>
                          <a:xfrm>
                            <a:off x="1486059" y="5501493"/>
                            <a:ext cx="200025" cy="244475"/>
                          </a:xfrm>
                          <a:prstGeom prst="rect">
                            <a:avLst/>
                          </a:prstGeom>
                        </wps:spPr>
                        <wps:txbx>
                          <w:txbxContent>
                            <w:p>
                              <w:pPr>
                                <w:spacing w:line="85" w:lineRule="exact" w:before="0"/>
                                <w:ind w:left="68" w:right="0" w:firstLine="0"/>
                                <w:jc w:val="left"/>
                                <w:rPr>
                                  <w:rFonts w:ascii="Calibri"/>
                                  <w:b/>
                                  <w:sz w:val="8"/>
                                </w:rPr>
                              </w:pPr>
                              <w:r>
                                <w:rPr>
                                  <w:rFonts w:ascii="Calibri"/>
                                  <w:b/>
                                  <w:color w:val="404040"/>
                                  <w:spacing w:val="-5"/>
                                  <w:w w:val="110"/>
                                  <w:sz w:val="8"/>
                                </w:rPr>
                                <w:t>11%</w:t>
                              </w:r>
                            </w:p>
                            <w:p>
                              <w:pPr>
                                <w:spacing w:before="3"/>
                                <w:ind w:left="0" w:right="0" w:firstLine="0"/>
                                <w:jc w:val="left"/>
                                <w:rPr>
                                  <w:b/>
                                  <w:sz w:val="8"/>
                                </w:rPr>
                              </w:pPr>
                              <w:r>
                                <w:rPr>
                                  <w:b/>
                                  <w:color w:val="404040"/>
                                  <w:w w:val="110"/>
                                  <w:sz w:val="8"/>
                                </w:rPr>
                                <w:t>Δ(2024-</w:t>
                              </w:r>
                            </w:p>
                            <w:p>
                              <w:pPr>
                                <w:spacing w:before="3"/>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line="97" w:lineRule="exact" w:before="6"/>
                                <w:ind w:left="45" w:right="0" w:firstLine="0"/>
                                <w:jc w:val="left"/>
                                <w:rPr>
                                  <w:rFonts w:ascii="Calibri"/>
                                  <w:b/>
                                  <w:sz w:val="8"/>
                                </w:rPr>
                              </w:pPr>
                              <w:r>
                                <w:rPr>
                                  <w:rFonts w:ascii="Calibri"/>
                                  <w:b/>
                                  <w:color w:val="404040"/>
                                  <w:spacing w:val="-2"/>
                                  <w:w w:val="105"/>
                                  <w:sz w:val="8"/>
                                </w:rPr>
                                <w:t>-</w:t>
                              </w:r>
                              <w:r>
                                <w:rPr>
                                  <w:rFonts w:ascii="Calibri"/>
                                  <w:b/>
                                  <w:color w:val="404040"/>
                                  <w:spacing w:val="-4"/>
                                  <w:w w:val="110"/>
                                  <w:sz w:val="8"/>
                                </w:rPr>
                                <w:t>4,2%</w:t>
                              </w:r>
                            </w:p>
                          </w:txbxContent>
                        </wps:txbx>
                        <wps:bodyPr wrap="square" lIns="0" tIns="0" rIns="0" bIns="0" rtlCol="0">
                          <a:noAutofit/>
                        </wps:bodyPr>
                      </wps:wsp>
                      <wps:wsp>
                        <wps:cNvPr id="422" name="Textbox 422"/>
                        <wps:cNvSpPr txBox="1"/>
                        <wps:spPr>
                          <a:xfrm>
                            <a:off x="2335848" y="5544254"/>
                            <a:ext cx="200025" cy="244475"/>
                          </a:xfrm>
                          <a:prstGeom prst="rect">
                            <a:avLst/>
                          </a:prstGeom>
                        </wps:spPr>
                        <wps:txbx>
                          <w:txbxContent>
                            <w:p>
                              <w:pPr>
                                <w:spacing w:line="85" w:lineRule="exact" w:before="0"/>
                                <w:ind w:left="71" w:right="0" w:firstLine="0"/>
                                <w:jc w:val="left"/>
                                <w:rPr>
                                  <w:rFonts w:ascii="Calibri"/>
                                  <w:b/>
                                  <w:sz w:val="8"/>
                                </w:rPr>
                              </w:pPr>
                              <w:r>
                                <w:rPr>
                                  <w:rFonts w:ascii="Calibri"/>
                                  <w:b/>
                                  <w:color w:val="404040"/>
                                  <w:spacing w:val="-5"/>
                                  <w:w w:val="110"/>
                                  <w:sz w:val="8"/>
                                </w:rPr>
                                <w:t>70%</w:t>
                              </w:r>
                            </w:p>
                            <w:p>
                              <w:pPr>
                                <w:spacing w:before="4"/>
                                <w:ind w:left="0" w:right="0" w:firstLine="0"/>
                                <w:jc w:val="left"/>
                                <w:rPr>
                                  <w:b/>
                                  <w:sz w:val="8"/>
                                </w:rPr>
                              </w:pPr>
                              <w:r>
                                <w:rPr>
                                  <w:b/>
                                  <w:color w:val="404040"/>
                                  <w:w w:val="110"/>
                                  <w:sz w:val="8"/>
                                </w:rPr>
                                <w:t>Δ(2024-</w:t>
                              </w:r>
                            </w:p>
                            <w:p>
                              <w:pPr>
                                <w:spacing w:before="2"/>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line="97" w:lineRule="exact" w:before="6"/>
                                <w:ind w:left="22" w:right="0" w:firstLine="0"/>
                                <w:jc w:val="left"/>
                                <w:rPr>
                                  <w:rFonts w:ascii="Calibri"/>
                                  <w:b/>
                                  <w:sz w:val="8"/>
                                </w:rPr>
                              </w:pPr>
                              <w:r>
                                <w:rPr>
                                  <w:rFonts w:ascii="Calibri"/>
                                  <w:b/>
                                  <w:color w:val="404040"/>
                                  <w:sz w:val="8"/>
                                </w:rPr>
                                <w:t>-</w:t>
                              </w:r>
                              <w:r>
                                <w:rPr>
                                  <w:rFonts w:ascii="Calibri"/>
                                  <w:b/>
                                  <w:color w:val="404040"/>
                                  <w:spacing w:val="-2"/>
                                  <w:sz w:val="8"/>
                                </w:rPr>
                                <w:t>21,0%</w:t>
                              </w:r>
                            </w:p>
                          </w:txbxContent>
                        </wps:txbx>
                        <wps:bodyPr wrap="square" lIns="0" tIns="0" rIns="0" bIns="0" rtlCol="0">
                          <a:noAutofit/>
                        </wps:bodyPr>
                      </wps:wsp>
                      <wps:wsp>
                        <wps:cNvPr id="423" name="Textbox 423"/>
                        <wps:cNvSpPr txBox="1"/>
                        <wps:spPr>
                          <a:xfrm>
                            <a:off x="304" y="6054607"/>
                            <a:ext cx="5400675" cy="220979"/>
                          </a:xfrm>
                          <a:prstGeom prst="rect">
                            <a:avLst/>
                          </a:prstGeom>
                          <a:solidFill>
                            <a:srgbClr val="D9D9D9"/>
                          </a:solidFill>
                        </wps:spPr>
                        <wps:txbx>
                          <w:txbxContent>
                            <w:p>
                              <w:pPr>
                                <w:spacing w:before="125"/>
                                <w:ind w:left="112" w:right="0" w:firstLine="0"/>
                                <w:jc w:val="left"/>
                                <w:rPr>
                                  <w:color w:val="000000"/>
                                  <w:sz w:val="14"/>
                                </w:rPr>
                              </w:pPr>
                              <w:r>
                                <w:rPr>
                                  <w:color w:val="000000"/>
                                  <w:sz w:val="14"/>
                                </w:rPr>
                                <w:t>Πηγή:</w:t>
                              </w:r>
                              <w:r>
                                <w:rPr>
                                  <w:color w:val="000000"/>
                                  <w:spacing w:val="-6"/>
                                  <w:sz w:val="14"/>
                                </w:rPr>
                                <w:t> </w:t>
                              </w:r>
                              <w:r>
                                <w:rPr>
                                  <w:color w:val="000000"/>
                                  <w:sz w:val="14"/>
                                </w:rPr>
                                <w:t>Τράπεζα</w:t>
                              </w:r>
                              <w:r>
                                <w:rPr>
                                  <w:color w:val="000000"/>
                                  <w:spacing w:val="-5"/>
                                  <w:sz w:val="14"/>
                                </w:rPr>
                                <w:t> </w:t>
                              </w:r>
                              <w:r>
                                <w:rPr>
                                  <w:color w:val="000000"/>
                                  <w:sz w:val="14"/>
                                </w:rPr>
                                <w:t>της</w:t>
                              </w:r>
                              <w:r>
                                <w:rPr>
                                  <w:color w:val="000000"/>
                                  <w:spacing w:val="-2"/>
                                  <w:sz w:val="14"/>
                                </w:rPr>
                                <w:t> Ελλάδος.</w:t>
                              </w:r>
                            </w:p>
                          </w:txbxContent>
                        </wps:txbx>
                        <wps:bodyPr wrap="square" lIns="0" tIns="0" rIns="0" bIns="0" rtlCol="0">
                          <a:noAutofit/>
                        </wps:bodyPr>
                      </wps:wsp>
                      <wps:wsp>
                        <wps:cNvPr id="424" name="Textbox 424"/>
                        <wps:cNvSpPr txBox="1"/>
                        <wps:spPr>
                          <a:xfrm>
                            <a:off x="3003182" y="5207598"/>
                            <a:ext cx="2094864" cy="571500"/>
                          </a:xfrm>
                          <a:prstGeom prst="rect">
                            <a:avLst/>
                          </a:prstGeom>
                          <a:ln w="6276">
                            <a:solidFill>
                              <a:srgbClr val="3477B1"/>
                            </a:solidFill>
                            <a:prstDash val="solid"/>
                          </a:ln>
                        </wps:spPr>
                        <wps:txbx>
                          <w:txbxContent>
                            <w:p>
                              <w:pPr>
                                <w:spacing w:line="115" w:lineRule="exact" w:before="87"/>
                                <w:ind w:left="707" w:right="0" w:firstLine="0"/>
                                <w:jc w:val="left"/>
                                <w:rPr>
                                  <w:sz w:val="10"/>
                                </w:rPr>
                              </w:pPr>
                              <w:r>
                                <w:rPr>
                                  <w:sz w:val="10"/>
                                </w:rPr>
                                <w:t>Αβέβaιης</w:t>
                              </w:r>
                              <w:r>
                                <w:rPr>
                                  <w:spacing w:val="-1"/>
                                  <w:sz w:val="10"/>
                                </w:rPr>
                                <w:t> </w:t>
                              </w:r>
                              <w:r>
                                <w:rPr>
                                  <w:sz w:val="10"/>
                                </w:rPr>
                                <w:t>εíσπpaCης</w:t>
                              </w:r>
                              <w:r>
                                <w:rPr>
                                  <w:spacing w:val="24"/>
                                  <w:sz w:val="10"/>
                                </w:rPr>
                                <w:t> </w:t>
                              </w:r>
                              <w:r>
                                <w:rPr>
                                  <w:sz w:val="10"/>
                                </w:rPr>
                                <w:t>χωpíς кaθuστέpηση</w:t>
                              </w:r>
                              <w:r>
                                <w:rPr>
                                  <w:spacing w:val="-6"/>
                                  <w:sz w:val="10"/>
                                </w:rPr>
                                <w:t> </w:t>
                              </w:r>
                              <w:r>
                                <w:rPr>
                                  <w:sz w:val="10"/>
                                </w:rPr>
                                <w:t>ή</w:t>
                              </w:r>
                              <w:r>
                                <w:rPr>
                                  <w:spacing w:val="2"/>
                                  <w:sz w:val="10"/>
                                </w:rPr>
                                <w:t> </w:t>
                              </w:r>
                              <w:r>
                                <w:rPr>
                                  <w:sz w:val="10"/>
                                </w:rPr>
                                <w:t>σε</w:t>
                              </w:r>
                              <w:r>
                                <w:rPr>
                                  <w:spacing w:val="-2"/>
                                  <w:sz w:val="10"/>
                                </w:rPr>
                                <w:t> кaθuστέpηση</w:t>
                              </w:r>
                            </w:p>
                            <w:p>
                              <w:pPr>
                                <w:spacing w:before="0"/>
                                <w:ind w:left="707" w:right="0" w:firstLine="0"/>
                                <w:jc w:val="left"/>
                                <w:rPr>
                                  <w:sz w:val="10"/>
                                </w:rPr>
                              </w:pPr>
                              <w:r>
                                <w:rPr>
                                  <w:sz w:val="10"/>
                                </w:rPr>
                                <w:t>&lt;</w:t>
                              </w:r>
                              <w:r>
                                <w:rPr>
                                  <w:spacing w:val="2"/>
                                  <w:sz w:val="10"/>
                                </w:rPr>
                                <w:t> </w:t>
                              </w:r>
                              <w:r>
                                <w:rPr>
                                  <w:sz w:val="10"/>
                                </w:rPr>
                                <w:t>90</w:t>
                              </w:r>
                              <w:r>
                                <w:rPr>
                                  <w:spacing w:val="-3"/>
                                  <w:sz w:val="10"/>
                                </w:rPr>
                                <w:t> </w:t>
                              </w:r>
                              <w:r>
                                <w:rPr>
                                  <w:spacing w:val="-5"/>
                                  <w:sz w:val="10"/>
                                </w:rPr>
                                <w:t>ηµ.</w:t>
                              </w:r>
                            </w:p>
                            <w:p>
                              <w:pPr>
                                <w:spacing w:line="113" w:lineRule="exact" w:before="55"/>
                                <w:ind w:left="707" w:right="0" w:firstLine="0"/>
                                <w:jc w:val="left"/>
                                <w:rPr>
                                  <w:sz w:val="10"/>
                                </w:rPr>
                              </w:pPr>
                              <w:r>
                                <w:rPr>
                                  <w:sz w:val="10"/>
                                </w:rPr>
                                <w:t>Σε</w:t>
                              </w:r>
                              <w:r>
                                <w:rPr>
                                  <w:spacing w:val="1"/>
                                  <w:sz w:val="10"/>
                                </w:rPr>
                                <w:t> </w:t>
                              </w:r>
                              <w:r>
                                <w:rPr>
                                  <w:sz w:val="10"/>
                                </w:rPr>
                                <w:t>кaθuστέpηση</w:t>
                              </w:r>
                              <w:r>
                                <w:rPr>
                                  <w:spacing w:val="-3"/>
                                  <w:sz w:val="10"/>
                                </w:rPr>
                                <w:t> </w:t>
                              </w:r>
                              <w:r>
                                <w:rPr>
                                  <w:sz w:val="10"/>
                                </w:rPr>
                                <w:t>&gt;</w:t>
                              </w:r>
                              <w:r>
                                <w:rPr>
                                  <w:spacing w:val="6"/>
                                  <w:sz w:val="10"/>
                                </w:rPr>
                                <w:t> </w:t>
                              </w:r>
                              <w:r>
                                <w:rPr>
                                  <w:sz w:val="10"/>
                                </w:rPr>
                                <w:t>90 </w:t>
                              </w:r>
                              <w:r>
                                <w:rPr>
                                  <w:spacing w:val="-5"/>
                                  <w:sz w:val="10"/>
                                </w:rPr>
                                <w:t>ηµ.</w:t>
                              </w:r>
                            </w:p>
                            <w:p>
                              <w:pPr>
                                <w:spacing w:line="417" w:lineRule="auto" w:before="0"/>
                                <w:ind w:left="707" w:right="44" w:firstLine="0"/>
                                <w:jc w:val="left"/>
                                <w:rPr>
                                  <w:sz w:val="10"/>
                                </w:rPr>
                              </w:pPr>
                              <w:r>
                                <w:rPr>
                                  <w:sz w:val="10"/>
                                </w:rPr>
                                <w:t>(εCaιpouµένων των</w:t>
                              </w:r>
                              <w:r>
                                <w:rPr>
                                  <w:spacing w:val="-1"/>
                                  <w:sz w:val="10"/>
                                </w:rPr>
                                <w:t> </w:t>
                              </w:r>
                              <w:r>
                                <w:rPr>
                                  <w:sz w:val="10"/>
                                </w:rPr>
                                <w:t>кaτaγγελµένων</w:t>
                              </w:r>
                              <w:r>
                                <w:rPr>
                                  <w:spacing w:val="-4"/>
                                  <w:sz w:val="10"/>
                                </w:rPr>
                                <w:t> </w:t>
                              </w:r>
                              <w:r>
                                <w:rPr>
                                  <w:sz w:val="10"/>
                                </w:rPr>
                                <w:t>aπaιτήσεων)</w:t>
                              </w:r>
                              <w:r>
                                <w:rPr>
                                  <w:spacing w:val="40"/>
                                  <w:sz w:val="10"/>
                                </w:rPr>
                                <w:t> </w:t>
                              </w:r>
                              <w:r>
                                <w:rPr>
                                  <w:sz w:val="10"/>
                                </w:rPr>
                                <w:t>Κaτaγγελµένες</w:t>
                              </w:r>
                              <w:r>
                                <w:rPr>
                                  <w:spacing w:val="-7"/>
                                  <w:sz w:val="10"/>
                                </w:rPr>
                                <w:t> </w:t>
                              </w:r>
                              <w:r>
                                <w:rPr>
                                  <w:sz w:val="10"/>
                                </w:rPr>
                                <w:t>aπaιτήσεις</w:t>
                              </w:r>
                            </w:p>
                          </w:txbxContent>
                        </wps:txbx>
                        <wps:bodyPr wrap="square" lIns="0" tIns="0" rIns="0" bIns="0" rtlCol="0">
                          <a:noAutofit/>
                        </wps:bodyPr>
                      </wps:wsp>
                    </wpg:wgp>
                  </a:graphicData>
                </a:graphic>
              </wp:inline>
            </w:drawing>
          </mc:Choice>
          <mc:Fallback>
            <w:pict>
              <v:group style="width:425.3pt;height:494.15pt;mso-position-horizontal-relative:char;mso-position-vertical-relative:line" id="docshapegroup242" coordorigin="0,0" coordsize="8506,9883">
                <v:rect style="position:absolute;left:0;top:0;width:8505;height:9542" id="docshape243" filled="true" fillcolor="#d9d9d9" stroked="false">
                  <v:fill type="solid"/>
                </v:rect>
                <v:rect style="position:absolute;left:0;top:9531;width:8499;height:4" id="docshape244" filled="true" fillcolor="#ddd9c3" stroked="false">
                  <v:fill type="solid"/>
                </v:rect>
                <v:rect style="position:absolute;left:8495;top:9531;width:4;height:4" id="docshape245" filled="true" fillcolor="#ffffff" stroked="false">
                  <v:fill type="solid"/>
                </v:rect>
                <v:shape style="position:absolute;left:4365;top:1049;width:742;height:1123" id="docshape246" coordorigin="4365,1050" coordsize="742,1123" path="m4365,1050l4365,1775,4985,2173,5028,2100,5062,2022,5087,1942,5102,1859,5107,1775,5103,1701,5092,1629,5074,1559,5049,1493,5018,1429,4980,1369,4938,1314,4890,1262,4837,1215,4780,1174,4719,1137,4654,1107,4586,1082,4515,1065,4441,1054,4365,1050xe" filled="true" fillcolor="#4966ac" stroked="false">
                  <v:path arrowok="t"/>
                  <v:fill type="solid"/>
                </v:shape>
                <v:shape style="position:absolute;left:3614;top:1827;width:1333;height:725" id="docshape247" coordorigin="3614,1828" coordsize="1333,725" path="m4327,1828l3614,2027,3639,2097,3670,2164,3708,2227,3752,2286,3803,2340,3859,2389,3920,2433,3985,2471,4053,2501,4122,2524,4193,2541,4264,2550,4336,2552,4407,2548,4477,2537,4546,2520,4613,2496,4678,2466,4740,2430,4798,2388,4852,2340,4902,2286,4947,2226,4327,1828xe" filled="true" fillcolor="#297ed4" stroked="false">
                  <v:path arrowok="t"/>
                  <v:fill type="solid"/>
                </v:shape>
                <v:shape style="position:absolute;left:3561;top:1045;width:742;height:924" id="docshape248" coordorigin="3561,1045" coordsize="742,924" path="m4303,1045l4200,1052,4099,1073,4027,1097,3960,1127,3896,1164,3838,1205,3784,1252,3735,1304,3692,1359,3655,1418,3623,1480,3598,1546,3579,1613,3567,1682,3561,1753,3563,1825,3573,1897,3590,1969,4303,1770,4303,1045xe" filled="true" fillcolor="#5aa1ad" stroked="false">
                  <v:path arrowok="t"/>
                  <v:fill type="solid"/>
                </v:shape>
                <v:shape style="position:absolute;left:3260;top:1333;width:2072;height:1210" id="docshape249" coordorigin="3260,1334" coordsize="2072,1210" path="m5017,1430l5309,1463,5331,1463m4214,2544l3306,2510,3283,2510m3711,1334l3283,1404,3260,1404e" filled="false" stroked="true" strokeweight=".187168pt" strokecolor="#a6a6a6">
                  <v:path arrowok="t"/>
                  <v:stroke dashstyle="solid"/>
                </v:shape>
                <v:shape style="position:absolute;left:372;top:5509;width:1822;height:652" type="#_x0000_t75" id="docshape250" stroked="false">
                  <v:imagedata r:id="rId47" o:title=""/>
                </v:shape>
                <v:shape style="position:absolute;left:437;top:5516;width:1693;height:322" type="#_x0000_t75" id="docshape251" stroked="false">
                  <v:imagedata r:id="rId48" o:title=""/>
                </v:shape>
                <v:shape style="position:absolute;left:395;top:5523;width:1776;height:607" id="docshape252" coordorigin="396,5524" coordsize="1776,607" path="m2034,5524l533,5524,480,5532,436,5554,406,5586,396,5625,396,6030,406,6069,436,6101,480,6123,533,6131,2034,6131,2087,6123,2131,6101,2161,6069,2172,6030,2172,5625,2161,5586,2131,5554,2087,5532,2034,5524xe" filled="true" fillcolor="#619dd1" stroked="false">
                  <v:path arrowok="t"/>
                  <v:fill type="solid"/>
                </v:shape>
                <v:shape style="position:absolute;left:4239;top:5953;width:1818;height:652" type="#_x0000_t75" id="docshape253" stroked="false">
                  <v:imagedata r:id="rId49" o:title=""/>
                </v:shape>
                <v:shape style="position:absolute;left:4504;top:5953;width:1288;height:348" type="#_x0000_t75" id="docshape254" stroked="false">
                  <v:imagedata r:id="rId50" o:title=""/>
                </v:shape>
                <v:shape style="position:absolute;left:4261;top:5967;width:1773;height:607" id="docshape255" coordorigin="4262,5968" coordsize="1773,607" path="m5896,5968l4399,5968,4346,5976,4302,5998,4273,6030,4262,6069,4262,6474,4273,6513,4302,6545,4346,6567,4399,6575,5896,6575,5950,6567,5994,6545,6023,6513,6034,6474,6034,6069,6023,6030,5994,5998,5950,5976,5896,5968xe" filled="true" fillcolor="#619dd1" stroked="false">
                  <v:path arrowok="t"/>
                  <v:fill type="solid"/>
                </v:shape>
                <v:shape style="position:absolute;left:6234;top:5953;width:1826;height:630" type="#_x0000_t75" id="docshape256" stroked="false">
                  <v:imagedata r:id="rId51" o:title=""/>
                </v:shape>
                <v:shape style="position:absolute;left:6454;top:5953;width:1379;height:348" type="#_x0000_t75" id="docshape257" stroked="false">
                  <v:imagedata r:id="rId52" o:title=""/>
                </v:shape>
                <v:shape style="position:absolute;left:6257;top:5967;width:1780;height:585" id="docshape258" coordorigin="6257,5968" coordsize="1780,585" path="m7899,5968l6395,5968,6342,5976,6298,5996,6268,6027,6257,6065,6257,6455,6268,6493,6298,6524,6342,6545,6395,6553,7899,6553,7953,6545,7997,6524,8026,6493,8037,6455,8037,6065,8026,6027,7997,5996,7953,5976,7899,5968xe" filled="true" fillcolor="#619dd1" stroked="false">
                  <v:path arrowok="t"/>
                  <v:fill type="solid"/>
                </v:shape>
                <v:shape style="position:absolute;left:2822;top:103;width:2909;height:889" type="#_x0000_t75" id="docshape259" stroked="false">
                  <v:imagedata r:id="rId53" o:title=""/>
                </v:shape>
                <v:shape style="position:absolute;left:2940;top:125;width:2670;height:481" type="#_x0000_t75" id="docshape260" stroked="false">
                  <v:imagedata r:id="rId54" o:title=""/>
                </v:shape>
                <v:shape style="position:absolute;left:2845;top:118;width:2863;height:844" id="docshape261" coordorigin="2846,118" coordsize="2863,844" path="m5564,118l2989,118,2933,129,2888,159,2857,204,2846,259,2846,821,2857,876,2888,921,2933,951,2989,962,5564,962,5620,951,5666,921,5697,876,5708,821,5708,259,5697,204,5666,159,5620,129,5564,118xe" filled="true" fillcolor="#224f77" stroked="false">
                  <v:path arrowok="t"/>
                  <v:fill opacity="59110f" type="solid"/>
                </v:shape>
                <v:shape style="position:absolute;left:3739;top:510;width:2007;height:489" type="#_x0000_t75" id="docshape262" stroked="false">
                  <v:imagedata r:id="rId55" o:title=""/>
                </v:shape>
                <v:shape style="position:absolute;left:3860;top:495;width:1795;height:555" type="#_x0000_t75" id="docshape263" stroked="false">
                  <v:imagedata r:id="rId56" o:title=""/>
                </v:shape>
                <v:shape style="position:absolute;left:3769;top:532;width:1947;height:430" id="docshape264" coordorigin="3769,533" coordsize="1947,430" path="m5643,533l3843,533,3814,538,3791,553,3775,576,3769,604,3769,890,3775,918,3791,941,3814,956,3843,962,5643,962,5671,956,5694,941,5710,918,5716,890,5716,604,5710,576,5694,553,5671,538,5643,533xe" filled="true" fillcolor="#3477b1" stroked="false">
                  <v:path arrowok="t"/>
                  <v:fill opacity="59110f" type="solid"/>
                </v:shape>
                <v:shape style="position:absolute;left:3769;top:532;width:1947;height:430" id="docshape265" coordorigin="3769,533" coordsize="1947,430" path="m3769,604l3775,576,3791,553,3814,538,3843,533,5643,533,5710,576,5716,890,5710,918,5694,941,5671,956,5643,962,3843,962,3775,918,3769,604xe" filled="false" stroked="true" strokeweight=".740815pt" strokecolor="#cddae9">
                  <v:path arrowok="t"/>
                  <v:stroke dashstyle="solid"/>
                </v:shape>
                <v:shape style="position:absolute;left:1084;top:3141;width:2307;height:763" type="#_x0000_t75" id="docshape266" stroked="false">
                  <v:imagedata r:id="rId57" o:title=""/>
                </v:shape>
                <v:shape style="position:absolute;left:1187;top:3118;width:2095;height:415" type="#_x0000_t75" id="docshape267" stroked="false">
                  <v:imagedata r:id="rId58" o:title=""/>
                </v:shape>
                <v:shape style="position:absolute;left:1107;top:3155;width:2261;height:718" id="docshape268" coordorigin="1107,3156" coordsize="2261,718" path="m3243,3156l1233,3156,1184,3162,1144,3177,1117,3200,1107,3228,1107,3802,1117,3830,1144,3853,1184,3868,1233,3874,3242,3874,3291,3868,3331,3853,3358,3830,3368,3802,3368,3228,3358,3200,3331,3177,3291,3162,3243,3156xe" filled="true" fillcolor="#c0d7ec" stroked="false">
                  <v:path arrowok="t"/>
                  <v:fill opacity="59110f" type="solid"/>
                </v:shape>
                <v:shape style="position:absolute;left:1726;top:3472;width:1640;height:400" id="docshape269" coordorigin="1727,3472" coordsize="1640,400" path="m3298,3472l1795,3472,1768,3478,1747,3492,1732,3513,1727,3539,1727,3805,1732,3831,1747,3852,1768,3867,1795,3872,3298,3872,3325,3867,3346,3852,3361,3831,3366,3805,3366,3539,3361,3513,3346,3492,3325,3478,3298,3472xe" filled="true" fillcolor="#ffffff" stroked="false">
                  <v:path arrowok="t"/>
                  <v:fill type="solid"/>
                </v:shape>
                <v:shape style="position:absolute;left:1726;top:3472;width:1640;height:400" id="docshape270" coordorigin="1727,3472" coordsize="1640,400" path="m1727,3539l1732,3513,1747,3492,1768,3478,1795,3472,3298,3472,3361,3513,3366,3805,3361,3831,3346,3852,3325,3867,3298,3872,1795,3872,1732,3831,1727,3539xe" filled="false" stroked="true" strokeweight=".493989pt" strokecolor="#619dd1">
                  <v:path arrowok="t"/>
                  <v:stroke dashstyle="solid"/>
                </v:shape>
                <v:shape style="position:absolute;left:4841;top:3104;width:2549;height:792" type="#_x0000_t75" id="docshape271" stroked="false">
                  <v:imagedata r:id="rId59" o:title=""/>
                </v:shape>
                <v:shape style="position:absolute;left:5234;top:3081;width:1754;height:415" type="#_x0000_t75" id="docshape272" stroked="false">
                  <v:imagedata r:id="rId60" o:title=""/>
                </v:shape>
                <v:shape style="position:absolute;left:4863;top:3118;width:2503;height:748" id="docshape273" coordorigin="4864,3119" coordsize="2503,748" path="m7228,3119l5003,3119,4949,3125,4905,3141,4875,3165,4864,3194,4864,3792,4875,3821,4905,3844,4949,3860,5003,3866,7228,3866,7282,3860,7326,3844,7356,3821,7367,3792,7367,3194,7356,3165,7326,3141,7282,3125,7228,3119xe" filled="true" fillcolor="#c0d7ec" stroked="false">
                  <v:path arrowok="t"/>
                  <v:fill opacity="59110f" type="solid"/>
                </v:shape>
                <v:shape style="position:absolute;left:5660;top:3472;width:1689;height:407" id="docshape274" coordorigin="5661,3472" coordsize="1689,407" path="m7280,3472l5730,3472,5703,3478,5681,3492,5666,3514,5661,3540,5661,3811,5666,3838,5681,3859,5703,3874,5730,3879,7280,3879,7307,3874,7329,3859,7344,3838,7350,3811,7350,3540,7344,3514,7329,3492,7307,3478,7280,3472xe" filled="true" fillcolor="#ffffff" stroked="false">
                  <v:path arrowok="t"/>
                  <v:fill type="solid"/>
                </v:shape>
                <v:shape style="position:absolute;left:5660;top:3472;width:1689;height:407" id="docshape275" coordorigin="5661,3472" coordsize="1689,407" path="m5661,3540l5666,3514,5681,3492,5703,3478,5730,3472,7280,3472,7344,3514,7350,3811,7344,3838,7329,3859,7307,3874,7280,3879,5730,3879,5666,3838,5661,3540xe" filled="false" stroked="true" strokeweight=".493975pt" strokecolor="#619dd1">
                  <v:path arrowok="t"/>
                  <v:stroke dashstyle="solid"/>
                </v:shape>
                <v:shape style="position:absolute;left:2362;top:4002;width:618;height:822" id="docshape276" coordorigin="2363,4003" coordsize="618,822" path="m2363,4003l2363,4606,2938,4825,2956,4772,2969,4717,2977,4662,2980,4606,2975,4530,2961,4457,2938,4388,2908,4322,2869,4261,2824,4205,2773,4155,2715,4111,2653,4074,2586,4044,2515,4021,2440,4008,2363,4003xe" filled="true" fillcolor="#4966ac" stroked="false">
                  <v:path arrowok="t"/>
                  <v:fill type="solid"/>
                </v:shape>
                <v:shape style="position:absolute;left:1898;top:4652;width:1020;height:604" id="docshape277" coordorigin="1899,4652" coordsize="1020,604" path="m2343,4652l1899,5070,1948,5115,2001,5154,2059,5187,2120,5214,2194,5237,2268,5251,2343,5256,2416,5251,2488,5239,2558,5218,2625,5189,2688,5153,2746,5110,2799,5060,2846,5003,2886,4940,2918,4871,2343,4652xe" filled="true" fillcolor="#297ed4" stroked="false">
                  <v:path arrowok="t"/>
                  <v:fill type="solid"/>
                </v:shape>
                <v:shape style="position:absolute;left:1692;top:4008;width:617;height:1021" id="docshape278" coordorigin="1692,4008" coordsize="617,1021" path="m2309,4008l2230,4013,2153,4028,2079,4052,2008,4085,1942,4126,1881,4176,1829,4232,1785,4293,1749,4357,1722,4424,1704,4493,1694,4564,1692,4635,1700,4706,1715,4776,1740,4844,1772,4909,1814,4971,1864,5029,2309,4611,2309,4008xe" filled="true" fillcolor="#5aa1ad" stroked="false">
                  <v:path arrowok="t"/>
                  <v:fill type="solid"/>
                </v:shape>
                <v:shape style="position:absolute;left:1446;top:4182;width:1773;height:1077" id="docshape279" coordorigin="1446,4183" coordsize="1773,1077" path="m2874,4264l3173,4183,3196,4183m2465,5245l3196,5259,3219,5259m1742,4375l1469,4345,1446,4345e" filled="false" stroked="true" strokeweight=".187168pt" strokecolor="#a6a6a6">
                  <v:path arrowok="t"/>
                  <v:stroke dashstyle="solid"/>
                </v:shape>
                <v:shape style="position:absolute;left:6237;top:4032;width:597;height:1014" id="docshape280" coordorigin="6238,4033" coordsize="597,1014" path="m6238,4033l6238,4616,6640,5046,6698,4987,6746,4922,6784,4851,6811,4776,6829,4697,6834,4616,6830,4543,6816,4472,6794,4405,6764,4342,6727,4283,6684,4229,6634,4180,6578,4137,6518,4101,6453,4072,6384,4050,6312,4037,6238,4033xe" filled="true" fillcolor="#4966ac" stroked="false">
                  <v:path arrowok="t"/>
                  <v:fill type="solid"/>
                </v:shape>
                <v:shape style="position:absolute;left:5597;top:4480;width:1000;height:754" id="docshape281" coordorigin="5597,4481" coordsize="1000,754" path="m5623,4481l5605,4555,5597,4631,5600,4706,5612,4780,5633,4851,5664,4920,5704,4985,5753,5045,5807,5096,5866,5139,5929,5174,5994,5201,6062,5220,6132,5231,6202,5234,6273,5229,6342,5216,6410,5195,6476,5165,6538,5127,6597,5081,6194,4651,5623,4481xe" filled="true" fillcolor="#297ed4" stroked="false">
                  <v:path arrowok="t"/>
                  <v:fill type="solid"/>
                </v:shape>
                <v:shape style="position:absolute;left:5621;top:4019;width:571;height:584" id="docshape282" coordorigin="5621,4020" coordsize="571,584" path="m6192,4020l6114,4025,6039,4039,5967,4063,5900,4094,5837,4134,5780,4181,5729,4235,5685,4295,5649,4361,5621,4433,6192,4603,6192,4020xe" filled="true" fillcolor="#5aa1ad" stroked="false">
                  <v:path arrowok="t"/>
                  <v:fill type="solid"/>
                </v:shape>
                <v:shape style="position:absolute;left:5312;top:4134;width:1651;height:1055" id="docshape283" coordorigin="5313,4135" coordsize="1651,1055" path="m6793,4405l6941,4345,6964,4345m5877,5145l5335,5189,5313,5189m5835,4135l5536,4205,5513,4205e" filled="false" stroked="true" strokeweight=".187168pt" strokecolor="#a6a6a6">
                  <v:path arrowok="t"/>
                  <v:stroke dashstyle="solid"/>
                </v:shape>
                <v:shape style="position:absolute;left:1308;top:6271;width:487;height:935" id="docshape284" coordorigin="1309,6271" coordsize="487,935" path="m1309,6271l1309,6747,1436,7206,1512,7179,1581,7140,1642,7092,1695,7036,1737,6971,1769,6901,1788,6826,1795,6747,1789,6670,1770,6597,1741,6528,1701,6466,1652,6411,1596,6363,1532,6325,1462,6296,1387,6278,1309,6271xe" filled="true" fillcolor="#4966ac" stroked="false">
                  <v:path arrowok="t"/>
                  <v:fill type="solid"/>
                </v:shape>
                <v:shape style="position:absolute;left:776;top:6353;width:613;height:881" id="docshape285" coordorigin="777,6354" coordsize="613,881" path="m1008,6354l944,6400,889,6454,844,6516,810,6583,787,6655,777,6730,778,6807,793,6883,819,6956,857,7022,903,7080,958,7130,1020,7171,1087,7203,1159,7224,1234,7234,1311,7232,1389,7218,1262,6759,1008,6354xe" filled="true" fillcolor="#297ed4" stroked="false">
                  <v:path arrowok="t"/>
                  <v:fill type="solid"/>
                </v:shape>
                <v:shape style="position:absolute;left:1024;top:6251;width:254;height:476" id="docshape286" coordorigin="1024,6252" coordsize="254,476" path="m1278,6252l1211,6256,1146,6270,1083,6291,1024,6322,1278,6727,1278,6252xe" filled="true" fillcolor="#5aa1ad" stroked="false">
                  <v:path arrowok="t"/>
                  <v:fill type="solid"/>
                </v:shape>
                <v:shape style="position:absolute;left:647;top:6269;width:1208;height:741" id="docshape287" coordorigin="647,6270" coordsize="1208,741" path="m1791,6684l1833,6580,1855,6580m814,6947l670,7010,647,7010m1147,6270l784,6325,761,6325e" filled="false" stroked="true" strokeweight=".187168pt" strokecolor="#a6a6a6">
                  <v:path arrowok="t"/>
                  <v:stroke dashstyle="solid"/>
                </v:shape>
                <v:shape style="position:absolute;left:829;top:5799;width:1337;height:348" id="docshape288" coordorigin="829,5800" coordsize="1337,348" path="m2106,5800l889,5800,865,5804,847,5817,834,5835,829,5858,829,6089,834,6112,847,6130,865,6143,889,6147,2106,6147,2130,6143,2148,6130,2161,6112,2166,6089,2166,5858,2161,5835,2148,5817,2130,5804,2106,5800xe" filled="true" fillcolor="#ffffff" stroked="false">
                  <v:path arrowok="t"/>
                  <v:fill type="solid"/>
                </v:shape>
                <v:shape style="position:absolute;left:829;top:5799;width:1337;height:348" id="docshape289" coordorigin="829,5800" coordsize="1337,348" path="m829,5858l834,5835,847,5817,865,5804,889,5800,2106,5800,2161,5835,2166,6089,2161,6112,2148,6130,2130,6143,2106,6147,889,6147,834,6112,829,5858xe" filled="false" stroked="true" strokeweight=".494074pt" strokecolor="#619dd1">
                  <v:path arrowok="t"/>
                  <v:stroke dashstyle="solid"/>
                </v:shape>
                <v:shape style="position:absolute;left:3175;top:6272;width:466;height:456" id="docshape290" coordorigin="3176,6272" coordsize="466,456" path="m3176,6272l3176,6727,3642,6718,3634,6646,3616,6577,3587,6513,3548,6454,3502,6402,3448,6358,3387,6322,3321,6295,3250,6278,3176,6272xe" filled="true" fillcolor="#4966ac" stroked="false">
                  <v:path arrowok="t"/>
                  <v:fill type="solid"/>
                </v:shape>
                <v:shape style="position:absolute;left:3176;top:6749;width:466;height:463" id="docshape291" coordorigin="3177,6750" coordsize="466,463" path="m3643,6750l3177,6759,3219,7212,3298,7199,3371,7173,3438,7136,3498,7089,3548,7034,3589,6971,3619,6902,3637,6828,3643,6750xe" filled="true" fillcolor="#297ed4" stroked="false">
                  <v:path arrowok="t"/>
                  <v:fill type="solid"/>
                </v:shape>
                <v:shape style="position:absolute;left:2671;top:6289;width:507;height:910" id="docshape292" coordorigin="2671,6289" coordsize="507,910" path="m3136,6289l3019,6304,2950,6327,2886,6361,2828,6403,2778,6453,2737,6510,2705,6573,2683,6640,2671,6712,2672,6786,2685,6859,2709,6927,2743,6990,2786,7046,2838,7094,2896,7135,2960,7166,3029,7188,3102,7199,3178,7198,3136,6745,3136,6289xe" filled="true" fillcolor="#5aa1ad" stroked="false">
                  <v:path arrowok="t"/>
                  <v:fill type="solid"/>
                </v:shape>
                <v:shape style="position:absolute;left:2555;top:6384;width:1171;height:726" id="docshape293" coordorigin="2556,6384" coordsize="1171,726" path="m3503,6403l3703,6384,3726,6384m3525,7061l3525,7109,3548,7109m2669,6765l2579,6677,2556,6677e" filled="false" stroked="true" strokeweight=".187168pt" strokecolor="#a6a6a6">
                  <v:path arrowok="t"/>
                  <v:stroke dashstyle="solid"/>
                </v:shape>
                <v:shape style="position:absolute;left:2781;top:8210;width:921;height:922" id="docshape294" coordorigin="2781,8210" coordsize="921,922" path="m3231,8210l3231,8671,2781,8812,2810,8880,2849,8942,2897,8997,2952,9043,3015,9081,3083,9109,3155,9126,3231,9132,3307,9126,3380,9109,3447,9081,3509,9043,3564,8997,3611,8943,3650,8883,3678,8817,3696,8746,3702,8671,3696,8597,3678,8526,3650,8460,3611,8399,3564,8345,3509,8299,3447,8262,3380,8234,3307,8217,3231,8210xe" filled="true" fillcolor="#4966ac" stroked="false">
                  <v:path arrowok="t"/>
                  <v:fill type="solid"/>
                </v:shape>
                <v:shape style="position:absolute;left:2716;top:8476;width:472;height:321" id="docshape295" coordorigin="2717,8476" coordsize="472,321" path="m2754,8476l2728,8554,2717,8635,2720,8717,2739,8797,3188,8657,2754,8476xe" filled="true" fillcolor="#297ed4" stroked="false">
                  <v:path arrowok="t"/>
                  <v:fill type="solid"/>
                </v:shape>
                <v:shape style="position:absolute;left:2764;top:8177;width:434;height:461" id="docshape296" coordorigin="2765,8178" coordsize="434,461" path="m3199,8178l3119,8184,3043,8204,2972,8235,2907,8276,2850,8328,2802,8389,2765,8458,3199,8638,3199,8178xe" filled="true" fillcolor="#5aa1ad" stroked="false">
                  <v:path arrowok="t"/>
                  <v:fill type="solid"/>
                </v:shape>
                <v:shape style="position:absolute;left:2510;top:8633;width:1167;height:311" id="docshape297" coordorigin="2510,8634" coordsize="1167,311" path="m3612,8945l3654,8922,3677,8922m2719,8634l2533,8786,2510,8786e" filled="false" stroked="true" strokeweight=".187168pt" strokecolor="#a6a6a6">
                  <v:path arrowok="t"/>
                  <v:stroke dashstyle="solid"/>
                </v:shape>
                <v:shape style="position:absolute;left:2254;top:5512;width:1856;height:678" type="#_x0000_t75" id="docshape298" stroked="false">
                  <v:imagedata r:id="rId61" o:title=""/>
                </v:shape>
                <v:shape style="position:absolute;left:2357;top:5516;width:1648;height:345" type="#_x0000_t75" id="docshape299" stroked="false">
                  <v:imagedata r:id="rId62" o:title=""/>
                </v:shape>
                <v:shape style="position:absolute;left:2277;top:5527;width:1811;height:633" id="docshape300" coordorigin="2278,5528" coordsize="1811,633" path="m3947,5528l2418,5528,2363,5536,2319,5559,2289,5592,2278,5633,2278,6055,2289,6096,2319,6129,2363,6152,2418,6160,3947,6160,4002,6152,4046,6129,4077,6096,4088,6055,4088,5633,4077,5592,4046,5559,4002,5536,3947,5528xe" filled="true" fillcolor="#619dd1" stroked="false">
                  <v:path arrowok="t"/>
                  <v:fill type="solid"/>
                </v:shape>
                <v:shape style="position:absolute;left:2737;top:5818;width:1345;height:345" id="docshape301" coordorigin="2738,5818" coordsize="1345,345" path="m4023,5818l2796,5818,2773,5823,2755,5835,2742,5853,2738,5875,2738,6105,2742,6127,2755,6145,2773,6158,2796,6162,4023,6162,4046,6158,4065,6145,4077,6127,4082,6105,4082,5875,4077,5853,4065,5835,4046,5823,4023,5818xe" filled="true" fillcolor="#ffffff" stroked="false">
                  <v:path arrowok="t"/>
                  <v:fill type="solid"/>
                </v:shape>
                <v:shape style="position:absolute;left:2737;top:5818;width:1345;height:345" id="docshape302" coordorigin="2738,5818" coordsize="1345,345" path="m2738,5875l2742,5853,2755,5835,2773,5823,2796,5818,4023,5818,4077,5853,4082,6105,4077,6127,4065,6145,4046,6158,4023,6162,2796,6162,2742,6127,2738,5875xe" filled="false" stroked="true" strokeweight=".494051pt" strokecolor="#619dd1">
                  <v:path arrowok="t"/>
                  <v:stroke dashstyle="solid"/>
                </v:shape>
                <v:shape style="position:absolute;left:5158;top:6741;width:461;height:841" id="docshape303" coordorigin="5158,6742" coordsize="461,841" path="m5158,6742l5158,7192,5388,7582,5455,7537,5511,7481,5557,7417,5591,7347,5612,7271,5619,7192,5613,7119,5595,7050,5567,6985,5530,6926,5484,6874,5430,6828,5370,6792,5304,6765,5233,6747,5158,6742xe" filled="true" fillcolor="#4966ac" stroked="false">
                  <v:path arrowok="t"/>
                  <v:fill type="solid"/>
                </v:shape>
                <v:shape style="position:absolute;left:4649;top:7031;width:691;height:641" id="docshape304" coordorigin="4649,7032" coordsize="691,641" path="m4692,7032l4666,7100,4652,7170,4649,7241,4658,7312,4678,7381,4710,7447,4753,7507,4803,7559,4860,7601,4923,7634,4990,7657,5059,7670,5130,7672,5201,7664,5272,7644,5339,7612,5109,7222,4692,7032xe" filled="true" fillcolor="#297ed4" stroked="false">
                  <v:path arrowok="t"/>
                  <v:fill type="solid"/>
                </v:shape>
                <v:shape style="position:absolute;left:4713;top:6748;width:418;height:451" id="docshape305" coordorigin="4714,6749" coordsize="418,451" path="m5131,6749l5056,6755,4983,6772,4916,6801,4853,6840,4798,6888,4751,6944,4714,7009,5131,7199,5131,6749xe" filled="true" fillcolor="#5aa1ad" stroked="false">
                  <v:path arrowok="t"/>
                  <v:fill type="solid"/>
                </v:shape>
                <v:shape style="position:absolute;left:4619;top:6820;width:1178;height:733" id="docshape306" coordorigin="4620,6821" coordsize="1178,733" path="m5604,7076l5775,7017,5797,7017m4798,7553l4642,7491,4620,7491m4885,6821l4748,6847,4726,6847e" filled="false" stroked="true" strokeweight=".187168pt" strokecolor="#a6a6a6">
                  <v:path arrowok="t"/>
                  <v:stroke dashstyle="solid"/>
                </v:shape>
                <v:shape style="position:absolute;left:7188;top:6708;width:473;height:463" id="docshape307" coordorigin="7189,6708" coordsize="473,463" path="m7189,6708l7189,7171,7661,7143,7651,7072,7630,7004,7600,6942,7560,6885,7513,6834,7459,6791,7398,6756,7332,6730,7262,6714,7189,6708xe" filled="true" fillcolor="#4966ac" stroked="false">
                  <v:path arrowok="t"/>
                  <v:fill type="solid"/>
                </v:shape>
                <v:shape style="position:absolute;left:6720;top:7183;width:929;height:490" id="docshape308" coordorigin="6720,7183" coordsize="929,490" path="m7649,7183l7176,7211,6720,7335,6745,7403,6780,7464,6823,7519,6874,7567,6931,7606,6993,7638,7061,7660,7131,7672,7205,7673,7281,7662,7353,7640,7419,7608,7478,7567,7531,7518,7575,7461,7609,7398,7634,7330,7647,7258,7649,7183xe" filled="true" fillcolor="#297ed4" stroked="false">
                  <v:path arrowok="t"/>
                  <v:fill type="solid"/>
                </v:shape>
                <v:shape style="position:absolute;left:6680;top:6711;width:474;height:588" id="docshape309" coordorigin="6680,6711" coordsize="474,588" path="m7153,6711l7089,6716,7026,6728,6954,6754,6889,6790,6831,6835,6781,6888,6741,6947,6710,7011,6690,7080,6680,7151,6683,7224,6697,7298,7153,7174,7153,6711xe" filled="true" fillcolor="#5aa1ad" stroked="false">
                  <v:path arrowok="t"/>
                  <v:fill type="solid"/>
                </v:shape>
                <v:shape style="position:absolute;left:6596;top:6806;width:1133;height:104" id="docshape310" coordorigin="6596,6806" coordsize="1133,104" path="m7513,6836l7706,6806,7728,6806m6778,6895l6619,6910,6596,6910e" filled="false" stroked="true" strokeweight=".187168pt" strokecolor="#a6a6a6">
                  <v:path arrowok="t"/>
                  <v:stroke dashstyle="solid"/>
                </v:shape>
                <v:shape style="position:absolute;left:4581;top:6247;width:1443;height:322" id="docshape311" coordorigin="4582,6247" coordsize="1443,322" path="m5970,6247l4637,6247,4615,6252,4598,6263,4586,6280,4582,6301,4582,6516,4586,6536,4598,6554,4615,6565,4637,6569,5970,6569,5991,6565,6008,6554,6020,6536,6024,6516,6024,6301,6020,6280,6008,6263,5991,6252,5970,6247xe" filled="true" fillcolor="#ffffff" stroked="false">
                  <v:path arrowok="t"/>
                  <v:fill type="solid"/>
                </v:shape>
                <v:shape style="position:absolute;left:4581;top:6247;width:1443;height:322" id="docshape312" coordorigin="4582,6247" coordsize="1443,322" path="m4582,6301l4586,6280,4598,6263,4615,6252,4637,6247,5970,6247,6020,6280,6024,6516,6020,6536,6008,6554,5991,6565,5970,6569,4637,6569,4586,6536,4582,6301xe" filled="false" stroked="true" strokeweight=".493889pt" strokecolor="#619dd1">
                  <v:path arrowok="t"/>
                  <v:stroke dashstyle="solid"/>
                </v:shape>
                <v:shape style="position:absolute;left:6618;top:6236;width:1417;height:311" id="docshape313" coordorigin="6619,6236" coordsize="1417,311" path="m7982,6236l6672,6236,6651,6240,6634,6251,6623,6268,6619,6288,6619,6495,6623,6515,6634,6532,6651,6543,6672,6547,7982,6547,8003,6543,8020,6532,8031,6515,8035,6495,8035,6288,8031,6268,8020,6251,8003,6240,7982,6236xe" filled="true" fillcolor="#ffffff" stroked="false">
                  <v:path arrowok="t"/>
                  <v:fill type="solid"/>
                </v:shape>
                <v:shape style="position:absolute;left:6618;top:6236;width:1417;height:311" id="docshape314" coordorigin="6619,6236" coordsize="1417,311" path="m6619,6288l6623,6268,6634,6251,6651,6240,6672,6236,7982,6236,8035,6288,8035,6495,8031,6515,8020,6532,8003,6543,7982,6547,6672,6547,6619,6495,6619,6288xe" filled="false" stroked="true" strokeweight=".493872pt" strokecolor="#619dd1">
                  <v:path arrowok="t"/>
                  <v:stroke dashstyle="solid"/>
                </v:shape>
                <v:shape style="position:absolute;left:5020;top:8285;width:263;height:176" type="#_x0000_t75" id="docshape315" stroked="false">
                  <v:imagedata r:id="rId63" o:title=""/>
                </v:shape>
                <v:shape style="position:absolute;left:5020;top:8588;width:271;height:168" type="#_x0000_t75" id="docshape316" stroked="false">
                  <v:imagedata r:id="rId64" o:title=""/>
                </v:shape>
                <v:shape style="position:absolute;left:5019;top:8843;width:264;height:158" type="#_x0000_t75" id="docshape317" stroked="false">
                  <v:imagedata r:id="rId65" o:title=""/>
                </v:shape>
                <v:shape style="position:absolute;left:547;top:3000;width:3511;height:2387" type="#_x0000_t75" id="docshape318" stroked="false">
                  <v:imagedata r:id="rId66" o:title=""/>
                </v:shape>
                <v:shape style="position:absolute;left:567;top:3020;width:3446;height:2324" id="docshape319" coordorigin="568,3021" coordsize="3446,2324" path="m568,3408l574,3339,593,3273,622,3213,661,3159,709,3112,764,3074,826,3045,893,3027,964,3021,3617,3021,3689,3027,3756,3045,3817,3074,3873,3112,3921,3159,3960,3213,3989,3273,4007,3339,4014,3408,4014,4957,4007,5027,3989,5092,3960,5153,3921,5207,3873,5253,3817,5292,3756,5320,3689,5338,3617,5345,964,5345,893,5338,826,5320,764,5292,709,5253,661,5207,622,5153,593,5092,574,5027,568,4957,568,3408xe" filled="false" stroked="true" strokeweight=".49695pt" strokecolor="#3477b1">
                  <v:path arrowok="t"/>
                  <v:stroke dashstyle="solid"/>
                </v:shape>
                <v:shape style="position:absolute;left:2451;top:25;width:3579;height:2687" type="#_x0000_t75" id="docshape320" stroked="false">
                  <v:imagedata r:id="rId67" o:title=""/>
                </v:shape>
                <v:shape style="position:absolute;left:2472;top:46;width:3514;height:2624" id="docshape321" coordorigin="2473,46" coordsize="3514,2624" path="m2473,483l2478,412,2495,345,2523,282,2559,225,2604,174,2656,130,2714,95,2779,68,2847,52,2920,46,5539,46,5612,52,5681,68,5745,95,5803,130,5856,174,5900,225,5937,282,5964,345,5981,412,5987,483,5987,2232,5981,2303,5964,2370,5937,2433,5900,2490,5856,2541,5803,2585,5745,2621,5681,2647,5612,2664,5539,2669,2920,2669,2847,2664,2779,2647,2714,2621,2656,2585,2604,2541,2559,2490,2523,2433,2495,2370,2478,2303,2473,2232,2473,483xe" filled="false" stroked="true" strokeweight=".497473pt" strokecolor="#3477b1">
                  <v:path arrowok="t"/>
                  <v:stroke dashstyle="solid"/>
                </v:shape>
                <v:shape style="position:absolute;left:4386;top:2985;width:3408;height:2391" type="#_x0000_t75" id="docshape322" stroked="false">
                  <v:imagedata r:id="rId68" o:title=""/>
                </v:shape>
                <v:shape style="position:absolute;left:4407;top:3006;width:3344;height:2328" id="docshape323" coordorigin="4408,3006" coordsize="3344,2328" path="m4408,3394l4414,3324,4432,3259,4462,3198,4501,3144,4549,3097,4604,3059,4666,3030,4733,3012,4804,3006,7354,3006,7426,3012,7493,3030,7555,3059,7610,3097,7658,3144,7697,3198,7726,3259,7745,3324,7751,3394,7751,4945,7745,5015,7726,5081,7697,5141,7658,5195,7610,5242,7555,5280,7493,5309,7426,5327,7354,5333,4804,5333,4733,5327,4666,5309,4604,5280,4549,5242,4501,5195,4462,5141,4432,5081,4414,5015,4408,4945,4408,3394xe" filled="false" stroked="true" strokeweight=".497109pt" strokecolor="#3477b1">
                  <v:path arrowok="t"/>
                  <v:stroke dashstyle="solid"/>
                </v:shape>
                <v:shape style="position:absolute;left:312;top:5383;width:1951;height:1999" type="#_x0000_t75" id="docshape324" stroked="false">
                  <v:imagedata r:id="rId69" o:title=""/>
                </v:shape>
                <v:shape style="position:absolute;left:333;top:5403;width:1886;height:1936" id="docshape325" coordorigin="333,5404" coordsize="1886,1936" path="m333,5711l341,5640,365,5576,402,5519,451,5471,509,5435,575,5412,647,5404,1905,5404,1977,5412,2043,5435,2101,5471,2150,5519,2187,5576,2211,5640,2219,5711,2219,7032,2211,7102,2187,7167,2150,7224,2101,7271,2043,7308,1977,7331,1905,7339,647,7339,575,7331,509,7308,451,7271,402,7224,365,7167,341,7102,333,7032,333,5711xe" filled="false" stroked="true" strokeweight=".499263pt" strokecolor="#3477b1">
                  <v:path arrowok="t"/>
                  <v:stroke dashstyle="solid"/>
                </v:shape>
                <v:shape style="position:absolute;left:2232;top:7366;width:1988;height:2013" type="#_x0000_t75" id="docshape326" stroked="false">
                  <v:imagedata r:id="rId70" o:title=""/>
                </v:shape>
                <v:shape style="position:absolute;left:2252;top:7386;width:1924;height:1950" id="docshape327" coordorigin="2253,7387" coordsize="1924,1950" path="m2253,7700l2261,7628,2286,7562,2323,7504,2373,7456,2433,7419,2500,7395,2574,7387,3856,7387,3929,7395,3997,7419,4056,7456,4106,7504,4144,7562,4168,7628,4177,7700,4177,9024,4168,9095,4144,9161,4106,9220,4056,9268,3997,9305,3929,9329,3856,9337,2574,9337,2500,9329,2433,9305,2373,9268,2323,9220,2286,9161,2261,9095,2253,9024,2253,7700xe" filled="false" stroked="true" strokeweight=".499192pt" strokecolor="#3477b1">
                  <v:path arrowok="t"/>
                  <v:stroke dashstyle="solid"/>
                </v:shape>
                <v:shape style="position:absolute;left:2228;top:5401;width:1951;height:1987" type="#_x0000_t75" id="docshape328" stroked="false">
                  <v:imagedata r:id="rId71" o:title=""/>
                </v:shape>
                <v:shape style="position:absolute;left:2249;top:5422;width:1886;height:1925" id="docshape329" coordorigin="2249,5422" coordsize="1886,1925" path="m2249,5729l2257,5659,2281,5594,2318,5537,2367,5490,2425,5453,2491,5430,2563,5422,3821,5422,3893,5430,3959,5453,4017,5490,4066,5537,4103,5594,4127,5659,4135,5729,4135,7039,4127,7110,4103,7174,4066,7231,4017,7279,3959,7315,3893,7338,3821,7346,2563,7346,2491,7338,2425,7315,2367,7279,2318,7231,2281,7174,2257,7110,2249,7039,2249,5729xe" filled="false" stroked="true" strokeweight=".49923pt" strokecolor="#3477b1">
                  <v:path arrowok="t"/>
                  <v:stroke dashstyle="solid"/>
                </v:shape>
                <v:shape style="position:absolute;left:6162;top:5860;width:2015;height:1984" type="#_x0000_t75" id="docshape330" stroked="false">
                  <v:imagedata r:id="rId72" o:title=""/>
                </v:shape>
                <v:shape style="position:absolute;left:6183;top:5881;width:1951;height:1921" id="docshape331" coordorigin="6183,5881" coordsize="1951,1921" path="m6183,6199l6192,6126,6217,6059,6255,6000,6305,5951,6366,5913,6434,5889,6508,5881,7809,5881,7883,5889,7952,5913,8012,5951,8062,6000,8101,6059,8125,6126,8134,6199,8134,7484,8125,7557,8101,7623,8062,7682,8012,7732,7952,7769,7883,7793,7809,7801,6508,7801,6434,7793,6366,7769,6305,7732,6255,7682,6217,7623,6192,7557,6183,7484,6183,6199xe" filled="false" stroked="true" strokeweight=".499025pt" strokecolor="#3477b1">
                  <v:path arrowok="t"/>
                  <v:stroke dashstyle="solid"/>
                </v:shape>
                <v:shape style="position:absolute;left:4170;top:5853;width:2011;height:1999" type="#_x0000_t75" id="docshape332" stroked="false">
                  <v:imagedata r:id="rId73" o:title=""/>
                </v:shape>
                <v:shape style="position:absolute;left:4191;top:5873;width:1947;height:1936" id="docshape333" coordorigin="4192,5874" coordsize="1947,1936" path="m4192,6191l4200,6118,4225,6051,4263,5992,4313,5943,4373,5906,4442,5882,4516,5874,5814,5874,5888,5882,5956,5906,6017,5943,6067,5992,6105,6051,6129,6118,6138,6191,6138,7492,6129,7564,6105,7631,6067,7690,6017,7739,5956,7777,5888,7800,5814,7809,4516,7809,4442,7800,4373,7777,4313,7739,4263,7690,4225,7631,4200,7564,4192,7492,4192,6191xe" filled="false" stroked="true" strokeweight=".49908pt" strokecolor="#3477b1">
                  <v:path arrowok="t"/>
                  <v:stroke dashstyle="solid"/>
                </v:shape>
                <v:shape style="position:absolute;left:4708;top:8180;width:3363;height:963" type="#_x0000_t75" id="docshape334" stroked="false">
                  <v:imagedata r:id="rId74" o:title=""/>
                </v:shape>
                <v:shape style="position:absolute;left:5352;top:8225;width:2674;height:866" type="#_x0000_t75" id="docshape335" stroked="false">
                  <v:imagedata r:id="rId75" o:title=""/>
                </v:shape>
                <v:shape style="position:absolute;left:2406;top:2652;width:1224;height:396" type="#_x0000_t75" id="docshape336" stroked="false">
                  <v:imagedata r:id="rId76" o:title=""/>
                </v:shape>
                <v:line style="position:absolute" from="3604,2673" to="2435,3012" stroked="true" strokeweight=".494238pt" strokecolor="#619dd1">
                  <v:stroke dashstyle="solid"/>
                </v:line>
                <v:shape style="position:absolute;left:4966;top:2648;width:1186;height:400" type="#_x0000_t75" id="docshape337" stroked="false">
                  <v:imagedata r:id="rId77" o:title=""/>
                </v:shape>
                <v:line style="position:absolute" from="4991,2669" to="6122,3015" stroked="true" strokeweight=".494326pt" strokecolor="#619dd1">
                  <v:stroke dashstyle="solid"/>
                </v:line>
                <v:shape style="position:absolute;left:1592;top:5327;width:148;height:111" type="#_x0000_t75" id="docshape338" stroked="false">
                  <v:imagedata r:id="rId78" o:title=""/>
                </v:shape>
                <v:line style="position:absolute" from="1716,5348" to="1621,5403" stroked="true" strokeweight=".496179pt" strokecolor="#619dd1">
                  <v:stroke dashstyle="solid"/>
                </v:line>
                <v:shape style="position:absolute;left:2860;top:5324;width:167;height:123" type="#_x0000_t75" id="docshape339" stroked="false">
                  <v:imagedata r:id="rId79" o:title=""/>
                </v:shape>
                <v:line style="position:absolute" from="2885,5345" to="3000,5413" stroked="true" strokeweight=".496379pt" strokecolor="#619dd1">
                  <v:stroke dashstyle="solid"/>
                </v:line>
                <v:shape style="position:absolute;left:4947;top:5309;width:792;height:596" type="#_x0000_t75" id="docshape340" stroked="false">
                  <v:imagedata r:id="rId80" o:title=""/>
                </v:shape>
                <v:line style="position:absolute" from="5713,5326" to="4976,5870" stroked="true" strokeweight=".497407pt" strokecolor="#619dd1">
                  <v:stroke dashstyle="solid"/>
                </v:line>
                <v:shape style="position:absolute;left:6643;top:5320;width:758;height:592" type="#_x0000_t75" id="docshape341" stroked="false">
                  <v:imagedata r:id="rId81" o:title=""/>
                </v:shape>
                <v:line style="position:absolute" from="6668,5337" to="7372,5878" stroked="true" strokeweight=".497631pt" strokecolor="#619dd1">
                  <v:stroke dashstyle="solid"/>
                </v:line>
                <v:shape style="position:absolute;left:2300;top:7444;width:1856;height:681" type="#_x0000_t75" id="docshape342" stroked="false">
                  <v:imagedata r:id="rId82" o:title=""/>
                </v:shape>
                <v:shape style="position:absolute;left:2406;top:7447;width:1648;height:345" type="#_x0000_t75" id="docshape343" stroked="false">
                  <v:imagedata r:id="rId83" o:title=""/>
                </v:shape>
                <v:shape style="position:absolute;left:2322;top:7459;width:1811;height:637" id="docshape344" coordorigin="2323,7459" coordsize="1811,637" path="m3992,7459l2464,7459,2409,7467,2364,7490,2334,7524,2323,7565,2323,7989,2334,8031,2364,8064,2409,8087,2464,8095,3992,8095,4047,8087,4092,8064,4122,8031,4133,7989,4133,7565,4122,7524,4092,7490,4047,7467,3992,7459xe" filled="true" fillcolor="#619dd1" stroked="false">
                  <v:path arrowok="t"/>
                  <v:fill type="solid"/>
                </v:shape>
                <v:shape style="position:absolute;left:2783;top:7745;width:1341;height:348" id="docshape345" coordorigin="2783,7746" coordsize="1341,348" path="m4064,7746l2842,7746,2819,7750,2800,7763,2788,7781,2783,7804,2783,8036,2788,8058,2800,8077,2819,8089,2842,8094,4064,8094,4087,8089,4106,8077,4119,8058,4124,8036,4124,7804,4119,7781,4106,7763,4087,7750,4064,7746xe" filled="true" fillcolor="#ffffff" stroked="false">
                  <v:path arrowok="t"/>
                  <v:fill type="solid"/>
                </v:shape>
                <v:shape style="position:absolute;left:2783;top:7745;width:1341;height:348" id="docshape346" coordorigin="2783,7746" coordsize="1341,348" path="m2783,7804l2788,7781,2800,7763,2819,7750,2842,7746,4064,7746,4119,7781,4124,8036,4119,8058,4106,8077,4087,8089,4064,8094,2842,8094,2788,8058,2783,7804xe" filled="false" stroked="true" strokeweight=".49407pt" strokecolor="#619dd1">
                  <v:path arrowok="t"/>
                  <v:stroke dashstyle="solid"/>
                </v:shape>
                <v:shape style="position:absolute;left:304;top:7366;width:1947;height:2006" type="#_x0000_t75" id="docshape347" stroked="false">
                  <v:imagedata r:id="rId84" o:title=""/>
                </v:shape>
                <v:shape style="position:absolute;left:325;top:7386;width:1882;height:1943" id="docshape348" coordorigin="326,7387" coordsize="1882,1943" path="m326,7693l334,7623,357,7559,394,7502,443,7454,501,7418,567,7395,639,7387,1894,7387,1966,7395,2032,7418,2090,7454,2139,7502,2176,7559,2199,7623,2208,7693,2208,9023,2199,9093,2176,9158,2139,9215,2090,9262,2032,9298,1966,9321,1894,9329,639,9329,567,9321,501,9298,443,9262,394,9215,357,9158,334,9093,326,9023,326,7693xe" filled="false" stroked="true" strokeweight=".499296pt" strokecolor="#3477b1">
                  <v:path arrowok="t"/>
                  <v:stroke dashstyle="solid"/>
                </v:shape>
                <v:shape style="position:absolute;left:361;top:7459;width:1822;height:652" type="#_x0000_t75" id="docshape349" stroked="false">
                  <v:imagedata r:id="rId47" o:title=""/>
                </v:shape>
                <v:shape style="position:absolute;left:365;top:7473;width:1811;height:315" type="#_x0000_t75" id="docshape350" stroked="false">
                  <v:imagedata r:id="rId85" o:title=""/>
                </v:shape>
                <v:shape style="position:absolute;left:384;top:7473;width:1776;height:607" id="docshape351" coordorigin="384,7474" coordsize="1776,607" path="m2022,7474l522,7474,468,7482,425,7503,395,7536,384,7575,384,7980,395,8019,425,8051,468,8073,522,8081,2022,8081,2076,8073,2120,8051,2149,8019,2160,7980,2160,7575,2149,7536,2120,7503,2076,7482,2022,7474xe" filled="true" fillcolor="#619dd1" stroked="false">
                  <v:path arrowok="t"/>
                  <v:fill type="solid"/>
                </v:shape>
                <v:shape style="position:absolute;left:817;top:7738;width:1337;height:348" id="docshape352" coordorigin="818,7738" coordsize="1337,348" path="m2095,7738l877,7738,854,7743,835,7755,822,7774,818,7796,818,8028,822,8051,835,8069,854,8082,877,8086,2095,8086,2118,8082,2137,8069,2150,8051,2155,8028,2155,7796,2150,7774,2137,7755,2118,7743,2095,7738xe" filled="true" fillcolor="#ffffff" stroked="false">
                  <v:path arrowok="t"/>
                  <v:fill type="solid"/>
                </v:shape>
                <v:shape style="position:absolute;left:817;top:7738;width:1337;height:348" id="docshape353" coordorigin="818,7738" coordsize="1337,348" path="m818,7796l822,7774,835,7755,854,7743,877,7738,2095,7738,2150,7774,2155,8028,2150,8051,2137,8069,2118,8082,2095,8086,877,8086,822,8051,818,7796xe" filled="false" stroked="true" strokeweight=".494074pt" strokecolor="#619dd1">
                  <v:path arrowok="t"/>
                  <v:stroke dashstyle="solid"/>
                </v:shape>
                <v:shape style="position:absolute;left:1230;top:8249;width:452;height:482" id="docshape354" coordorigin="1231,8249" coordsize="452,482" path="m1231,8249l1231,8690,1680,8731,1681,8721,1682,8711,1682,8701,1682,8690,1676,8619,1659,8551,1632,8488,1595,8430,1550,8379,1497,8335,1438,8299,1374,8272,1304,8255,1231,8249xe" filled="true" fillcolor="#4966ac" stroked="false">
                  <v:path arrowok="t"/>
                  <v:fill type="solid"/>
                </v:shape>
                <v:shape style="position:absolute;left:988;top:8725;width:686;height:441" id="docshape355" coordorigin="989,8725" coordsize="686,441" path="m1224,8725l989,9101,1034,9125,1082,9144,1132,9157,1183,9164,1257,9165,1327,9155,1394,9134,1457,9103,1513,9064,1563,9017,1605,8963,1638,8902,1661,8836,1674,8765,1224,8725xe" filled="true" fillcolor="#297ed4" stroked="false">
                  <v:path arrowok="t"/>
                  <v:fill type="solid"/>
                </v:shape>
                <v:shape style="position:absolute;left:742;top:8258;width:451;height:818" id="docshape356" coordorigin="742,8258" coordsize="451,818" path="m1192,8258l1115,8265,1041,8284,972,8315,909,8356,854,8408,807,8469,774,8533,753,8600,742,8668,743,8736,754,8803,775,8867,806,8928,847,8984,897,9033,957,9076,1192,8699,1192,8258xe" filled="true" fillcolor="#5aa1ad" stroked="false">
                  <v:path arrowok="t"/>
                  <v:fill type="solid"/>
                </v:shape>
                <v:shape style="position:absolute;left:692;top:8393;width:1004;height:726" id="docshape357" coordorigin="693,8393" coordsize="1004,726" path="m1564,8393l1674,8404,1696,8404m1427,9119l1666,9085,1689,9085m757,8578l716,8549,693,8549e" filled="false" stroked="true" strokeweight=".187168pt" strokecolor="#a6a6a6">
                  <v:path arrowok="t"/>
                  <v:stroke dashstyle="solid"/>
                </v:shape>
                <v:shape style="position:absolute;left:3046;top:184;width:2508;height:766" type="#_x0000_t202" id="docshape358" filled="false" stroked="false">
                  <v:textbox inset="0,0,0,0">
                    <w:txbxContent>
                      <w:p>
                        <w:pPr>
                          <w:spacing w:line="254" w:lineRule="auto" w:before="0"/>
                          <w:ind w:left="0" w:right="44" w:firstLine="0"/>
                          <w:jc w:val="center"/>
                          <w:rPr>
                            <w:b/>
                            <w:sz w:val="13"/>
                          </w:rPr>
                        </w:pPr>
                        <w:r>
                          <w:rPr>
                            <w:b/>
                            <w:color w:val="FFFFFF"/>
                            <w:w w:val="105"/>
                            <w:sz w:val="13"/>
                          </w:rPr>
                          <w:t>ΣΥΝΟΛΟ ΔΑΝΕΙΩΝ: 171,9 δ</w:t>
                        </w:r>
                        <w:r>
                          <w:rPr>
                            <w:b/>
                            <w:smallCaps/>
                            <w:color w:val="FFFFFF"/>
                            <w:w w:val="105"/>
                            <w:sz w:val="13"/>
                          </w:rPr>
                          <w:t>ι</w:t>
                        </w:r>
                        <w:r>
                          <w:rPr>
                            <w:b/>
                            <w:smallCaps w:val="0"/>
                            <w:color w:val="FFFFFF"/>
                            <w:w w:val="105"/>
                            <w:sz w:val="13"/>
                          </w:rPr>
                          <w:t>σεκ. ευρώ</w:t>
                        </w:r>
                        <w:r>
                          <w:rPr>
                            <w:b/>
                            <w:smallCaps w:val="0"/>
                            <w:color w:val="FFFFFF"/>
                            <w:spacing w:val="40"/>
                            <w:w w:val="105"/>
                            <w:sz w:val="13"/>
                          </w:rPr>
                          <w:t> </w:t>
                        </w:r>
                        <w:r>
                          <w:rPr>
                            <w:b/>
                            <w:smallCaps w:val="0"/>
                            <w:color w:val="FFFFFF"/>
                            <w:w w:val="105"/>
                            <w:sz w:val="13"/>
                          </w:rPr>
                          <w:t>Δ(2024-2025):</w:t>
                        </w:r>
                        <w:r>
                          <w:rPr>
                            <w:b/>
                            <w:smallCaps w:val="0"/>
                            <w:color w:val="FFFFFF"/>
                            <w:spacing w:val="-9"/>
                            <w:w w:val="105"/>
                            <w:sz w:val="13"/>
                          </w:rPr>
                          <w:t> </w:t>
                        </w:r>
                        <w:r>
                          <w:rPr>
                            <w:b/>
                            <w:smallCaps w:val="0"/>
                            <w:color w:val="FFFFFF"/>
                            <w:w w:val="105"/>
                            <w:sz w:val="13"/>
                          </w:rPr>
                          <w:t>8,2%</w:t>
                        </w:r>
                      </w:p>
                      <w:p>
                        <w:pPr>
                          <w:spacing w:before="41"/>
                          <w:ind w:left="889" w:right="0" w:firstLine="0"/>
                          <w:jc w:val="center"/>
                          <w:rPr>
                            <w:b/>
                            <w:sz w:val="12"/>
                          </w:rPr>
                        </w:pPr>
                        <w:r>
                          <w:rPr>
                            <w:b/>
                            <w:color w:val="FFFFFF"/>
                            <w:sz w:val="12"/>
                          </w:rPr>
                          <w:t>Ποσοστό</w:t>
                        </w:r>
                        <w:r>
                          <w:rPr>
                            <w:b/>
                            <w:color w:val="FFFFFF"/>
                            <w:spacing w:val="-8"/>
                            <w:sz w:val="12"/>
                          </w:rPr>
                          <w:t> </w:t>
                        </w:r>
                        <w:r>
                          <w:rPr>
                            <w:b/>
                            <w:color w:val="FFFFFF"/>
                            <w:sz w:val="12"/>
                          </w:rPr>
                          <w:t>μη</w:t>
                        </w:r>
                        <w:r>
                          <w:rPr>
                            <w:b/>
                            <w:color w:val="FFFFFF"/>
                            <w:spacing w:val="-8"/>
                            <w:sz w:val="12"/>
                          </w:rPr>
                          <w:t> </w:t>
                        </w:r>
                        <w:r>
                          <w:rPr>
                            <w:b/>
                            <w:color w:val="FFFFFF"/>
                            <w:sz w:val="12"/>
                          </w:rPr>
                          <w:t>εξυπηρετούμενων</w:t>
                        </w:r>
                        <w:r>
                          <w:rPr>
                            <w:b/>
                            <w:color w:val="FFFFFF"/>
                            <w:spacing w:val="40"/>
                            <w:sz w:val="12"/>
                          </w:rPr>
                          <w:t> </w:t>
                        </w:r>
                        <w:r>
                          <w:rPr>
                            <w:b/>
                            <w:color w:val="FFFFFF"/>
                            <w:sz w:val="12"/>
                          </w:rPr>
                          <w:t>δανείων:</w:t>
                        </w:r>
                        <w:r>
                          <w:rPr>
                            <w:b/>
                            <w:color w:val="FFFFFF"/>
                            <w:spacing w:val="-8"/>
                            <w:sz w:val="12"/>
                          </w:rPr>
                          <w:t> </w:t>
                        </w:r>
                        <w:r>
                          <w:rPr>
                            <w:b/>
                            <w:color w:val="FFFFFF"/>
                            <w:sz w:val="12"/>
                          </w:rPr>
                          <w:t>3,3%</w:t>
                        </w:r>
                      </w:p>
                      <w:p>
                        <w:pPr>
                          <w:spacing w:line="132" w:lineRule="exact" w:before="0"/>
                          <w:ind w:left="882" w:right="0" w:firstLine="0"/>
                          <w:jc w:val="center"/>
                          <w:rPr>
                            <w:b/>
                            <w:sz w:val="12"/>
                          </w:rPr>
                        </w:pPr>
                        <w:r>
                          <w:rPr>
                            <w:b/>
                            <w:color w:val="FFFFFF"/>
                            <w:sz w:val="12"/>
                          </w:rPr>
                          <w:t>Δ(2024-2025):</w:t>
                        </w:r>
                        <w:r>
                          <w:rPr>
                            <w:b/>
                            <w:color w:val="FFFFFF"/>
                            <w:spacing w:val="-1"/>
                            <w:sz w:val="12"/>
                          </w:rPr>
                          <w:t> </w:t>
                        </w:r>
                        <w:r>
                          <w:rPr>
                            <w:b/>
                            <w:color w:val="FFFFFF"/>
                            <w:sz w:val="12"/>
                          </w:rPr>
                          <w:t>-</w:t>
                        </w:r>
                        <w:r>
                          <w:rPr>
                            <w:b/>
                            <w:color w:val="FFFFFF"/>
                            <w:spacing w:val="-4"/>
                            <w:sz w:val="12"/>
                          </w:rPr>
                          <w:t>5,2%</w:t>
                        </w:r>
                      </w:p>
                    </w:txbxContent>
                  </v:textbox>
                  <w10:wrap type="none"/>
                </v:shape>
                <v:shape style="position:absolute;left:2944;top:1121;width:390;height:497" type="#_x0000_t202" id="docshape359" filled="false" stroked="false">
                  <v:textbox inset="0,0,0,0">
                    <w:txbxContent>
                      <w:p>
                        <w:pPr>
                          <w:spacing w:line="261" w:lineRule="auto" w:before="2"/>
                          <w:ind w:left="0" w:right="18" w:hanging="8"/>
                          <w:jc w:val="center"/>
                          <w:rPr>
                            <w:b/>
                            <w:sz w:val="10"/>
                          </w:rPr>
                        </w:pPr>
                        <w:r>
                          <w:rPr>
                            <w:b/>
                            <w:color w:val="404040"/>
                            <w:spacing w:val="-4"/>
                            <w:w w:val="110"/>
                            <w:sz w:val="10"/>
                          </w:rPr>
                          <w:t>29%</w:t>
                        </w:r>
                        <w:r>
                          <w:rPr>
                            <w:b/>
                            <w:color w:val="404040"/>
                            <w:spacing w:val="40"/>
                            <w:w w:val="110"/>
                            <w:sz w:val="10"/>
                          </w:rPr>
                          <w:t> </w:t>
                        </w:r>
                        <w:r>
                          <w:rPr>
                            <w:b/>
                            <w:color w:val="404040"/>
                            <w:w w:val="110"/>
                            <w:sz w:val="10"/>
                          </w:rPr>
                          <w:t>Δ(2024-</w:t>
                        </w:r>
                        <w:r>
                          <w:rPr>
                            <w:b/>
                            <w:color w:val="404040"/>
                            <w:spacing w:val="-2"/>
                            <w:w w:val="110"/>
                            <w:sz w:val="10"/>
                          </w:rPr>
                          <w:t>2025):</w:t>
                        </w:r>
                      </w:p>
                      <w:p>
                        <w:pPr>
                          <w:spacing w:before="1"/>
                          <w:ind w:left="0" w:right="24" w:firstLine="0"/>
                          <w:jc w:val="center"/>
                          <w:rPr>
                            <w:b/>
                            <w:sz w:val="10"/>
                          </w:rPr>
                        </w:pPr>
                        <w:r>
                          <w:rPr>
                            <w:b/>
                            <w:color w:val="404040"/>
                            <w:spacing w:val="-4"/>
                            <w:w w:val="110"/>
                            <w:sz w:val="10"/>
                          </w:rPr>
                          <w:t>5,8%</w:t>
                        </w:r>
                      </w:p>
                    </w:txbxContent>
                  </v:textbox>
                  <w10:wrap type="none"/>
                </v:shape>
                <v:shape style="position:absolute;left:5420;top:1227;width:390;height:497" type="#_x0000_t202" id="docshape360" filled="false" stroked="false">
                  <v:textbox inset="0,0,0,0">
                    <w:txbxContent>
                      <w:p>
                        <w:pPr>
                          <w:spacing w:line="261" w:lineRule="auto" w:before="2"/>
                          <w:ind w:left="0" w:right="18" w:hanging="3"/>
                          <w:jc w:val="center"/>
                          <w:rPr>
                            <w:b/>
                            <w:sz w:val="10"/>
                          </w:rPr>
                        </w:pPr>
                        <w:r>
                          <w:rPr>
                            <w:b/>
                            <w:color w:val="404040"/>
                            <w:spacing w:val="-4"/>
                            <w:w w:val="110"/>
                            <w:sz w:val="10"/>
                          </w:rPr>
                          <w:t>34%</w:t>
                        </w:r>
                        <w:r>
                          <w:rPr>
                            <w:b/>
                            <w:color w:val="404040"/>
                            <w:spacing w:val="40"/>
                            <w:w w:val="110"/>
                            <w:sz w:val="10"/>
                          </w:rPr>
                          <w:t> </w:t>
                        </w:r>
                        <w:r>
                          <w:rPr>
                            <w:b/>
                            <w:color w:val="404040"/>
                            <w:w w:val="110"/>
                            <w:sz w:val="10"/>
                          </w:rPr>
                          <w:t>Δ(2024-</w:t>
                        </w:r>
                        <w:r>
                          <w:rPr>
                            <w:b/>
                            <w:color w:val="404040"/>
                            <w:spacing w:val="-2"/>
                            <w:w w:val="110"/>
                            <w:sz w:val="10"/>
                          </w:rPr>
                          <w:t>2025):</w:t>
                        </w:r>
                      </w:p>
                      <w:p>
                        <w:pPr>
                          <w:spacing w:before="2"/>
                          <w:ind w:left="0" w:right="24" w:firstLine="0"/>
                          <w:jc w:val="center"/>
                          <w:rPr>
                            <w:b/>
                            <w:sz w:val="10"/>
                          </w:rPr>
                        </w:pPr>
                        <w:r>
                          <w:rPr>
                            <w:b/>
                            <w:color w:val="404040"/>
                            <w:w w:val="105"/>
                            <w:sz w:val="10"/>
                          </w:rPr>
                          <w:t>-</w:t>
                        </w:r>
                        <w:r>
                          <w:rPr>
                            <w:b/>
                            <w:color w:val="404040"/>
                            <w:spacing w:val="-4"/>
                            <w:w w:val="110"/>
                            <w:sz w:val="10"/>
                          </w:rPr>
                          <w:t>3,4%</w:t>
                        </w:r>
                      </w:p>
                    </w:txbxContent>
                  </v:textbox>
                  <w10:wrap type="none"/>
                </v:shape>
                <v:shape style="position:absolute;left:2977;top:2053;width:390;height:497" type="#_x0000_t202" id="docshape361" filled="false" stroked="false">
                  <v:textbox inset="0,0,0,0">
                    <w:txbxContent>
                      <w:p>
                        <w:pPr>
                          <w:spacing w:line="261" w:lineRule="auto" w:before="2"/>
                          <w:ind w:left="0" w:right="18" w:hanging="1"/>
                          <w:jc w:val="center"/>
                          <w:rPr>
                            <w:b/>
                            <w:sz w:val="10"/>
                          </w:rPr>
                        </w:pPr>
                        <w:r>
                          <w:rPr>
                            <w:b/>
                            <w:color w:val="404040"/>
                            <w:spacing w:val="-4"/>
                            <w:w w:val="110"/>
                            <w:sz w:val="10"/>
                          </w:rPr>
                          <w:t>36%</w:t>
                        </w:r>
                        <w:r>
                          <w:rPr>
                            <w:b/>
                            <w:color w:val="404040"/>
                            <w:spacing w:val="40"/>
                            <w:w w:val="110"/>
                            <w:sz w:val="10"/>
                          </w:rPr>
                          <w:t> </w:t>
                        </w:r>
                        <w:r>
                          <w:rPr>
                            <w:b/>
                            <w:color w:val="404040"/>
                            <w:w w:val="110"/>
                            <w:sz w:val="10"/>
                          </w:rPr>
                          <w:t>Δ(2024-</w:t>
                        </w:r>
                        <w:r>
                          <w:rPr>
                            <w:b/>
                            <w:color w:val="404040"/>
                            <w:spacing w:val="-2"/>
                            <w:w w:val="110"/>
                            <w:sz w:val="10"/>
                          </w:rPr>
                          <w:t>2025):</w:t>
                        </w:r>
                      </w:p>
                      <w:p>
                        <w:pPr>
                          <w:spacing w:before="1"/>
                          <w:ind w:left="0" w:right="21" w:firstLine="0"/>
                          <w:jc w:val="center"/>
                          <w:rPr>
                            <w:b/>
                            <w:sz w:val="10"/>
                          </w:rPr>
                        </w:pPr>
                        <w:r>
                          <w:rPr>
                            <w:b/>
                            <w:color w:val="404040"/>
                            <w:w w:val="105"/>
                            <w:sz w:val="10"/>
                          </w:rPr>
                          <w:t>-</w:t>
                        </w:r>
                        <w:r>
                          <w:rPr>
                            <w:b/>
                            <w:color w:val="404040"/>
                            <w:spacing w:val="-2"/>
                            <w:w w:val="110"/>
                            <w:sz w:val="10"/>
                          </w:rPr>
                          <w:t>13,9%</w:t>
                        </w:r>
                      </w:p>
                    </w:txbxContent>
                  </v:textbox>
                  <w10:wrap type="none"/>
                </v:shape>
                <v:shape style="position:absolute;left:1274;top:3169;width:2003;height:692" type="#_x0000_t202" id="docshape362" filled="false" stroked="false">
                  <v:textbox inset="0,0,0,0">
                    <w:txbxContent>
                      <w:p>
                        <w:pPr>
                          <w:spacing w:line="324" w:lineRule="auto" w:before="2"/>
                          <w:ind w:left="0" w:right="71" w:firstLine="0"/>
                          <w:jc w:val="center"/>
                          <w:rPr>
                            <w:b/>
                            <w:sz w:val="10"/>
                          </w:rPr>
                        </w:pPr>
                        <w:r>
                          <w:rPr>
                            <w:b/>
                            <w:w w:val="110"/>
                            <w:sz w:val="10"/>
                          </w:rPr>
                          <w:t>ΕΠΙΧΕΙΡΗΜΑΤΙΚΑ:</w:t>
                        </w:r>
                        <w:r>
                          <w:rPr>
                            <w:b/>
                            <w:spacing w:val="-6"/>
                            <w:w w:val="110"/>
                            <w:sz w:val="10"/>
                          </w:rPr>
                          <w:t> </w:t>
                        </w:r>
                        <w:r>
                          <w:rPr>
                            <w:b/>
                            <w:w w:val="110"/>
                            <w:sz w:val="10"/>
                          </w:rPr>
                          <w:t>137,1</w:t>
                        </w:r>
                        <w:r>
                          <w:rPr>
                            <w:b/>
                            <w:spacing w:val="-7"/>
                            <w:w w:val="110"/>
                            <w:sz w:val="10"/>
                          </w:rPr>
                          <w:t> </w:t>
                        </w:r>
                        <w:r>
                          <w:rPr>
                            <w:b/>
                            <w:w w:val="110"/>
                            <w:sz w:val="10"/>
                          </w:rPr>
                          <w:t>δ</w:t>
                        </w:r>
                        <w:r>
                          <w:rPr>
                            <w:b/>
                            <w:smallCaps/>
                            <w:w w:val="110"/>
                            <w:sz w:val="10"/>
                          </w:rPr>
                          <w:t>ι</w:t>
                        </w:r>
                        <w:r>
                          <w:rPr>
                            <w:b/>
                            <w:smallCaps w:val="0"/>
                            <w:w w:val="110"/>
                            <w:sz w:val="10"/>
                          </w:rPr>
                          <w:t>σεκ.</w:t>
                        </w:r>
                        <w:r>
                          <w:rPr>
                            <w:b/>
                            <w:smallCaps w:val="0"/>
                            <w:spacing w:val="-7"/>
                            <w:w w:val="110"/>
                            <w:sz w:val="10"/>
                          </w:rPr>
                          <w:t> </w:t>
                        </w:r>
                        <w:r>
                          <w:rPr>
                            <w:b/>
                            <w:smallCaps w:val="0"/>
                            <w:w w:val="110"/>
                            <w:sz w:val="10"/>
                          </w:rPr>
                          <w:t>ευρώ</w:t>
                        </w:r>
                        <w:r>
                          <w:rPr>
                            <w:b/>
                            <w:smallCaps w:val="0"/>
                            <w:spacing w:val="40"/>
                            <w:w w:val="110"/>
                            <w:sz w:val="10"/>
                          </w:rPr>
                          <w:t> </w:t>
                        </w:r>
                        <w:r>
                          <w:rPr>
                            <w:b/>
                            <w:smallCaps w:val="0"/>
                            <w:w w:val="110"/>
                            <w:sz w:val="10"/>
                          </w:rPr>
                          <w:t>Δ(2024-2025):</w:t>
                        </w:r>
                        <w:r>
                          <w:rPr>
                            <w:b/>
                            <w:smallCaps w:val="0"/>
                            <w:spacing w:val="-12"/>
                            <w:w w:val="110"/>
                            <w:sz w:val="10"/>
                          </w:rPr>
                          <w:t> </w:t>
                        </w:r>
                        <w:r>
                          <w:rPr>
                            <w:b/>
                            <w:smallCaps w:val="0"/>
                            <w:w w:val="110"/>
                            <w:sz w:val="10"/>
                          </w:rPr>
                          <w:t>10,5%</w:t>
                        </w:r>
                      </w:p>
                      <w:p>
                        <w:pPr>
                          <w:spacing w:line="261" w:lineRule="auto" w:before="10"/>
                          <w:ind w:left="537" w:right="0" w:firstLine="0"/>
                          <w:jc w:val="center"/>
                          <w:rPr>
                            <w:b/>
                            <w:sz w:val="10"/>
                          </w:rPr>
                        </w:pPr>
                        <w:r>
                          <w:rPr>
                            <w:b/>
                            <w:w w:val="110"/>
                            <w:sz w:val="10"/>
                          </w:rPr>
                          <w:t>Ποσοστό</w:t>
                        </w:r>
                        <w:r>
                          <w:rPr>
                            <w:b/>
                            <w:spacing w:val="-7"/>
                            <w:w w:val="110"/>
                            <w:sz w:val="10"/>
                          </w:rPr>
                          <w:t> </w:t>
                        </w:r>
                        <w:r>
                          <w:rPr>
                            <w:b/>
                            <w:w w:val="110"/>
                            <w:sz w:val="10"/>
                          </w:rPr>
                          <w:t>μη</w:t>
                        </w:r>
                        <w:r>
                          <w:rPr>
                            <w:b/>
                            <w:spacing w:val="-7"/>
                            <w:w w:val="110"/>
                            <w:sz w:val="10"/>
                          </w:rPr>
                          <w:t> </w:t>
                        </w:r>
                        <w:r>
                          <w:rPr>
                            <w:b/>
                            <w:w w:val="110"/>
                            <w:sz w:val="10"/>
                          </w:rPr>
                          <w:t>εξυπηρετούμενων</w:t>
                        </w:r>
                        <w:r>
                          <w:rPr>
                            <w:b/>
                            <w:spacing w:val="40"/>
                            <w:w w:val="110"/>
                            <w:sz w:val="10"/>
                          </w:rPr>
                          <w:t> </w:t>
                        </w:r>
                        <w:r>
                          <w:rPr>
                            <w:b/>
                            <w:w w:val="110"/>
                            <w:sz w:val="10"/>
                          </w:rPr>
                          <w:t>δανείων:</w:t>
                        </w:r>
                        <w:r>
                          <w:rPr>
                            <w:b/>
                            <w:spacing w:val="-7"/>
                            <w:w w:val="110"/>
                            <w:sz w:val="10"/>
                          </w:rPr>
                          <w:t> </w:t>
                        </w:r>
                        <w:r>
                          <w:rPr>
                            <w:b/>
                            <w:w w:val="110"/>
                            <w:sz w:val="10"/>
                          </w:rPr>
                          <w:t>2,2%</w:t>
                        </w:r>
                      </w:p>
                      <w:p>
                        <w:pPr>
                          <w:spacing w:before="1"/>
                          <w:ind w:left="530" w:right="0" w:firstLine="0"/>
                          <w:jc w:val="center"/>
                          <w:rPr>
                            <w:b/>
                            <w:sz w:val="10"/>
                          </w:rPr>
                        </w:pPr>
                        <w:r>
                          <w:rPr>
                            <w:b/>
                            <w:sz w:val="10"/>
                          </w:rPr>
                          <w:t>Δ(2024-2025):</w:t>
                        </w:r>
                        <w:r>
                          <w:rPr>
                            <w:b/>
                            <w:spacing w:val="58"/>
                            <w:sz w:val="10"/>
                          </w:rPr>
                          <w:t> </w:t>
                        </w:r>
                        <w:r>
                          <w:rPr>
                            <w:b/>
                            <w:sz w:val="10"/>
                          </w:rPr>
                          <w:t>-</w:t>
                        </w:r>
                        <w:r>
                          <w:rPr>
                            <w:b/>
                            <w:spacing w:val="-2"/>
                            <w:sz w:val="10"/>
                          </w:rPr>
                          <w:t>15,2%</w:t>
                        </w:r>
                      </w:p>
                    </w:txbxContent>
                  </v:textbox>
                  <w10:wrap type="none"/>
                </v:shape>
                <v:shape style="position:absolute;left:5323;top:3130;width:1929;height:733" type="#_x0000_t202" id="docshape363" filled="false" stroked="false">
                  <v:textbox inset="0,0,0,0">
                    <w:txbxContent>
                      <w:p>
                        <w:pPr>
                          <w:spacing w:line="324" w:lineRule="auto" w:before="2"/>
                          <w:ind w:left="0" w:right="339" w:firstLine="0"/>
                          <w:jc w:val="center"/>
                          <w:rPr>
                            <w:b/>
                            <w:sz w:val="10"/>
                          </w:rPr>
                        </w:pPr>
                        <w:r>
                          <w:rPr>
                            <w:b/>
                            <w:w w:val="110"/>
                            <w:sz w:val="10"/>
                          </w:rPr>
                          <w:t>ΝΟΙΚΟΚΥΡΙΑ:</w:t>
                        </w:r>
                        <w:r>
                          <w:rPr>
                            <w:b/>
                            <w:spacing w:val="-7"/>
                            <w:w w:val="110"/>
                            <w:sz w:val="10"/>
                          </w:rPr>
                          <w:t> </w:t>
                        </w:r>
                        <w:r>
                          <w:rPr>
                            <w:b/>
                            <w:w w:val="110"/>
                            <w:sz w:val="10"/>
                          </w:rPr>
                          <w:t>34,8</w:t>
                        </w:r>
                        <w:r>
                          <w:rPr>
                            <w:b/>
                            <w:spacing w:val="-7"/>
                            <w:w w:val="110"/>
                            <w:sz w:val="10"/>
                          </w:rPr>
                          <w:t> </w:t>
                        </w:r>
                        <w:r>
                          <w:rPr>
                            <w:b/>
                            <w:w w:val="110"/>
                            <w:sz w:val="10"/>
                          </w:rPr>
                          <w:t>δ</w:t>
                        </w:r>
                        <w:r>
                          <w:rPr>
                            <w:b/>
                            <w:smallCaps/>
                            <w:w w:val="110"/>
                            <w:sz w:val="10"/>
                          </w:rPr>
                          <w:t>ι</w:t>
                        </w:r>
                        <w:r>
                          <w:rPr>
                            <w:b/>
                            <w:smallCaps w:val="0"/>
                            <w:w w:val="110"/>
                            <w:sz w:val="10"/>
                          </w:rPr>
                          <w:t>σεκ.</w:t>
                        </w:r>
                        <w:r>
                          <w:rPr>
                            <w:b/>
                            <w:smallCaps w:val="0"/>
                            <w:spacing w:val="-7"/>
                            <w:w w:val="110"/>
                            <w:sz w:val="10"/>
                          </w:rPr>
                          <w:t> </w:t>
                        </w:r>
                        <w:r>
                          <w:rPr>
                            <w:b/>
                            <w:smallCaps w:val="0"/>
                            <w:w w:val="110"/>
                            <w:sz w:val="10"/>
                          </w:rPr>
                          <w:t>ευρώ</w:t>
                        </w:r>
                        <w:r>
                          <w:rPr>
                            <w:b/>
                            <w:smallCaps w:val="0"/>
                            <w:spacing w:val="40"/>
                            <w:w w:val="110"/>
                            <w:sz w:val="10"/>
                          </w:rPr>
                          <w:t> </w:t>
                        </w:r>
                        <w:r>
                          <w:rPr>
                            <w:b/>
                            <w:smallCaps w:val="0"/>
                            <w:w w:val="110"/>
                            <w:sz w:val="10"/>
                          </w:rPr>
                          <w:t>Δ(2024-2025):</w:t>
                        </w:r>
                        <w:r>
                          <w:rPr>
                            <w:b/>
                            <w:smallCaps w:val="0"/>
                            <w:spacing w:val="-12"/>
                            <w:w w:val="110"/>
                            <w:sz w:val="10"/>
                          </w:rPr>
                          <w:t> </w:t>
                        </w:r>
                        <w:r>
                          <w:rPr>
                            <w:b/>
                            <w:smallCaps w:val="0"/>
                            <w:w w:val="110"/>
                            <w:sz w:val="10"/>
                          </w:rPr>
                          <w:t>0,1%</w:t>
                        </w:r>
                      </w:p>
                      <w:p>
                        <w:pPr>
                          <w:spacing w:line="261" w:lineRule="auto" w:before="51"/>
                          <w:ind w:left="433" w:right="0" w:firstLine="0"/>
                          <w:jc w:val="center"/>
                          <w:rPr>
                            <w:b/>
                            <w:sz w:val="10"/>
                          </w:rPr>
                        </w:pPr>
                        <w:r>
                          <w:rPr>
                            <w:b/>
                            <w:w w:val="110"/>
                            <w:sz w:val="10"/>
                          </w:rPr>
                          <w:t>Ποσοστό</w:t>
                        </w:r>
                        <w:r>
                          <w:rPr>
                            <w:b/>
                            <w:spacing w:val="-2"/>
                            <w:w w:val="110"/>
                            <w:sz w:val="10"/>
                          </w:rPr>
                          <w:t> </w:t>
                        </w:r>
                        <w:r>
                          <w:rPr>
                            <w:b/>
                            <w:w w:val="110"/>
                            <w:sz w:val="10"/>
                          </w:rPr>
                          <w:t>μη</w:t>
                        </w:r>
                        <w:r>
                          <w:rPr>
                            <w:b/>
                            <w:spacing w:val="-7"/>
                            <w:w w:val="110"/>
                            <w:sz w:val="10"/>
                          </w:rPr>
                          <w:t> </w:t>
                        </w:r>
                        <w:r>
                          <w:rPr>
                            <w:b/>
                            <w:w w:val="110"/>
                            <w:sz w:val="10"/>
                          </w:rPr>
                          <w:t>εξυπηρετούμενων</w:t>
                        </w:r>
                        <w:r>
                          <w:rPr>
                            <w:b/>
                            <w:spacing w:val="40"/>
                            <w:w w:val="110"/>
                            <w:sz w:val="10"/>
                          </w:rPr>
                          <w:t> </w:t>
                        </w:r>
                        <w:r>
                          <w:rPr>
                            <w:b/>
                            <w:w w:val="110"/>
                            <w:sz w:val="10"/>
                          </w:rPr>
                          <w:t>δανείων:</w:t>
                        </w:r>
                        <w:r>
                          <w:rPr>
                            <w:b/>
                            <w:spacing w:val="-7"/>
                            <w:w w:val="110"/>
                            <w:sz w:val="10"/>
                          </w:rPr>
                          <w:t> </w:t>
                        </w:r>
                        <w:r>
                          <w:rPr>
                            <w:b/>
                            <w:w w:val="110"/>
                            <w:sz w:val="10"/>
                          </w:rPr>
                          <w:t>7,5%</w:t>
                        </w:r>
                      </w:p>
                      <w:p>
                        <w:pPr>
                          <w:spacing w:before="1"/>
                          <w:ind w:left="427" w:right="0" w:firstLine="0"/>
                          <w:jc w:val="center"/>
                          <w:rPr>
                            <w:b/>
                            <w:sz w:val="10"/>
                          </w:rPr>
                        </w:pPr>
                        <w:r>
                          <w:rPr>
                            <w:b/>
                            <w:spacing w:val="2"/>
                            <w:sz w:val="10"/>
                          </w:rPr>
                          <w:t>Δ(2024-2025):</w:t>
                        </w:r>
                        <w:r>
                          <w:rPr>
                            <w:b/>
                            <w:spacing w:val="28"/>
                            <w:sz w:val="10"/>
                          </w:rPr>
                          <w:t> </w:t>
                        </w:r>
                        <w:r>
                          <w:rPr>
                            <w:b/>
                            <w:spacing w:val="-2"/>
                            <w:sz w:val="10"/>
                          </w:rPr>
                          <w:t>10,2%</w:t>
                        </w:r>
                      </w:p>
                    </w:txbxContent>
                  </v:textbox>
                  <w10:wrap type="none"/>
                </v:shape>
                <v:shape style="position:absolute;left:1148;top:4126;width:390;height:496" type="#_x0000_t202" id="docshape364" filled="false" stroked="false">
                  <v:textbox inset="0,0,0,0">
                    <w:txbxContent>
                      <w:p>
                        <w:pPr>
                          <w:spacing w:line="107" w:lineRule="exact" w:before="0"/>
                          <w:ind w:left="91" w:right="0" w:firstLine="0"/>
                          <w:jc w:val="left"/>
                          <w:rPr>
                            <w:rFonts w:ascii="Calibri"/>
                            <w:b/>
                            <w:sz w:val="10"/>
                          </w:rPr>
                        </w:pPr>
                        <w:r>
                          <w:rPr>
                            <w:rFonts w:ascii="Calibri"/>
                            <w:b/>
                            <w:color w:val="404040"/>
                            <w:spacing w:val="-5"/>
                            <w:w w:val="110"/>
                            <w:sz w:val="10"/>
                          </w:rPr>
                          <w:t>37%</w:t>
                        </w:r>
                      </w:p>
                      <w:p>
                        <w:pPr>
                          <w:spacing w:before="9"/>
                          <w:ind w:left="0" w:right="0" w:firstLine="0"/>
                          <w:jc w:val="left"/>
                          <w:rPr>
                            <w:b/>
                            <w:sz w:val="10"/>
                          </w:rPr>
                        </w:pPr>
                        <w:r>
                          <w:rPr>
                            <w:b/>
                            <w:color w:val="404040"/>
                            <w:w w:val="110"/>
                            <w:sz w:val="10"/>
                          </w:rPr>
                          <w:t>Δ(2024-</w:t>
                        </w:r>
                      </w:p>
                      <w:p>
                        <w:pPr>
                          <w:spacing w:before="11"/>
                          <w:ind w:left="34" w:right="0" w:firstLine="0"/>
                          <w:jc w:val="left"/>
                          <w:rPr>
                            <w:b/>
                            <w:sz w:val="10"/>
                          </w:rPr>
                        </w:pPr>
                        <w:r>
                          <w:rPr>
                            <w:b/>
                            <w:color w:val="404040"/>
                            <w:spacing w:val="-2"/>
                            <w:w w:val="110"/>
                            <w:sz w:val="10"/>
                          </w:rPr>
                          <w:t>2025):</w:t>
                        </w:r>
                      </w:p>
                      <w:p>
                        <w:pPr>
                          <w:spacing w:before="16"/>
                          <w:ind w:left="60" w:right="0" w:firstLine="0"/>
                          <w:jc w:val="left"/>
                          <w:rPr>
                            <w:rFonts w:ascii="Calibri"/>
                            <w:b/>
                            <w:sz w:val="10"/>
                          </w:rPr>
                        </w:pPr>
                        <w:r>
                          <w:rPr>
                            <w:rFonts w:ascii="Calibri"/>
                            <w:b/>
                            <w:color w:val="404040"/>
                            <w:w w:val="105"/>
                            <w:sz w:val="10"/>
                          </w:rPr>
                          <w:t>-</w:t>
                        </w:r>
                        <w:r>
                          <w:rPr>
                            <w:rFonts w:ascii="Calibri"/>
                            <w:b/>
                            <w:color w:val="404040"/>
                            <w:spacing w:val="-4"/>
                            <w:w w:val="110"/>
                            <w:sz w:val="10"/>
                          </w:rPr>
                          <w:t>5,3%</w:t>
                        </w:r>
                      </w:p>
                    </w:txbxContent>
                  </v:textbox>
                  <w10:wrap type="none"/>
                </v:shape>
                <v:shape style="position:absolute;left:3265;top:3983;width:390;height:497" type="#_x0000_t202" id="docshape365" filled="false" stroked="false">
                  <v:textbox inset="0,0,0,0">
                    <w:txbxContent>
                      <w:p>
                        <w:pPr>
                          <w:spacing w:line="107" w:lineRule="exact" w:before="0"/>
                          <w:ind w:left="90" w:right="0" w:firstLine="0"/>
                          <w:jc w:val="left"/>
                          <w:rPr>
                            <w:rFonts w:ascii="Calibri"/>
                            <w:b/>
                            <w:sz w:val="10"/>
                          </w:rPr>
                        </w:pPr>
                        <w:r>
                          <w:rPr>
                            <w:rFonts w:ascii="Calibri"/>
                            <w:b/>
                            <w:color w:val="404040"/>
                            <w:spacing w:val="-5"/>
                            <w:w w:val="110"/>
                            <w:sz w:val="10"/>
                          </w:rPr>
                          <w:t>31%</w:t>
                        </w:r>
                      </w:p>
                      <w:p>
                        <w:pPr>
                          <w:spacing w:before="9"/>
                          <w:ind w:left="0" w:right="0" w:firstLine="0"/>
                          <w:jc w:val="left"/>
                          <w:rPr>
                            <w:b/>
                            <w:sz w:val="10"/>
                          </w:rPr>
                        </w:pPr>
                        <w:r>
                          <w:rPr>
                            <w:b/>
                            <w:color w:val="404040"/>
                            <w:w w:val="110"/>
                            <w:sz w:val="10"/>
                          </w:rPr>
                          <w:t>Δ(2024-</w:t>
                        </w:r>
                      </w:p>
                      <w:p>
                        <w:pPr>
                          <w:spacing w:before="11"/>
                          <w:ind w:left="34" w:right="0" w:firstLine="0"/>
                          <w:jc w:val="left"/>
                          <w:rPr>
                            <w:b/>
                            <w:sz w:val="10"/>
                          </w:rPr>
                        </w:pPr>
                        <w:r>
                          <w:rPr>
                            <w:b/>
                            <w:color w:val="404040"/>
                            <w:spacing w:val="-2"/>
                            <w:w w:val="110"/>
                            <w:sz w:val="10"/>
                          </w:rPr>
                          <w:t>2025):</w:t>
                        </w:r>
                      </w:p>
                      <w:p>
                        <w:pPr>
                          <w:spacing w:before="16"/>
                          <w:ind w:left="30" w:right="0" w:firstLine="0"/>
                          <w:jc w:val="left"/>
                          <w:rPr>
                            <w:rFonts w:ascii="Calibri"/>
                            <w:b/>
                            <w:sz w:val="10"/>
                          </w:rPr>
                        </w:pPr>
                        <w:r>
                          <w:rPr>
                            <w:rFonts w:ascii="Calibri"/>
                            <w:b/>
                            <w:color w:val="404040"/>
                            <w:w w:val="105"/>
                            <w:sz w:val="10"/>
                          </w:rPr>
                          <w:t>-</w:t>
                        </w:r>
                        <w:r>
                          <w:rPr>
                            <w:rFonts w:ascii="Calibri"/>
                            <w:b/>
                            <w:color w:val="404040"/>
                            <w:spacing w:val="-2"/>
                            <w:w w:val="110"/>
                            <w:sz w:val="10"/>
                          </w:rPr>
                          <w:t>24,3%</w:t>
                        </w:r>
                      </w:p>
                    </w:txbxContent>
                  </v:textbox>
                  <w10:wrap type="none"/>
                </v:shape>
                <v:shape style="position:absolute;left:5210;top:3941;width:391;height:497" type="#_x0000_t202" id="docshape366" filled="false" stroked="false">
                  <v:textbox inset="0,0,0,0">
                    <w:txbxContent>
                      <w:p>
                        <w:pPr>
                          <w:spacing w:line="261" w:lineRule="auto" w:before="2"/>
                          <w:ind w:left="0" w:right="18" w:hanging="9"/>
                          <w:jc w:val="center"/>
                          <w:rPr>
                            <w:b/>
                            <w:sz w:val="10"/>
                          </w:rPr>
                        </w:pPr>
                        <w:r>
                          <w:rPr>
                            <w:b/>
                            <w:color w:val="404040"/>
                            <w:spacing w:val="-4"/>
                            <w:w w:val="110"/>
                            <w:sz w:val="10"/>
                          </w:rPr>
                          <w:t>20%</w:t>
                        </w:r>
                        <w:r>
                          <w:rPr>
                            <w:b/>
                            <w:color w:val="404040"/>
                            <w:spacing w:val="40"/>
                            <w:w w:val="110"/>
                            <w:sz w:val="10"/>
                          </w:rPr>
                          <w:t> </w:t>
                        </w:r>
                        <w:r>
                          <w:rPr>
                            <w:b/>
                            <w:color w:val="404040"/>
                            <w:w w:val="110"/>
                            <w:sz w:val="10"/>
                          </w:rPr>
                          <w:t>Δ(2024-</w:t>
                        </w:r>
                        <w:r>
                          <w:rPr>
                            <w:b/>
                            <w:color w:val="404040"/>
                            <w:spacing w:val="-2"/>
                            <w:w w:val="110"/>
                            <w:sz w:val="10"/>
                          </w:rPr>
                          <w:t>2025):</w:t>
                        </w:r>
                      </w:p>
                      <w:p>
                        <w:pPr>
                          <w:spacing w:before="2"/>
                          <w:ind w:left="0" w:right="26" w:firstLine="0"/>
                          <w:jc w:val="center"/>
                          <w:rPr>
                            <w:b/>
                            <w:sz w:val="10"/>
                          </w:rPr>
                        </w:pPr>
                        <w:r>
                          <w:rPr>
                            <w:b/>
                            <w:color w:val="404040"/>
                            <w:spacing w:val="-5"/>
                            <w:w w:val="110"/>
                            <w:sz w:val="10"/>
                          </w:rPr>
                          <w:t>42%</w:t>
                        </w:r>
                      </w:p>
                    </w:txbxContent>
                  </v:textbox>
                  <w10:wrap type="none"/>
                </v:shape>
                <v:shape style="position:absolute;left:6992;top:4000;width:390;height:497" type="#_x0000_t202" id="docshape367" filled="false" stroked="false">
                  <v:textbox inset="0,0,0,0">
                    <w:txbxContent>
                      <w:p>
                        <w:pPr>
                          <w:spacing w:line="261" w:lineRule="auto" w:before="2"/>
                          <w:ind w:left="0" w:right="18" w:hanging="1"/>
                          <w:jc w:val="center"/>
                          <w:rPr>
                            <w:b/>
                            <w:sz w:val="10"/>
                          </w:rPr>
                        </w:pPr>
                        <w:r>
                          <w:rPr>
                            <w:b/>
                            <w:color w:val="404040"/>
                            <w:spacing w:val="-4"/>
                            <w:w w:val="110"/>
                            <w:sz w:val="10"/>
                          </w:rPr>
                          <w:t>38%</w:t>
                        </w:r>
                        <w:r>
                          <w:rPr>
                            <w:b/>
                            <w:color w:val="404040"/>
                            <w:spacing w:val="40"/>
                            <w:w w:val="110"/>
                            <w:sz w:val="10"/>
                          </w:rPr>
                          <w:t> </w:t>
                        </w:r>
                        <w:r>
                          <w:rPr>
                            <w:b/>
                            <w:color w:val="404040"/>
                            <w:w w:val="110"/>
                            <w:sz w:val="10"/>
                          </w:rPr>
                          <w:t>Δ(2024-</w:t>
                        </w:r>
                        <w:r>
                          <w:rPr>
                            <w:b/>
                            <w:color w:val="404040"/>
                            <w:spacing w:val="-2"/>
                            <w:w w:val="110"/>
                            <w:sz w:val="10"/>
                          </w:rPr>
                          <w:t>2025):</w:t>
                        </w:r>
                      </w:p>
                      <w:p>
                        <w:pPr>
                          <w:spacing w:before="1"/>
                          <w:ind w:left="0" w:right="20" w:firstLine="0"/>
                          <w:jc w:val="center"/>
                          <w:rPr>
                            <w:b/>
                            <w:sz w:val="10"/>
                          </w:rPr>
                        </w:pPr>
                        <w:r>
                          <w:rPr>
                            <w:b/>
                            <w:color w:val="404040"/>
                            <w:spacing w:val="-2"/>
                            <w:w w:val="110"/>
                            <w:sz w:val="10"/>
                          </w:rPr>
                          <w:t>30,9%</w:t>
                        </w:r>
                      </w:p>
                    </w:txbxContent>
                  </v:textbox>
                  <w10:wrap type="none"/>
                </v:shape>
                <v:shape style="position:absolute;left:3260;top:4674;width:2152;height:635" type="#_x0000_t202" id="docshape368" filled="false" stroked="false">
                  <v:textbox inset="0,0,0,0">
                    <w:txbxContent>
                      <w:p>
                        <w:pPr>
                          <w:spacing w:before="2"/>
                          <w:ind w:left="0" w:right="94" w:firstLine="0"/>
                          <w:jc w:val="right"/>
                          <w:rPr>
                            <w:b/>
                            <w:sz w:val="10"/>
                          </w:rPr>
                        </w:pPr>
                        <w:r>
                          <w:rPr>
                            <w:b/>
                            <w:color w:val="404040"/>
                            <w:spacing w:val="-5"/>
                            <w:w w:val="110"/>
                            <w:sz w:val="10"/>
                          </w:rPr>
                          <w:t>42%</w:t>
                        </w:r>
                      </w:p>
                      <w:p>
                        <w:pPr>
                          <w:tabs>
                            <w:tab w:pos="1670" w:val="left" w:leader="none"/>
                          </w:tabs>
                          <w:spacing w:before="9"/>
                          <w:ind w:left="0" w:right="18" w:firstLine="0"/>
                          <w:jc w:val="right"/>
                          <w:rPr>
                            <w:b/>
                            <w:sz w:val="10"/>
                          </w:rPr>
                        </w:pPr>
                        <w:r>
                          <w:rPr>
                            <w:rFonts w:ascii="Calibri" w:hAnsi="Calibri"/>
                            <w:b/>
                            <w:color w:val="404040"/>
                            <w:spacing w:val="-5"/>
                            <w:w w:val="110"/>
                            <w:sz w:val="10"/>
                          </w:rPr>
                          <w:t>32%</w:t>
                        </w:r>
                        <w:r>
                          <w:rPr>
                            <w:rFonts w:ascii="Calibri" w:hAnsi="Calibri"/>
                            <w:b/>
                            <w:color w:val="404040"/>
                            <w:sz w:val="10"/>
                          </w:rPr>
                          <w:tab/>
                        </w:r>
                        <w:r>
                          <w:rPr>
                            <w:b/>
                            <w:color w:val="404040"/>
                            <w:w w:val="110"/>
                            <w:sz w:val="10"/>
                          </w:rPr>
                          <w:t>Δ(2024-</w:t>
                        </w:r>
                      </w:p>
                      <w:p>
                        <w:pPr>
                          <w:tabs>
                            <w:tab w:pos="1795" w:val="left" w:leader="none"/>
                          </w:tabs>
                          <w:spacing w:before="7"/>
                          <w:ind w:left="0" w:right="52" w:firstLine="0"/>
                          <w:jc w:val="right"/>
                          <w:rPr>
                            <w:b/>
                            <w:sz w:val="10"/>
                          </w:rPr>
                        </w:pPr>
                        <w:r>
                          <w:rPr>
                            <w:b/>
                            <w:color w:val="404040"/>
                            <w:w w:val="110"/>
                            <w:sz w:val="10"/>
                          </w:rPr>
                          <w:t>Δ(2024-</w:t>
                        </w:r>
                        <w:r>
                          <w:rPr>
                            <w:b/>
                            <w:color w:val="404040"/>
                            <w:sz w:val="10"/>
                          </w:rPr>
                          <w:tab/>
                        </w:r>
                        <w:r>
                          <w:rPr>
                            <w:b/>
                            <w:color w:val="404040"/>
                            <w:spacing w:val="-2"/>
                            <w:w w:val="110"/>
                            <w:sz w:val="10"/>
                          </w:rPr>
                          <w:t>2025):</w:t>
                        </w:r>
                      </w:p>
                      <w:p>
                        <w:pPr>
                          <w:tabs>
                            <w:tab w:pos="1734" w:val="left" w:leader="none"/>
                          </w:tabs>
                          <w:spacing w:before="11"/>
                          <w:ind w:left="0" w:right="36" w:firstLine="0"/>
                          <w:jc w:val="right"/>
                          <w:rPr>
                            <w:b/>
                            <w:sz w:val="10"/>
                          </w:rPr>
                        </w:pPr>
                        <w:r>
                          <w:rPr>
                            <w:b/>
                            <w:color w:val="404040"/>
                            <w:spacing w:val="-2"/>
                            <w:w w:val="110"/>
                            <w:sz w:val="10"/>
                          </w:rPr>
                          <w:t>2025):</w:t>
                        </w:r>
                        <w:r>
                          <w:rPr>
                            <w:b/>
                            <w:color w:val="404040"/>
                            <w:sz w:val="10"/>
                          </w:rPr>
                          <w:tab/>
                        </w:r>
                        <w:r>
                          <w:rPr>
                            <w:b/>
                            <w:color w:val="404040"/>
                            <w:w w:val="105"/>
                            <w:sz w:val="10"/>
                          </w:rPr>
                          <w:t>-</w:t>
                        </w:r>
                        <w:r>
                          <w:rPr>
                            <w:b/>
                            <w:color w:val="404040"/>
                            <w:spacing w:val="-2"/>
                            <w:w w:val="110"/>
                            <w:sz w:val="10"/>
                          </w:rPr>
                          <w:t>12,3%</w:t>
                        </w:r>
                      </w:p>
                      <w:p>
                        <w:pPr>
                          <w:spacing w:before="16"/>
                          <w:ind w:left="30" w:right="0" w:firstLine="0"/>
                          <w:jc w:val="left"/>
                          <w:rPr>
                            <w:rFonts w:ascii="Calibri"/>
                            <w:b/>
                            <w:sz w:val="10"/>
                          </w:rPr>
                        </w:pPr>
                        <w:r>
                          <w:rPr>
                            <w:rFonts w:ascii="Calibri"/>
                            <w:b/>
                            <w:color w:val="404040"/>
                            <w:w w:val="105"/>
                            <w:sz w:val="10"/>
                          </w:rPr>
                          <w:t>-</w:t>
                        </w:r>
                        <w:r>
                          <w:rPr>
                            <w:rFonts w:ascii="Calibri"/>
                            <w:b/>
                            <w:color w:val="404040"/>
                            <w:spacing w:val="-2"/>
                            <w:w w:val="110"/>
                            <w:sz w:val="10"/>
                          </w:rPr>
                          <w:t>15,6%</w:t>
                        </w:r>
                      </w:p>
                    </w:txbxContent>
                  </v:textbox>
                  <w10:wrap type="none"/>
                </v:shape>
                <v:shape style="position:absolute;left:511;top:5560;width:1654;height:728" type="#_x0000_t202" id="docshape369" filled="false" stroked="false">
                  <v:textbox inset="0,0,0,0">
                    <w:txbxContent>
                      <w:p>
                        <w:pPr>
                          <w:spacing w:line="99" w:lineRule="exact" w:before="0"/>
                          <w:ind w:left="0" w:right="109" w:firstLine="0"/>
                          <w:jc w:val="center"/>
                          <w:rPr>
                            <w:b/>
                            <w:sz w:val="9"/>
                          </w:rPr>
                        </w:pPr>
                        <w:r>
                          <w:rPr>
                            <w:b/>
                            <w:color w:val="FFFFFF"/>
                            <w:sz w:val="9"/>
                          </w:rPr>
                          <w:t>Μεγάλες</w:t>
                        </w:r>
                        <w:r>
                          <w:rPr>
                            <w:b/>
                            <w:color w:val="FFFFFF"/>
                            <w:spacing w:val="-3"/>
                            <w:sz w:val="9"/>
                          </w:rPr>
                          <w:t> </w:t>
                        </w:r>
                        <w:r>
                          <w:rPr>
                            <w:b/>
                            <w:color w:val="FFFFFF"/>
                            <w:spacing w:val="-2"/>
                            <w:sz w:val="9"/>
                          </w:rPr>
                          <w:t>Επ</w:t>
                        </w:r>
                        <w:r>
                          <w:rPr>
                            <w:b/>
                            <w:smallCaps/>
                            <w:color w:val="FFFFFF"/>
                            <w:spacing w:val="-2"/>
                            <w:sz w:val="9"/>
                          </w:rPr>
                          <w:t>ι</w:t>
                        </w:r>
                        <w:r>
                          <w:rPr>
                            <w:b/>
                            <w:smallCaps w:val="0"/>
                            <w:color w:val="FFFFFF"/>
                            <w:spacing w:val="-2"/>
                            <w:sz w:val="9"/>
                          </w:rPr>
                          <w:t>χε</w:t>
                        </w:r>
                        <w:r>
                          <w:rPr>
                            <w:b/>
                            <w:smallCaps/>
                            <w:color w:val="FFFFFF"/>
                            <w:spacing w:val="-2"/>
                            <w:sz w:val="9"/>
                          </w:rPr>
                          <w:t>ι</w:t>
                        </w:r>
                        <w:r>
                          <w:rPr>
                            <w:b/>
                            <w:smallCaps w:val="0"/>
                            <w:color w:val="FFFFFF"/>
                            <w:spacing w:val="-2"/>
                            <w:sz w:val="9"/>
                          </w:rPr>
                          <w:t>ρήσε</w:t>
                        </w:r>
                        <w:r>
                          <w:rPr>
                            <w:b/>
                            <w:smallCaps/>
                            <w:color w:val="FFFFFF"/>
                            <w:spacing w:val="-2"/>
                            <w:sz w:val="9"/>
                          </w:rPr>
                          <w:t>ι</w:t>
                        </w:r>
                        <w:r>
                          <w:rPr>
                            <w:b/>
                            <w:smallCaps w:val="0"/>
                            <w:color w:val="FFFFFF"/>
                            <w:spacing w:val="-2"/>
                            <w:sz w:val="9"/>
                          </w:rPr>
                          <w:t>ς:</w:t>
                        </w:r>
                      </w:p>
                      <w:p>
                        <w:pPr>
                          <w:spacing w:before="0"/>
                          <w:ind w:left="0" w:right="105" w:firstLine="0"/>
                          <w:jc w:val="center"/>
                          <w:rPr>
                            <w:b/>
                            <w:sz w:val="9"/>
                          </w:rPr>
                        </w:pPr>
                        <w:r>
                          <w:rPr>
                            <w:b/>
                            <w:color w:val="FFFFFF"/>
                            <w:sz w:val="9"/>
                          </w:rPr>
                          <w:t>85,5</w:t>
                        </w:r>
                        <w:r>
                          <w:rPr>
                            <w:b/>
                            <w:color w:val="FFFFFF"/>
                            <w:spacing w:val="-3"/>
                            <w:sz w:val="9"/>
                          </w:rPr>
                          <w:t> </w:t>
                        </w:r>
                        <w:r>
                          <w:rPr>
                            <w:b/>
                            <w:color w:val="FFFFFF"/>
                            <w:sz w:val="9"/>
                          </w:rPr>
                          <w:t>δ</w:t>
                        </w:r>
                        <w:r>
                          <w:rPr>
                            <w:b/>
                            <w:smallCaps/>
                            <w:color w:val="FFFFFF"/>
                            <w:sz w:val="9"/>
                          </w:rPr>
                          <w:t>ι</w:t>
                        </w:r>
                        <w:r>
                          <w:rPr>
                            <w:b/>
                            <w:smallCaps w:val="0"/>
                            <w:color w:val="FFFFFF"/>
                            <w:sz w:val="9"/>
                          </w:rPr>
                          <w:t>σεκ.</w:t>
                        </w:r>
                        <w:r>
                          <w:rPr>
                            <w:b/>
                            <w:smallCaps w:val="0"/>
                            <w:color w:val="FFFFFF"/>
                            <w:spacing w:val="4"/>
                            <w:sz w:val="9"/>
                          </w:rPr>
                          <w:t> </w:t>
                        </w:r>
                        <w:r>
                          <w:rPr>
                            <w:b/>
                            <w:smallCaps w:val="0"/>
                            <w:color w:val="FFFFFF"/>
                            <w:sz w:val="9"/>
                          </w:rPr>
                          <w:t>ευρώ</w:t>
                        </w:r>
                        <w:r>
                          <w:rPr>
                            <w:b/>
                            <w:smallCaps w:val="0"/>
                            <w:color w:val="FFFFFF"/>
                            <w:spacing w:val="-2"/>
                            <w:sz w:val="9"/>
                          </w:rPr>
                          <w:t> </w:t>
                        </w:r>
                        <w:r>
                          <w:rPr>
                            <w:b/>
                            <w:smallCaps w:val="0"/>
                            <w:color w:val="FFFFFF"/>
                            <w:sz w:val="9"/>
                          </w:rPr>
                          <w:t>[Δ(2024-2025):</w:t>
                        </w:r>
                        <w:r>
                          <w:rPr>
                            <w:b/>
                            <w:smallCaps w:val="0"/>
                            <w:color w:val="FFFFFF"/>
                            <w:spacing w:val="-3"/>
                            <w:sz w:val="9"/>
                          </w:rPr>
                          <w:t> </w:t>
                        </w:r>
                        <w:r>
                          <w:rPr>
                            <w:b/>
                            <w:smallCaps w:val="0"/>
                            <w:color w:val="FFFFFF"/>
                            <w:spacing w:val="-2"/>
                            <w:sz w:val="9"/>
                          </w:rPr>
                          <w:t>13,0%]</w:t>
                        </w:r>
                      </w:p>
                      <w:p>
                        <w:pPr>
                          <w:spacing w:before="55"/>
                          <w:ind w:left="316" w:right="0" w:firstLine="0"/>
                          <w:jc w:val="center"/>
                          <w:rPr>
                            <w:b/>
                            <w:sz w:val="9"/>
                          </w:rPr>
                        </w:pPr>
                        <w:r>
                          <w:rPr>
                            <w:b/>
                            <w:sz w:val="9"/>
                          </w:rPr>
                          <w:t>Ποσοστό</w:t>
                        </w:r>
                        <w:r>
                          <w:rPr>
                            <w:b/>
                            <w:spacing w:val="-6"/>
                            <w:sz w:val="9"/>
                          </w:rPr>
                          <w:t> </w:t>
                        </w:r>
                        <w:r>
                          <w:rPr>
                            <w:b/>
                            <w:sz w:val="9"/>
                          </w:rPr>
                          <w:t>μη</w:t>
                        </w:r>
                        <w:r>
                          <w:rPr>
                            <w:b/>
                            <w:spacing w:val="-6"/>
                            <w:sz w:val="9"/>
                          </w:rPr>
                          <w:t> </w:t>
                        </w:r>
                        <w:r>
                          <w:rPr>
                            <w:b/>
                            <w:sz w:val="9"/>
                          </w:rPr>
                          <w:t>εξυπηρετούμενων</w:t>
                        </w:r>
                        <w:r>
                          <w:rPr>
                            <w:b/>
                            <w:spacing w:val="40"/>
                            <w:sz w:val="9"/>
                          </w:rPr>
                          <w:t> </w:t>
                        </w:r>
                        <w:r>
                          <w:rPr>
                            <w:b/>
                            <w:sz w:val="9"/>
                          </w:rPr>
                          <w:t>δανείων:</w:t>
                        </w:r>
                        <w:r>
                          <w:rPr>
                            <w:b/>
                            <w:spacing w:val="-6"/>
                            <w:sz w:val="9"/>
                          </w:rPr>
                          <w:t> </w:t>
                        </w:r>
                        <w:r>
                          <w:rPr>
                            <w:b/>
                            <w:sz w:val="9"/>
                          </w:rPr>
                          <w:t>0,9%</w:t>
                        </w:r>
                      </w:p>
                      <w:p>
                        <w:pPr>
                          <w:spacing w:before="0"/>
                          <w:ind w:left="312" w:right="0" w:firstLine="0"/>
                          <w:jc w:val="center"/>
                          <w:rPr>
                            <w:b/>
                            <w:sz w:val="9"/>
                          </w:rPr>
                        </w:pPr>
                        <w:r>
                          <w:rPr>
                            <w:b/>
                            <w:sz w:val="9"/>
                          </w:rPr>
                          <w:t>Δ(2024-2025):</w:t>
                        </w:r>
                        <w:r>
                          <w:rPr>
                            <w:b/>
                            <w:spacing w:val="-2"/>
                            <w:sz w:val="9"/>
                          </w:rPr>
                          <w:t> </w:t>
                        </w:r>
                        <w:r>
                          <w:rPr>
                            <w:b/>
                            <w:sz w:val="9"/>
                          </w:rPr>
                          <w:t>-</w:t>
                        </w:r>
                        <w:r>
                          <w:rPr>
                            <w:b/>
                            <w:spacing w:val="-4"/>
                            <w:sz w:val="9"/>
                          </w:rPr>
                          <w:t>35,5%</w:t>
                        </w:r>
                      </w:p>
                      <w:p>
                        <w:pPr>
                          <w:spacing w:before="66"/>
                          <w:ind w:left="0" w:right="18" w:firstLine="0"/>
                          <w:jc w:val="right"/>
                          <w:rPr>
                            <w:b/>
                            <w:sz w:val="8"/>
                          </w:rPr>
                        </w:pPr>
                        <w:r>
                          <w:rPr>
                            <w:b/>
                            <w:color w:val="404040"/>
                            <w:spacing w:val="-5"/>
                            <w:w w:val="110"/>
                            <w:sz w:val="8"/>
                          </w:rPr>
                          <w:t>46%</w:t>
                        </w:r>
                      </w:p>
                    </w:txbxContent>
                  </v:textbox>
                  <w10:wrap type="none"/>
                </v:shape>
                <v:shape style="position:absolute;left:2432;top:5558;width:1585;height:586" type="#_x0000_t202" id="docshape370" filled="false" stroked="false">
                  <v:textbox inset="0,0,0,0">
                    <w:txbxContent>
                      <w:p>
                        <w:pPr>
                          <w:spacing w:line="292" w:lineRule="auto" w:before="0"/>
                          <w:ind w:left="0" w:right="82" w:firstLine="0"/>
                          <w:jc w:val="center"/>
                          <w:rPr>
                            <w:b/>
                            <w:sz w:val="9"/>
                          </w:rPr>
                        </w:pPr>
                        <w:r>
                          <w:rPr>
                            <w:b/>
                            <w:color w:val="FFFFFF"/>
                            <w:sz w:val="9"/>
                          </w:rPr>
                          <w:t>Μ</w:t>
                        </w:r>
                        <w:r>
                          <w:rPr>
                            <w:b/>
                            <w:smallCaps/>
                            <w:color w:val="FFFFFF"/>
                            <w:sz w:val="9"/>
                          </w:rPr>
                          <w:t>ι</w:t>
                        </w:r>
                        <w:r>
                          <w:rPr>
                            <w:b/>
                            <w:smallCaps w:val="0"/>
                            <w:color w:val="FFFFFF"/>
                            <w:sz w:val="9"/>
                          </w:rPr>
                          <w:t>κρές κα</w:t>
                        </w:r>
                        <w:r>
                          <w:rPr>
                            <w:b/>
                            <w:smallCaps/>
                            <w:color w:val="FFFFFF"/>
                            <w:sz w:val="9"/>
                          </w:rPr>
                          <w:t>ι</w:t>
                        </w:r>
                        <w:r>
                          <w:rPr>
                            <w:b/>
                            <w:smallCaps w:val="0"/>
                            <w:color w:val="FFFFFF"/>
                            <w:sz w:val="9"/>
                          </w:rPr>
                          <w:t> Μεσαίες Επ</w:t>
                        </w:r>
                        <w:r>
                          <w:rPr>
                            <w:b/>
                            <w:smallCaps/>
                            <w:color w:val="FFFFFF"/>
                            <w:sz w:val="9"/>
                          </w:rPr>
                          <w:t>ι</w:t>
                        </w:r>
                        <w:r>
                          <w:rPr>
                            <w:b/>
                            <w:smallCaps w:val="0"/>
                            <w:color w:val="FFFFFF"/>
                            <w:sz w:val="9"/>
                          </w:rPr>
                          <w:t>χε</w:t>
                        </w:r>
                        <w:r>
                          <w:rPr>
                            <w:b/>
                            <w:smallCaps/>
                            <w:color w:val="FFFFFF"/>
                            <w:sz w:val="9"/>
                          </w:rPr>
                          <w:t>ι</w:t>
                        </w:r>
                        <w:r>
                          <w:rPr>
                            <w:b/>
                            <w:smallCaps w:val="0"/>
                            <w:color w:val="FFFFFF"/>
                            <w:sz w:val="9"/>
                          </w:rPr>
                          <w:t>ρήσε</w:t>
                        </w:r>
                        <w:r>
                          <w:rPr>
                            <w:b/>
                            <w:smallCaps/>
                            <w:color w:val="FFFFFF"/>
                            <w:sz w:val="9"/>
                          </w:rPr>
                          <w:t>ι</w:t>
                        </w:r>
                        <w:r>
                          <w:rPr>
                            <w:b/>
                            <w:smallCaps w:val="0"/>
                            <w:color w:val="FFFFFF"/>
                            <w:sz w:val="9"/>
                          </w:rPr>
                          <w:t>ς:</w:t>
                        </w:r>
                        <w:r>
                          <w:rPr>
                            <w:b/>
                            <w:smallCaps w:val="0"/>
                            <w:color w:val="FFFFFF"/>
                            <w:spacing w:val="40"/>
                            <w:sz w:val="9"/>
                          </w:rPr>
                          <w:t> </w:t>
                        </w:r>
                        <w:r>
                          <w:rPr>
                            <w:b/>
                            <w:smallCaps w:val="0"/>
                            <w:color w:val="FFFFFF"/>
                            <w:sz w:val="9"/>
                          </w:rPr>
                          <w:t>27,7</w:t>
                        </w:r>
                        <w:r>
                          <w:rPr>
                            <w:b/>
                            <w:smallCaps w:val="0"/>
                            <w:color w:val="FFFFFF"/>
                            <w:spacing w:val="-6"/>
                            <w:sz w:val="9"/>
                          </w:rPr>
                          <w:t> </w:t>
                        </w:r>
                        <w:r>
                          <w:rPr>
                            <w:b/>
                            <w:smallCaps w:val="0"/>
                            <w:color w:val="FFFFFF"/>
                            <w:sz w:val="9"/>
                          </w:rPr>
                          <w:t>δ</w:t>
                        </w:r>
                        <w:r>
                          <w:rPr>
                            <w:b/>
                            <w:smallCaps/>
                            <w:color w:val="FFFFFF"/>
                            <w:sz w:val="9"/>
                          </w:rPr>
                          <w:t>ι</w:t>
                        </w:r>
                        <w:r>
                          <w:rPr>
                            <w:b/>
                            <w:smallCaps w:val="0"/>
                            <w:color w:val="FFFFFF"/>
                            <w:sz w:val="9"/>
                          </w:rPr>
                          <w:t>σεκ.</w:t>
                        </w:r>
                        <w:r>
                          <w:rPr>
                            <w:b/>
                            <w:smallCaps w:val="0"/>
                            <w:color w:val="FFFFFF"/>
                            <w:spacing w:val="-1"/>
                            <w:sz w:val="9"/>
                          </w:rPr>
                          <w:t> </w:t>
                        </w:r>
                        <w:r>
                          <w:rPr>
                            <w:b/>
                            <w:smallCaps w:val="0"/>
                            <w:color w:val="FFFFFF"/>
                            <w:sz w:val="9"/>
                          </w:rPr>
                          <w:t>ευρώ</w:t>
                        </w:r>
                        <w:r>
                          <w:rPr>
                            <w:b/>
                            <w:smallCaps w:val="0"/>
                            <w:color w:val="FFFFFF"/>
                            <w:spacing w:val="-5"/>
                            <w:sz w:val="9"/>
                          </w:rPr>
                          <w:t> </w:t>
                        </w:r>
                        <w:r>
                          <w:rPr>
                            <w:b/>
                            <w:smallCaps w:val="0"/>
                            <w:color w:val="FFFFFF"/>
                            <w:sz w:val="9"/>
                          </w:rPr>
                          <w:t>[Δ(2024-2025):</w:t>
                        </w:r>
                        <w:r>
                          <w:rPr>
                            <w:b/>
                            <w:smallCaps w:val="0"/>
                            <w:color w:val="FFFFFF"/>
                            <w:spacing w:val="-6"/>
                            <w:sz w:val="9"/>
                          </w:rPr>
                          <w:t> </w:t>
                        </w:r>
                        <w:r>
                          <w:rPr>
                            <w:b/>
                            <w:smallCaps w:val="0"/>
                            <w:color w:val="FFFFFF"/>
                            <w:sz w:val="9"/>
                          </w:rPr>
                          <w:t>7,2%]</w:t>
                        </w:r>
                      </w:p>
                      <w:p>
                        <w:pPr>
                          <w:spacing w:before="23"/>
                          <w:ind w:left="366" w:right="0" w:firstLine="0"/>
                          <w:jc w:val="center"/>
                          <w:rPr>
                            <w:b/>
                            <w:sz w:val="9"/>
                          </w:rPr>
                        </w:pPr>
                        <w:r>
                          <w:rPr>
                            <w:b/>
                            <w:sz w:val="9"/>
                          </w:rPr>
                          <w:t>Ποσοστό</w:t>
                        </w:r>
                        <w:r>
                          <w:rPr>
                            <w:b/>
                            <w:spacing w:val="-6"/>
                            <w:sz w:val="9"/>
                          </w:rPr>
                          <w:t> </w:t>
                        </w:r>
                        <w:r>
                          <w:rPr>
                            <w:b/>
                            <w:sz w:val="9"/>
                          </w:rPr>
                          <w:t>μη</w:t>
                        </w:r>
                        <w:r>
                          <w:rPr>
                            <w:b/>
                            <w:spacing w:val="-6"/>
                            <w:sz w:val="9"/>
                          </w:rPr>
                          <w:t> </w:t>
                        </w:r>
                        <w:r>
                          <w:rPr>
                            <w:b/>
                            <w:sz w:val="9"/>
                          </w:rPr>
                          <w:t>εξυπηρετούμενων</w:t>
                        </w:r>
                        <w:r>
                          <w:rPr>
                            <w:b/>
                            <w:spacing w:val="40"/>
                            <w:sz w:val="9"/>
                          </w:rPr>
                          <w:t> </w:t>
                        </w:r>
                        <w:r>
                          <w:rPr>
                            <w:b/>
                            <w:sz w:val="9"/>
                          </w:rPr>
                          <w:t>δανείων:</w:t>
                        </w:r>
                        <w:r>
                          <w:rPr>
                            <w:b/>
                            <w:spacing w:val="-6"/>
                            <w:sz w:val="9"/>
                          </w:rPr>
                          <w:t> </w:t>
                        </w:r>
                        <w:r>
                          <w:rPr>
                            <w:b/>
                            <w:sz w:val="9"/>
                          </w:rPr>
                          <w:t>4,7%</w:t>
                        </w:r>
                      </w:p>
                      <w:p>
                        <w:pPr>
                          <w:spacing w:line="103" w:lineRule="exact" w:before="0"/>
                          <w:ind w:left="366" w:right="3" w:firstLine="0"/>
                          <w:jc w:val="center"/>
                          <w:rPr>
                            <w:b/>
                            <w:sz w:val="9"/>
                          </w:rPr>
                        </w:pPr>
                        <w:r>
                          <w:rPr>
                            <w:b/>
                            <w:sz w:val="9"/>
                          </w:rPr>
                          <w:t>Δ(2024-2025):</w:t>
                        </w:r>
                        <w:r>
                          <w:rPr>
                            <w:b/>
                            <w:spacing w:val="-2"/>
                            <w:sz w:val="9"/>
                          </w:rPr>
                          <w:t> </w:t>
                        </w:r>
                        <w:r>
                          <w:rPr>
                            <w:b/>
                            <w:sz w:val="9"/>
                          </w:rPr>
                          <w:t>-</w:t>
                        </w:r>
                        <w:r>
                          <w:rPr>
                            <w:b/>
                            <w:spacing w:val="-4"/>
                            <w:sz w:val="9"/>
                          </w:rPr>
                          <w:t>9,2%</w:t>
                        </w:r>
                      </w:p>
                    </w:txbxContent>
                  </v:textbox>
                  <w10:wrap type="none"/>
                </v:shape>
                <v:shape style="position:absolute;left:617;top:6217;width:315;height:383" type="#_x0000_t202" id="docshape371" filled="false" stroked="false">
                  <v:textbox inset="0,0,0,0">
                    <w:txbxContent>
                      <w:p>
                        <w:pPr>
                          <w:spacing w:line="252" w:lineRule="auto" w:before="1"/>
                          <w:ind w:left="0" w:right="18" w:hanging="3"/>
                          <w:jc w:val="center"/>
                          <w:rPr>
                            <w:b/>
                            <w:sz w:val="8"/>
                          </w:rPr>
                        </w:pPr>
                        <w:r>
                          <w:rPr>
                            <w:b/>
                            <w:color w:val="404040"/>
                            <w:spacing w:val="-6"/>
                            <w:w w:val="110"/>
                            <w:sz w:val="8"/>
                          </w:rPr>
                          <w:t>9%</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20" w:firstLine="0"/>
                          <w:jc w:val="center"/>
                          <w:rPr>
                            <w:b/>
                            <w:sz w:val="8"/>
                          </w:rPr>
                        </w:pPr>
                        <w:r>
                          <w:rPr>
                            <w:b/>
                            <w:color w:val="404040"/>
                            <w:sz w:val="8"/>
                          </w:rPr>
                          <w:t>-</w:t>
                        </w:r>
                        <w:r>
                          <w:rPr>
                            <w:b/>
                            <w:color w:val="404040"/>
                            <w:spacing w:val="-4"/>
                            <w:sz w:val="8"/>
                          </w:rPr>
                          <w:t>9,4%</w:t>
                        </w:r>
                      </w:p>
                    </w:txbxContent>
                  </v:textbox>
                  <w10:wrap type="none"/>
                </v:shape>
                <v:shape style="position:absolute;left:1909;top:6289;width:749;height:150" type="#_x0000_t202" id="docshape372" filled="false" stroked="false">
                  <v:textbox inset="0,0,0,0">
                    <w:txbxContent>
                      <w:p>
                        <w:pPr>
                          <w:spacing w:before="1"/>
                          <w:ind w:left="0" w:right="0" w:firstLine="0"/>
                          <w:jc w:val="left"/>
                          <w:rPr>
                            <w:b/>
                            <w:position w:val="-4"/>
                            <w:sz w:val="8"/>
                          </w:rPr>
                        </w:pPr>
                        <w:r>
                          <w:rPr>
                            <w:b/>
                            <w:color w:val="404040"/>
                            <w:w w:val="110"/>
                            <w:sz w:val="8"/>
                          </w:rPr>
                          <w:t>Δ(2024-</w:t>
                        </w:r>
                        <w:r>
                          <w:rPr>
                            <w:b/>
                            <w:color w:val="404040"/>
                            <w:spacing w:val="46"/>
                            <w:w w:val="110"/>
                            <w:sz w:val="8"/>
                          </w:rPr>
                          <w:t>  </w:t>
                        </w:r>
                        <w:r>
                          <w:rPr>
                            <w:b/>
                            <w:color w:val="404040"/>
                            <w:spacing w:val="-2"/>
                            <w:w w:val="110"/>
                            <w:position w:val="-4"/>
                            <w:sz w:val="8"/>
                          </w:rPr>
                          <w:t>Δ(2024-</w:t>
                        </w:r>
                      </w:p>
                    </w:txbxContent>
                  </v:textbox>
                  <w10:wrap type="none"/>
                </v:shape>
                <v:shape style="position:absolute;left:2400;top:6247;width:198;height:95" type="#_x0000_t202" id="docshape373" filled="false" stroked="false">
                  <v:textbox inset="0,0,0,0">
                    <w:txbxContent>
                      <w:p>
                        <w:pPr>
                          <w:spacing w:before="1"/>
                          <w:ind w:left="0" w:right="0" w:firstLine="0"/>
                          <w:jc w:val="left"/>
                          <w:rPr>
                            <w:b/>
                            <w:sz w:val="8"/>
                          </w:rPr>
                        </w:pPr>
                        <w:r>
                          <w:rPr>
                            <w:b/>
                            <w:color w:val="404040"/>
                            <w:spacing w:val="-5"/>
                            <w:w w:val="110"/>
                            <w:sz w:val="8"/>
                          </w:rPr>
                          <w:t>51%</w:t>
                        </w:r>
                      </w:p>
                    </w:txbxContent>
                  </v:textbox>
                  <w10:wrap type="none"/>
                </v:shape>
                <v:shape style="position:absolute;left:1921;top:6385;width:297;height:191" type="#_x0000_t202" id="docshape374" filled="false" stroked="false">
                  <v:textbox inset="0,0,0,0">
                    <w:txbxContent>
                      <w:p>
                        <w:pPr>
                          <w:spacing w:before="1"/>
                          <w:ind w:left="18" w:right="0" w:firstLine="0"/>
                          <w:jc w:val="left"/>
                          <w:rPr>
                            <w:b/>
                            <w:sz w:val="8"/>
                          </w:rPr>
                        </w:pPr>
                        <w:r>
                          <w:rPr>
                            <w:b/>
                            <w:color w:val="404040"/>
                            <w:spacing w:val="-2"/>
                            <w:w w:val="110"/>
                            <w:sz w:val="8"/>
                          </w:rPr>
                          <w:t>2025):</w:t>
                        </w:r>
                      </w:p>
                      <w:p>
                        <w:pPr>
                          <w:spacing w:before="4"/>
                          <w:ind w:left="0" w:right="0" w:firstLine="0"/>
                          <w:jc w:val="left"/>
                          <w:rPr>
                            <w:b/>
                            <w:sz w:val="8"/>
                          </w:rPr>
                        </w:pPr>
                        <w:r>
                          <w:rPr>
                            <w:b/>
                            <w:color w:val="404040"/>
                            <w:sz w:val="8"/>
                          </w:rPr>
                          <w:t>-</w:t>
                        </w:r>
                        <w:r>
                          <w:rPr>
                            <w:b/>
                            <w:color w:val="404040"/>
                            <w:spacing w:val="-2"/>
                            <w:sz w:val="8"/>
                          </w:rPr>
                          <w:t>36,4%</w:t>
                        </w:r>
                      </w:p>
                    </w:txbxContent>
                  </v:textbox>
                  <w10:wrap type="none"/>
                </v:shape>
                <v:shape style="position:absolute;left:2355;top:6440;width:297;height:191" type="#_x0000_t202" id="docshape375" filled="false" stroked="false">
                  <v:textbox inset="0,0,0,0">
                    <w:txbxContent>
                      <w:p>
                        <w:pPr>
                          <w:spacing w:before="1"/>
                          <w:ind w:left="18" w:right="0" w:firstLine="0"/>
                          <w:jc w:val="left"/>
                          <w:rPr>
                            <w:b/>
                            <w:sz w:val="8"/>
                          </w:rPr>
                        </w:pPr>
                        <w:r>
                          <w:rPr>
                            <w:b/>
                            <w:color w:val="404040"/>
                            <w:spacing w:val="-2"/>
                            <w:w w:val="110"/>
                            <w:sz w:val="8"/>
                          </w:rPr>
                          <w:t>2025):</w:t>
                        </w:r>
                      </w:p>
                      <w:p>
                        <w:pPr>
                          <w:spacing w:before="4"/>
                          <w:ind w:left="0" w:right="0" w:firstLine="0"/>
                          <w:jc w:val="left"/>
                          <w:rPr>
                            <w:b/>
                            <w:sz w:val="8"/>
                          </w:rPr>
                        </w:pPr>
                        <w:r>
                          <w:rPr>
                            <w:b/>
                            <w:color w:val="404040"/>
                            <w:sz w:val="8"/>
                          </w:rPr>
                          <w:t>-</w:t>
                        </w:r>
                        <w:r>
                          <w:rPr>
                            <w:b/>
                            <w:color w:val="404040"/>
                            <w:spacing w:val="-2"/>
                            <w:sz w:val="8"/>
                          </w:rPr>
                          <w:t>12,6%</w:t>
                        </w:r>
                      </w:p>
                    </w:txbxContent>
                  </v:textbox>
                  <w10:wrap type="none"/>
                </v:shape>
                <v:shape style="position:absolute;left:3750;top:6255;width:315;height:383" type="#_x0000_t202" id="docshape376" filled="false" stroked="false">
                  <v:textbox inset="0,0,0,0">
                    <w:txbxContent>
                      <w:p>
                        <w:pPr>
                          <w:spacing w:line="252" w:lineRule="auto" w:before="1"/>
                          <w:ind w:left="-1" w:right="18" w:hanging="3"/>
                          <w:jc w:val="center"/>
                          <w:rPr>
                            <w:b/>
                            <w:sz w:val="8"/>
                          </w:rPr>
                        </w:pPr>
                        <w:r>
                          <w:rPr>
                            <w:b/>
                            <w:color w:val="404040"/>
                            <w:spacing w:val="-4"/>
                            <w:w w:val="110"/>
                            <w:sz w:val="8"/>
                          </w:rPr>
                          <w:t>25%</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13" w:firstLine="0"/>
                          <w:jc w:val="center"/>
                          <w:rPr>
                            <w:b/>
                            <w:sz w:val="8"/>
                          </w:rPr>
                        </w:pPr>
                        <w:r>
                          <w:rPr>
                            <w:b/>
                            <w:color w:val="404040"/>
                            <w:sz w:val="8"/>
                          </w:rPr>
                          <w:t>-</w:t>
                        </w:r>
                        <w:r>
                          <w:rPr>
                            <w:b/>
                            <w:color w:val="404040"/>
                            <w:spacing w:val="-2"/>
                            <w:sz w:val="8"/>
                          </w:rPr>
                          <w:t>20,6%</w:t>
                        </w:r>
                      </w:p>
                    </w:txbxContent>
                  </v:textbox>
                  <w10:wrap type="none"/>
                </v:shape>
                <v:shape style="position:absolute;left:4579;top:5998;width:1344;height:567" type="#_x0000_t202" id="docshape377" filled="false" stroked="false">
                  <v:textbox inset="0,0,0,0">
                    <w:txbxContent>
                      <w:p>
                        <w:pPr>
                          <w:spacing w:line="292" w:lineRule="auto" w:before="0"/>
                          <w:ind w:left="0" w:right="200" w:firstLine="0"/>
                          <w:jc w:val="center"/>
                          <w:rPr>
                            <w:b/>
                            <w:sz w:val="9"/>
                          </w:rPr>
                        </w:pPr>
                        <w:r>
                          <w:rPr>
                            <w:b/>
                            <w:color w:val="FFFFFF"/>
                            <w:sz w:val="9"/>
                          </w:rPr>
                          <w:t>Στεγαστ</w:t>
                        </w:r>
                        <w:r>
                          <w:rPr>
                            <w:b/>
                            <w:smallCaps/>
                            <w:color w:val="FFFFFF"/>
                            <w:sz w:val="9"/>
                          </w:rPr>
                          <w:t>ι</w:t>
                        </w:r>
                        <w:r>
                          <w:rPr>
                            <w:b/>
                            <w:smallCaps w:val="0"/>
                            <w:color w:val="FFFFFF"/>
                            <w:sz w:val="9"/>
                          </w:rPr>
                          <w:t>κά:</w:t>
                        </w:r>
                        <w:r>
                          <w:rPr>
                            <w:b/>
                            <w:smallCaps w:val="0"/>
                            <w:color w:val="FFFFFF"/>
                            <w:spacing w:val="-6"/>
                            <w:sz w:val="9"/>
                          </w:rPr>
                          <w:t> </w:t>
                        </w:r>
                        <w:r>
                          <w:rPr>
                            <w:b/>
                            <w:smallCaps w:val="0"/>
                            <w:color w:val="FFFFFF"/>
                            <w:sz w:val="9"/>
                          </w:rPr>
                          <w:t>27,2</w:t>
                        </w:r>
                        <w:r>
                          <w:rPr>
                            <w:b/>
                            <w:smallCaps w:val="0"/>
                            <w:color w:val="FFFFFF"/>
                            <w:spacing w:val="-6"/>
                            <w:sz w:val="9"/>
                          </w:rPr>
                          <w:t> </w:t>
                        </w:r>
                        <w:r>
                          <w:rPr>
                            <w:b/>
                            <w:smallCaps w:val="0"/>
                            <w:color w:val="FFFFFF"/>
                            <w:sz w:val="9"/>
                          </w:rPr>
                          <w:t>δ</w:t>
                        </w:r>
                        <w:r>
                          <w:rPr>
                            <w:b/>
                            <w:smallCaps/>
                            <w:color w:val="FFFFFF"/>
                            <w:sz w:val="9"/>
                          </w:rPr>
                          <w:t>ι</w:t>
                        </w:r>
                        <w:r>
                          <w:rPr>
                            <w:b/>
                            <w:smallCaps w:val="0"/>
                            <w:color w:val="FFFFFF"/>
                            <w:sz w:val="9"/>
                          </w:rPr>
                          <w:t>σεκ.</w:t>
                        </w:r>
                        <w:r>
                          <w:rPr>
                            <w:b/>
                            <w:smallCaps w:val="0"/>
                            <w:color w:val="FFFFFF"/>
                            <w:spacing w:val="-6"/>
                            <w:sz w:val="9"/>
                          </w:rPr>
                          <w:t> </w:t>
                        </w:r>
                        <w:r>
                          <w:rPr>
                            <w:b/>
                            <w:smallCaps w:val="0"/>
                            <w:color w:val="FFFFFF"/>
                            <w:sz w:val="9"/>
                          </w:rPr>
                          <w:t>ευρώ</w:t>
                        </w:r>
                        <w:r>
                          <w:rPr>
                            <w:b/>
                            <w:smallCaps w:val="0"/>
                            <w:color w:val="FFFFFF"/>
                            <w:spacing w:val="40"/>
                            <w:sz w:val="9"/>
                          </w:rPr>
                          <w:t> </w:t>
                        </w:r>
                        <w:r>
                          <w:rPr>
                            <w:b/>
                            <w:smallCaps w:val="0"/>
                            <w:color w:val="FFFFFF"/>
                            <w:sz w:val="9"/>
                          </w:rPr>
                          <w:t>[Δ(2024-2025):</w:t>
                        </w:r>
                        <w:r>
                          <w:rPr>
                            <w:b/>
                            <w:smallCaps w:val="0"/>
                            <w:color w:val="FFFFFF"/>
                            <w:spacing w:val="-6"/>
                            <w:sz w:val="9"/>
                          </w:rPr>
                          <w:t> </w:t>
                        </w:r>
                        <w:r>
                          <w:rPr>
                            <w:b/>
                            <w:smallCaps w:val="0"/>
                            <w:color w:val="FFFFFF"/>
                            <w:sz w:val="9"/>
                          </w:rPr>
                          <w:t>-1,1%]</w:t>
                        </w:r>
                      </w:p>
                      <w:p>
                        <w:pPr>
                          <w:spacing w:before="3"/>
                          <w:ind w:left="103" w:right="0" w:firstLine="0"/>
                          <w:jc w:val="center"/>
                          <w:rPr>
                            <w:b/>
                            <w:sz w:val="9"/>
                          </w:rPr>
                        </w:pPr>
                        <w:r>
                          <w:rPr>
                            <w:b/>
                            <w:sz w:val="9"/>
                          </w:rPr>
                          <w:t>Ποσοστό</w:t>
                        </w:r>
                        <w:r>
                          <w:rPr>
                            <w:b/>
                            <w:spacing w:val="-3"/>
                            <w:sz w:val="9"/>
                          </w:rPr>
                          <w:t> </w:t>
                        </w:r>
                        <w:r>
                          <w:rPr>
                            <w:b/>
                            <w:sz w:val="9"/>
                          </w:rPr>
                          <w:t>μη</w:t>
                        </w:r>
                        <w:r>
                          <w:rPr>
                            <w:b/>
                            <w:spacing w:val="-5"/>
                            <w:sz w:val="9"/>
                          </w:rPr>
                          <w:t> </w:t>
                        </w:r>
                        <w:r>
                          <w:rPr>
                            <w:b/>
                            <w:sz w:val="9"/>
                          </w:rPr>
                          <w:t>εξυπηρετούμενων</w:t>
                        </w:r>
                        <w:r>
                          <w:rPr>
                            <w:b/>
                            <w:spacing w:val="40"/>
                            <w:sz w:val="9"/>
                          </w:rPr>
                          <w:t> </w:t>
                        </w:r>
                        <w:r>
                          <w:rPr>
                            <w:b/>
                            <w:sz w:val="9"/>
                          </w:rPr>
                          <w:t>δανείων:</w:t>
                        </w:r>
                        <w:r>
                          <w:rPr>
                            <w:b/>
                            <w:spacing w:val="-6"/>
                            <w:sz w:val="9"/>
                          </w:rPr>
                          <w:t> </w:t>
                        </w:r>
                        <w:r>
                          <w:rPr>
                            <w:b/>
                            <w:sz w:val="9"/>
                          </w:rPr>
                          <w:t>7,7%</w:t>
                        </w:r>
                      </w:p>
                      <w:p>
                        <w:pPr>
                          <w:spacing w:line="103" w:lineRule="exact" w:before="0"/>
                          <w:ind w:left="99" w:right="0" w:firstLine="0"/>
                          <w:jc w:val="center"/>
                          <w:rPr>
                            <w:b/>
                            <w:sz w:val="9"/>
                          </w:rPr>
                        </w:pPr>
                        <w:r>
                          <w:rPr>
                            <w:b/>
                            <w:sz w:val="9"/>
                          </w:rPr>
                          <w:t>Δ(2024-2025):</w:t>
                        </w:r>
                        <w:r>
                          <w:rPr>
                            <w:b/>
                            <w:spacing w:val="-1"/>
                            <w:sz w:val="9"/>
                          </w:rPr>
                          <w:t> </w:t>
                        </w:r>
                        <w:r>
                          <w:rPr>
                            <w:b/>
                            <w:spacing w:val="-4"/>
                            <w:sz w:val="9"/>
                          </w:rPr>
                          <w:t>9,3%</w:t>
                        </w:r>
                      </w:p>
                    </w:txbxContent>
                  </v:textbox>
                  <w10:wrap type="none"/>
                </v:shape>
                <v:shape style="position:absolute;left:6532;top:5998;width:1405;height:550" type="#_x0000_t202" id="docshape378" filled="false" stroked="false">
                  <v:textbox inset="0,0,0,0">
                    <w:txbxContent>
                      <w:p>
                        <w:pPr>
                          <w:spacing w:line="292" w:lineRule="auto" w:before="0"/>
                          <w:ind w:left="0" w:right="169" w:firstLine="0"/>
                          <w:jc w:val="center"/>
                          <w:rPr>
                            <w:b/>
                            <w:sz w:val="9"/>
                          </w:rPr>
                        </w:pPr>
                        <w:r>
                          <w:rPr>
                            <w:b/>
                            <w:color w:val="FFFFFF"/>
                            <w:sz w:val="9"/>
                          </w:rPr>
                          <w:t>Καταναλωτ</w:t>
                        </w:r>
                        <w:r>
                          <w:rPr>
                            <w:b/>
                            <w:smallCaps/>
                            <w:color w:val="FFFFFF"/>
                            <w:sz w:val="9"/>
                          </w:rPr>
                          <w:t>ι</w:t>
                        </w:r>
                        <w:r>
                          <w:rPr>
                            <w:b/>
                            <w:smallCaps w:val="0"/>
                            <w:color w:val="FFFFFF"/>
                            <w:sz w:val="9"/>
                          </w:rPr>
                          <w:t>κά:</w:t>
                        </w:r>
                        <w:r>
                          <w:rPr>
                            <w:b/>
                            <w:smallCaps w:val="0"/>
                            <w:color w:val="FFFFFF"/>
                            <w:spacing w:val="-6"/>
                            <w:sz w:val="9"/>
                          </w:rPr>
                          <w:t> </w:t>
                        </w:r>
                        <w:r>
                          <w:rPr>
                            <w:b/>
                            <w:smallCaps w:val="0"/>
                            <w:color w:val="FFFFFF"/>
                            <w:sz w:val="9"/>
                          </w:rPr>
                          <w:t>7,6</w:t>
                        </w:r>
                        <w:r>
                          <w:rPr>
                            <w:b/>
                            <w:smallCaps w:val="0"/>
                            <w:color w:val="FFFFFF"/>
                            <w:spacing w:val="-6"/>
                            <w:sz w:val="9"/>
                          </w:rPr>
                          <w:t> </w:t>
                        </w:r>
                        <w:r>
                          <w:rPr>
                            <w:b/>
                            <w:smallCaps w:val="0"/>
                            <w:color w:val="FFFFFF"/>
                            <w:sz w:val="9"/>
                          </w:rPr>
                          <w:t>δ</w:t>
                        </w:r>
                        <w:r>
                          <w:rPr>
                            <w:b/>
                            <w:smallCaps/>
                            <w:color w:val="FFFFFF"/>
                            <w:sz w:val="9"/>
                          </w:rPr>
                          <w:t>ι</w:t>
                        </w:r>
                        <w:r>
                          <w:rPr>
                            <w:b/>
                            <w:smallCaps w:val="0"/>
                            <w:color w:val="FFFFFF"/>
                            <w:sz w:val="9"/>
                          </w:rPr>
                          <w:t>σεκ.</w:t>
                        </w:r>
                        <w:r>
                          <w:rPr>
                            <w:b/>
                            <w:smallCaps w:val="0"/>
                            <w:color w:val="FFFFFF"/>
                            <w:spacing w:val="-5"/>
                            <w:sz w:val="9"/>
                          </w:rPr>
                          <w:t> </w:t>
                        </w:r>
                        <w:r>
                          <w:rPr>
                            <w:b/>
                            <w:smallCaps w:val="0"/>
                            <w:color w:val="FFFFFF"/>
                            <w:sz w:val="9"/>
                          </w:rPr>
                          <w:t>ευρώ</w:t>
                        </w:r>
                        <w:r>
                          <w:rPr>
                            <w:b/>
                            <w:smallCaps w:val="0"/>
                            <w:color w:val="FFFFFF"/>
                            <w:spacing w:val="40"/>
                            <w:sz w:val="9"/>
                          </w:rPr>
                          <w:t> </w:t>
                        </w:r>
                        <w:r>
                          <w:rPr>
                            <w:b/>
                            <w:smallCaps w:val="0"/>
                            <w:color w:val="FFFFFF"/>
                            <w:sz w:val="9"/>
                          </w:rPr>
                          <w:t>[Δ(2024-2025):</w:t>
                        </w:r>
                        <w:r>
                          <w:rPr>
                            <w:b/>
                            <w:smallCaps w:val="0"/>
                            <w:color w:val="FFFFFF"/>
                            <w:spacing w:val="-6"/>
                            <w:sz w:val="9"/>
                          </w:rPr>
                          <w:t> </w:t>
                        </w:r>
                        <w:r>
                          <w:rPr>
                            <w:b/>
                            <w:smallCaps w:val="0"/>
                            <w:color w:val="FFFFFF"/>
                            <w:sz w:val="9"/>
                          </w:rPr>
                          <w:t>4,5%]</w:t>
                        </w:r>
                      </w:p>
                      <w:p>
                        <w:pPr>
                          <w:spacing w:line="95" w:lineRule="exact" w:before="0"/>
                          <w:ind w:left="184" w:right="0" w:firstLine="0"/>
                          <w:jc w:val="center"/>
                          <w:rPr>
                            <w:b/>
                            <w:sz w:val="9"/>
                          </w:rPr>
                        </w:pPr>
                        <w:r>
                          <w:rPr>
                            <w:b/>
                            <w:sz w:val="9"/>
                          </w:rPr>
                          <w:t>Ποσοστό</w:t>
                        </w:r>
                        <w:r>
                          <w:rPr>
                            <w:b/>
                            <w:spacing w:val="1"/>
                            <w:sz w:val="9"/>
                          </w:rPr>
                          <w:t> </w:t>
                        </w:r>
                        <w:r>
                          <w:rPr>
                            <w:b/>
                            <w:sz w:val="9"/>
                          </w:rPr>
                          <w:t>μη</w:t>
                        </w:r>
                        <w:r>
                          <w:rPr>
                            <w:b/>
                            <w:spacing w:val="-1"/>
                            <w:sz w:val="9"/>
                          </w:rPr>
                          <w:t> </w:t>
                        </w:r>
                        <w:r>
                          <w:rPr>
                            <w:b/>
                            <w:spacing w:val="-2"/>
                            <w:sz w:val="9"/>
                          </w:rPr>
                          <w:t>εξυπηρετούμενων</w:t>
                        </w:r>
                      </w:p>
                      <w:p>
                        <w:pPr>
                          <w:spacing w:before="0"/>
                          <w:ind w:left="182" w:right="0" w:firstLine="0"/>
                          <w:jc w:val="center"/>
                          <w:rPr>
                            <w:b/>
                            <w:sz w:val="9"/>
                          </w:rPr>
                        </w:pPr>
                        <w:r>
                          <w:rPr>
                            <w:b/>
                            <w:sz w:val="9"/>
                          </w:rPr>
                          <w:t>δανείων:</w:t>
                        </w:r>
                        <w:r>
                          <w:rPr>
                            <w:b/>
                            <w:spacing w:val="-2"/>
                            <w:sz w:val="9"/>
                          </w:rPr>
                          <w:t> </w:t>
                        </w:r>
                        <w:r>
                          <w:rPr>
                            <w:b/>
                            <w:spacing w:val="-4"/>
                            <w:sz w:val="9"/>
                          </w:rPr>
                          <w:t>6,8%</w:t>
                        </w:r>
                      </w:p>
                      <w:p>
                        <w:pPr>
                          <w:spacing w:line="103" w:lineRule="exact" w:before="0"/>
                          <w:ind w:left="182" w:right="0" w:firstLine="0"/>
                          <w:jc w:val="center"/>
                          <w:rPr>
                            <w:b/>
                            <w:sz w:val="9"/>
                          </w:rPr>
                        </w:pPr>
                        <w:r>
                          <w:rPr>
                            <w:b/>
                            <w:sz w:val="9"/>
                          </w:rPr>
                          <w:t>Δ(2024-2025):</w:t>
                        </w:r>
                        <w:r>
                          <w:rPr>
                            <w:b/>
                            <w:spacing w:val="-1"/>
                            <w:sz w:val="9"/>
                          </w:rPr>
                          <w:t> </w:t>
                        </w:r>
                        <w:r>
                          <w:rPr>
                            <w:b/>
                            <w:spacing w:val="-2"/>
                            <w:sz w:val="9"/>
                          </w:rPr>
                          <w:t>13,9%</w:t>
                        </w:r>
                      </w:p>
                    </w:txbxContent>
                  </v:textbox>
                  <w10:wrap type="none"/>
                </v:shape>
                <v:shape style="position:absolute;left:472;top:6866;width:315;height:385" type="#_x0000_t202" id="docshape379" filled="false" stroked="false">
                  <v:textbox inset="0,0,0,0">
                    <w:txbxContent>
                      <w:p>
                        <w:pPr>
                          <w:spacing w:line="85" w:lineRule="exact" w:before="0"/>
                          <w:ind w:left="71" w:right="0" w:firstLine="0"/>
                          <w:jc w:val="left"/>
                          <w:rPr>
                            <w:rFonts w:ascii="Calibri"/>
                            <w:b/>
                            <w:sz w:val="8"/>
                          </w:rPr>
                        </w:pPr>
                        <w:r>
                          <w:rPr>
                            <w:rFonts w:ascii="Calibri"/>
                            <w:b/>
                            <w:color w:val="404040"/>
                            <w:spacing w:val="-5"/>
                            <w:w w:val="110"/>
                            <w:sz w:val="8"/>
                          </w:rPr>
                          <w:t>45%</w:t>
                        </w:r>
                      </w:p>
                      <w:p>
                        <w:pPr>
                          <w:spacing w:before="4"/>
                          <w:ind w:left="0" w:right="0" w:firstLine="0"/>
                          <w:jc w:val="left"/>
                          <w:rPr>
                            <w:b/>
                            <w:sz w:val="8"/>
                          </w:rPr>
                        </w:pPr>
                        <w:r>
                          <w:rPr>
                            <w:b/>
                            <w:color w:val="404040"/>
                            <w:w w:val="110"/>
                            <w:sz w:val="8"/>
                          </w:rPr>
                          <w:t>Δ(2024-</w:t>
                        </w:r>
                      </w:p>
                      <w:p>
                        <w:pPr>
                          <w:spacing w:before="2"/>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line="97" w:lineRule="exact" w:before="6"/>
                          <w:ind w:left="22" w:right="0" w:firstLine="0"/>
                          <w:jc w:val="left"/>
                          <w:rPr>
                            <w:rFonts w:ascii="Calibri"/>
                            <w:b/>
                            <w:sz w:val="8"/>
                          </w:rPr>
                        </w:pPr>
                        <w:r>
                          <w:rPr>
                            <w:rFonts w:ascii="Calibri"/>
                            <w:b/>
                            <w:color w:val="404040"/>
                            <w:sz w:val="8"/>
                          </w:rPr>
                          <w:t>-</w:t>
                        </w:r>
                        <w:r>
                          <w:rPr>
                            <w:rFonts w:ascii="Calibri"/>
                            <w:b/>
                            <w:color w:val="404040"/>
                            <w:spacing w:val="-2"/>
                            <w:sz w:val="8"/>
                          </w:rPr>
                          <w:t>38,0%</w:t>
                        </w:r>
                      </w:p>
                    </w:txbxContent>
                  </v:textbox>
                  <w10:wrap type="none"/>
                </v:shape>
                <v:shape style="position:absolute;left:3642;top:6867;width:315;height:384" type="#_x0000_t202" id="docshape380" filled="false" stroked="false">
                  <v:textbox inset="0,0,0,0">
                    <w:txbxContent>
                      <w:p>
                        <w:pPr>
                          <w:spacing w:line="252" w:lineRule="auto" w:before="1"/>
                          <w:ind w:left="-1" w:right="18" w:hanging="3"/>
                          <w:jc w:val="center"/>
                          <w:rPr>
                            <w:b/>
                            <w:sz w:val="8"/>
                          </w:rPr>
                        </w:pPr>
                        <w:r>
                          <w:rPr>
                            <w:b/>
                            <w:color w:val="404040"/>
                            <w:spacing w:val="-4"/>
                            <w:w w:val="110"/>
                            <w:sz w:val="8"/>
                          </w:rPr>
                          <w:t>24%</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13" w:firstLine="0"/>
                          <w:jc w:val="center"/>
                          <w:rPr>
                            <w:b/>
                            <w:sz w:val="8"/>
                          </w:rPr>
                        </w:pPr>
                        <w:r>
                          <w:rPr>
                            <w:b/>
                            <w:color w:val="404040"/>
                            <w:spacing w:val="-2"/>
                            <w:w w:val="110"/>
                            <w:sz w:val="8"/>
                          </w:rPr>
                          <w:t>18,5%</w:t>
                        </w:r>
                      </w:p>
                    </w:txbxContent>
                  </v:textbox>
                  <w10:wrap type="none"/>
                </v:shape>
                <v:shape style="position:absolute;left:4448;top:6672;width:315;height:386" type="#_x0000_t202" id="docshape381" filled="false" stroked="false">
                  <v:textbox inset="0,0,0,0">
                    <w:txbxContent>
                      <w:p>
                        <w:pPr>
                          <w:spacing w:line="85" w:lineRule="exact" w:before="0"/>
                          <w:ind w:left="72" w:right="0" w:firstLine="0"/>
                          <w:jc w:val="left"/>
                          <w:rPr>
                            <w:rFonts w:ascii="Calibri"/>
                            <w:b/>
                            <w:sz w:val="8"/>
                          </w:rPr>
                        </w:pPr>
                        <w:r>
                          <w:rPr>
                            <w:rFonts w:ascii="Calibri"/>
                            <w:b/>
                            <w:color w:val="404040"/>
                            <w:spacing w:val="-5"/>
                            <w:w w:val="110"/>
                            <w:sz w:val="8"/>
                          </w:rPr>
                          <w:t>18%</w:t>
                        </w:r>
                      </w:p>
                      <w:p>
                        <w:pPr>
                          <w:spacing w:before="4"/>
                          <w:ind w:left="0" w:right="0" w:firstLine="0"/>
                          <w:jc w:val="left"/>
                          <w:rPr>
                            <w:b/>
                            <w:sz w:val="8"/>
                          </w:rPr>
                        </w:pPr>
                        <w:r>
                          <w:rPr>
                            <w:b/>
                            <w:color w:val="404040"/>
                            <w:w w:val="110"/>
                            <w:sz w:val="8"/>
                          </w:rPr>
                          <w:t>Δ(2024-</w:t>
                        </w:r>
                      </w:p>
                      <w:p>
                        <w:pPr>
                          <w:spacing w:before="2"/>
                          <w:ind w:left="34"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before="6"/>
                          <w:ind w:left="37" w:right="0" w:firstLine="0"/>
                          <w:jc w:val="left"/>
                          <w:rPr>
                            <w:rFonts w:ascii="Calibri"/>
                            <w:b/>
                            <w:sz w:val="8"/>
                          </w:rPr>
                        </w:pPr>
                        <w:r>
                          <w:rPr>
                            <w:rFonts w:ascii="Calibri"/>
                            <w:b/>
                            <w:color w:val="404040"/>
                            <w:spacing w:val="-2"/>
                            <w:w w:val="110"/>
                            <w:sz w:val="8"/>
                          </w:rPr>
                          <w:t>42,5%</w:t>
                        </w:r>
                      </w:p>
                    </w:txbxContent>
                  </v:textbox>
                  <w10:wrap type="none"/>
                </v:shape>
                <v:shape style="position:absolute;left:5806;top:6831;width:315;height:386" type="#_x0000_t202" id="docshape382" filled="false" stroked="false">
                  <v:textbox inset="0,0,0,0">
                    <w:txbxContent>
                      <w:p>
                        <w:pPr>
                          <w:spacing w:line="85" w:lineRule="exact" w:before="0"/>
                          <w:ind w:left="71" w:right="0" w:firstLine="0"/>
                          <w:jc w:val="left"/>
                          <w:rPr>
                            <w:rFonts w:ascii="Calibri"/>
                            <w:b/>
                            <w:sz w:val="8"/>
                          </w:rPr>
                        </w:pPr>
                        <w:r>
                          <w:rPr>
                            <w:rFonts w:ascii="Calibri"/>
                            <w:b/>
                            <w:color w:val="404040"/>
                            <w:spacing w:val="-5"/>
                            <w:w w:val="110"/>
                            <w:sz w:val="8"/>
                          </w:rPr>
                          <w:t>42%</w:t>
                        </w:r>
                      </w:p>
                      <w:p>
                        <w:pPr>
                          <w:spacing w:before="4"/>
                          <w:ind w:left="0" w:right="0" w:firstLine="0"/>
                          <w:jc w:val="left"/>
                          <w:rPr>
                            <w:b/>
                            <w:sz w:val="8"/>
                          </w:rPr>
                        </w:pPr>
                        <w:r>
                          <w:rPr>
                            <w:b/>
                            <w:color w:val="404040"/>
                            <w:w w:val="110"/>
                            <w:sz w:val="8"/>
                          </w:rPr>
                          <w:t>Δ(2024-</w:t>
                        </w:r>
                      </w:p>
                      <w:p>
                        <w:pPr>
                          <w:spacing w:before="2"/>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before="6"/>
                          <w:ind w:left="37" w:right="0" w:firstLine="0"/>
                          <w:jc w:val="left"/>
                          <w:rPr>
                            <w:rFonts w:ascii="Calibri"/>
                            <w:b/>
                            <w:sz w:val="8"/>
                          </w:rPr>
                        </w:pPr>
                        <w:r>
                          <w:rPr>
                            <w:rFonts w:ascii="Calibri"/>
                            <w:b/>
                            <w:color w:val="404040"/>
                            <w:spacing w:val="-2"/>
                            <w:w w:val="110"/>
                            <w:sz w:val="8"/>
                          </w:rPr>
                          <w:t>39,0%</w:t>
                        </w:r>
                      </w:p>
                    </w:txbxContent>
                  </v:textbox>
                  <w10:wrap type="none"/>
                </v:shape>
                <v:shape style="position:absolute;left:6397;top:6658;width:315;height:383" type="#_x0000_t202" id="docshape383" filled="false" stroked="false">
                  <v:textbox inset="0,0,0,0">
                    <w:txbxContent>
                      <w:p>
                        <w:pPr>
                          <w:spacing w:line="252" w:lineRule="auto" w:before="1"/>
                          <w:ind w:left="0" w:right="18" w:hanging="3"/>
                          <w:jc w:val="center"/>
                          <w:rPr>
                            <w:b/>
                            <w:sz w:val="8"/>
                          </w:rPr>
                        </w:pPr>
                        <w:r>
                          <w:rPr>
                            <w:b/>
                            <w:color w:val="404040"/>
                            <w:spacing w:val="-4"/>
                            <w:w w:val="110"/>
                            <w:sz w:val="8"/>
                          </w:rPr>
                          <w:t>29%</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20" w:firstLine="0"/>
                          <w:jc w:val="center"/>
                          <w:rPr>
                            <w:b/>
                            <w:sz w:val="8"/>
                          </w:rPr>
                        </w:pPr>
                        <w:r>
                          <w:rPr>
                            <w:b/>
                            <w:color w:val="404040"/>
                            <w:spacing w:val="-2"/>
                            <w:w w:val="110"/>
                            <w:sz w:val="8"/>
                          </w:rPr>
                          <w:t>40,7%</w:t>
                        </w:r>
                      </w:p>
                    </w:txbxContent>
                  </v:textbox>
                  <w10:wrap type="none"/>
                </v:shape>
                <v:shape style="position:absolute;left:7780;top:6665;width:315;height:383" type="#_x0000_t202" id="docshape384" filled="false" stroked="false">
                  <v:textbox inset="0,0,0,0">
                    <w:txbxContent>
                      <w:p>
                        <w:pPr>
                          <w:spacing w:line="252" w:lineRule="auto" w:before="1"/>
                          <w:ind w:left="0" w:right="18" w:hanging="3"/>
                          <w:jc w:val="center"/>
                          <w:rPr>
                            <w:b/>
                            <w:sz w:val="8"/>
                          </w:rPr>
                        </w:pPr>
                        <w:r>
                          <w:rPr>
                            <w:b/>
                            <w:color w:val="404040"/>
                            <w:spacing w:val="-4"/>
                            <w:w w:val="110"/>
                            <w:sz w:val="8"/>
                          </w:rPr>
                          <w:t>24%</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20" w:firstLine="0"/>
                          <w:jc w:val="center"/>
                          <w:rPr>
                            <w:b/>
                            <w:sz w:val="8"/>
                          </w:rPr>
                        </w:pPr>
                        <w:r>
                          <w:rPr>
                            <w:b/>
                            <w:color w:val="404040"/>
                            <w:sz w:val="8"/>
                          </w:rPr>
                          <w:t>-</w:t>
                        </w:r>
                        <w:r>
                          <w:rPr>
                            <w:b/>
                            <w:color w:val="404040"/>
                            <w:spacing w:val="-4"/>
                            <w:sz w:val="8"/>
                          </w:rPr>
                          <w:t>7,1%</w:t>
                        </w:r>
                      </w:p>
                    </w:txbxContent>
                  </v:textbox>
                  <w10:wrap type="none"/>
                </v:shape>
                <v:shape style="position:absolute;left:435;top:7520;width:1691;height:549" type="#_x0000_t202" id="docshape385" filled="false" stroked="false">
                  <v:textbox inset="0,0,0,0">
                    <w:txbxContent>
                      <w:p>
                        <w:pPr>
                          <w:spacing w:before="4"/>
                          <w:ind w:left="0" w:right="18" w:firstLine="0"/>
                          <w:jc w:val="center"/>
                          <w:rPr>
                            <w:b/>
                            <w:sz w:val="7"/>
                          </w:rPr>
                        </w:pPr>
                        <w:r>
                          <w:rPr>
                            <w:b/>
                            <w:color w:val="FFFFFF"/>
                            <w:w w:val="110"/>
                            <w:sz w:val="7"/>
                          </w:rPr>
                          <w:t>Ελ.</w:t>
                        </w:r>
                        <w:r>
                          <w:rPr>
                            <w:b/>
                            <w:color w:val="FFFFFF"/>
                            <w:spacing w:val="4"/>
                            <w:w w:val="110"/>
                            <w:sz w:val="7"/>
                          </w:rPr>
                          <w:t> </w:t>
                        </w:r>
                        <w:r>
                          <w:rPr>
                            <w:b/>
                            <w:color w:val="FFFFFF"/>
                            <w:w w:val="110"/>
                            <w:sz w:val="7"/>
                          </w:rPr>
                          <w:t>επαγγελματίες</w:t>
                        </w:r>
                        <w:r>
                          <w:rPr>
                            <w:b/>
                            <w:color w:val="FFFFFF"/>
                            <w:spacing w:val="8"/>
                            <w:w w:val="110"/>
                            <w:sz w:val="7"/>
                          </w:rPr>
                          <w:t> </w:t>
                        </w:r>
                        <w:r>
                          <w:rPr>
                            <w:b/>
                            <w:color w:val="FFFFFF"/>
                            <w:w w:val="110"/>
                            <w:sz w:val="7"/>
                          </w:rPr>
                          <w:t>κα</w:t>
                        </w:r>
                        <w:r>
                          <w:rPr>
                            <w:b/>
                            <w:smallCaps/>
                            <w:color w:val="FFFFFF"/>
                            <w:w w:val="110"/>
                            <w:sz w:val="7"/>
                          </w:rPr>
                          <w:t>ι</w:t>
                        </w:r>
                        <w:r>
                          <w:rPr>
                            <w:b/>
                            <w:smallCaps w:val="0"/>
                            <w:color w:val="FFFFFF"/>
                            <w:spacing w:val="5"/>
                            <w:w w:val="110"/>
                            <w:sz w:val="7"/>
                          </w:rPr>
                          <w:t> </w:t>
                        </w:r>
                        <w:r>
                          <w:rPr>
                            <w:b/>
                            <w:smallCaps w:val="0"/>
                            <w:color w:val="FFFFFF"/>
                            <w:w w:val="110"/>
                            <w:sz w:val="7"/>
                          </w:rPr>
                          <w:t>πολύ</w:t>
                        </w:r>
                        <w:r>
                          <w:rPr>
                            <w:b/>
                            <w:smallCaps w:val="0"/>
                            <w:color w:val="FFFFFF"/>
                            <w:spacing w:val="5"/>
                            <w:w w:val="110"/>
                            <w:sz w:val="7"/>
                          </w:rPr>
                          <w:t> </w:t>
                        </w:r>
                        <w:r>
                          <w:rPr>
                            <w:b/>
                            <w:smallCaps w:val="0"/>
                            <w:color w:val="FFFFFF"/>
                            <w:w w:val="110"/>
                            <w:sz w:val="7"/>
                          </w:rPr>
                          <w:t>μ</w:t>
                        </w:r>
                        <w:r>
                          <w:rPr>
                            <w:b/>
                            <w:smallCaps/>
                            <w:color w:val="FFFFFF"/>
                            <w:w w:val="110"/>
                            <w:sz w:val="7"/>
                          </w:rPr>
                          <w:t>ι</w:t>
                        </w:r>
                        <w:r>
                          <w:rPr>
                            <w:b/>
                            <w:smallCaps w:val="0"/>
                            <w:color w:val="FFFFFF"/>
                            <w:w w:val="110"/>
                            <w:sz w:val="7"/>
                          </w:rPr>
                          <w:t>κρές</w:t>
                        </w:r>
                        <w:r>
                          <w:rPr>
                            <w:b/>
                            <w:smallCaps w:val="0"/>
                            <w:color w:val="FFFFFF"/>
                            <w:spacing w:val="4"/>
                            <w:w w:val="110"/>
                            <w:sz w:val="7"/>
                          </w:rPr>
                          <w:t> </w:t>
                        </w:r>
                        <w:r>
                          <w:rPr>
                            <w:b/>
                            <w:smallCaps w:val="0"/>
                            <w:color w:val="FFFFFF"/>
                            <w:spacing w:val="-2"/>
                            <w:w w:val="110"/>
                            <w:sz w:val="7"/>
                          </w:rPr>
                          <w:t>επ</w:t>
                        </w:r>
                        <w:r>
                          <w:rPr>
                            <w:b/>
                            <w:smallCaps/>
                            <w:color w:val="FFFFFF"/>
                            <w:spacing w:val="-2"/>
                            <w:w w:val="110"/>
                            <w:sz w:val="7"/>
                          </w:rPr>
                          <w:t>ι</w:t>
                        </w:r>
                        <w:r>
                          <w:rPr>
                            <w:b/>
                            <w:smallCaps w:val="0"/>
                            <w:color w:val="FFFFFF"/>
                            <w:spacing w:val="-2"/>
                            <w:w w:val="110"/>
                            <w:sz w:val="7"/>
                          </w:rPr>
                          <w:t>χε</w:t>
                        </w:r>
                        <w:r>
                          <w:rPr>
                            <w:b/>
                            <w:smallCaps/>
                            <w:color w:val="FFFFFF"/>
                            <w:spacing w:val="-2"/>
                            <w:w w:val="110"/>
                            <w:sz w:val="7"/>
                          </w:rPr>
                          <w:t>ι</w:t>
                        </w:r>
                        <w:r>
                          <w:rPr>
                            <w:b/>
                            <w:smallCaps w:val="0"/>
                            <w:color w:val="FFFFFF"/>
                            <w:spacing w:val="-2"/>
                            <w:w w:val="110"/>
                            <w:sz w:val="7"/>
                          </w:rPr>
                          <w:t>ρήσε</w:t>
                        </w:r>
                        <w:r>
                          <w:rPr>
                            <w:b/>
                            <w:smallCaps/>
                            <w:color w:val="FFFFFF"/>
                            <w:spacing w:val="-2"/>
                            <w:w w:val="110"/>
                            <w:sz w:val="7"/>
                          </w:rPr>
                          <w:t>ι</w:t>
                        </w:r>
                        <w:r>
                          <w:rPr>
                            <w:b/>
                            <w:smallCaps w:val="0"/>
                            <w:color w:val="FFFFFF"/>
                            <w:spacing w:val="-2"/>
                            <w:w w:val="110"/>
                            <w:sz w:val="7"/>
                          </w:rPr>
                          <w:t>ς:</w:t>
                        </w:r>
                      </w:p>
                      <w:p>
                        <w:pPr>
                          <w:spacing w:before="4"/>
                          <w:ind w:left="4" w:right="18" w:firstLine="0"/>
                          <w:jc w:val="center"/>
                          <w:rPr>
                            <w:b/>
                            <w:sz w:val="9"/>
                          </w:rPr>
                        </w:pPr>
                        <w:r>
                          <w:rPr>
                            <w:b/>
                            <w:color w:val="FFFFFF"/>
                            <w:sz w:val="9"/>
                          </w:rPr>
                          <w:t>9,7</w:t>
                        </w:r>
                        <w:r>
                          <w:rPr>
                            <w:b/>
                            <w:color w:val="FFFFFF"/>
                            <w:spacing w:val="-3"/>
                            <w:sz w:val="9"/>
                          </w:rPr>
                          <w:t> </w:t>
                        </w:r>
                        <w:r>
                          <w:rPr>
                            <w:b/>
                            <w:color w:val="FFFFFF"/>
                            <w:sz w:val="9"/>
                          </w:rPr>
                          <w:t>δ</w:t>
                        </w:r>
                        <w:r>
                          <w:rPr>
                            <w:b/>
                            <w:smallCaps/>
                            <w:color w:val="FFFFFF"/>
                            <w:sz w:val="9"/>
                          </w:rPr>
                          <w:t>ι</w:t>
                        </w:r>
                        <w:r>
                          <w:rPr>
                            <w:b/>
                            <w:smallCaps w:val="0"/>
                            <w:color w:val="FFFFFF"/>
                            <w:sz w:val="9"/>
                          </w:rPr>
                          <w:t>σεκ.</w:t>
                        </w:r>
                        <w:r>
                          <w:rPr>
                            <w:b/>
                            <w:smallCaps w:val="0"/>
                            <w:color w:val="FFFFFF"/>
                            <w:spacing w:val="3"/>
                            <w:sz w:val="9"/>
                          </w:rPr>
                          <w:t> </w:t>
                        </w:r>
                        <w:r>
                          <w:rPr>
                            <w:b/>
                            <w:smallCaps w:val="0"/>
                            <w:color w:val="FFFFFF"/>
                            <w:sz w:val="9"/>
                          </w:rPr>
                          <w:t>ευρώ</w:t>
                        </w:r>
                        <w:r>
                          <w:rPr>
                            <w:b/>
                            <w:smallCaps w:val="0"/>
                            <w:color w:val="FFFFFF"/>
                            <w:spacing w:val="-1"/>
                            <w:sz w:val="9"/>
                          </w:rPr>
                          <w:t> </w:t>
                        </w:r>
                        <w:r>
                          <w:rPr>
                            <w:b/>
                            <w:smallCaps w:val="0"/>
                            <w:color w:val="FFFFFF"/>
                            <w:sz w:val="9"/>
                          </w:rPr>
                          <w:t>[Δ(2024-2025):</w:t>
                        </w:r>
                        <w:r>
                          <w:rPr>
                            <w:b/>
                            <w:smallCaps w:val="0"/>
                            <w:color w:val="FFFFFF"/>
                            <w:spacing w:val="-3"/>
                            <w:sz w:val="9"/>
                          </w:rPr>
                          <w:t> </w:t>
                        </w:r>
                        <w:r>
                          <w:rPr>
                            <w:b/>
                            <w:smallCaps w:val="0"/>
                            <w:color w:val="FFFFFF"/>
                            <w:spacing w:val="-2"/>
                            <w:sz w:val="9"/>
                          </w:rPr>
                          <w:t>2,4%]</w:t>
                        </w:r>
                      </w:p>
                      <w:p>
                        <w:pPr>
                          <w:spacing w:before="45"/>
                          <w:ind w:left="421" w:right="18" w:firstLine="0"/>
                          <w:jc w:val="center"/>
                          <w:rPr>
                            <w:b/>
                            <w:sz w:val="9"/>
                          </w:rPr>
                        </w:pPr>
                        <w:r>
                          <w:rPr>
                            <w:b/>
                            <w:sz w:val="9"/>
                          </w:rPr>
                          <w:t>Ποσοστό</w:t>
                        </w:r>
                        <w:r>
                          <w:rPr>
                            <w:b/>
                            <w:spacing w:val="-6"/>
                            <w:sz w:val="9"/>
                          </w:rPr>
                          <w:t> </w:t>
                        </w:r>
                        <w:r>
                          <w:rPr>
                            <w:b/>
                            <w:sz w:val="9"/>
                          </w:rPr>
                          <w:t>μη</w:t>
                        </w:r>
                        <w:r>
                          <w:rPr>
                            <w:b/>
                            <w:spacing w:val="-6"/>
                            <w:sz w:val="9"/>
                          </w:rPr>
                          <w:t> </w:t>
                        </w:r>
                        <w:r>
                          <w:rPr>
                            <w:b/>
                            <w:sz w:val="9"/>
                          </w:rPr>
                          <w:t>εξυπηρετούμενων</w:t>
                        </w:r>
                        <w:r>
                          <w:rPr>
                            <w:b/>
                            <w:spacing w:val="40"/>
                            <w:sz w:val="9"/>
                          </w:rPr>
                          <w:t> </w:t>
                        </w:r>
                        <w:r>
                          <w:rPr>
                            <w:b/>
                            <w:sz w:val="9"/>
                          </w:rPr>
                          <w:t>δανείων:</w:t>
                        </w:r>
                        <w:r>
                          <w:rPr>
                            <w:b/>
                            <w:spacing w:val="-6"/>
                            <w:sz w:val="9"/>
                          </w:rPr>
                          <w:t> </w:t>
                        </w:r>
                        <w:r>
                          <w:rPr>
                            <w:b/>
                            <w:sz w:val="9"/>
                          </w:rPr>
                          <w:t>10,0%</w:t>
                        </w:r>
                      </w:p>
                      <w:p>
                        <w:pPr>
                          <w:spacing w:line="103" w:lineRule="exact" w:before="1"/>
                          <w:ind w:left="419" w:right="18" w:firstLine="0"/>
                          <w:jc w:val="center"/>
                          <w:rPr>
                            <w:b/>
                            <w:sz w:val="9"/>
                          </w:rPr>
                        </w:pPr>
                        <w:r>
                          <w:rPr>
                            <w:b/>
                            <w:sz w:val="9"/>
                          </w:rPr>
                          <w:t>Δ(2024-2025):</w:t>
                        </w:r>
                        <w:r>
                          <w:rPr>
                            <w:b/>
                            <w:spacing w:val="-1"/>
                            <w:sz w:val="9"/>
                          </w:rPr>
                          <w:t> </w:t>
                        </w:r>
                        <w:r>
                          <w:rPr>
                            <w:b/>
                            <w:spacing w:val="-4"/>
                            <w:sz w:val="9"/>
                          </w:rPr>
                          <w:t>1,4%</w:t>
                        </w:r>
                      </w:p>
                    </w:txbxContent>
                  </v:textbox>
                  <w10:wrap type="none"/>
                </v:shape>
                <v:shape style="position:absolute;left:2479;top:7491;width:1582;height:586" type="#_x0000_t202" id="docshape386" filled="false" stroked="false">
                  <v:textbox inset="0,0,0,0">
                    <w:txbxContent>
                      <w:p>
                        <w:pPr>
                          <w:spacing w:line="99" w:lineRule="exact" w:before="0"/>
                          <w:ind w:left="0" w:right="83" w:firstLine="0"/>
                          <w:jc w:val="center"/>
                          <w:rPr>
                            <w:b/>
                            <w:sz w:val="9"/>
                          </w:rPr>
                        </w:pPr>
                        <w:r>
                          <w:rPr>
                            <w:b/>
                            <w:color w:val="FFFFFF"/>
                            <w:spacing w:val="-2"/>
                            <w:sz w:val="9"/>
                          </w:rPr>
                          <w:t>Ναυτ</w:t>
                        </w:r>
                        <w:r>
                          <w:rPr>
                            <w:b/>
                            <w:smallCaps/>
                            <w:color w:val="FFFFFF"/>
                            <w:spacing w:val="-2"/>
                            <w:sz w:val="9"/>
                          </w:rPr>
                          <w:t>ι</w:t>
                        </w:r>
                        <w:r>
                          <w:rPr>
                            <w:b/>
                            <w:smallCaps w:val="0"/>
                            <w:color w:val="FFFFFF"/>
                            <w:spacing w:val="-2"/>
                            <w:sz w:val="9"/>
                          </w:rPr>
                          <w:t>λ</w:t>
                        </w:r>
                        <w:r>
                          <w:rPr>
                            <w:b/>
                            <w:smallCaps/>
                            <w:color w:val="FFFFFF"/>
                            <w:spacing w:val="-2"/>
                            <w:sz w:val="9"/>
                          </w:rPr>
                          <w:t>ι</w:t>
                        </w:r>
                        <w:r>
                          <w:rPr>
                            <w:b/>
                            <w:smallCaps w:val="0"/>
                            <w:color w:val="FFFFFF"/>
                            <w:spacing w:val="-2"/>
                            <w:sz w:val="9"/>
                          </w:rPr>
                          <w:t>ακά:</w:t>
                        </w:r>
                      </w:p>
                      <w:p>
                        <w:pPr>
                          <w:spacing w:before="22"/>
                          <w:ind w:left="0" w:right="76" w:firstLine="0"/>
                          <w:jc w:val="center"/>
                          <w:rPr>
                            <w:b/>
                            <w:sz w:val="9"/>
                          </w:rPr>
                        </w:pPr>
                        <w:r>
                          <w:rPr>
                            <w:b/>
                            <w:color w:val="FFFFFF"/>
                            <w:sz w:val="9"/>
                          </w:rPr>
                          <w:t>14,2</w:t>
                        </w:r>
                        <w:r>
                          <w:rPr>
                            <w:b/>
                            <w:color w:val="FFFFFF"/>
                            <w:spacing w:val="-3"/>
                            <w:sz w:val="9"/>
                          </w:rPr>
                          <w:t> </w:t>
                        </w:r>
                        <w:r>
                          <w:rPr>
                            <w:b/>
                            <w:color w:val="FFFFFF"/>
                            <w:sz w:val="9"/>
                          </w:rPr>
                          <w:t>δ</w:t>
                        </w:r>
                        <w:r>
                          <w:rPr>
                            <w:b/>
                            <w:smallCaps/>
                            <w:color w:val="FFFFFF"/>
                            <w:sz w:val="9"/>
                          </w:rPr>
                          <w:t>ι</w:t>
                        </w:r>
                        <w:r>
                          <w:rPr>
                            <w:b/>
                            <w:smallCaps w:val="0"/>
                            <w:color w:val="FFFFFF"/>
                            <w:sz w:val="9"/>
                          </w:rPr>
                          <w:t>σεκ.</w:t>
                        </w:r>
                        <w:r>
                          <w:rPr>
                            <w:b/>
                            <w:smallCaps w:val="0"/>
                            <w:color w:val="FFFFFF"/>
                            <w:spacing w:val="4"/>
                            <w:sz w:val="9"/>
                          </w:rPr>
                          <w:t> </w:t>
                        </w:r>
                        <w:r>
                          <w:rPr>
                            <w:b/>
                            <w:smallCaps w:val="0"/>
                            <w:color w:val="FFFFFF"/>
                            <w:sz w:val="9"/>
                          </w:rPr>
                          <w:t>ευρώ</w:t>
                        </w:r>
                        <w:r>
                          <w:rPr>
                            <w:b/>
                            <w:smallCaps w:val="0"/>
                            <w:color w:val="FFFFFF"/>
                            <w:spacing w:val="-2"/>
                            <w:sz w:val="9"/>
                          </w:rPr>
                          <w:t> </w:t>
                        </w:r>
                        <w:r>
                          <w:rPr>
                            <w:b/>
                            <w:smallCaps w:val="0"/>
                            <w:color w:val="FFFFFF"/>
                            <w:sz w:val="9"/>
                          </w:rPr>
                          <w:t>[Δ(2024-2025):</w:t>
                        </w:r>
                        <w:r>
                          <w:rPr>
                            <w:b/>
                            <w:smallCaps w:val="0"/>
                            <w:color w:val="FFFFFF"/>
                            <w:spacing w:val="-3"/>
                            <w:sz w:val="9"/>
                          </w:rPr>
                          <w:t> </w:t>
                        </w:r>
                        <w:r>
                          <w:rPr>
                            <w:b/>
                            <w:smallCaps w:val="0"/>
                            <w:color w:val="FFFFFF"/>
                            <w:spacing w:val="-2"/>
                            <w:sz w:val="9"/>
                          </w:rPr>
                          <w:t>8,6%]</w:t>
                        </w:r>
                      </w:p>
                      <w:p>
                        <w:pPr>
                          <w:spacing w:before="51"/>
                          <w:ind w:left="363" w:right="0" w:firstLine="0"/>
                          <w:jc w:val="center"/>
                          <w:rPr>
                            <w:b/>
                            <w:sz w:val="9"/>
                          </w:rPr>
                        </w:pPr>
                        <w:r>
                          <w:rPr>
                            <w:b/>
                            <w:sz w:val="9"/>
                          </w:rPr>
                          <w:t>Ποσοστό</w:t>
                        </w:r>
                        <w:r>
                          <w:rPr>
                            <w:b/>
                            <w:spacing w:val="-6"/>
                            <w:sz w:val="9"/>
                          </w:rPr>
                          <w:t> </w:t>
                        </w:r>
                        <w:r>
                          <w:rPr>
                            <w:b/>
                            <w:sz w:val="9"/>
                          </w:rPr>
                          <w:t>μη</w:t>
                        </w:r>
                        <w:r>
                          <w:rPr>
                            <w:b/>
                            <w:spacing w:val="-6"/>
                            <w:sz w:val="9"/>
                          </w:rPr>
                          <w:t> </w:t>
                        </w:r>
                        <w:r>
                          <w:rPr>
                            <w:b/>
                            <w:sz w:val="9"/>
                          </w:rPr>
                          <w:t>εξυπηρετούμενων</w:t>
                        </w:r>
                        <w:r>
                          <w:rPr>
                            <w:b/>
                            <w:spacing w:val="40"/>
                            <w:sz w:val="9"/>
                          </w:rPr>
                          <w:t> </w:t>
                        </w:r>
                        <w:r>
                          <w:rPr>
                            <w:b/>
                            <w:sz w:val="9"/>
                          </w:rPr>
                          <w:t>δανείων:</w:t>
                        </w:r>
                        <w:r>
                          <w:rPr>
                            <w:b/>
                            <w:spacing w:val="-6"/>
                            <w:sz w:val="9"/>
                          </w:rPr>
                          <w:t> </w:t>
                        </w:r>
                        <w:r>
                          <w:rPr>
                            <w:b/>
                            <w:sz w:val="9"/>
                          </w:rPr>
                          <w:t>0,2%</w:t>
                        </w:r>
                      </w:p>
                      <w:p>
                        <w:pPr>
                          <w:spacing w:line="103" w:lineRule="exact" w:before="0"/>
                          <w:ind w:left="360" w:right="0" w:firstLine="0"/>
                          <w:jc w:val="center"/>
                          <w:rPr>
                            <w:b/>
                            <w:sz w:val="9"/>
                          </w:rPr>
                        </w:pPr>
                        <w:r>
                          <w:rPr>
                            <w:b/>
                            <w:sz w:val="9"/>
                          </w:rPr>
                          <w:t>Δ(2024-2025):</w:t>
                        </w:r>
                        <w:r>
                          <w:rPr>
                            <w:b/>
                            <w:spacing w:val="-4"/>
                            <w:sz w:val="9"/>
                          </w:rPr>
                          <w:t> </w:t>
                        </w:r>
                        <w:r>
                          <w:rPr>
                            <w:b/>
                            <w:sz w:val="9"/>
                          </w:rPr>
                          <w:t>-</w:t>
                        </w:r>
                        <w:r>
                          <w:rPr>
                            <w:b/>
                            <w:spacing w:val="-2"/>
                            <w:sz w:val="9"/>
                          </w:rPr>
                          <w:t>17,9%</w:t>
                        </w:r>
                      </w:p>
                    </w:txbxContent>
                  </v:textbox>
                  <w10:wrap type="none"/>
                </v:shape>
                <v:shape style="position:absolute;left:4348;top:7278;width:315;height:385" type="#_x0000_t202" id="docshape387" filled="false" stroked="false">
                  <v:textbox inset="0,0,0,0">
                    <w:txbxContent>
                      <w:p>
                        <w:pPr>
                          <w:spacing w:line="85" w:lineRule="exact" w:before="0"/>
                          <w:ind w:left="71" w:right="0" w:firstLine="0"/>
                          <w:jc w:val="left"/>
                          <w:rPr>
                            <w:rFonts w:ascii="Calibri"/>
                            <w:b/>
                            <w:sz w:val="8"/>
                          </w:rPr>
                        </w:pPr>
                        <w:r>
                          <w:rPr>
                            <w:rFonts w:ascii="Calibri"/>
                            <w:b/>
                            <w:color w:val="404040"/>
                            <w:spacing w:val="-5"/>
                            <w:w w:val="110"/>
                            <w:sz w:val="8"/>
                          </w:rPr>
                          <w:t>40%</w:t>
                        </w:r>
                      </w:p>
                      <w:p>
                        <w:pPr>
                          <w:spacing w:before="3"/>
                          <w:ind w:left="0" w:right="0" w:firstLine="0"/>
                          <w:jc w:val="left"/>
                          <w:rPr>
                            <w:b/>
                            <w:sz w:val="8"/>
                          </w:rPr>
                        </w:pPr>
                        <w:r>
                          <w:rPr>
                            <w:b/>
                            <w:color w:val="404040"/>
                            <w:w w:val="110"/>
                            <w:sz w:val="8"/>
                          </w:rPr>
                          <w:t>Δ(2024-</w:t>
                        </w:r>
                      </w:p>
                      <w:p>
                        <w:pPr>
                          <w:spacing w:before="3"/>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line="97" w:lineRule="exact" w:before="6"/>
                          <w:ind w:left="22" w:right="0" w:firstLine="0"/>
                          <w:jc w:val="left"/>
                          <w:rPr>
                            <w:rFonts w:ascii="Calibri"/>
                            <w:b/>
                            <w:sz w:val="8"/>
                          </w:rPr>
                        </w:pPr>
                        <w:r>
                          <w:rPr>
                            <w:rFonts w:ascii="Calibri"/>
                            <w:b/>
                            <w:color w:val="404040"/>
                            <w:sz w:val="8"/>
                          </w:rPr>
                          <w:t>-</w:t>
                        </w:r>
                        <w:r>
                          <w:rPr>
                            <w:rFonts w:ascii="Calibri"/>
                            <w:b/>
                            <w:color w:val="404040"/>
                            <w:spacing w:val="-2"/>
                            <w:sz w:val="8"/>
                          </w:rPr>
                          <w:t>17,6%</w:t>
                        </w:r>
                      </w:p>
                    </w:txbxContent>
                  </v:textbox>
                  <w10:wrap type="none"/>
                </v:shape>
                <v:shape style="position:absolute;left:7598;top:7318;width:315;height:383" type="#_x0000_t202" id="docshape388" filled="false" stroked="false">
                  <v:textbox inset="0,0,0,0">
                    <w:txbxContent>
                      <w:p>
                        <w:pPr>
                          <w:spacing w:line="252" w:lineRule="auto" w:before="1"/>
                          <w:ind w:left="-1" w:right="18" w:hanging="3"/>
                          <w:jc w:val="center"/>
                          <w:rPr>
                            <w:b/>
                            <w:sz w:val="8"/>
                          </w:rPr>
                        </w:pPr>
                        <w:r>
                          <w:rPr>
                            <w:b/>
                            <w:color w:val="404040"/>
                            <w:spacing w:val="-4"/>
                            <w:w w:val="110"/>
                            <w:sz w:val="8"/>
                          </w:rPr>
                          <w:t>47%</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0" w:firstLine="0"/>
                          <w:jc w:val="center"/>
                          <w:rPr>
                            <w:b/>
                            <w:sz w:val="8"/>
                          </w:rPr>
                        </w:pPr>
                        <w:r>
                          <w:rPr>
                            <w:b/>
                            <w:color w:val="404040"/>
                            <w:spacing w:val="-2"/>
                            <w:w w:val="110"/>
                            <w:sz w:val="8"/>
                          </w:rPr>
                          <w:t>13,5%</w:t>
                        </w:r>
                      </w:p>
                    </w:txbxContent>
                  </v:textbox>
                  <w10:wrap type="none"/>
                </v:shape>
                <v:shape style="position:absolute;left:450;top:8178;width:315;height:385" type="#_x0000_t202" id="docshape389" filled="false" stroked="false">
                  <v:textbox inset="0,0,0,0">
                    <w:txbxContent>
                      <w:p>
                        <w:pPr>
                          <w:spacing w:line="85" w:lineRule="exact" w:before="0"/>
                          <w:ind w:left="71" w:right="0" w:firstLine="0"/>
                          <w:jc w:val="left"/>
                          <w:rPr>
                            <w:rFonts w:ascii="Calibri"/>
                            <w:b/>
                            <w:sz w:val="8"/>
                          </w:rPr>
                        </w:pPr>
                        <w:r>
                          <w:rPr>
                            <w:rFonts w:ascii="Calibri"/>
                            <w:b/>
                            <w:color w:val="404040"/>
                            <w:spacing w:val="-5"/>
                            <w:w w:val="110"/>
                            <w:sz w:val="8"/>
                          </w:rPr>
                          <w:t>41%</w:t>
                        </w:r>
                      </w:p>
                      <w:p>
                        <w:pPr>
                          <w:spacing w:before="3"/>
                          <w:ind w:left="0" w:right="0" w:firstLine="0"/>
                          <w:jc w:val="left"/>
                          <w:rPr>
                            <w:b/>
                            <w:sz w:val="8"/>
                          </w:rPr>
                        </w:pPr>
                        <w:r>
                          <w:rPr>
                            <w:b/>
                            <w:color w:val="404040"/>
                            <w:w w:val="110"/>
                            <w:sz w:val="8"/>
                          </w:rPr>
                          <w:t>Δ(2024-</w:t>
                        </w:r>
                      </w:p>
                      <w:p>
                        <w:pPr>
                          <w:spacing w:before="3"/>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line="97" w:lineRule="exact" w:before="6"/>
                          <w:ind w:left="37" w:right="0" w:firstLine="0"/>
                          <w:jc w:val="left"/>
                          <w:rPr>
                            <w:rFonts w:ascii="Calibri"/>
                            <w:b/>
                            <w:sz w:val="8"/>
                          </w:rPr>
                        </w:pPr>
                        <w:r>
                          <w:rPr>
                            <w:rFonts w:ascii="Calibri"/>
                            <w:b/>
                            <w:color w:val="404040"/>
                            <w:spacing w:val="-2"/>
                            <w:w w:val="110"/>
                            <w:sz w:val="8"/>
                          </w:rPr>
                          <w:t>11,2%</w:t>
                        </w:r>
                      </w:p>
                    </w:txbxContent>
                  </v:textbox>
                  <w10:wrap type="none"/>
                </v:shape>
                <v:shape style="position:absolute;left:1737;top:8202;width:315;height:383" type="#_x0000_t202" id="docshape390" filled="false" stroked="false">
                  <v:textbox inset="0,0,0,0">
                    <w:txbxContent>
                      <w:p>
                        <w:pPr>
                          <w:spacing w:line="252" w:lineRule="auto" w:before="1"/>
                          <w:ind w:left="0" w:right="18" w:hanging="3"/>
                          <w:jc w:val="center"/>
                          <w:rPr>
                            <w:b/>
                            <w:sz w:val="8"/>
                          </w:rPr>
                        </w:pPr>
                        <w:r>
                          <w:rPr>
                            <w:b/>
                            <w:color w:val="404040"/>
                            <w:spacing w:val="-4"/>
                            <w:w w:val="110"/>
                            <w:sz w:val="8"/>
                          </w:rPr>
                          <w:t>26%</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20" w:firstLine="0"/>
                          <w:jc w:val="center"/>
                          <w:rPr>
                            <w:b/>
                            <w:sz w:val="8"/>
                          </w:rPr>
                        </w:pPr>
                        <w:r>
                          <w:rPr>
                            <w:b/>
                            <w:color w:val="404040"/>
                            <w:sz w:val="8"/>
                          </w:rPr>
                          <w:t>-</w:t>
                        </w:r>
                        <w:r>
                          <w:rPr>
                            <w:b/>
                            <w:color w:val="404040"/>
                            <w:spacing w:val="-4"/>
                            <w:sz w:val="8"/>
                          </w:rPr>
                          <w:t>4,9%</w:t>
                        </w:r>
                      </w:p>
                    </w:txbxContent>
                  </v:textbox>
                  <w10:wrap type="none"/>
                </v:shape>
                <v:shape style="position:absolute;left:2405;top:8177;width:554;height:386" type="#_x0000_t202" id="docshape391" filled="false" stroked="false">
                  <v:textbox inset="0,0,0,0">
                    <w:txbxContent>
                      <w:p>
                        <w:pPr>
                          <w:tabs>
                            <w:tab w:pos="533" w:val="left" w:leader="none"/>
                          </w:tabs>
                          <w:spacing w:line="85" w:lineRule="exact" w:before="0"/>
                          <w:ind w:left="71" w:right="0" w:firstLine="0"/>
                          <w:jc w:val="left"/>
                          <w:rPr>
                            <w:rFonts w:ascii="Calibri"/>
                            <w:b/>
                            <w:sz w:val="8"/>
                          </w:rPr>
                        </w:pPr>
                        <w:r>
                          <w:rPr>
                            <w:rFonts w:ascii="Calibri"/>
                            <w:b/>
                            <w:color w:val="404040"/>
                            <w:spacing w:val="-5"/>
                            <w:w w:val="110"/>
                            <w:sz w:val="8"/>
                          </w:rPr>
                          <w:t>1</w:t>
                        </w:r>
                        <w:r>
                          <w:rPr>
                            <w:rFonts w:ascii="Calibri"/>
                            <w:b/>
                            <w:color w:val="404040"/>
                            <w:spacing w:val="-5"/>
                            <w:w w:val="110"/>
                            <w:sz w:val="8"/>
                            <w:u w:val="single" w:color="A6A6A6"/>
                          </w:rPr>
                          <w:t>9%</w:t>
                        </w:r>
                        <w:r>
                          <w:rPr>
                            <w:rFonts w:ascii="Calibri"/>
                            <w:b/>
                            <w:color w:val="404040"/>
                            <w:sz w:val="8"/>
                            <w:u w:val="single" w:color="A6A6A6"/>
                          </w:rPr>
                          <w:tab/>
                        </w:r>
                      </w:p>
                      <w:p>
                        <w:pPr>
                          <w:spacing w:before="4"/>
                          <w:ind w:left="0" w:right="0" w:firstLine="0"/>
                          <w:jc w:val="left"/>
                          <w:rPr>
                            <w:b/>
                            <w:sz w:val="8"/>
                          </w:rPr>
                        </w:pPr>
                        <w:r>
                          <w:rPr>
                            <w:b/>
                            <w:color w:val="404040"/>
                            <w:w w:val="110"/>
                            <w:sz w:val="8"/>
                          </w:rPr>
                          <w:t>Δ(2024-</w:t>
                        </w:r>
                      </w:p>
                      <w:p>
                        <w:pPr>
                          <w:spacing w:before="2"/>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before="6"/>
                          <w:ind w:left="22" w:right="0" w:firstLine="0"/>
                          <w:jc w:val="left"/>
                          <w:rPr>
                            <w:rFonts w:ascii="Calibri"/>
                            <w:b/>
                            <w:sz w:val="8"/>
                          </w:rPr>
                        </w:pPr>
                        <w:r>
                          <w:rPr>
                            <w:rFonts w:ascii="Calibri"/>
                            <w:b/>
                            <w:color w:val="404040"/>
                            <w:sz w:val="8"/>
                          </w:rPr>
                          <w:t>-</w:t>
                        </w:r>
                        <w:r>
                          <w:rPr>
                            <w:rFonts w:ascii="Calibri"/>
                            <w:b/>
                            <w:color w:val="404040"/>
                            <w:spacing w:val="-2"/>
                            <w:sz w:val="8"/>
                          </w:rPr>
                          <w:t>12,7%</w:t>
                        </w:r>
                      </w:p>
                    </w:txbxContent>
                  </v:textbox>
                  <w10:wrap type="none"/>
                </v:shape>
                <v:shape style="position:absolute;left:1732;top:8818;width:315;height:383" type="#_x0000_t202" id="docshape392" filled="false" stroked="false">
                  <v:textbox inset="0,0,0,0">
                    <w:txbxContent>
                      <w:p>
                        <w:pPr>
                          <w:spacing w:line="252" w:lineRule="auto" w:before="1"/>
                          <w:ind w:left="-1" w:right="18" w:hanging="3"/>
                          <w:jc w:val="center"/>
                          <w:rPr>
                            <w:b/>
                            <w:sz w:val="8"/>
                          </w:rPr>
                        </w:pPr>
                        <w:r>
                          <w:rPr>
                            <w:b/>
                            <w:color w:val="404040"/>
                            <w:spacing w:val="-4"/>
                            <w:w w:val="110"/>
                            <w:sz w:val="8"/>
                          </w:rPr>
                          <w:t>32%</w:t>
                        </w:r>
                        <w:r>
                          <w:rPr>
                            <w:b/>
                            <w:color w:val="404040"/>
                            <w:spacing w:val="40"/>
                            <w:w w:val="110"/>
                            <w:sz w:val="8"/>
                          </w:rPr>
                          <w:t> </w:t>
                        </w:r>
                        <w:r>
                          <w:rPr>
                            <w:b/>
                            <w:color w:val="404040"/>
                            <w:w w:val="110"/>
                            <w:sz w:val="8"/>
                          </w:rPr>
                          <w:t>Δ(2024-</w:t>
                        </w:r>
                        <w:r>
                          <w:rPr>
                            <w:b/>
                            <w:color w:val="404040"/>
                            <w:spacing w:val="-2"/>
                            <w:w w:val="110"/>
                            <w:sz w:val="8"/>
                          </w:rPr>
                          <w:t>2025):</w:t>
                        </w:r>
                      </w:p>
                      <w:p>
                        <w:pPr>
                          <w:spacing w:line="91" w:lineRule="exact" w:before="0"/>
                          <w:ind w:left="0" w:right="20" w:firstLine="0"/>
                          <w:jc w:val="center"/>
                          <w:rPr>
                            <w:b/>
                            <w:sz w:val="8"/>
                          </w:rPr>
                        </w:pPr>
                        <w:r>
                          <w:rPr>
                            <w:b/>
                            <w:color w:val="404040"/>
                            <w:sz w:val="8"/>
                          </w:rPr>
                          <w:t>-</w:t>
                        </w:r>
                        <w:r>
                          <w:rPr>
                            <w:b/>
                            <w:color w:val="404040"/>
                            <w:spacing w:val="-4"/>
                            <w:sz w:val="8"/>
                          </w:rPr>
                          <w:t>4,1%</w:t>
                        </w:r>
                      </w:p>
                    </w:txbxContent>
                  </v:textbox>
                  <w10:wrap type="none"/>
                </v:shape>
                <v:shape style="position:absolute;left:2340;top:8663;width:315;height:385" type="#_x0000_t202" id="docshape393" filled="false" stroked="false">
                  <v:textbox inset="0,0,0,0">
                    <w:txbxContent>
                      <w:p>
                        <w:pPr>
                          <w:spacing w:line="85" w:lineRule="exact" w:before="0"/>
                          <w:ind w:left="68" w:right="0" w:firstLine="0"/>
                          <w:jc w:val="left"/>
                          <w:rPr>
                            <w:rFonts w:ascii="Calibri"/>
                            <w:b/>
                            <w:sz w:val="8"/>
                          </w:rPr>
                        </w:pPr>
                        <w:r>
                          <w:rPr>
                            <w:rFonts w:ascii="Calibri"/>
                            <w:b/>
                            <w:color w:val="404040"/>
                            <w:spacing w:val="-5"/>
                            <w:w w:val="110"/>
                            <w:sz w:val="8"/>
                          </w:rPr>
                          <w:t>11%</w:t>
                        </w:r>
                      </w:p>
                      <w:p>
                        <w:pPr>
                          <w:spacing w:before="3"/>
                          <w:ind w:left="0" w:right="0" w:firstLine="0"/>
                          <w:jc w:val="left"/>
                          <w:rPr>
                            <w:b/>
                            <w:sz w:val="8"/>
                          </w:rPr>
                        </w:pPr>
                        <w:r>
                          <w:rPr>
                            <w:b/>
                            <w:color w:val="404040"/>
                            <w:w w:val="110"/>
                            <w:sz w:val="8"/>
                          </w:rPr>
                          <w:t>Δ(2024-</w:t>
                        </w:r>
                      </w:p>
                      <w:p>
                        <w:pPr>
                          <w:spacing w:before="3"/>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line="97" w:lineRule="exact" w:before="6"/>
                          <w:ind w:left="45" w:right="0" w:firstLine="0"/>
                          <w:jc w:val="left"/>
                          <w:rPr>
                            <w:rFonts w:ascii="Calibri"/>
                            <w:b/>
                            <w:sz w:val="8"/>
                          </w:rPr>
                        </w:pPr>
                        <w:r>
                          <w:rPr>
                            <w:rFonts w:ascii="Calibri"/>
                            <w:b/>
                            <w:color w:val="404040"/>
                            <w:spacing w:val="-2"/>
                            <w:w w:val="105"/>
                            <w:sz w:val="8"/>
                          </w:rPr>
                          <w:t>-</w:t>
                        </w:r>
                        <w:r>
                          <w:rPr>
                            <w:rFonts w:ascii="Calibri"/>
                            <w:b/>
                            <w:color w:val="404040"/>
                            <w:spacing w:val="-4"/>
                            <w:w w:val="110"/>
                            <w:sz w:val="8"/>
                          </w:rPr>
                          <w:t>4,2%</w:t>
                        </w:r>
                      </w:p>
                    </w:txbxContent>
                  </v:textbox>
                  <w10:wrap type="none"/>
                </v:shape>
                <v:shape style="position:absolute;left:3678;top:8731;width:315;height:385" type="#_x0000_t202" id="docshape394" filled="false" stroked="false">
                  <v:textbox inset="0,0,0,0">
                    <w:txbxContent>
                      <w:p>
                        <w:pPr>
                          <w:spacing w:line="85" w:lineRule="exact" w:before="0"/>
                          <w:ind w:left="71" w:right="0" w:firstLine="0"/>
                          <w:jc w:val="left"/>
                          <w:rPr>
                            <w:rFonts w:ascii="Calibri"/>
                            <w:b/>
                            <w:sz w:val="8"/>
                          </w:rPr>
                        </w:pPr>
                        <w:r>
                          <w:rPr>
                            <w:rFonts w:ascii="Calibri"/>
                            <w:b/>
                            <w:color w:val="404040"/>
                            <w:spacing w:val="-5"/>
                            <w:w w:val="110"/>
                            <w:sz w:val="8"/>
                          </w:rPr>
                          <w:t>70%</w:t>
                        </w:r>
                      </w:p>
                      <w:p>
                        <w:pPr>
                          <w:spacing w:before="4"/>
                          <w:ind w:left="0" w:right="0" w:firstLine="0"/>
                          <w:jc w:val="left"/>
                          <w:rPr>
                            <w:b/>
                            <w:sz w:val="8"/>
                          </w:rPr>
                        </w:pPr>
                        <w:r>
                          <w:rPr>
                            <w:b/>
                            <w:color w:val="404040"/>
                            <w:w w:val="110"/>
                            <w:sz w:val="8"/>
                          </w:rPr>
                          <w:t>Δ(2024-</w:t>
                        </w:r>
                      </w:p>
                      <w:p>
                        <w:pPr>
                          <w:spacing w:before="2"/>
                          <w:ind w:left="30" w:right="0" w:firstLine="0"/>
                          <w:jc w:val="left"/>
                          <w:rPr>
                            <w:rFonts w:ascii="Calibri"/>
                            <w:b/>
                            <w:sz w:val="8"/>
                          </w:rPr>
                        </w:pPr>
                        <w:r>
                          <w:rPr>
                            <w:b/>
                            <w:color w:val="404040"/>
                            <w:spacing w:val="-2"/>
                            <w:w w:val="110"/>
                            <w:sz w:val="8"/>
                          </w:rPr>
                          <w:t>2025)</w:t>
                        </w:r>
                        <w:r>
                          <w:rPr>
                            <w:rFonts w:ascii="Calibri"/>
                            <w:b/>
                            <w:color w:val="404040"/>
                            <w:spacing w:val="-2"/>
                            <w:w w:val="110"/>
                            <w:sz w:val="8"/>
                          </w:rPr>
                          <w:t>:</w:t>
                        </w:r>
                      </w:p>
                      <w:p>
                        <w:pPr>
                          <w:spacing w:line="97" w:lineRule="exact" w:before="6"/>
                          <w:ind w:left="22" w:right="0" w:firstLine="0"/>
                          <w:jc w:val="left"/>
                          <w:rPr>
                            <w:rFonts w:ascii="Calibri"/>
                            <w:b/>
                            <w:sz w:val="8"/>
                          </w:rPr>
                        </w:pPr>
                        <w:r>
                          <w:rPr>
                            <w:rFonts w:ascii="Calibri"/>
                            <w:b/>
                            <w:color w:val="404040"/>
                            <w:sz w:val="8"/>
                          </w:rPr>
                          <w:t>-</w:t>
                        </w:r>
                        <w:r>
                          <w:rPr>
                            <w:rFonts w:ascii="Calibri"/>
                            <w:b/>
                            <w:color w:val="404040"/>
                            <w:spacing w:val="-2"/>
                            <w:sz w:val="8"/>
                          </w:rPr>
                          <w:t>21,0%</w:t>
                        </w:r>
                      </w:p>
                    </w:txbxContent>
                  </v:textbox>
                  <w10:wrap type="none"/>
                </v:shape>
                <v:shape style="position:absolute;left:0;top:9534;width:8505;height:348" type="#_x0000_t202" id="docshape395" filled="true" fillcolor="#d9d9d9" stroked="false">
                  <v:textbox inset="0,0,0,0">
                    <w:txbxContent>
                      <w:p>
                        <w:pPr>
                          <w:spacing w:before="125"/>
                          <w:ind w:left="112" w:right="0" w:firstLine="0"/>
                          <w:jc w:val="left"/>
                          <w:rPr>
                            <w:color w:val="000000"/>
                            <w:sz w:val="14"/>
                          </w:rPr>
                        </w:pPr>
                        <w:r>
                          <w:rPr>
                            <w:color w:val="000000"/>
                            <w:sz w:val="14"/>
                          </w:rPr>
                          <w:t>Πηγή:</w:t>
                        </w:r>
                        <w:r>
                          <w:rPr>
                            <w:color w:val="000000"/>
                            <w:spacing w:val="-6"/>
                            <w:sz w:val="14"/>
                          </w:rPr>
                          <w:t> </w:t>
                        </w:r>
                        <w:r>
                          <w:rPr>
                            <w:color w:val="000000"/>
                            <w:sz w:val="14"/>
                          </w:rPr>
                          <w:t>Τράπεζα</w:t>
                        </w:r>
                        <w:r>
                          <w:rPr>
                            <w:color w:val="000000"/>
                            <w:spacing w:val="-5"/>
                            <w:sz w:val="14"/>
                          </w:rPr>
                          <w:t> </w:t>
                        </w:r>
                        <w:r>
                          <w:rPr>
                            <w:color w:val="000000"/>
                            <w:sz w:val="14"/>
                          </w:rPr>
                          <w:t>της</w:t>
                        </w:r>
                        <w:r>
                          <w:rPr>
                            <w:color w:val="000000"/>
                            <w:spacing w:val="-2"/>
                            <w:sz w:val="14"/>
                          </w:rPr>
                          <w:t> Ελλάδος.</w:t>
                        </w:r>
                      </w:p>
                    </w:txbxContent>
                  </v:textbox>
                  <v:fill type="solid"/>
                  <w10:wrap type="none"/>
                </v:shape>
                <v:shape style="position:absolute;left:4729;top:8200;width:3299;height:900" type="#_x0000_t202" id="docshape396" filled="false" stroked="true" strokeweight=".494176pt" strokecolor="#3477b1">
                  <v:textbox inset="0,0,0,0">
                    <w:txbxContent>
                      <w:p>
                        <w:pPr>
                          <w:spacing w:line="115" w:lineRule="exact" w:before="87"/>
                          <w:ind w:left="707" w:right="0" w:firstLine="0"/>
                          <w:jc w:val="left"/>
                          <w:rPr>
                            <w:sz w:val="10"/>
                          </w:rPr>
                        </w:pPr>
                        <w:r>
                          <w:rPr>
                            <w:sz w:val="10"/>
                          </w:rPr>
                          <w:t>Αβέβaιης</w:t>
                        </w:r>
                        <w:r>
                          <w:rPr>
                            <w:spacing w:val="-1"/>
                            <w:sz w:val="10"/>
                          </w:rPr>
                          <w:t> </w:t>
                        </w:r>
                        <w:r>
                          <w:rPr>
                            <w:sz w:val="10"/>
                          </w:rPr>
                          <w:t>εíσπpaCης</w:t>
                        </w:r>
                        <w:r>
                          <w:rPr>
                            <w:spacing w:val="24"/>
                            <w:sz w:val="10"/>
                          </w:rPr>
                          <w:t> </w:t>
                        </w:r>
                        <w:r>
                          <w:rPr>
                            <w:sz w:val="10"/>
                          </w:rPr>
                          <w:t>χωpíς кaθuστέpηση</w:t>
                        </w:r>
                        <w:r>
                          <w:rPr>
                            <w:spacing w:val="-6"/>
                            <w:sz w:val="10"/>
                          </w:rPr>
                          <w:t> </w:t>
                        </w:r>
                        <w:r>
                          <w:rPr>
                            <w:sz w:val="10"/>
                          </w:rPr>
                          <w:t>ή</w:t>
                        </w:r>
                        <w:r>
                          <w:rPr>
                            <w:spacing w:val="2"/>
                            <w:sz w:val="10"/>
                          </w:rPr>
                          <w:t> </w:t>
                        </w:r>
                        <w:r>
                          <w:rPr>
                            <w:sz w:val="10"/>
                          </w:rPr>
                          <w:t>σε</w:t>
                        </w:r>
                        <w:r>
                          <w:rPr>
                            <w:spacing w:val="-2"/>
                            <w:sz w:val="10"/>
                          </w:rPr>
                          <w:t> кaθuστέpηση</w:t>
                        </w:r>
                      </w:p>
                      <w:p>
                        <w:pPr>
                          <w:spacing w:before="0"/>
                          <w:ind w:left="707" w:right="0" w:firstLine="0"/>
                          <w:jc w:val="left"/>
                          <w:rPr>
                            <w:sz w:val="10"/>
                          </w:rPr>
                        </w:pPr>
                        <w:r>
                          <w:rPr>
                            <w:sz w:val="10"/>
                          </w:rPr>
                          <w:t>&lt;</w:t>
                        </w:r>
                        <w:r>
                          <w:rPr>
                            <w:spacing w:val="2"/>
                            <w:sz w:val="10"/>
                          </w:rPr>
                          <w:t> </w:t>
                        </w:r>
                        <w:r>
                          <w:rPr>
                            <w:sz w:val="10"/>
                          </w:rPr>
                          <w:t>90</w:t>
                        </w:r>
                        <w:r>
                          <w:rPr>
                            <w:spacing w:val="-3"/>
                            <w:sz w:val="10"/>
                          </w:rPr>
                          <w:t> </w:t>
                        </w:r>
                        <w:r>
                          <w:rPr>
                            <w:spacing w:val="-5"/>
                            <w:sz w:val="10"/>
                          </w:rPr>
                          <w:t>ηµ.</w:t>
                        </w:r>
                      </w:p>
                      <w:p>
                        <w:pPr>
                          <w:spacing w:line="113" w:lineRule="exact" w:before="55"/>
                          <w:ind w:left="707" w:right="0" w:firstLine="0"/>
                          <w:jc w:val="left"/>
                          <w:rPr>
                            <w:sz w:val="10"/>
                          </w:rPr>
                        </w:pPr>
                        <w:r>
                          <w:rPr>
                            <w:sz w:val="10"/>
                          </w:rPr>
                          <w:t>Σε</w:t>
                        </w:r>
                        <w:r>
                          <w:rPr>
                            <w:spacing w:val="1"/>
                            <w:sz w:val="10"/>
                          </w:rPr>
                          <w:t> </w:t>
                        </w:r>
                        <w:r>
                          <w:rPr>
                            <w:sz w:val="10"/>
                          </w:rPr>
                          <w:t>кaθuστέpηση</w:t>
                        </w:r>
                        <w:r>
                          <w:rPr>
                            <w:spacing w:val="-3"/>
                            <w:sz w:val="10"/>
                          </w:rPr>
                          <w:t> </w:t>
                        </w:r>
                        <w:r>
                          <w:rPr>
                            <w:sz w:val="10"/>
                          </w:rPr>
                          <w:t>&gt;</w:t>
                        </w:r>
                        <w:r>
                          <w:rPr>
                            <w:spacing w:val="6"/>
                            <w:sz w:val="10"/>
                          </w:rPr>
                          <w:t> </w:t>
                        </w:r>
                        <w:r>
                          <w:rPr>
                            <w:sz w:val="10"/>
                          </w:rPr>
                          <w:t>90 </w:t>
                        </w:r>
                        <w:r>
                          <w:rPr>
                            <w:spacing w:val="-5"/>
                            <w:sz w:val="10"/>
                          </w:rPr>
                          <w:t>ηµ.</w:t>
                        </w:r>
                      </w:p>
                      <w:p>
                        <w:pPr>
                          <w:spacing w:line="417" w:lineRule="auto" w:before="0"/>
                          <w:ind w:left="707" w:right="44" w:firstLine="0"/>
                          <w:jc w:val="left"/>
                          <w:rPr>
                            <w:sz w:val="10"/>
                          </w:rPr>
                        </w:pPr>
                        <w:r>
                          <w:rPr>
                            <w:sz w:val="10"/>
                          </w:rPr>
                          <w:t>(εCaιpouµένων των</w:t>
                        </w:r>
                        <w:r>
                          <w:rPr>
                            <w:spacing w:val="-1"/>
                            <w:sz w:val="10"/>
                          </w:rPr>
                          <w:t> </w:t>
                        </w:r>
                        <w:r>
                          <w:rPr>
                            <w:sz w:val="10"/>
                          </w:rPr>
                          <w:t>кaτaγγελµένων</w:t>
                        </w:r>
                        <w:r>
                          <w:rPr>
                            <w:spacing w:val="-4"/>
                            <w:sz w:val="10"/>
                          </w:rPr>
                          <w:t> </w:t>
                        </w:r>
                        <w:r>
                          <w:rPr>
                            <w:sz w:val="10"/>
                          </w:rPr>
                          <w:t>aπaιτήσεων)</w:t>
                        </w:r>
                        <w:r>
                          <w:rPr>
                            <w:spacing w:val="40"/>
                            <w:sz w:val="10"/>
                          </w:rPr>
                          <w:t> </w:t>
                        </w:r>
                        <w:r>
                          <w:rPr>
                            <w:sz w:val="10"/>
                          </w:rPr>
                          <w:t>Κaτaγγελµένες</w:t>
                        </w:r>
                        <w:r>
                          <w:rPr>
                            <w:spacing w:val="-7"/>
                            <w:sz w:val="10"/>
                          </w:rPr>
                          <w:t> </w:t>
                        </w:r>
                        <w:r>
                          <w:rPr>
                            <w:sz w:val="10"/>
                          </w:rPr>
                          <w:t>aπaιτήσεις</w:t>
                        </w:r>
                      </w:p>
                    </w:txbxContent>
                  </v:textbox>
                  <v:stroke dashstyle="solid"/>
                  <w10:wrap type="none"/>
                </v:shape>
              </v:group>
            </w:pict>
          </mc:Fallback>
        </mc:AlternateContent>
      </w:r>
      <w:r>
        <w:rPr>
          <w:sz w:val="20"/>
        </w:rPr>
      </w:r>
    </w:p>
    <w:p>
      <w:pPr>
        <w:spacing w:after="0" w:line="240" w:lineRule="auto"/>
        <w:rPr>
          <w:sz w:val="20"/>
        </w:rPr>
        <w:sectPr>
          <w:pgSz w:w="11910" w:h="16850"/>
          <w:pgMar w:header="0" w:footer="1108" w:top="1840" w:bottom="1300" w:left="1417" w:right="850"/>
        </w:sectPr>
      </w:pPr>
    </w:p>
    <w:p>
      <w:pPr>
        <w:pStyle w:val="Heading4"/>
        <w:spacing w:before="66"/>
      </w:pPr>
      <w:r>
        <w:rPr>
          <w:color w:val="1F487C"/>
        </w:rPr>
        <w:t>Π</w:t>
      </w:r>
      <w:r>
        <w:rPr>
          <w:smallCaps/>
          <w:color w:val="1F487C"/>
        </w:rPr>
        <w:t>ι</w:t>
      </w:r>
      <w:r>
        <w:rPr>
          <w:smallCaps w:val="0"/>
          <w:color w:val="1F487C"/>
        </w:rPr>
        <w:t>στωτ</w:t>
      </w:r>
      <w:r>
        <w:rPr>
          <w:smallCaps/>
          <w:color w:val="1F487C"/>
        </w:rPr>
        <w:t>ι</w:t>
      </w:r>
      <w:r>
        <w:rPr>
          <w:smallCaps w:val="0"/>
          <w:color w:val="1F487C"/>
        </w:rPr>
        <w:t>κός</w:t>
      </w:r>
      <w:r>
        <w:rPr>
          <w:smallCaps w:val="0"/>
          <w:color w:val="1F487C"/>
          <w:spacing w:val="-10"/>
        </w:rPr>
        <w:t> </w:t>
      </w:r>
      <w:r>
        <w:rPr>
          <w:smallCaps w:val="0"/>
          <w:color w:val="1F487C"/>
        </w:rPr>
        <w:t>κίνδυνος</w:t>
      </w:r>
      <w:r>
        <w:rPr>
          <w:smallCaps w:val="0"/>
          <w:color w:val="1F487C"/>
          <w:spacing w:val="-9"/>
        </w:rPr>
        <w:t> </w:t>
      </w:r>
      <w:r>
        <w:rPr>
          <w:smallCaps w:val="0"/>
          <w:color w:val="1F487C"/>
        </w:rPr>
        <w:t>ανά</w:t>
      </w:r>
      <w:r>
        <w:rPr>
          <w:smallCaps w:val="0"/>
          <w:color w:val="1F487C"/>
          <w:spacing w:val="-13"/>
        </w:rPr>
        <w:t> </w:t>
      </w:r>
      <w:r>
        <w:rPr>
          <w:smallCaps w:val="0"/>
          <w:color w:val="1F487C"/>
        </w:rPr>
        <w:t>επ</w:t>
      </w:r>
      <w:r>
        <w:rPr>
          <w:smallCaps/>
          <w:color w:val="1F487C"/>
        </w:rPr>
        <w:t>ι</w:t>
      </w:r>
      <w:r>
        <w:rPr>
          <w:smallCaps w:val="0"/>
          <w:color w:val="1F487C"/>
        </w:rPr>
        <w:t>χε</w:t>
      </w:r>
      <w:r>
        <w:rPr>
          <w:smallCaps/>
          <w:color w:val="1F487C"/>
        </w:rPr>
        <w:t>ι</w:t>
      </w:r>
      <w:r>
        <w:rPr>
          <w:smallCaps w:val="0"/>
          <w:color w:val="1F487C"/>
        </w:rPr>
        <w:t>ρηματ</w:t>
      </w:r>
      <w:r>
        <w:rPr>
          <w:smallCaps/>
          <w:color w:val="1F487C"/>
        </w:rPr>
        <w:t>ι</w:t>
      </w:r>
      <w:r>
        <w:rPr>
          <w:smallCaps w:val="0"/>
          <w:color w:val="1F487C"/>
        </w:rPr>
        <w:t>κό</w:t>
      </w:r>
      <w:r>
        <w:rPr>
          <w:smallCaps w:val="0"/>
          <w:color w:val="1F487C"/>
          <w:spacing w:val="-9"/>
        </w:rPr>
        <w:t> </w:t>
      </w:r>
      <w:r>
        <w:rPr>
          <w:smallCaps w:val="0"/>
          <w:color w:val="1F487C"/>
          <w:spacing w:val="-4"/>
        </w:rPr>
        <w:t>κλάδο</w:t>
      </w:r>
    </w:p>
    <w:p>
      <w:pPr>
        <w:pStyle w:val="BodyText"/>
        <w:spacing w:line="285" w:lineRule="auto" w:before="107"/>
        <w:ind w:left="172" w:right="956"/>
        <w:jc w:val="both"/>
      </w:pPr>
      <w:r>
        <w:rPr/>
        <w:t>Τον</w:t>
      </w:r>
      <w:r>
        <w:rPr>
          <w:spacing w:val="-9"/>
        </w:rPr>
        <w:t> </w:t>
      </w:r>
      <w:r>
        <w:rPr/>
        <w:t>Δεκέμβριο</w:t>
      </w:r>
      <w:r>
        <w:rPr>
          <w:spacing w:val="-10"/>
        </w:rPr>
        <w:t> </w:t>
      </w:r>
      <w:r>
        <w:rPr/>
        <w:t>του</w:t>
      </w:r>
      <w:r>
        <w:rPr>
          <w:spacing w:val="-9"/>
        </w:rPr>
        <w:t> </w:t>
      </w:r>
      <w:r>
        <w:rPr/>
        <w:t>2025</w:t>
      </w:r>
      <w:r>
        <w:rPr>
          <w:spacing w:val="-9"/>
        </w:rPr>
        <w:t> </w:t>
      </w:r>
      <w:r>
        <w:rPr/>
        <w:t>τα</w:t>
      </w:r>
      <w:r>
        <w:rPr>
          <w:spacing w:val="-12"/>
        </w:rPr>
        <w:t> </w:t>
      </w:r>
      <w:r>
        <w:rPr/>
        <w:t>δάνεια</w:t>
      </w:r>
      <w:r>
        <w:rPr>
          <w:spacing w:val="-8"/>
        </w:rPr>
        <w:t> </w:t>
      </w:r>
      <w:r>
        <w:rPr/>
        <w:t>προς</w:t>
      </w:r>
      <w:r>
        <w:rPr>
          <w:spacing w:val="-10"/>
        </w:rPr>
        <w:t> </w:t>
      </w:r>
      <w:r>
        <w:rPr/>
        <w:t>τις</w:t>
      </w:r>
      <w:r>
        <w:rPr>
          <w:spacing w:val="-10"/>
        </w:rPr>
        <w:t> </w:t>
      </w:r>
      <w:r>
        <w:rPr/>
        <w:t>επιχειρήσεις</w:t>
      </w:r>
      <w:r>
        <w:rPr>
          <w:spacing w:val="-9"/>
        </w:rPr>
        <w:t> </w:t>
      </w:r>
      <w:r>
        <w:rPr/>
        <w:t>με</w:t>
      </w:r>
      <w:r>
        <w:rPr>
          <w:spacing w:val="-9"/>
        </w:rPr>
        <w:t> </w:t>
      </w:r>
      <w:r>
        <w:rPr/>
        <w:t>στοιχεία</w:t>
      </w:r>
      <w:r>
        <w:rPr>
          <w:spacing w:val="-9"/>
        </w:rPr>
        <w:t> </w:t>
      </w:r>
      <w:r>
        <w:rPr/>
        <w:t>εντός</w:t>
      </w:r>
      <w:r>
        <w:rPr>
          <w:spacing w:val="-11"/>
        </w:rPr>
        <w:t> </w:t>
      </w:r>
      <w:r>
        <w:rPr/>
        <w:t>ισολογισμού</w:t>
      </w:r>
      <w:r>
        <w:rPr>
          <w:spacing w:val="-6"/>
        </w:rPr>
        <w:t> </w:t>
      </w:r>
      <w:r>
        <w:rPr/>
        <w:t>ανήλθαν σε 137 δισεκ. ευρώ σε ατομική βάση</w:t>
      </w:r>
      <w:hyperlink w:history="true" w:anchor="_bookmark54">
        <w:r>
          <w:rPr/>
          <w:t>.</w:t>
        </w:r>
        <w:r>
          <w:rPr>
            <w:position w:val="6"/>
            <w:sz w:val="10"/>
          </w:rPr>
          <w:t>36</w:t>
        </w:r>
      </w:hyperlink>
      <w:r>
        <w:rPr>
          <w:spacing w:val="40"/>
          <w:position w:val="6"/>
          <w:sz w:val="10"/>
        </w:rPr>
        <w:t> </w:t>
      </w:r>
      <w:r>
        <w:rPr/>
        <w:t>Ο λόγος των ΜΕΔ στο επιχειρηματικό χαρτοφυλάκιο διαμορφώθηκε</w:t>
      </w:r>
      <w:r>
        <w:rPr>
          <w:spacing w:val="-4"/>
        </w:rPr>
        <w:t> </w:t>
      </w:r>
      <w:r>
        <w:rPr/>
        <w:t>σε</w:t>
      </w:r>
      <w:r>
        <w:rPr>
          <w:spacing w:val="-4"/>
        </w:rPr>
        <w:t> </w:t>
      </w:r>
      <w:r>
        <w:rPr/>
        <w:t>2,2%</w:t>
      </w:r>
      <w:r>
        <w:rPr>
          <w:spacing w:val="-4"/>
        </w:rPr>
        <w:t> </w:t>
      </w:r>
      <w:r>
        <w:rPr/>
        <w:t>και</w:t>
      </w:r>
      <w:r>
        <w:rPr>
          <w:spacing w:val="-7"/>
        </w:rPr>
        <w:t> </w:t>
      </w:r>
      <w:r>
        <w:rPr/>
        <w:t>οφείλεται</w:t>
      </w:r>
      <w:r>
        <w:rPr>
          <w:spacing w:val="-3"/>
        </w:rPr>
        <w:t> </w:t>
      </w:r>
      <w:r>
        <w:rPr/>
        <w:t>κυρίως</w:t>
      </w:r>
      <w:r>
        <w:rPr>
          <w:spacing w:val="-8"/>
        </w:rPr>
        <w:t> </w:t>
      </w:r>
      <w:r>
        <w:rPr/>
        <w:t>στο</w:t>
      </w:r>
      <w:r>
        <w:rPr>
          <w:spacing w:val="-5"/>
        </w:rPr>
        <w:t> </w:t>
      </w:r>
      <w:r>
        <w:rPr/>
        <w:t>χαμηλό</w:t>
      </w:r>
      <w:r>
        <w:rPr>
          <w:spacing w:val="-5"/>
        </w:rPr>
        <w:t> </w:t>
      </w:r>
      <w:r>
        <w:rPr/>
        <w:t>ποσοστό</w:t>
      </w:r>
      <w:r>
        <w:rPr>
          <w:spacing w:val="-7"/>
        </w:rPr>
        <w:t> </w:t>
      </w:r>
      <w:r>
        <w:rPr/>
        <w:t>ΜΕΔ</w:t>
      </w:r>
      <w:r>
        <w:rPr>
          <w:spacing w:val="-5"/>
        </w:rPr>
        <w:t> </w:t>
      </w:r>
      <w:r>
        <w:rPr/>
        <w:t>των</w:t>
      </w:r>
      <w:r>
        <w:rPr>
          <w:spacing w:val="-4"/>
        </w:rPr>
        <w:t> </w:t>
      </w:r>
      <w:r>
        <w:rPr/>
        <w:t>μεγάλων</w:t>
      </w:r>
      <w:r>
        <w:rPr>
          <w:spacing w:val="-4"/>
        </w:rPr>
        <w:t> </w:t>
      </w:r>
      <w:r>
        <w:rPr/>
        <w:t>επιχειρή-σεων</w:t>
      </w:r>
      <w:r>
        <w:rPr>
          <w:spacing w:val="-4"/>
        </w:rPr>
        <w:t> </w:t>
      </w:r>
      <w:r>
        <w:rPr/>
        <w:t>(0,9%),</w:t>
      </w:r>
      <w:r>
        <w:rPr>
          <w:spacing w:val="-4"/>
        </w:rPr>
        <w:t> </w:t>
      </w:r>
      <w:r>
        <w:rPr/>
        <w:t>παρά</w:t>
      </w:r>
      <w:r>
        <w:rPr>
          <w:spacing w:val="-5"/>
        </w:rPr>
        <w:t> </w:t>
      </w:r>
      <w:r>
        <w:rPr/>
        <w:t>το</w:t>
      </w:r>
      <w:r>
        <w:rPr>
          <w:spacing w:val="-4"/>
        </w:rPr>
        <w:t> </w:t>
      </w:r>
      <w:r>
        <w:rPr/>
        <w:t>υψηλό</w:t>
      </w:r>
      <w:r>
        <w:rPr>
          <w:spacing w:val="-4"/>
        </w:rPr>
        <w:t> </w:t>
      </w:r>
      <w:r>
        <w:rPr/>
        <w:t>ποσοστό</w:t>
      </w:r>
      <w:r>
        <w:rPr>
          <w:spacing w:val="-3"/>
        </w:rPr>
        <w:t> </w:t>
      </w:r>
      <w:r>
        <w:rPr/>
        <w:t>ΜΕΔ</w:t>
      </w:r>
      <w:r>
        <w:rPr>
          <w:spacing w:val="-4"/>
        </w:rPr>
        <w:t> </w:t>
      </w:r>
      <w:r>
        <w:rPr/>
        <w:t>των</w:t>
      </w:r>
      <w:r>
        <w:rPr>
          <w:spacing w:val="-3"/>
        </w:rPr>
        <w:t> </w:t>
      </w:r>
      <w:r>
        <w:rPr/>
        <w:t>πολύ</w:t>
      </w:r>
      <w:r>
        <w:rPr>
          <w:spacing w:val="-5"/>
        </w:rPr>
        <w:t> </w:t>
      </w:r>
      <w:r>
        <w:rPr/>
        <w:t>μικρών</w:t>
      </w:r>
      <w:r>
        <w:rPr>
          <w:spacing w:val="-4"/>
        </w:rPr>
        <w:t> </w:t>
      </w:r>
      <w:r>
        <w:rPr/>
        <w:t>(10%)</w:t>
      </w:r>
      <w:r>
        <w:rPr>
          <w:spacing w:val="-4"/>
        </w:rPr>
        <w:t> </w:t>
      </w:r>
      <w:r>
        <w:rPr/>
        <w:t>και</w:t>
      </w:r>
      <w:r>
        <w:rPr>
          <w:spacing w:val="-4"/>
        </w:rPr>
        <w:t> </w:t>
      </w:r>
      <w:r>
        <w:rPr/>
        <w:t>των</w:t>
      </w:r>
      <w:r>
        <w:rPr>
          <w:spacing w:val="-4"/>
        </w:rPr>
        <w:t> </w:t>
      </w:r>
      <w:r>
        <w:rPr/>
        <w:t>μικρομεσαίων</w:t>
      </w:r>
      <w:r>
        <w:rPr>
          <w:spacing w:val="-3"/>
        </w:rPr>
        <w:t> </w:t>
      </w:r>
      <w:r>
        <w:rPr/>
        <w:t>επι-χειρήσεων (4,7%).</w:t>
      </w:r>
    </w:p>
    <w:p>
      <w:pPr>
        <w:pStyle w:val="BodyText"/>
        <w:spacing w:line="285" w:lineRule="auto"/>
        <w:ind w:left="172" w:right="955"/>
        <w:jc w:val="both"/>
      </w:pPr>
      <w:r>
        <w:rPr/>
        <w:t>Αναφορικά με τη διάρθρωση των χρηματοδοτήσεων στους κλάδους της ελληνικής οικονομίας, σημειώνεται</w:t>
      </w:r>
      <w:r>
        <w:rPr>
          <w:spacing w:val="-10"/>
        </w:rPr>
        <w:t> </w:t>
      </w:r>
      <w:r>
        <w:rPr/>
        <w:t>ότι</w:t>
      </w:r>
      <w:r>
        <w:rPr>
          <w:spacing w:val="-10"/>
        </w:rPr>
        <w:t> </w:t>
      </w:r>
      <w:r>
        <w:rPr/>
        <w:t>η</w:t>
      </w:r>
      <w:r>
        <w:rPr>
          <w:spacing w:val="-13"/>
        </w:rPr>
        <w:t> </w:t>
      </w:r>
      <w:r>
        <w:rPr/>
        <w:t>μεγαλύτερη</w:t>
      </w:r>
      <w:r>
        <w:rPr>
          <w:spacing w:val="-11"/>
        </w:rPr>
        <w:t> </w:t>
      </w:r>
      <w:r>
        <w:rPr/>
        <w:t>συγκέντρωση</w:t>
      </w:r>
      <w:r>
        <w:rPr>
          <w:spacing w:val="-13"/>
        </w:rPr>
        <w:t> </w:t>
      </w:r>
      <w:r>
        <w:rPr/>
        <w:t>αφορά</w:t>
      </w:r>
      <w:r>
        <w:rPr>
          <w:spacing w:val="-13"/>
        </w:rPr>
        <w:t> </w:t>
      </w:r>
      <w:r>
        <w:rPr/>
        <w:t>τις</w:t>
      </w:r>
      <w:r>
        <w:rPr>
          <w:spacing w:val="-13"/>
        </w:rPr>
        <w:t> </w:t>
      </w:r>
      <w:r>
        <w:rPr/>
        <w:t>χρηματοπιστωτικές</w:t>
      </w:r>
      <w:r>
        <w:rPr>
          <w:spacing w:val="-13"/>
        </w:rPr>
        <w:t> </w:t>
      </w:r>
      <w:r>
        <w:rPr/>
        <w:t>επιχειρήσεις</w:t>
      </w:r>
      <w:hyperlink w:history="true" w:anchor="_bookmark55">
        <w:r>
          <w:rPr>
            <w:position w:val="6"/>
            <w:sz w:val="10"/>
          </w:rPr>
          <w:t>37</w:t>
        </w:r>
      </w:hyperlink>
      <w:r>
        <w:rPr>
          <w:spacing w:val="20"/>
          <w:position w:val="6"/>
          <w:sz w:val="10"/>
        </w:rPr>
        <w:t> </w:t>
      </w:r>
      <w:r>
        <w:rPr/>
        <w:t>(24,4% των συνολικών χρηματοδοτήσεων προς επιχειρήσεις) και ακολουθούν οι κλάδοι της ενέργειας (11,8%), της μεταποίησης (10,7%) και της ναυτιλίας (10,6%).</w:t>
      </w:r>
    </w:p>
    <w:p>
      <w:pPr>
        <w:pStyle w:val="BodyText"/>
        <w:spacing w:line="285" w:lineRule="auto" w:after="7"/>
        <w:ind w:left="172" w:right="955"/>
        <w:jc w:val="both"/>
      </w:pPr>
      <w:r>
        <w:rPr/>
        <w:t>Τα</w:t>
      </w:r>
      <w:r>
        <w:rPr>
          <w:spacing w:val="-1"/>
        </w:rPr>
        <w:t> </w:t>
      </w:r>
      <w:r>
        <w:rPr/>
        <w:t>υψηλότερα</w:t>
      </w:r>
      <w:r>
        <w:rPr>
          <w:spacing w:val="-3"/>
        </w:rPr>
        <w:t> </w:t>
      </w:r>
      <w:r>
        <w:rPr/>
        <w:t>ποσοστά</w:t>
      </w:r>
      <w:r>
        <w:rPr>
          <w:spacing w:val="-2"/>
        </w:rPr>
        <w:t> </w:t>
      </w:r>
      <w:r>
        <w:rPr/>
        <w:t>ΜΕΔ</w:t>
      </w:r>
      <w:r>
        <w:rPr>
          <w:spacing w:val="-1"/>
        </w:rPr>
        <w:t> </w:t>
      </w:r>
      <w:r>
        <w:rPr/>
        <w:t>καταγράφονται</w:t>
      </w:r>
      <w:r>
        <w:rPr>
          <w:spacing w:val="-2"/>
        </w:rPr>
        <w:t> </w:t>
      </w:r>
      <w:r>
        <w:rPr/>
        <w:t>στους</w:t>
      </w:r>
      <w:r>
        <w:rPr>
          <w:spacing w:val="-1"/>
        </w:rPr>
        <w:t> </w:t>
      </w:r>
      <w:r>
        <w:rPr/>
        <w:t>κλάδους της</w:t>
      </w:r>
      <w:r>
        <w:rPr>
          <w:spacing w:val="-4"/>
        </w:rPr>
        <w:t> </w:t>
      </w:r>
      <w:r>
        <w:rPr/>
        <w:t>εστίασης</w:t>
      </w:r>
      <w:r>
        <w:rPr>
          <w:spacing w:val="-1"/>
        </w:rPr>
        <w:t> </w:t>
      </w:r>
      <w:r>
        <w:rPr/>
        <w:t>(11,6%),</w:t>
      </w:r>
      <w:r>
        <w:rPr>
          <w:spacing w:val="-3"/>
        </w:rPr>
        <w:t> </w:t>
      </w:r>
      <w:r>
        <w:rPr/>
        <w:t>της</w:t>
      </w:r>
      <w:r>
        <w:rPr>
          <w:spacing w:val="-1"/>
        </w:rPr>
        <w:t> </w:t>
      </w:r>
      <w:r>
        <w:rPr/>
        <w:t>αγροτι-κής δραστηριότητας (7%), του εμπορίου (6,1%), της μεταποίησης (4,3%) και των κατασκευών (3,7%). Υψηλά ποσοστά καταγράφονται και σε επιμέρους κλάδους της μεταποίησης, όπως ο κλάδος της κλωστοϋφαντουργίας (13,1%), της βιομηχανίας χάρτου, ξύλου και επίπλων (8,5%) και</w:t>
      </w:r>
      <w:r>
        <w:rPr>
          <w:spacing w:val="-8"/>
        </w:rPr>
        <w:t> </w:t>
      </w:r>
      <w:r>
        <w:rPr/>
        <w:t>των</w:t>
      </w:r>
      <w:r>
        <w:rPr>
          <w:spacing w:val="-7"/>
        </w:rPr>
        <w:t> </w:t>
      </w:r>
      <w:r>
        <w:rPr/>
        <w:t>λοιπών</w:t>
      </w:r>
      <w:r>
        <w:rPr>
          <w:spacing w:val="-7"/>
        </w:rPr>
        <w:t> </w:t>
      </w:r>
      <w:r>
        <w:rPr/>
        <w:t>μεταποιητικών</w:t>
      </w:r>
      <w:r>
        <w:rPr>
          <w:spacing w:val="-7"/>
        </w:rPr>
        <w:t> </w:t>
      </w:r>
      <w:r>
        <w:rPr/>
        <w:t>δραστηριοτήτων</w:t>
      </w:r>
      <w:r>
        <w:rPr>
          <w:spacing w:val="-7"/>
        </w:rPr>
        <w:t> </w:t>
      </w:r>
      <w:r>
        <w:rPr/>
        <w:t>(7,7%),</w:t>
      </w:r>
      <w:r>
        <w:rPr>
          <w:spacing w:val="-8"/>
        </w:rPr>
        <w:t> </w:t>
      </w:r>
      <w:r>
        <w:rPr/>
        <w:t>τα</w:t>
      </w:r>
      <w:r>
        <w:rPr>
          <w:spacing w:val="-9"/>
        </w:rPr>
        <w:t> </w:t>
      </w:r>
      <w:r>
        <w:rPr/>
        <w:t>οποία</w:t>
      </w:r>
      <w:r>
        <w:rPr>
          <w:spacing w:val="-8"/>
        </w:rPr>
        <w:t> </w:t>
      </w:r>
      <w:r>
        <w:rPr/>
        <w:t>όμως</w:t>
      </w:r>
      <w:r>
        <w:rPr>
          <w:spacing w:val="-9"/>
        </w:rPr>
        <w:t> </w:t>
      </w:r>
      <w:r>
        <w:rPr/>
        <w:t>αφορούν</w:t>
      </w:r>
      <w:r>
        <w:rPr>
          <w:spacing w:val="-7"/>
        </w:rPr>
        <w:t> </w:t>
      </w:r>
      <w:r>
        <w:rPr/>
        <w:t>μικρότερα</w:t>
      </w:r>
      <w:r>
        <w:rPr>
          <w:spacing w:val="-11"/>
        </w:rPr>
        <w:t> </w:t>
      </w:r>
      <w:r>
        <w:rPr/>
        <w:t>υπό-λοιπα χορηγήσεων και συνεπώς έχουν μικρή επίδραση στη διαμόρφωση του συνολικού δείκτη ΜΕΔ του κλάδου της μεταποίησης. Τα χαμηλότερα ποσοστά ΜΕΔ παρατηρούνται στους κλά-δους της ναυτιλίας (0,2%), των χρηματοπιστωτικών επιχειρήσεων (0,5%) και της ενέργειας (0,5%) (βλ. Διάγραμμα ΙΙΙ.8).</w:t>
      </w:r>
    </w:p>
    <w:p>
      <w:pPr>
        <w:spacing w:line="240" w:lineRule="auto"/>
        <w:ind w:left="172" w:right="0" w:firstLine="0"/>
        <w:rPr>
          <w:sz w:val="20"/>
        </w:rPr>
      </w:pPr>
      <w:r>
        <w:rPr>
          <w:sz w:val="20"/>
        </w:rPr>
        <mc:AlternateContent>
          <mc:Choice Requires="wps">
            <w:drawing>
              <wp:inline distT="0" distB="0" distL="0" distR="0">
                <wp:extent cx="5400675" cy="251460"/>
                <wp:effectExtent l="0" t="0" r="0" b="0"/>
                <wp:docPr id="425" name="Textbox 425"/>
                <wp:cNvGraphicFramePr>
                  <a:graphicFrameLocks/>
                </wp:cNvGraphicFramePr>
                <a:graphic>
                  <a:graphicData uri="http://schemas.microsoft.com/office/word/2010/wordprocessingShape">
                    <wps:wsp>
                      <wps:cNvPr id="425" name="Textbox 425"/>
                      <wps:cNvSpPr txBox="1"/>
                      <wps:spPr>
                        <a:xfrm>
                          <a:off x="0" y="0"/>
                          <a:ext cx="5400675" cy="251460"/>
                        </a:xfrm>
                        <a:prstGeom prst="rect">
                          <a:avLst/>
                        </a:prstGeom>
                        <a:solidFill>
                          <a:srgbClr val="1F487C"/>
                        </a:solidFill>
                      </wps:spPr>
                      <wps:txbx>
                        <w:txbxContent>
                          <w:p>
                            <w:pPr>
                              <w:spacing w:before="93"/>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3"/>
                                <w:sz w:val="18"/>
                              </w:rPr>
                              <w:t> </w:t>
                            </w:r>
                            <w:r>
                              <w:rPr>
                                <w:b/>
                                <w:smallCaps w:val="0"/>
                                <w:color w:val="FFFFFF"/>
                                <w:sz w:val="18"/>
                              </w:rPr>
                              <w:t>III.8</w:t>
                            </w:r>
                            <w:r>
                              <w:rPr>
                                <w:b/>
                                <w:smallCaps w:val="0"/>
                                <w:color w:val="FFFFFF"/>
                                <w:spacing w:val="-4"/>
                                <w:sz w:val="18"/>
                              </w:rPr>
                              <w:t> </w:t>
                            </w:r>
                            <w:r>
                              <w:rPr>
                                <w:b/>
                                <w:smallCaps w:val="0"/>
                                <w:color w:val="FFFFFF"/>
                                <w:sz w:val="18"/>
                              </w:rPr>
                              <w:t>Κλαδ</w:t>
                            </w:r>
                            <w:r>
                              <w:rPr>
                                <w:b/>
                                <w:smallCaps/>
                                <w:color w:val="FFFFFF"/>
                                <w:sz w:val="18"/>
                              </w:rPr>
                              <w:t>ι</w:t>
                            </w:r>
                            <w:r>
                              <w:rPr>
                                <w:b/>
                                <w:smallCaps w:val="0"/>
                                <w:color w:val="FFFFFF"/>
                                <w:sz w:val="18"/>
                              </w:rPr>
                              <w:t>κή</w:t>
                            </w:r>
                            <w:r>
                              <w:rPr>
                                <w:b/>
                                <w:smallCaps w:val="0"/>
                                <w:color w:val="FFFFFF"/>
                                <w:spacing w:val="-2"/>
                                <w:sz w:val="18"/>
                              </w:rPr>
                              <w:t> </w:t>
                            </w:r>
                            <w:r>
                              <w:rPr>
                                <w:b/>
                                <w:smallCaps w:val="0"/>
                                <w:color w:val="FFFFFF"/>
                                <w:sz w:val="18"/>
                              </w:rPr>
                              <w:t>ανάλυση</w:t>
                            </w:r>
                            <w:r>
                              <w:rPr>
                                <w:b/>
                                <w:smallCaps w:val="0"/>
                                <w:color w:val="FFFFFF"/>
                                <w:spacing w:val="-2"/>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ρηματ</w:t>
                            </w:r>
                            <w:r>
                              <w:rPr>
                                <w:b/>
                                <w:smallCaps/>
                                <w:color w:val="FFFFFF"/>
                                <w:sz w:val="18"/>
                              </w:rPr>
                              <w:t>ι</w:t>
                            </w:r>
                            <w:r>
                              <w:rPr>
                                <w:b/>
                                <w:smallCaps w:val="0"/>
                                <w:color w:val="FFFFFF"/>
                                <w:sz w:val="18"/>
                              </w:rPr>
                              <w:t>κών</w:t>
                            </w:r>
                            <w:r>
                              <w:rPr>
                                <w:b/>
                                <w:smallCaps w:val="0"/>
                                <w:color w:val="FFFFFF"/>
                                <w:spacing w:val="-2"/>
                                <w:sz w:val="18"/>
                              </w:rPr>
                              <w:t> </w:t>
                            </w:r>
                            <w:r>
                              <w:rPr>
                                <w:b/>
                                <w:smallCaps w:val="0"/>
                                <w:color w:val="FFFFFF"/>
                                <w:sz w:val="18"/>
                              </w:rPr>
                              <w:t>δανείων</w:t>
                            </w:r>
                            <w:r>
                              <w:rPr>
                                <w:b/>
                                <w:smallCaps w:val="0"/>
                                <w:color w:val="FFFFFF"/>
                                <w:spacing w:val="-3"/>
                                <w:sz w:val="18"/>
                              </w:rPr>
                              <w:t> </w:t>
                            </w:r>
                            <w:r>
                              <w:rPr>
                                <w:b/>
                                <w:smallCaps w:val="0"/>
                                <w:color w:val="FFFFFF"/>
                                <w:sz w:val="18"/>
                              </w:rPr>
                              <w:t>το</w:t>
                            </w:r>
                            <w:r>
                              <w:rPr>
                                <w:b/>
                                <w:smallCaps w:val="0"/>
                                <w:color w:val="FFFFFF"/>
                                <w:spacing w:val="2"/>
                                <w:sz w:val="18"/>
                              </w:rPr>
                              <w:t> </w:t>
                            </w:r>
                            <w:r>
                              <w:rPr>
                                <w:b/>
                                <w:smallCaps w:val="0"/>
                                <w:color w:val="FFFFFF"/>
                                <w:sz w:val="18"/>
                              </w:rPr>
                              <w:t>έτος</w:t>
                            </w:r>
                            <w:r>
                              <w:rPr>
                                <w:b/>
                                <w:smallCaps w:val="0"/>
                                <w:color w:val="FFFFFF"/>
                                <w:spacing w:val="-4"/>
                                <w:sz w:val="18"/>
                              </w:rPr>
                              <w:t> 2025</w:t>
                            </w:r>
                          </w:p>
                        </w:txbxContent>
                      </wps:txbx>
                      <wps:bodyPr wrap="square" lIns="0" tIns="0" rIns="0" bIns="0" rtlCol="0">
                        <a:noAutofit/>
                      </wps:bodyPr>
                    </wps:wsp>
                  </a:graphicData>
                </a:graphic>
              </wp:inline>
            </w:drawing>
          </mc:Choice>
          <mc:Fallback>
            <w:pict>
              <v:shape style="width:425.25pt;height:19.8pt;mso-position-horizontal-relative:char;mso-position-vertical-relative:line" type="#_x0000_t202" id="docshape397" filled="true" fillcolor="#1f487c" stroked="false">
                <w10:anchorlock/>
                <v:textbox inset="0,0,0,0">
                  <w:txbxContent>
                    <w:p>
                      <w:pPr>
                        <w:spacing w:before="93"/>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3"/>
                          <w:sz w:val="18"/>
                        </w:rPr>
                        <w:t> </w:t>
                      </w:r>
                      <w:r>
                        <w:rPr>
                          <w:b/>
                          <w:smallCaps w:val="0"/>
                          <w:color w:val="FFFFFF"/>
                          <w:sz w:val="18"/>
                        </w:rPr>
                        <w:t>III.8</w:t>
                      </w:r>
                      <w:r>
                        <w:rPr>
                          <w:b/>
                          <w:smallCaps w:val="0"/>
                          <w:color w:val="FFFFFF"/>
                          <w:spacing w:val="-4"/>
                          <w:sz w:val="18"/>
                        </w:rPr>
                        <w:t> </w:t>
                      </w:r>
                      <w:r>
                        <w:rPr>
                          <w:b/>
                          <w:smallCaps w:val="0"/>
                          <w:color w:val="FFFFFF"/>
                          <w:sz w:val="18"/>
                        </w:rPr>
                        <w:t>Κλαδ</w:t>
                      </w:r>
                      <w:r>
                        <w:rPr>
                          <w:b/>
                          <w:smallCaps/>
                          <w:color w:val="FFFFFF"/>
                          <w:sz w:val="18"/>
                        </w:rPr>
                        <w:t>ι</w:t>
                      </w:r>
                      <w:r>
                        <w:rPr>
                          <w:b/>
                          <w:smallCaps w:val="0"/>
                          <w:color w:val="FFFFFF"/>
                          <w:sz w:val="18"/>
                        </w:rPr>
                        <w:t>κή</w:t>
                      </w:r>
                      <w:r>
                        <w:rPr>
                          <w:b/>
                          <w:smallCaps w:val="0"/>
                          <w:color w:val="FFFFFF"/>
                          <w:spacing w:val="-2"/>
                          <w:sz w:val="18"/>
                        </w:rPr>
                        <w:t> </w:t>
                      </w:r>
                      <w:r>
                        <w:rPr>
                          <w:b/>
                          <w:smallCaps w:val="0"/>
                          <w:color w:val="FFFFFF"/>
                          <w:sz w:val="18"/>
                        </w:rPr>
                        <w:t>ανάλυση</w:t>
                      </w:r>
                      <w:r>
                        <w:rPr>
                          <w:b/>
                          <w:smallCaps w:val="0"/>
                          <w:color w:val="FFFFFF"/>
                          <w:spacing w:val="-2"/>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ρηματ</w:t>
                      </w:r>
                      <w:r>
                        <w:rPr>
                          <w:b/>
                          <w:smallCaps/>
                          <w:color w:val="FFFFFF"/>
                          <w:sz w:val="18"/>
                        </w:rPr>
                        <w:t>ι</w:t>
                      </w:r>
                      <w:r>
                        <w:rPr>
                          <w:b/>
                          <w:smallCaps w:val="0"/>
                          <w:color w:val="FFFFFF"/>
                          <w:sz w:val="18"/>
                        </w:rPr>
                        <w:t>κών</w:t>
                      </w:r>
                      <w:r>
                        <w:rPr>
                          <w:b/>
                          <w:smallCaps w:val="0"/>
                          <w:color w:val="FFFFFF"/>
                          <w:spacing w:val="-2"/>
                          <w:sz w:val="18"/>
                        </w:rPr>
                        <w:t> </w:t>
                      </w:r>
                      <w:r>
                        <w:rPr>
                          <w:b/>
                          <w:smallCaps w:val="0"/>
                          <w:color w:val="FFFFFF"/>
                          <w:sz w:val="18"/>
                        </w:rPr>
                        <w:t>δανείων</w:t>
                      </w:r>
                      <w:r>
                        <w:rPr>
                          <w:b/>
                          <w:smallCaps w:val="0"/>
                          <w:color w:val="FFFFFF"/>
                          <w:spacing w:val="-3"/>
                          <w:sz w:val="18"/>
                        </w:rPr>
                        <w:t> </w:t>
                      </w:r>
                      <w:r>
                        <w:rPr>
                          <w:b/>
                          <w:smallCaps w:val="0"/>
                          <w:color w:val="FFFFFF"/>
                          <w:sz w:val="18"/>
                        </w:rPr>
                        <w:t>το</w:t>
                      </w:r>
                      <w:r>
                        <w:rPr>
                          <w:b/>
                          <w:smallCaps w:val="0"/>
                          <w:color w:val="FFFFFF"/>
                          <w:spacing w:val="2"/>
                          <w:sz w:val="18"/>
                        </w:rPr>
                        <w:t> </w:t>
                      </w:r>
                      <w:r>
                        <w:rPr>
                          <w:b/>
                          <w:smallCaps w:val="0"/>
                          <w:color w:val="FFFFFF"/>
                          <w:sz w:val="18"/>
                        </w:rPr>
                        <w:t>έτος</w:t>
                      </w:r>
                      <w:r>
                        <w:rPr>
                          <w:b/>
                          <w:smallCaps w:val="0"/>
                          <w:color w:val="FFFFFF"/>
                          <w:spacing w:val="-4"/>
                          <w:sz w:val="18"/>
                        </w:rPr>
                        <w:t> 2025</w:t>
                      </w:r>
                    </w:p>
                  </w:txbxContent>
                </v:textbox>
                <v:fill type="solid"/>
              </v:shape>
            </w:pict>
          </mc:Fallback>
        </mc:AlternateContent>
      </w:r>
      <w:r>
        <w:rPr>
          <w:sz w:val="20"/>
        </w:rPr>
      </w:r>
    </w:p>
    <w:p>
      <w:pPr>
        <w:spacing w:before="0"/>
        <w:ind w:left="337" w:right="0" w:firstLine="0"/>
        <w:jc w:val="left"/>
        <w:rPr>
          <w:sz w:val="14"/>
        </w:rPr>
      </w:pPr>
      <w:r>
        <w:rPr>
          <w:sz w:val="14"/>
        </w:rPr>
        <mc:AlternateContent>
          <mc:Choice Requires="wps">
            <w:drawing>
              <wp:anchor distT="0" distB="0" distL="0" distR="0" allowOverlap="1" layoutInCell="1" locked="0" behindDoc="1" simplePos="0" relativeHeight="487623680">
                <wp:simplePos x="0" y="0"/>
                <wp:positionH relativeFrom="page">
                  <wp:posOffset>1009192</wp:posOffset>
                </wp:positionH>
                <wp:positionV relativeFrom="paragraph">
                  <wp:posOffset>128904</wp:posOffset>
                </wp:positionV>
                <wp:extent cx="5400675" cy="3646804"/>
                <wp:effectExtent l="0" t="0" r="0" b="0"/>
                <wp:wrapTopAndBottom/>
                <wp:docPr id="426" name="Group 426"/>
                <wp:cNvGraphicFramePr>
                  <a:graphicFrameLocks/>
                </wp:cNvGraphicFramePr>
                <a:graphic>
                  <a:graphicData uri="http://schemas.microsoft.com/office/word/2010/wordprocessingGroup">
                    <wpg:wgp>
                      <wpg:cNvPr id="426" name="Group 426"/>
                      <wpg:cNvGrpSpPr/>
                      <wpg:grpSpPr>
                        <a:xfrm>
                          <a:off x="0" y="0"/>
                          <a:ext cx="5400675" cy="3646804"/>
                          <a:chExt cx="5400675" cy="3646804"/>
                        </a:xfrm>
                      </wpg:grpSpPr>
                      <wps:wsp>
                        <wps:cNvPr id="427" name="Graphic 427"/>
                        <wps:cNvSpPr/>
                        <wps:spPr>
                          <a:xfrm>
                            <a:off x="0" y="634"/>
                            <a:ext cx="5400675" cy="3245485"/>
                          </a:xfrm>
                          <a:custGeom>
                            <a:avLst/>
                            <a:gdLst/>
                            <a:ahLst/>
                            <a:cxnLst/>
                            <a:rect l="l" t="t" r="r" b="b"/>
                            <a:pathLst>
                              <a:path w="5400675" h="3245485">
                                <a:moveTo>
                                  <a:pt x="5400421" y="0"/>
                                </a:moveTo>
                                <a:lnTo>
                                  <a:pt x="0" y="0"/>
                                </a:lnTo>
                                <a:lnTo>
                                  <a:pt x="0" y="3105023"/>
                                </a:lnTo>
                                <a:lnTo>
                                  <a:pt x="0" y="3245231"/>
                                </a:lnTo>
                                <a:lnTo>
                                  <a:pt x="5400421" y="3245231"/>
                                </a:lnTo>
                                <a:lnTo>
                                  <a:pt x="5400421" y="3105023"/>
                                </a:lnTo>
                                <a:lnTo>
                                  <a:pt x="5400421" y="0"/>
                                </a:lnTo>
                                <a:close/>
                              </a:path>
                            </a:pathLst>
                          </a:custGeom>
                          <a:solidFill>
                            <a:srgbClr val="D9D9D9"/>
                          </a:solidFill>
                        </wps:spPr>
                        <wps:bodyPr wrap="square" lIns="0" tIns="0" rIns="0" bIns="0" rtlCol="0">
                          <a:prstTxWarp prst="textNoShape">
                            <a:avLst/>
                          </a:prstTxWarp>
                          <a:noAutofit/>
                        </wps:bodyPr>
                      </wps:wsp>
                      <wps:wsp>
                        <wps:cNvPr id="428" name="Graphic 428"/>
                        <wps:cNvSpPr/>
                        <wps:spPr>
                          <a:xfrm>
                            <a:off x="0" y="3639057"/>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pic:pic>
                        <pic:nvPicPr>
                          <pic:cNvPr id="429" name="Image 429"/>
                          <pic:cNvPicPr/>
                        </pic:nvPicPr>
                        <pic:blipFill>
                          <a:blip r:embed="rId86" cstate="print"/>
                          <a:stretch>
                            <a:fillRect/>
                          </a:stretch>
                        </pic:blipFill>
                        <pic:spPr>
                          <a:xfrm>
                            <a:off x="7124" y="0"/>
                            <a:ext cx="5327015" cy="3101975"/>
                          </a:xfrm>
                          <a:prstGeom prst="rect">
                            <a:avLst/>
                          </a:prstGeom>
                        </pic:spPr>
                      </pic:pic>
                      <wps:wsp>
                        <wps:cNvPr id="430" name="Textbox 430"/>
                        <wps:cNvSpPr txBox="1"/>
                        <wps:spPr>
                          <a:xfrm>
                            <a:off x="0" y="635"/>
                            <a:ext cx="5400675" cy="324548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59"/>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anchor>
            </w:drawing>
          </mc:Choice>
          <mc:Fallback>
            <w:pict>
              <v:group style="position:absolute;margin-left:79.463997pt;margin-top:10.15pt;width:425.25pt;height:287.150pt;mso-position-horizontal-relative:page;mso-position-vertical-relative:paragraph;z-index:-15692800;mso-wrap-distance-left:0;mso-wrap-distance-right:0" id="docshapegroup398" coordorigin="1589,203" coordsize="8505,5743">
                <v:shape style="position:absolute;left:1589;top:204;width:8505;height:5111" id="docshape399" coordorigin="1589,204" coordsize="8505,5111" path="m10094,204l1589,204,1589,5094,1589,5315,10094,5315,10094,5094,10094,204xe" filled="true" fillcolor="#d9d9d9" stroked="false">
                  <v:path arrowok="t"/>
                  <v:fill type="solid"/>
                </v:shape>
                <v:rect style="position:absolute;left:1589;top:5933;width:2881;height:12" id="docshape400" filled="true" fillcolor="#000000" stroked="false">
                  <v:fill type="solid"/>
                </v:rect>
                <v:shape style="position:absolute;left:1600;top:203;width:8389;height:4885" type="#_x0000_t75" id="docshape401" stroked="false">
                  <v:imagedata r:id="rId86" o:title=""/>
                </v:shape>
                <v:shape style="position:absolute;left:1589;top:204;width:8505;height:5111" type="#_x0000_t202" id="docshape4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59"/>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v:textbox>
                  <w10:wrap type="none"/>
                </v:shape>
                <w10:wrap type="topAndBottom"/>
              </v:group>
            </w:pict>
          </mc:Fallback>
        </mc:AlternateContent>
      </w:r>
      <w:r>
        <w:rPr>
          <w:color w:val="1F487C"/>
          <w:sz w:val="14"/>
        </w:rPr>
        <w:t>(δισεκ.</w:t>
      </w:r>
      <w:r>
        <w:rPr>
          <w:color w:val="1F487C"/>
          <w:spacing w:val="-4"/>
          <w:sz w:val="14"/>
        </w:rPr>
        <w:t> </w:t>
      </w:r>
      <w:r>
        <w:rPr>
          <w:color w:val="1F487C"/>
          <w:sz w:val="14"/>
        </w:rPr>
        <w:t>ευρώ,</w:t>
      </w:r>
      <w:r>
        <w:rPr>
          <w:color w:val="1F487C"/>
          <w:spacing w:val="-4"/>
          <w:sz w:val="14"/>
        </w:rPr>
        <w:t> </w:t>
      </w:r>
      <w:r>
        <w:rPr>
          <w:color w:val="1F487C"/>
          <w:sz w:val="14"/>
        </w:rPr>
        <w:t>ποσοστά</w:t>
      </w:r>
      <w:r>
        <w:rPr>
          <w:color w:val="1F487C"/>
          <w:spacing w:val="-7"/>
          <w:sz w:val="14"/>
        </w:rPr>
        <w:t> </w:t>
      </w:r>
      <w:r>
        <w:rPr>
          <w:color w:val="1F487C"/>
          <w:spacing w:val="-5"/>
          <w:sz w:val="14"/>
        </w:rPr>
        <w:t>%)</w:t>
      </w:r>
    </w:p>
    <w:p>
      <w:pPr>
        <w:spacing w:before="167"/>
        <w:ind w:left="172" w:right="956" w:firstLine="0"/>
        <w:jc w:val="both"/>
        <w:rPr>
          <w:sz w:val="16"/>
        </w:rPr>
      </w:pPr>
      <w:bookmarkStart w:name="_bookmark54" w:id="55"/>
      <w:bookmarkEnd w:id="55"/>
      <w:r>
        <w:rPr/>
      </w:r>
      <w:r>
        <w:rPr>
          <w:sz w:val="16"/>
          <w:vertAlign w:val="superscript"/>
        </w:rPr>
        <w:t>36</w:t>
      </w:r>
      <w:r>
        <w:rPr>
          <w:sz w:val="16"/>
          <w:vertAlign w:val="baseline"/>
        </w:rPr>
        <w:t> Για τους σκοπούς της Ενότητας 2.1 </w:t>
      </w:r>
      <w:hyperlink w:history="true" w:anchor="_bookmark50">
        <w:r>
          <w:rPr>
            <w:sz w:val="16"/>
            <w:vertAlign w:val="baseline"/>
          </w:rPr>
          <w:t>Πιστωτικός κίνδυνος</w:t>
        </w:r>
      </w:hyperlink>
      <w:r>
        <w:rPr>
          <w:sz w:val="16"/>
          <w:vertAlign w:val="baseline"/>
        </w:rPr>
        <w:t> ως δάνειο προς επιχειρήσεις νοείται το υπόλοιπο δανείων σε ατομική</w:t>
      </w:r>
      <w:r>
        <w:rPr>
          <w:spacing w:val="40"/>
          <w:sz w:val="16"/>
          <w:vertAlign w:val="baseline"/>
        </w:rPr>
        <w:t> </w:t>
      </w:r>
      <w:r>
        <w:rPr>
          <w:sz w:val="16"/>
          <w:vertAlign w:val="baseline"/>
        </w:rPr>
        <w:t>βάση προς: α) ελεύθερους επαγγελματίες και πολύ μικρές επιχειρήσεις, β)</w:t>
      </w:r>
      <w:r>
        <w:rPr>
          <w:spacing w:val="-2"/>
          <w:sz w:val="16"/>
          <w:vertAlign w:val="baseline"/>
        </w:rPr>
        <w:t> </w:t>
      </w:r>
      <w:r>
        <w:rPr>
          <w:sz w:val="16"/>
          <w:vertAlign w:val="baseline"/>
        </w:rPr>
        <w:t>μικρές και μεσαίες επιχειρήσεις, γ) μεγάλες επιχειρήσεις</w:t>
      </w:r>
      <w:r>
        <w:rPr>
          <w:spacing w:val="40"/>
          <w:sz w:val="16"/>
          <w:vertAlign w:val="baseline"/>
        </w:rPr>
        <w:t> </w:t>
      </w:r>
      <w:r>
        <w:rPr>
          <w:sz w:val="16"/>
          <w:vertAlign w:val="baseline"/>
        </w:rPr>
        <w:t>και δ) ναυτιλιακές επιχειρήσεις.</w:t>
      </w:r>
    </w:p>
    <w:p>
      <w:pPr>
        <w:spacing w:before="19"/>
        <w:ind w:left="172" w:right="960" w:firstLine="0"/>
        <w:jc w:val="both"/>
        <w:rPr>
          <w:sz w:val="16"/>
        </w:rPr>
      </w:pPr>
      <w:bookmarkStart w:name="_bookmark55" w:id="56"/>
      <w:bookmarkEnd w:id="56"/>
      <w:r>
        <w:rPr/>
      </w:r>
      <w:r>
        <w:rPr>
          <w:sz w:val="16"/>
          <w:vertAlign w:val="superscript"/>
        </w:rPr>
        <w:t>37</w:t>
      </w:r>
      <w:r>
        <w:rPr>
          <w:sz w:val="16"/>
          <w:vertAlign w:val="baseline"/>
        </w:rPr>
        <w:t> Η υψηλή συγκέντρωση των χρηματοδοτήσεων προς τις χρηματοπιστωτικές επιχειρήσεις οφείλεται κατά κύριο λόγο στη διακρά-τηση</w:t>
      </w:r>
      <w:r>
        <w:rPr>
          <w:spacing w:val="-10"/>
          <w:sz w:val="16"/>
          <w:vertAlign w:val="baseline"/>
        </w:rPr>
        <w:t> </w:t>
      </w:r>
      <w:r>
        <w:rPr>
          <w:sz w:val="16"/>
          <w:vertAlign w:val="baseline"/>
        </w:rPr>
        <w:t>από</w:t>
      </w:r>
      <w:r>
        <w:rPr>
          <w:spacing w:val="-10"/>
          <w:sz w:val="16"/>
          <w:vertAlign w:val="baseline"/>
        </w:rPr>
        <w:t> </w:t>
      </w:r>
      <w:r>
        <w:rPr>
          <w:sz w:val="16"/>
          <w:vertAlign w:val="baseline"/>
        </w:rPr>
        <w:t>τα</w:t>
      </w:r>
      <w:r>
        <w:rPr>
          <w:spacing w:val="-10"/>
          <w:sz w:val="16"/>
          <w:vertAlign w:val="baseline"/>
        </w:rPr>
        <w:t> </w:t>
      </w:r>
      <w:r>
        <w:rPr>
          <w:sz w:val="16"/>
          <w:vertAlign w:val="baseline"/>
        </w:rPr>
        <w:t>πιστωτικά</w:t>
      </w:r>
      <w:r>
        <w:rPr>
          <w:spacing w:val="-10"/>
          <w:sz w:val="16"/>
          <w:vertAlign w:val="baseline"/>
        </w:rPr>
        <w:t> </w:t>
      </w:r>
      <w:r>
        <w:rPr>
          <w:sz w:val="16"/>
          <w:vertAlign w:val="baseline"/>
        </w:rPr>
        <w:t>ιδρύματα</w:t>
      </w:r>
      <w:r>
        <w:rPr>
          <w:spacing w:val="-10"/>
          <w:sz w:val="16"/>
          <w:vertAlign w:val="baseline"/>
        </w:rPr>
        <w:t> </w:t>
      </w:r>
      <w:r>
        <w:rPr>
          <w:sz w:val="16"/>
          <w:vertAlign w:val="baseline"/>
        </w:rPr>
        <w:t>των</w:t>
      </w:r>
      <w:r>
        <w:rPr>
          <w:spacing w:val="-10"/>
          <w:sz w:val="16"/>
          <w:vertAlign w:val="baseline"/>
        </w:rPr>
        <w:t> </w:t>
      </w:r>
      <w:r>
        <w:rPr>
          <w:sz w:val="16"/>
          <w:vertAlign w:val="baseline"/>
        </w:rPr>
        <w:t>ομολόγων</w:t>
      </w:r>
      <w:r>
        <w:rPr>
          <w:spacing w:val="-10"/>
          <w:sz w:val="16"/>
          <w:vertAlign w:val="baseline"/>
        </w:rPr>
        <w:t> </w:t>
      </w:r>
      <w:r>
        <w:rPr>
          <w:sz w:val="16"/>
          <w:vertAlign w:val="baseline"/>
        </w:rPr>
        <w:t>υψηλής</w:t>
      </w:r>
      <w:r>
        <w:rPr>
          <w:spacing w:val="-9"/>
          <w:sz w:val="16"/>
          <w:vertAlign w:val="baseline"/>
        </w:rPr>
        <w:t> </w:t>
      </w:r>
      <w:r>
        <w:rPr>
          <w:sz w:val="16"/>
          <w:vertAlign w:val="baseline"/>
        </w:rPr>
        <w:t>εξοφλητικής</w:t>
      </w:r>
      <w:r>
        <w:rPr>
          <w:spacing w:val="-7"/>
          <w:sz w:val="16"/>
          <w:vertAlign w:val="baseline"/>
        </w:rPr>
        <w:t> </w:t>
      </w:r>
      <w:r>
        <w:rPr>
          <w:sz w:val="16"/>
          <w:vertAlign w:val="baseline"/>
        </w:rPr>
        <w:t>προτεραιότητας</w:t>
      </w:r>
      <w:r>
        <w:rPr>
          <w:spacing w:val="-8"/>
          <w:sz w:val="16"/>
          <w:vertAlign w:val="baseline"/>
        </w:rPr>
        <w:t> </w:t>
      </w:r>
      <w:r>
        <w:rPr>
          <w:sz w:val="16"/>
          <w:vertAlign w:val="baseline"/>
        </w:rPr>
        <w:t>(senior</w:t>
      </w:r>
      <w:r>
        <w:rPr>
          <w:spacing w:val="-10"/>
          <w:sz w:val="16"/>
          <w:vertAlign w:val="baseline"/>
        </w:rPr>
        <w:t> </w:t>
      </w:r>
      <w:r>
        <w:rPr>
          <w:sz w:val="16"/>
          <w:vertAlign w:val="baseline"/>
        </w:rPr>
        <w:t>notes),</w:t>
      </w:r>
      <w:r>
        <w:rPr>
          <w:spacing w:val="-8"/>
          <w:sz w:val="16"/>
          <w:vertAlign w:val="baseline"/>
        </w:rPr>
        <w:t> </w:t>
      </w:r>
      <w:r>
        <w:rPr>
          <w:sz w:val="16"/>
          <w:vertAlign w:val="baseline"/>
        </w:rPr>
        <w:t>τα</w:t>
      </w:r>
      <w:r>
        <w:rPr>
          <w:spacing w:val="-10"/>
          <w:sz w:val="16"/>
          <w:vertAlign w:val="baseline"/>
        </w:rPr>
        <w:t> </w:t>
      </w:r>
      <w:r>
        <w:rPr>
          <w:sz w:val="16"/>
          <w:vertAlign w:val="baseline"/>
        </w:rPr>
        <w:t>οποία</w:t>
      </w:r>
      <w:r>
        <w:rPr>
          <w:spacing w:val="-10"/>
          <w:sz w:val="16"/>
          <w:vertAlign w:val="baseline"/>
        </w:rPr>
        <w:t> </w:t>
      </w:r>
      <w:r>
        <w:rPr>
          <w:sz w:val="16"/>
          <w:vertAlign w:val="baseline"/>
        </w:rPr>
        <w:t>εκδόθηκαν</w:t>
      </w:r>
      <w:r>
        <w:rPr>
          <w:spacing w:val="-10"/>
          <w:sz w:val="16"/>
          <w:vertAlign w:val="baseline"/>
        </w:rPr>
        <w:t> </w:t>
      </w:r>
      <w:r>
        <w:rPr>
          <w:sz w:val="16"/>
          <w:vertAlign w:val="baseline"/>
        </w:rPr>
        <w:t>στο</w:t>
      </w:r>
      <w:r>
        <w:rPr>
          <w:spacing w:val="-10"/>
          <w:sz w:val="16"/>
          <w:vertAlign w:val="baseline"/>
        </w:rPr>
        <w:t> </w:t>
      </w:r>
      <w:r>
        <w:rPr>
          <w:sz w:val="16"/>
          <w:vertAlign w:val="baseline"/>
        </w:rPr>
        <w:t>πλαίσιο</w:t>
      </w:r>
      <w:r>
        <w:rPr>
          <w:spacing w:val="40"/>
          <w:sz w:val="16"/>
          <w:vertAlign w:val="baseline"/>
        </w:rPr>
        <w:t> </w:t>
      </w:r>
      <w:r>
        <w:rPr>
          <w:sz w:val="16"/>
          <w:vertAlign w:val="baseline"/>
        </w:rPr>
        <w:t>των τιτλοποιήσεων μη εξυπηρετούμενων δανείων (πρόγραμμα “Ηρακλής”) και παραμένουν στο χαρτοφυλάκιο των τραπεζών.</w:t>
      </w:r>
    </w:p>
    <w:p>
      <w:pPr>
        <w:spacing w:after="0"/>
        <w:jc w:val="both"/>
        <w:rPr>
          <w:sz w:val="16"/>
        </w:rPr>
        <w:sectPr>
          <w:pgSz w:w="11910" w:h="16850"/>
          <w:pgMar w:header="0" w:footer="1108" w:top="1840" w:bottom="1300" w:left="1417" w:right="850"/>
        </w:sectPr>
      </w:pPr>
    </w:p>
    <w:p>
      <w:pPr>
        <w:pStyle w:val="Heading4"/>
        <w:spacing w:before="66"/>
        <w:jc w:val="left"/>
      </w:pPr>
      <w:r>
        <w:rPr>
          <w:color w:val="1F487C"/>
          <w:spacing w:val="-2"/>
        </w:rPr>
        <w:t>Προοπτ</w:t>
      </w:r>
      <w:r>
        <w:rPr>
          <w:smallCaps/>
          <w:color w:val="1F487C"/>
          <w:spacing w:val="-2"/>
        </w:rPr>
        <w:t>ι</w:t>
      </w:r>
      <w:r>
        <w:rPr>
          <w:smallCaps w:val="0"/>
          <w:color w:val="1F487C"/>
          <w:spacing w:val="-2"/>
        </w:rPr>
        <w:t>κές</w:t>
      </w:r>
    </w:p>
    <w:p>
      <w:pPr>
        <w:pStyle w:val="BodyText"/>
        <w:spacing w:line="285" w:lineRule="auto" w:before="107"/>
        <w:ind w:left="172" w:right="955"/>
        <w:jc w:val="both"/>
      </w:pPr>
      <w:r>
        <w:rPr/>
        <w:t>Ο γεωπολιτικός κίνδυνος και οι επιπτώσεις του στο μακροοικονομικό περιβάλλον και στις διε-θνείς</w:t>
      </w:r>
      <w:r>
        <w:rPr>
          <w:spacing w:val="-5"/>
        </w:rPr>
        <w:t> </w:t>
      </w:r>
      <w:r>
        <w:rPr/>
        <w:t>χρηματοπιστωτικές</w:t>
      </w:r>
      <w:r>
        <w:rPr>
          <w:spacing w:val="-5"/>
        </w:rPr>
        <w:t> </w:t>
      </w:r>
      <w:r>
        <w:rPr/>
        <w:t>συνθήκες</w:t>
      </w:r>
      <w:r>
        <w:rPr>
          <w:spacing w:val="-6"/>
        </w:rPr>
        <w:t> </w:t>
      </w:r>
      <w:r>
        <w:rPr/>
        <w:t>αποτελούν</w:t>
      </w:r>
      <w:r>
        <w:rPr>
          <w:spacing w:val="-4"/>
        </w:rPr>
        <w:t> </w:t>
      </w:r>
      <w:r>
        <w:rPr/>
        <w:t>τη</w:t>
      </w:r>
      <w:r>
        <w:rPr>
          <w:spacing w:val="-7"/>
        </w:rPr>
        <w:t> </w:t>
      </w:r>
      <w:r>
        <w:rPr/>
        <w:t>σημαντικότερη</w:t>
      </w:r>
      <w:r>
        <w:rPr>
          <w:spacing w:val="-5"/>
        </w:rPr>
        <w:t> </w:t>
      </w:r>
      <w:r>
        <w:rPr/>
        <w:t>πηγή</w:t>
      </w:r>
      <w:r>
        <w:rPr>
          <w:spacing w:val="-4"/>
        </w:rPr>
        <w:t> </w:t>
      </w:r>
      <w:r>
        <w:rPr/>
        <w:t>αβεβαιότητας</w:t>
      </w:r>
      <w:r>
        <w:rPr>
          <w:spacing w:val="-6"/>
        </w:rPr>
        <w:t> </w:t>
      </w:r>
      <w:r>
        <w:rPr/>
        <w:t>σχετικά</w:t>
      </w:r>
      <w:r>
        <w:rPr>
          <w:spacing w:val="-5"/>
        </w:rPr>
        <w:t> </w:t>
      </w:r>
      <w:r>
        <w:rPr/>
        <w:t>με τις προοπτικές της ποιότητας του δανειακού χαρτοφυλακίου. Η άμεση έκθεση των σημαντικών τραπεζών σε αντισυμβαλλομένους από χώρες της Μέσης Ανατολής είναι περιορισμένη (κάτω του 1% των συνολικών ανοιγμάτων τους), με τις υψηλότερες συγκεντρώσεις να αφορούν την Τουρκία</w:t>
      </w:r>
      <w:r>
        <w:rPr>
          <w:spacing w:val="-4"/>
        </w:rPr>
        <w:t> </w:t>
      </w:r>
      <w:r>
        <w:rPr/>
        <w:t>(291,3</w:t>
      </w:r>
      <w:r>
        <w:rPr>
          <w:spacing w:val="-5"/>
        </w:rPr>
        <w:t> </w:t>
      </w:r>
      <w:r>
        <w:rPr/>
        <w:t>εκατ.</w:t>
      </w:r>
      <w:r>
        <w:rPr>
          <w:spacing w:val="-5"/>
        </w:rPr>
        <w:t> </w:t>
      </w:r>
      <w:r>
        <w:rPr/>
        <w:t>ευρώ),</w:t>
      </w:r>
      <w:r>
        <w:rPr>
          <w:spacing w:val="-2"/>
        </w:rPr>
        <w:t> </w:t>
      </w:r>
      <w:r>
        <w:rPr/>
        <w:t>τη</w:t>
      </w:r>
      <w:r>
        <w:rPr>
          <w:spacing w:val="-5"/>
        </w:rPr>
        <w:t> </w:t>
      </w:r>
      <w:r>
        <w:rPr/>
        <w:t>Σαουδική</w:t>
      </w:r>
      <w:r>
        <w:rPr>
          <w:spacing w:val="-5"/>
        </w:rPr>
        <w:t> </w:t>
      </w:r>
      <w:r>
        <w:rPr/>
        <w:t>Αραβία</w:t>
      </w:r>
      <w:r>
        <w:rPr>
          <w:spacing w:val="-5"/>
        </w:rPr>
        <w:t> </w:t>
      </w:r>
      <w:r>
        <w:rPr/>
        <w:t>(201,7</w:t>
      </w:r>
      <w:r>
        <w:rPr>
          <w:spacing w:val="-2"/>
        </w:rPr>
        <w:t> </w:t>
      </w:r>
      <w:r>
        <w:rPr/>
        <w:t>εκατ.</w:t>
      </w:r>
      <w:r>
        <w:rPr>
          <w:spacing w:val="-3"/>
        </w:rPr>
        <w:t> </w:t>
      </w:r>
      <w:r>
        <w:rPr/>
        <w:t>ευρώ)</w:t>
      </w:r>
      <w:r>
        <w:rPr>
          <w:spacing w:val="-4"/>
        </w:rPr>
        <w:t> </w:t>
      </w:r>
      <w:r>
        <w:rPr/>
        <w:t>και</w:t>
      </w:r>
      <w:r>
        <w:rPr>
          <w:spacing w:val="-5"/>
        </w:rPr>
        <w:t> </w:t>
      </w:r>
      <w:r>
        <w:rPr/>
        <w:t>το</w:t>
      </w:r>
      <w:r>
        <w:rPr>
          <w:spacing w:val="-2"/>
        </w:rPr>
        <w:t> </w:t>
      </w:r>
      <w:r>
        <w:rPr/>
        <w:t>Κατάρ</w:t>
      </w:r>
      <w:r>
        <w:rPr>
          <w:spacing w:val="-2"/>
        </w:rPr>
        <w:t> </w:t>
      </w:r>
      <w:r>
        <w:rPr/>
        <w:t>(140,6</w:t>
      </w:r>
      <w:r>
        <w:rPr>
          <w:spacing w:val="-5"/>
        </w:rPr>
        <w:t> </w:t>
      </w:r>
      <w:r>
        <w:rPr/>
        <w:t>εκατ. ευρώ),</w:t>
      </w:r>
      <w:r>
        <w:rPr>
          <w:spacing w:val="-9"/>
        </w:rPr>
        <w:t> </w:t>
      </w:r>
      <w:r>
        <w:rPr/>
        <w:t>ενώ</w:t>
      </w:r>
      <w:r>
        <w:rPr>
          <w:spacing w:val="-9"/>
        </w:rPr>
        <w:t> </w:t>
      </w:r>
      <w:r>
        <w:rPr/>
        <w:t>αξίζει</w:t>
      </w:r>
      <w:r>
        <w:rPr>
          <w:spacing w:val="-11"/>
        </w:rPr>
        <w:t> </w:t>
      </w:r>
      <w:r>
        <w:rPr/>
        <w:t>να</w:t>
      </w:r>
      <w:r>
        <w:rPr>
          <w:spacing w:val="-12"/>
        </w:rPr>
        <w:t> </w:t>
      </w:r>
      <w:r>
        <w:rPr/>
        <w:t>σημειωθεί</w:t>
      </w:r>
      <w:r>
        <w:rPr>
          <w:spacing w:val="-9"/>
        </w:rPr>
        <w:t> </w:t>
      </w:r>
      <w:r>
        <w:rPr/>
        <w:t>ότι</w:t>
      </w:r>
      <w:r>
        <w:rPr>
          <w:spacing w:val="-9"/>
        </w:rPr>
        <w:t> </w:t>
      </w:r>
      <w:r>
        <w:rPr/>
        <w:t>ένα</w:t>
      </w:r>
      <w:r>
        <w:rPr>
          <w:spacing w:val="-12"/>
        </w:rPr>
        <w:t> </w:t>
      </w:r>
      <w:r>
        <w:rPr/>
        <w:t>σημαντικό</w:t>
      </w:r>
      <w:r>
        <w:rPr>
          <w:spacing w:val="-10"/>
        </w:rPr>
        <w:t> </w:t>
      </w:r>
      <w:r>
        <w:rPr/>
        <w:t>τμήμα</w:t>
      </w:r>
      <w:r>
        <w:rPr>
          <w:spacing w:val="-10"/>
        </w:rPr>
        <w:t> </w:t>
      </w:r>
      <w:r>
        <w:rPr/>
        <w:t>της</w:t>
      </w:r>
      <w:r>
        <w:rPr>
          <w:spacing w:val="-11"/>
        </w:rPr>
        <w:t> </w:t>
      </w:r>
      <w:r>
        <w:rPr/>
        <w:t>έκθεσης</w:t>
      </w:r>
      <w:r>
        <w:rPr>
          <w:spacing w:val="-11"/>
        </w:rPr>
        <w:t> </w:t>
      </w:r>
      <w:r>
        <w:rPr/>
        <w:t>αυτής</w:t>
      </w:r>
      <w:r>
        <w:rPr>
          <w:spacing w:val="-11"/>
        </w:rPr>
        <w:t> </w:t>
      </w:r>
      <w:r>
        <w:rPr/>
        <w:t>αφορά</w:t>
      </w:r>
      <w:r>
        <w:rPr>
          <w:spacing w:val="-10"/>
        </w:rPr>
        <w:t> </w:t>
      </w:r>
      <w:r>
        <w:rPr/>
        <w:t>τοποθετήσεις σε</w:t>
      </w:r>
      <w:r>
        <w:rPr>
          <w:spacing w:val="-7"/>
        </w:rPr>
        <w:t> </w:t>
      </w:r>
      <w:r>
        <w:rPr/>
        <w:t>ομόλογα.</w:t>
      </w:r>
      <w:r>
        <w:rPr>
          <w:spacing w:val="-7"/>
        </w:rPr>
        <w:t> </w:t>
      </w:r>
      <w:r>
        <w:rPr/>
        <w:t>Ωστόσο,</w:t>
      </w:r>
      <w:r>
        <w:rPr>
          <w:spacing w:val="-7"/>
        </w:rPr>
        <w:t> </w:t>
      </w:r>
      <w:r>
        <w:rPr/>
        <w:t>οι</w:t>
      </w:r>
      <w:r>
        <w:rPr>
          <w:spacing w:val="-7"/>
        </w:rPr>
        <w:t> </w:t>
      </w:r>
      <w:r>
        <w:rPr/>
        <w:t>έμμεσες</w:t>
      </w:r>
      <w:r>
        <w:rPr>
          <w:spacing w:val="-11"/>
        </w:rPr>
        <w:t> </w:t>
      </w:r>
      <w:r>
        <w:rPr/>
        <w:t>επιπτώσεις</w:t>
      </w:r>
      <w:r>
        <w:rPr>
          <w:spacing w:val="-5"/>
        </w:rPr>
        <w:t> </w:t>
      </w:r>
      <w:r>
        <w:rPr/>
        <w:t>της</w:t>
      </w:r>
      <w:r>
        <w:rPr>
          <w:spacing w:val="-8"/>
        </w:rPr>
        <w:t> </w:t>
      </w:r>
      <w:r>
        <w:rPr/>
        <w:t>σύρραξης</w:t>
      </w:r>
      <w:r>
        <w:rPr>
          <w:spacing w:val="-8"/>
        </w:rPr>
        <w:t> </w:t>
      </w:r>
      <w:r>
        <w:rPr/>
        <w:t>σε</w:t>
      </w:r>
      <w:r>
        <w:rPr>
          <w:spacing w:val="-7"/>
        </w:rPr>
        <w:t> </w:t>
      </w:r>
      <w:r>
        <w:rPr/>
        <w:t>μεσοπρόθεσμο</w:t>
      </w:r>
      <w:r>
        <w:rPr>
          <w:spacing w:val="-10"/>
        </w:rPr>
        <w:t> </w:t>
      </w:r>
      <w:r>
        <w:rPr/>
        <w:t>ορίζοντα</w:t>
      </w:r>
      <w:r>
        <w:rPr>
          <w:spacing w:val="-8"/>
        </w:rPr>
        <w:t> </w:t>
      </w:r>
      <w:r>
        <w:rPr/>
        <w:t>ενδέχεται να είναι σημαντικότερες. Η σημαντική αύξηση του ενεργειακού κόστους, σε συνδυασμό με τη μεγάλη</w:t>
      </w:r>
      <w:r>
        <w:rPr>
          <w:spacing w:val="-1"/>
        </w:rPr>
        <w:t> </w:t>
      </w:r>
      <w:r>
        <w:rPr/>
        <w:t>ενεργειακή</w:t>
      </w:r>
      <w:r>
        <w:rPr>
          <w:spacing w:val="-1"/>
        </w:rPr>
        <w:t> </w:t>
      </w:r>
      <w:r>
        <w:rPr/>
        <w:t>εξάρτηση των ευρωπαϊκών χωρών, συμπεριλαμβανομένης και της Ελλάδος, αναμένεται</w:t>
      </w:r>
      <w:r>
        <w:rPr>
          <w:spacing w:val="-2"/>
        </w:rPr>
        <w:t> </w:t>
      </w:r>
      <w:r>
        <w:rPr/>
        <w:t>να</w:t>
      </w:r>
      <w:r>
        <w:rPr>
          <w:spacing w:val="-3"/>
        </w:rPr>
        <w:t> </w:t>
      </w:r>
      <w:r>
        <w:rPr/>
        <w:t>επηρεάσει ανοδικά</w:t>
      </w:r>
      <w:r>
        <w:rPr>
          <w:spacing w:val="-1"/>
        </w:rPr>
        <w:t> </w:t>
      </w:r>
      <w:r>
        <w:rPr/>
        <w:t>τον πληθωρισμό</w:t>
      </w:r>
      <w:r>
        <w:rPr>
          <w:spacing w:val="-3"/>
        </w:rPr>
        <w:t> </w:t>
      </w:r>
      <w:r>
        <w:rPr/>
        <w:t>και</w:t>
      </w:r>
      <w:r>
        <w:rPr>
          <w:spacing w:val="-2"/>
        </w:rPr>
        <w:t> </w:t>
      </w:r>
      <w:r>
        <w:rPr/>
        <w:t>πτωτικά</w:t>
      </w:r>
      <w:r>
        <w:rPr>
          <w:spacing w:val="-3"/>
        </w:rPr>
        <w:t> </w:t>
      </w:r>
      <w:r>
        <w:rPr/>
        <w:t>τον</w:t>
      </w:r>
      <w:r>
        <w:rPr>
          <w:spacing w:val="-1"/>
        </w:rPr>
        <w:t> </w:t>
      </w:r>
      <w:r>
        <w:rPr/>
        <w:t>ρυθμό οικονομικής</w:t>
      </w:r>
      <w:r>
        <w:rPr>
          <w:spacing w:val="-2"/>
        </w:rPr>
        <w:t> </w:t>
      </w:r>
      <w:r>
        <w:rPr/>
        <w:t>ανάπτυ-ξης, ασκώντας πιέσεις στη χρηματοοικονομική κατάσταση επιχειρήσεων και νοικοκυριών. Πιο εκτεθειμένοι</w:t>
      </w:r>
      <w:r>
        <w:rPr>
          <w:spacing w:val="-7"/>
        </w:rPr>
        <w:t> </w:t>
      </w:r>
      <w:r>
        <w:rPr/>
        <w:t>είναι</w:t>
      </w:r>
      <w:r>
        <w:rPr>
          <w:spacing w:val="-6"/>
        </w:rPr>
        <w:t> </w:t>
      </w:r>
      <w:r>
        <w:rPr/>
        <w:t>κλάδοι</w:t>
      </w:r>
      <w:r>
        <w:rPr>
          <w:spacing w:val="-5"/>
        </w:rPr>
        <w:t> </w:t>
      </w:r>
      <w:r>
        <w:rPr/>
        <w:t>με</w:t>
      </w:r>
      <w:r>
        <w:rPr>
          <w:spacing w:val="-5"/>
        </w:rPr>
        <w:t> </w:t>
      </w:r>
      <w:r>
        <w:rPr/>
        <w:t>υψηλή</w:t>
      </w:r>
      <w:r>
        <w:rPr>
          <w:spacing w:val="-6"/>
        </w:rPr>
        <w:t> </w:t>
      </w:r>
      <w:r>
        <w:rPr/>
        <w:t>ενεργειακή</w:t>
      </w:r>
      <w:r>
        <w:rPr>
          <w:spacing w:val="-6"/>
        </w:rPr>
        <w:t> </w:t>
      </w:r>
      <w:r>
        <w:rPr/>
        <w:t>ένταση</w:t>
      </w:r>
      <w:r>
        <w:rPr>
          <w:spacing w:val="-8"/>
        </w:rPr>
        <w:t> </w:t>
      </w:r>
      <w:r>
        <w:rPr/>
        <w:t>ή</w:t>
      </w:r>
      <w:r>
        <w:rPr>
          <w:spacing w:val="-3"/>
        </w:rPr>
        <w:t> </w:t>
      </w:r>
      <w:r>
        <w:rPr/>
        <w:t>με</w:t>
      </w:r>
      <w:r>
        <w:rPr>
          <w:spacing w:val="-5"/>
        </w:rPr>
        <w:t> </w:t>
      </w:r>
      <w:r>
        <w:rPr/>
        <w:t>μεγαλύτερη</w:t>
      </w:r>
      <w:r>
        <w:rPr>
          <w:spacing w:val="-5"/>
        </w:rPr>
        <w:t> </w:t>
      </w:r>
      <w:r>
        <w:rPr/>
        <w:t>ευπάθεια</w:t>
      </w:r>
      <w:r>
        <w:rPr>
          <w:spacing w:val="-8"/>
        </w:rPr>
        <w:t> </w:t>
      </w:r>
      <w:r>
        <w:rPr/>
        <w:t>στις</w:t>
      </w:r>
      <w:r>
        <w:rPr>
          <w:spacing w:val="-5"/>
        </w:rPr>
        <w:t> </w:t>
      </w:r>
      <w:r>
        <w:rPr/>
        <w:t>γεωπολι-τικές</w:t>
      </w:r>
      <w:r>
        <w:rPr>
          <w:spacing w:val="-1"/>
        </w:rPr>
        <w:t> </w:t>
      </w:r>
      <w:r>
        <w:rPr/>
        <w:t>εξελίξεις, όπως</w:t>
      </w:r>
      <w:r>
        <w:rPr>
          <w:spacing w:val="-1"/>
        </w:rPr>
        <w:t> </w:t>
      </w:r>
      <w:r>
        <w:rPr/>
        <w:t>ενδεικτικά</w:t>
      </w:r>
      <w:r>
        <w:rPr>
          <w:spacing w:val="-1"/>
        </w:rPr>
        <w:t> </w:t>
      </w:r>
      <w:r>
        <w:rPr/>
        <w:t>οι μεταφορές και η αποθήκευση, η μεταποίηση,</w:t>
      </w:r>
      <w:r>
        <w:rPr>
          <w:spacing w:val="-2"/>
        </w:rPr>
        <w:t> </w:t>
      </w:r>
      <w:r>
        <w:rPr/>
        <w:t>η ακτοπλοΐα, η γεωργία, οι κατασκευές και ο τουρισμός. Υπό το πρίσμα αυτό, η παρακολούθηση της εξέλιξης της</w:t>
      </w:r>
      <w:r>
        <w:rPr>
          <w:spacing w:val="-6"/>
        </w:rPr>
        <w:t> </w:t>
      </w:r>
      <w:r>
        <w:rPr/>
        <w:t>ποιότητας</w:t>
      </w:r>
      <w:r>
        <w:rPr>
          <w:spacing w:val="-6"/>
        </w:rPr>
        <w:t> </w:t>
      </w:r>
      <w:r>
        <w:rPr/>
        <w:t>των</w:t>
      </w:r>
      <w:r>
        <w:rPr>
          <w:spacing w:val="-4"/>
        </w:rPr>
        <w:t> </w:t>
      </w:r>
      <w:r>
        <w:rPr/>
        <w:t>ανοιγμάτων</w:t>
      </w:r>
      <w:r>
        <w:rPr>
          <w:spacing w:val="-6"/>
        </w:rPr>
        <w:t> </w:t>
      </w:r>
      <w:r>
        <w:rPr/>
        <w:t>στους</w:t>
      </w:r>
      <w:r>
        <w:rPr>
          <w:spacing w:val="-8"/>
        </w:rPr>
        <w:t> </w:t>
      </w:r>
      <w:r>
        <w:rPr/>
        <w:t>εν</w:t>
      </w:r>
      <w:r>
        <w:rPr>
          <w:spacing w:val="-6"/>
        </w:rPr>
        <w:t> </w:t>
      </w:r>
      <w:r>
        <w:rPr/>
        <w:t>λόγω</w:t>
      </w:r>
      <w:r>
        <w:rPr>
          <w:spacing w:val="-4"/>
        </w:rPr>
        <w:t> </w:t>
      </w:r>
      <w:r>
        <w:rPr/>
        <w:t>κλάδους</w:t>
      </w:r>
      <w:r>
        <w:rPr>
          <w:spacing w:val="-8"/>
        </w:rPr>
        <w:t> </w:t>
      </w:r>
      <w:r>
        <w:rPr/>
        <w:t>κρίνεται</w:t>
      </w:r>
      <w:r>
        <w:rPr>
          <w:spacing w:val="-5"/>
        </w:rPr>
        <w:t> </w:t>
      </w:r>
      <w:r>
        <w:rPr/>
        <w:t>αναγκαία,</w:t>
      </w:r>
      <w:r>
        <w:rPr>
          <w:spacing w:val="-5"/>
        </w:rPr>
        <w:t> </w:t>
      </w:r>
      <w:r>
        <w:rPr/>
        <w:t>προκειμένου</w:t>
      </w:r>
      <w:r>
        <w:rPr>
          <w:spacing w:val="-4"/>
        </w:rPr>
        <w:t> </w:t>
      </w:r>
      <w:r>
        <w:rPr/>
        <w:t>να</w:t>
      </w:r>
      <w:r>
        <w:rPr>
          <w:spacing w:val="-8"/>
        </w:rPr>
        <w:t> </w:t>
      </w:r>
      <w:r>
        <w:rPr/>
        <w:t>εντο-πιστούν έγκαιρα ενδεχόμενες εστίες συγκέντρωσης πιστωτικού κινδύνου ως απόρροια της ανα-</w:t>
      </w:r>
      <w:r>
        <w:rPr>
          <w:spacing w:val="-2"/>
        </w:rPr>
        <w:t>ταραχής.</w:t>
      </w:r>
    </w:p>
    <w:p>
      <w:pPr>
        <w:pStyle w:val="BodyText"/>
        <w:spacing w:after="0" w:line="285" w:lineRule="auto"/>
        <w:jc w:val="both"/>
        <w:sectPr>
          <w:pgSz w:w="11910" w:h="16850"/>
          <w:pgMar w:header="0" w:footer="1108" w:top="1840" w:bottom="1300" w:left="1417" w:right="850"/>
        </w:sectPr>
      </w:pPr>
    </w:p>
    <w:p>
      <w:pPr>
        <w:pStyle w:val="Heading3"/>
        <w:numPr>
          <w:ilvl w:val="2"/>
          <w:numId w:val="2"/>
        </w:numPr>
        <w:tabs>
          <w:tab w:pos="738" w:val="left" w:leader="none"/>
        </w:tabs>
        <w:spacing w:line="240" w:lineRule="auto" w:before="72" w:after="0"/>
        <w:ind w:left="738" w:right="0" w:hanging="566"/>
        <w:jc w:val="left"/>
        <w:rPr>
          <w:color w:val="1F487C"/>
        </w:rPr>
      </w:pPr>
      <w:bookmarkStart w:name="_bookmark56" w:id="57"/>
      <w:bookmarkEnd w:id="57"/>
      <w:r>
        <w:rPr>
          <w:b w:val="0"/>
        </w:rPr>
      </w:r>
      <w:r>
        <w:rPr>
          <w:color w:val="1F487C"/>
        </w:rPr>
        <w:t>ΚΙΝΔΥΝΟΣ</w:t>
      </w:r>
      <w:r>
        <w:rPr>
          <w:color w:val="1F487C"/>
          <w:spacing w:val="-7"/>
        </w:rPr>
        <w:t> </w:t>
      </w:r>
      <w:r>
        <w:rPr>
          <w:color w:val="1F487C"/>
          <w:spacing w:val="-2"/>
        </w:rPr>
        <w:t>ΡΕΥΣΤΟΤΗΤΑΣ</w:t>
      </w:r>
    </w:p>
    <w:p>
      <w:pPr>
        <w:pStyle w:val="BodyText"/>
        <w:spacing w:line="285" w:lineRule="auto" w:before="153"/>
        <w:ind w:left="172" w:right="955"/>
        <w:jc w:val="both"/>
      </w:pPr>
      <w:r>
        <w:rPr/>
        <mc:AlternateContent>
          <mc:Choice Requires="wps">
            <w:drawing>
              <wp:anchor distT="0" distB="0" distL="0" distR="0" allowOverlap="1" layoutInCell="1" locked="0" behindDoc="1" simplePos="0" relativeHeight="487624192">
                <wp:simplePos x="0" y="0"/>
                <wp:positionH relativeFrom="page">
                  <wp:posOffset>946708</wp:posOffset>
                </wp:positionH>
                <wp:positionV relativeFrom="paragraph">
                  <wp:posOffset>1640472</wp:posOffset>
                </wp:positionV>
                <wp:extent cx="5516245" cy="253365"/>
                <wp:effectExtent l="0" t="0" r="0" b="0"/>
                <wp:wrapTopAndBottom/>
                <wp:docPr id="431" name="Textbox 431"/>
                <wp:cNvGraphicFramePr>
                  <a:graphicFrameLocks/>
                </wp:cNvGraphicFramePr>
                <a:graphic>
                  <a:graphicData uri="http://schemas.microsoft.com/office/word/2010/wordprocessingShape">
                    <wps:wsp>
                      <wps:cNvPr id="431" name="Textbox 431"/>
                      <wps:cNvSpPr txBox="1"/>
                      <wps:spPr>
                        <a:xfrm>
                          <a:off x="0" y="0"/>
                          <a:ext cx="5516245" cy="253365"/>
                        </a:xfrm>
                        <a:prstGeom prst="rect">
                          <a:avLst/>
                        </a:prstGeom>
                        <a:solidFill>
                          <a:srgbClr val="1F487C"/>
                        </a:solidFill>
                      </wps:spPr>
                      <wps:txbx>
                        <w:txbxContent>
                          <w:p>
                            <w:pPr>
                              <w:spacing w:before="96"/>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3"/>
                                <w:sz w:val="18"/>
                              </w:rPr>
                              <w:t> </w:t>
                            </w:r>
                            <w:r>
                              <w:rPr>
                                <w:b/>
                                <w:smallCaps w:val="0"/>
                                <w:color w:val="FFFFFF"/>
                                <w:sz w:val="18"/>
                              </w:rPr>
                              <w:t>III.9</w:t>
                            </w:r>
                            <w:r>
                              <w:rPr>
                                <w:b/>
                                <w:smallCaps w:val="0"/>
                                <w:color w:val="FFFFFF"/>
                                <w:spacing w:val="-4"/>
                                <w:sz w:val="18"/>
                              </w:rPr>
                              <w:t> </w:t>
                            </w:r>
                            <w:r>
                              <w:rPr>
                                <w:b/>
                                <w:smallCaps w:val="0"/>
                                <w:color w:val="FFFFFF"/>
                                <w:sz w:val="18"/>
                              </w:rPr>
                              <w:t>Πηγές</w:t>
                            </w:r>
                            <w:r>
                              <w:rPr>
                                <w:b/>
                                <w:smallCaps w:val="0"/>
                                <w:color w:val="FFFFFF"/>
                                <w:spacing w:val="-4"/>
                                <w:sz w:val="18"/>
                              </w:rPr>
                              <w:t> </w:t>
                            </w:r>
                            <w:r>
                              <w:rPr>
                                <w:b/>
                                <w:smallCaps w:val="0"/>
                                <w:color w:val="FFFFFF"/>
                                <w:sz w:val="18"/>
                              </w:rPr>
                              <w:t>χρηματοδότησης</w:t>
                            </w:r>
                            <w:r>
                              <w:rPr>
                                <w:b/>
                                <w:smallCaps w:val="0"/>
                                <w:color w:val="FFFFFF"/>
                                <w:spacing w:val="-5"/>
                                <w:sz w:val="18"/>
                              </w:rPr>
                              <w:t> </w:t>
                            </w:r>
                            <w:r>
                              <w:rPr>
                                <w:b/>
                                <w:smallCaps w:val="0"/>
                                <w:color w:val="FFFFFF"/>
                                <w:sz w:val="18"/>
                              </w:rPr>
                              <w:t>των</w:t>
                            </w:r>
                            <w:r>
                              <w:rPr>
                                <w:b/>
                                <w:smallCaps w:val="0"/>
                                <w:color w:val="FFFFFF"/>
                                <w:spacing w:val="-3"/>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4"/>
                                <w:sz w:val="18"/>
                              </w:rPr>
                              <w:t> </w:t>
                            </w:r>
                            <w:r>
                              <w:rPr>
                                <w:b/>
                                <w:smallCaps w:val="0"/>
                                <w:color w:val="FFFFFF"/>
                                <w:sz w:val="18"/>
                              </w:rPr>
                              <w:t>τραπεζ</w:t>
                            </w:r>
                            <w:r>
                              <w:rPr>
                                <w:b/>
                                <w:smallCaps/>
                                <w:color w:val="FFFFFF"/>
                                <w:sz w:val="18"/>
                              </w:rPr>
                              <w:t>ι</w:t>
                            </w:r>
                            <w:r>
                              <w:rPr>
                                <w:b/>
                                <w:smallCaps w:val="0"/>
                                <w:color w:val="FFFFFF"/>
                                <w:sz w:val="18"/>
                              </w:rPr>
                              <w:t>κών</w:t>
                            </w:r>
                            <w:r>
                              <w:rPr>
                                <w:b/>
                                <w:smallCaps w:val="0"/>
                                <w:color w:val="FFFFFF"/>
                                <w:spacing w:val="-4"/>
                                <w:sz w:val="18"/>
                              </w:rPr>
                              <w:t> </w:t>
                            </w:r>
                            <w:r>
                              <w:rPr>
                                <w:b/>
                                <w:smallCaps w:val="0"/>
                                <w:color w:val="FFFFFF"/>
                                <w:spacing w:val="-2"/>
                                <w:sz w:val="18"/>
                              </w:rPr>
                              <w:t>ομίλων</w:t>
                            </w:r>
                          </w:p>
                        </w:txbxContent>
                      </wps:txbx>
                      <wps:bodyPr wrap="square" lIns="0" tIns="0" rIns="0" bIns="0" rtlCol="0">
                        <a:noAutofit/>
                      </wps:bodyPr>
                    </wps:wsp>
                  </a:graphicData>
                </a:graphic>
              </wp:anchor>
            </w:drawing>
          </mc:Choice>
          <mc:Fallback>
            <w:pict>
              <v:shape style="position:absolute;margin-left:74.543999pt;margin-top:129.171082pt;width:434.35pt;height:19.95pt;mso-position-horizontal-relative:page;mso-position-vertical-relative:paragraph;z-index:-15692288;mso-wrap-distance-left:0;mso-wrap-distance-right:0" type="#_x0000_t202" id="docshape403" filled="true" fillcolor="#1f487c" stroked="false">
                <v:textbox inset="0,0,0,0">
                  <w:txbxContent>
                    <w:p>
                      <w:pPr>
                        <w:spacing w:before="96"/>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3"/>
                          <w:sz w:val="18"/>
                        </w:rPr>
                        <w:t> </w:t>
                      </w:r>
                      <w:r>
                        <w:rPr>
                          <w:b/>
                          <w:smallCaps w:val="0"/>
                          <w:color w:val="FFFFFF"/>
                          <w:sz w:val="18"/>
                        </w:rPr>
                        <w:t>III.9</w:t>
                      </w:r>
                      <w:r>
                        <w:rPr>
                          <w:b/>
                          <w:smallCaps w:val="0"/>
                          <w:color w:val="FFFFFF"/>
                          <w:spacing w:val="-4"/>
                          <w:sz w:val="18"/>
                        </w:rPr>
                        <w:t> </w:t>
                      </w:r>
                      <w:r>
                        <w:rPr>
                          <w:b/>
                          <w:smallCaps w:val="0"/>
                          <w:color w:val="FFFFFF"/>
                          <w:sz w:val="18"/>
                        </w:rPr>
                        <w:t>Πηγές</w:t>
                      </w:r>
                      <w:r>
                        <w:rPr>
                          <w:b/>
                          <w:smallCaps w:val="0"/>
                          <w:color w:val="FFFFFF"/>
                          <w:spacing w:val="-4"/>
                          <w:sz w:val="18"/>
                        </w:rPr>
                        <w:t> </w:t>
                      </w:r>
                      <w:r>
                        <w:rPr>
                          <w:b/>
                          <w:smallCaps w:val="0"/>
                          <w:color w:val="FFFFFF"/>
                          <w:sz w:val="18"/>
                        </w:rPr>
                        <w:t>χρηματοδότησης</w:t>
                      </w:r>
                      <w:r>
                        <w:rPr>
                          <w:b/>
                          <w:smallCaps w:val="0"/>
                          <w:color w:val="FFFFFF"/>
                          <w:spacing w:val="-5"/>
                          <w:sz w:val="18"/>
                        </w:rPr>
                        <w:t> </w:t>
                      </w:r>
                      <w:r>
                        <w:rPr>
                          <w:b/>
                          <w:smallCaps w:val="0"/>
                          <w:color w:val="FFFFFF"/>
                          <w:sz w:val="18"/>
                        </w:rPr>
                        <w:t>των</w:t>
                      </w:r>
                      <w:r>
                        <w:rPr>
                          <w:b/>
                          <w:smallCaps w:val="0"/>
                          <w:color w:val="FFFFFF"/>
                          <w:spacing w:val="-3"/>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4"/>
                          <w:sz w:val="18"/>
                        </w:rPr>
                        <w:t> </w:t>
                      </w:r>
                      <w:r>
                        <w:rPr>
                          <w:b/>
                          <w:smallCaps w:val="0"/>
                          <w:color w:val="FFFFFF"/>
                          <w:sz w:val="18"/>
                        </w:rPr>
                        <w:t>τραπεζ</w:t>
                      </w:r>
                      <w:r>
                        <w:rPr>
                          <w:b/>
                          <w:smallCaps/>
                          <w:color w:val="FFFFFF"/>
                          <w:sz w:val="18"/>
                        </w:rPr>
                        <w:t>ι</w:t>
                      </w:r>
                      <w:r>
                        <w:rPr>
                          <w:b/>
                          <w:smallCaps w:val="0"/>
                          <w:color w:val="FFFFFF"/>
                          <w:sz w:val="18"/>
                        </w:rPr>
                        <w:t>κών</w:t>
                      </w:r>
                      <w:r>
                        <w:rPr>
                          <w:b/>
                          <w:smallCaps w:val="0"/>
                          <w:color w:val="FFFFFF"/>
                          <w:spacing w:val="-4"/>
                          <w:sz w:val="18"/>
                        </w:rPr>
                        <w:t> </w:t>
                      </w:r>
                      <w:r>
                        <w:rPr>
                          <w:b/>
                          <w:smallCaps w:val="0"/>
                          <w:color w:val="FFFFFF"/>
                          <w:spacing w:val="-2"/>
                          <w:sz w:val="18"/>
                        </w:rPr>
                        <w:t>ομίλων</w:t>
                      </w:r>
                    </w:p>
                  </w:txbxContent>
                </v:textbox>
                <v:fill type="solid"/>
                <w10:wrap type="topAndBottom"/>
              </v:shape>
            </w:pict>
          </mc:Fallback>
        </mc:AlternateContent>
      </w:r>
      <w:r>
        <w:rPr/>
        <w:t>Οι συνθήκες ρευστότητας των ελληνικών τραπεζικών ομίλων παρέμειναν ευνοϊκές το 2025, με τις εναλλακτικές πηγές χρηματοδότησης να ενισχύονται περαιτέρω και κατά το α΄ τρίμηνο του 2026. Αναλυτικότερα, οι καταθέσεις και οι συμφωνίες επαναγοράς (repos) από μη χρηματοπι-στωτικά</w:t>
      </w:r>
      <w:r>
        <w:rPr>
          <w:spacing w:val="-2"/>
        </w:rPr>
        <w:t> </w:t>
      </w:r>
      <w:r>
        <w:rPr/>
        <w:t>ιδρύματα</w:t>
      </w:r>
      <w:r>
        <w:rPr>
          <w:spacing w:val="-2"/>
        </w:rPr>
        <w:t> </w:t>
      </w:r>
      <w:r>
        <w:rPr/>
        <w:t>(συμπεριλαμβανομένων των</w:t>
      </w:r>
      <w:r>
        <w:rPr>
          <w:spacing w:val="-2"/>
        </w:rPr>
        <w:t> </w:t>
      </w:r>
      <w:r>
        <w:rPr/>
        <w:t>νοικοκυριών) αυξήθηκαν</w:t>
      </w:r>
      <w:r>
        <w:rPr>
          <w:spacing w:val="-1"/>
        </w:rPr>
        <w:t> </w:t>
      </w:r>
      <w:r>
        <w:rPr/>
        <w:t>κατά</w:t>
      </w:r>
      <w:r>
        <w:rPr>
          <w:spacing w:val="-2"/>
        </w:rPr>
        <w:t> </w:t>
      </w:r>
      <w:r>
        <w:rPr/>
        <w:t>10,2</w:t>
      </w:r>
      <w:r>
        <w:rPr>
          <w:spacing w:val="-1"/>
        </w:rPr>
        <w:t> </w:t>
      </w:r>
      <w:r>
        <w:rPr/>
        <w:t>δισεκ.</w:t>
      </w:r>
      <w:r>
        <w:rPr>
          <w:spacing w:val="-3"/>
        </w:rPr>
        <w:t> </w:t>
      </w:r>
      <w:r>
        <w:rPr/>
        <w:t>ευρώ ή 4,3% το 2025, ενώ η μείωσή τους κατά 2,3 δισεκ. ευρώ το α΄ τρίμηνο του 2026 σχετίζεται με εποχική διακύμανση. Επίσης, σημαντική αύξηση παρατηρήθηκε το 2025 τόσο στα εκδοθέντα χρεόγραφα κατά 24,7% όσο και στις υποχρεώσεις προς λοιπά νομισματικά χρηματοπιστωτικά ιδρύματα</w:t>
      </w:r>
      <w:r>
        <w:rPr>
          <w:spacing w:val="-2"/>
        </w:rPr>
        <w:t> </w:t>
      </w:r>
      <w:r>
        <w:rPr/>
        <w:t>κατά</w:t>
      </w:r>
      <w:r>
        <w:rPr>
          <w:spacing w:val="-2"/>
        </w:rPr>
        <w:t> </w:t>
      </w:r>
      <w:r>
        <w:rPr/>
        <w:t>52,7%,</w:t>
      </w:r>
      <w:r>
        <w:rPr>
          <w:spacing w:val="-4"/>
        </w:rPr>
        <w:t> </w:t>
      </w:r>
      <w:r>
        <w:rPr/>
        <w:t>τάση</w:t>
      </w:r>
      <w:r>
        <w:rPr>
          <w:spacing w:val="-1"/>
        </w:rPr>
        <w:t> </w:t>
      </w:r>
      <w:r>
        <w:rPr/>
        <w:t>που συνεχίστηκε</w:t>
      </w:r>
      <w:r>
        <w:rPr>
          <w:spacing w:val="-1"/>
        </w:rPr>
        <w:t> </w:t>
      </w:r>
      <w:r>
        <w:rPr/>
        <w:t>και</w:t>
      </w:r>
      <w:r>
        <w:rPr>
          <w:spacing w:val="-1"/>
        </w:rPr>
        <w:t> </w:t>
      </w:r>
      <w:r>
        <w:rPr/>
        <w:t>το α΄ τρίμηνο</w:t>
      </w:r>
      <w:r>
        <w:rPr>
          <w:spacing w:val="-1"/>
        </w:rPr>
        <w:t> </w:t>
      </w:r>
      <w:r>
        <w:rPr/>
        <w:t>του 2026</w:t>
      </w:r>
      <w:r>
        <w:rPr>
          <w:spacing w:val="-1"/>
        </w:rPr>
        <w:t> </w:t>
      </w:r>
      <w:r>
        <w:rPr/>
        <w:t>(βλ.</w:t>
      </w:r>
      <w:r>
        <w:rPr>
          <w:spacing w:val="-1"/>
        </w:rPr>
        <w:t> </w:t>
      </w:r>
      <w:r>
        <w:rPr/>
        <w:t>Διάγραμμα</w:t>
      </w:r>
      <w:r>
        <w:rPr>
          <w:spacing w:val="-1"/>
        </w:rPr>
        <w:t> </w:t>
      </w:r>
      <w:r>
        <w:rPr/>
        <w:t>ΙΙΙ.9).</w:t>
      </w:r>
    </w:p>
    <w:p>
      <w:pPr>
        <w:spacing w:before="59" w:after="60"/>
        <w:ind w:left="131" w:right="0" w:firstLine="0"/>
        <w:jc w:val="left"/>
        <w:rPr>
          <w:sz w:val="14"/>
        </w:rPr>
      </w:pPr>
      <w:r>
        <w:rPr>
          <w:color w:val="1F487C"/>
          <w:sz w:val="14"/>
        </w:rPr>
        <w:t>(δισεκ.</w:t>
      </w:r>
      <w:r>
        <w:rPr>
          <w:color w:val="1F487C"/>
          <w:spacing w:val="-5"/>
          <w:sz w:val="14"/>
        </w:rPr>
        <w:t> </w:t>
      </w:r>
      <w:r>
        <w:rPr>
          <w:color w:val="1F487C"/>
          <w:spacing w:val="-2"/>
          <w:sz w:val="14"/>
        </w:rPr>
        <w:t>ευρώ)</w:t>
      </w:r>
    </w:p>
    <w:p>
      <w:pPr>
        <w:spacing w:line="240" w:lineRule="auto"/>
        <w:ind w:left="73" w:right="0" w:firstLine="0"/>
        <w:rPr>
          <w:sz w:val="20"/>
        </w:rPr>
      </w:pPr>
      <w:r>
        <w:rPr>
          <w:sz w:val="20"/>
        </w:rPr>
        <mc:AlternateContent>
          <mc:Choice Requires="wps">
            <w:drawing>
              <wp:inline distT="0" distB="0" distL="0" distR="0">
                <wp:extent cx="5516245" cy="2843530"/>
                <wp:effectExtent l="0" t="0" r="0" b="4444"/>
                <wp:docPr id="432" name="Group 432"/>
                <wp:cNvGraphicFramePr>
                  <a:graphicFrameLocks/>
                </wp:cNvGraphicFramePr>
                <a:graphic>
                  <a:graphicData uri="http://schemas.microsoft.com/office/word/2010/wordprocessingGroup">
                    <wpg:wgp>
                      <wpg:cNvPr id="432" name="Group 432"/>
                      <wpg:cNvGrpSpPr/>
                      <wpg:grpSpPr>
                        <a:xfrm>
                          <a:off x="0" y="0"/>
                          <a:ext cx="5516245" cy="2843530"/>
                          <a:chExt cx="5516245" cy="2843530"/>
                        </a:xfrm>
                      </wpg:grpSpPr>
                      <wps:wsp>
                        <wps:cNvPr id="433" name="Graphic 433"/>
                        <wps:cNvSpPr/>
                        <wps:spPr>
                          <a:xfrm>
                            <a:off x="0" y="634"/>
                            <a:ext cx="5516245" cy="2842895"/>
                          </a:xfrm>
                          <a:custGeom>
                            <a:avLst/>
                            <a:gdLst/>
                            <a:ahLst/>
                            <a:cxnLst/>
                            <a:rect l="l" t="t" r="r" b="b"/>
                            <a:pathLst>
                              <a:path w="5516245" h="2842895">
                                <a:moveTo>
                                  <a:pt x="5516245" y="0"/>
                                </a:moveTo>
                                <a:lnTo>
                                  <a:pt x="0" y="0"/>
                                </a:lnTo>
                                <a:lnTo>
                                  <a:pt x="0" y="2591054"/>
                                </a:lnTo>
                                <a:lnTo>
                                  <a:pt x="0" y="2842514"/>
                                </a:lnTo>
                                <a:lnTo>
                                  <a:pt x="5516245" y="2842514"/>
                                </a:lnTo>
                                <a:lnTo>
                                  <a:pt x="5516245" y="2591054"/>
                                </a:lnTo>
                                <a:lnTo>
                                  <a:pt x="5516245" y="0"/>
                                </a:lnTo>
                                <a:close/>
                              </a:path>
                            </a:pathLst>
                          </a:custGeom>
                          <a:solidFill>
                            <a:srgbClr val="D9D9D9"/>
                          </a:solidFill>
                        </wps:spPr>
                        <wps:bodyPr wrap="square" lIns="0" tIns="0" rIns="0" bIns="0" rtlCol="0">
                          <a:prstTxWarp prst="textNoShape">
                            <a:avLst/>
                          </a:prstTxWarp>
                          <a:noAutofit/>
                        </wps:bodyPr>
                      </wps:wsp>
                      <pic:pic>
                        <pic:nvPicPr>
                          <pic:cNvPr id="434" name="Image 434"/>
                          <pic:cNvPicPr/>
                        </pic:nvPicPr>
                        <pic:blipFill>
                          <a:blip r:embed="rId87" cstate="print"/>
                          <a:stretch>
                            <a:fillRect/>
                          </a:stretch>
                        </pic:blipFill>
                        <pic:spPr>
                          <a:xfrm>
                            <a:off x="6108" y="0"/>
                            <a:ext cx="5438775" cy="2588260"/>
                          </a:xfrm>
                          <a:prstGeom prst="rect">
                            <a:avLst/>
                          </a:prstGeom>
                        </pic:spPr>
                      </pic:pic>
                      <wps:wsp>
                        <wps:cNvPr id="435" name="Textbox 435"/>
                        <wps:cNvSpPr txBox="1"/>
                        <wps:spPr>
                          <a:xfrm>
                            <a:off x="0" y="635"/>
                            <a:ext cx="5516245" cy="2842895"/>
                          </a:xfrm>
                          <a:prstGeom prst="rect">
                            <a:avLst/>
                          </a:prstGeom>
                        </wps:spPr>
                        <wps:txbx>
                          <w:txbxContent>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68"/>
                                <w:rPr>
                                  <w:sz w:val="12"/>
                                </w:rPr>
                              </w:pPr>
                            </w:p>
                            <w:p>
                              <w:pPr>
                                <w:spacing w:before="0"/>
                                <w:ind w:left="0" w:right="0" w:firstLine="0"/>
                                <w:jc w:val="left"/>
                                <w:rPr>
                                  <w:sz w:val="12"/>
                                </w:rPr>
                              </w:pPr>
                              <w:r>
                                <w:rPr>
                                  <w:sz w:val="12"/>
                                </w:rPr>
                                <w:t>Πηγή:</w:t>
                              </w:r>
                              <w:r>
                                <w:rPr>
                                  <w:spacing w:val="-2"/>
                                  <w:sz w:val="12"/>
                                </w:rPr>
                                <w:t> </w:t>
                              </w:r>
                              <w:r>
                                <w:rPr>
                                  <w:sz w:val="12"/>
                                </w:rPr>
                                <w:t>Τράπεζα</w:t>
                              </w:r>
                              <w:r>
                                <w:rPr>
                                  <w:spacing w:val="-3"/>
                                  <w:sz w:val="12"/>
                                </w:rPr>
                                <w:t> </w:t>
                              </w:r>
                              <w:r>
                                <w:rPr>
                                  <w:sz w:val="12"/>
                                </w:rPr>
                                <w:t>της</w:t>
                              </w:r>
                              <w:r>
                                <w:rPr>
                                  <w:spacing w:val="-3"/>
                                  <w:sz w:val="12"/>
                                </w:rPr>
                                <w:t> </w:t>
                              </w:r>
                              <w:r>
                                <w:rPr>
                                  <w:sz w:val="12"/>
                                </w:rPr>
                                <w:t>Ελλάδος,</w:t>
                              </w:r>
                              <w:r>
                                <w:rPr>
                                  <w:spacing w:val="-3"/>
                                  <w:sz w:val="12"/>
                                </w:rPr>
                                <w:t> </w:t>
                              </w:r>
                              <w:r>
                                <w:rPr>
                                  <w:sz w:val="12"/>
                                </w:rPr>
                                <w:t>καταθέσεις</w:t>
                              </w:r>
                              <w:r>
                                <w:rPr>
                                  <w:spacing w:val="-2"/>
                                  <w:sz w:val="12"/>
                                </w:rPr>
                                <w:t> </w:t>
                              </w:r>
                              <w:r>
                                <w:rPr>
                                  <w:sz w:val="12"/>
                                </w:rPr>
                                <w:t>κατοίκων</w:t>
                              </w:r>
                              <w:r>
                                <w:rPr>
                                  <w:spacing w:val="-1"/>
                                  <w:sz w:val="12"/>
                                </w:rPr>
                                <w:t> </w:t>
                              </w:r>
                              <w:r>
                                <w:rPr>
                                  <w:spacing w:val="-2"/>
                                  <w:sz w:val="12"/>
                                </w:rPr>
                                <w:t>εσωτερικού.</w:t>
                              </w:r>
                            </w:p>
                          </w:txbxContent>
                        </wps:txbx>
                        <wps:bodyPr wrap="square" lIns="0" tIns="0" rIns="0" bIns="0" rtlCol="0">
                          <a:noAutofit/>
                        </wps:bodyPr>
                      </wps:wsp>
                    </wpg:wgp>
                  </a:graphicData>
                </a:graphic>
              </wp:inline>
            </w:drawing>
          </mc:Choice>
          <mc:Fallback>
            <w:pict>
              <v:group style="width:434.35pt;height:223.9pt;mso-position-horizontal-relative:char;mso-position-vertical-relative:line" id="docshapegroup404" coordorigin="0,0" coordsize="8687,4478">
                <v:shape style="position:absolute;left:0;top:1;width:8687;height:4477" id="docshape405" coordorigin="0,1" coordsize="8687,4477" path="m8687,1l0,1,0,4081,0,4477,8687,4477,8687,4081,8687,1xe" filled="true" fillcolor="#d9d9d9" stroked="false">
                  <v:path arrowok="t"/>
                  <v:fill type="solid"/>
                </v:shape>
                <v:shape style="position:absolute;left:9;top:0;width:8565;height:4076" type="#_x0000_t75" id="docshape406" stroked="false">
                  <v:imagedata r:id="rId87" o:title=""/>
                </v:shape>
                <v:shape style="position:absolute;left:0;top:1;width:8687;height:4477" type="#_x0000_t202" id="docshape407" filled="false" stroked="false">
                  <v:textbox inset="0,0,0,0">
                    <w:txbxContent>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68"/>
                          <w:rPr>
                            <w:sz w:val="12"/>
                          </w:rPr>
                        </w:pPr>
                      </w:p>
                      <w:p>
                        <w:pPr>
                          <w:spacing w:before="0"/>
                          <w:ind w:left="0" w:right="0" w:firstLine="0"/>
                          <w:jc w:val="left"/>
                          <w:rPr>
                            <w:sz w:val="12"/>
                          </w:rPr>
                        </w:pPr>
                        <w:r>
                          <w:rPr>
                            <w:sz w:val="12"/>
                          </w:rPr>
                          <w:t>Πηγή:</w:t>
                        </w:r>
                        <w:r>
                          <w:rPr>
                            <w:spacing w:val="-2"/>
                            <w:sz w:val="12"/>
                          </w:rPr>
                          <w:t> </w:t>
                        </w:r>
                        <w:r>
                          <w:rPr>
                            <w:sz w:val="12"/>
                          </w:rPr>
                          <w:t>Τράπεζα</w:t>
                        </w:r>
                        <w:r>
                          <w:rPr>
                            <w:spacing w:val="-3"/>
                            <w:sz w:val="12"/>
                          </w:rPr>
                          <w:t> </w:t>
                        </w:r>
                        <w:r>
                          <w:rPr>
                            <w:sz w:val="12"/>
                          </w:rPr>
                          <w:t>της</w:t>
                        </w:r>
                        <w:r>
                          <w:rPr>
                            <w:spacing w:val="-3"/>
                            <w:sz w:val="12"/>
                          </w:rPr>
                          <w:t> </w:t>
                        </w:r>
                        <w:r>
                          <w:rPr>
                            <w:sz w:val="12"/>
                          </w:rPr>
                          <w:t>Ελλάδος,</w:t>
                        </w:r>
                        <w:r>
                          <w:rPr>
                            <w:spacing w:val="-3"/>
                            <w:sz w:val="12"/>
                          </w:rPr>
                          <w:t> </w:t>
                        </w:r>
                        <w:r>
                          <w:rPr>
                            <w:sz w:val="12"/>
                          </w:rPr>
                          <w:t>καταθέσεις</w:t>
                        </w:r>
                        <w:r>
                          <w:rPr>
                            <w:spacing w:val="-2"/>
                            <w:sz w:val="12"/>
                          </w:rPr>
                          <w:t> </w:t>
                        </w:r>
                        <w:r>
                          <w:rPr>
                            <w:sz w:val="12"/>
                          </w:rPr>
                          <w:t>κατοίκων</w:t>
                        </w:r>
                        <w:r>
                          <w:rPr>
                            <w:spacing w:val="-1"/>
                            <w:sz w:val="12"/>
                          </w:rPr>
                          <w:t> </w:t>
                        </w:r>
                        <w:r>
                          <w:rPr>
                            <w:spacing w:val="-2"/>
                            <w:sz w:val="12"/>
                          </w:rPr>
                          <w:t>εσωτερικού.</w:t>
                        </w:r>
                      </w:p>
                    </w:txbxContent>
                  </v:textbox>
                  <w10:wrap type="none"/>
                </v:shape>
              </v:group>
            </w:pict>
          </mc:Fallback>
        </mc:AlternateContent>
      </w:r>
      <w:r>
        <w:rPr>
          <w:sz w:val="20"/>
        </w:rPr>
      </w:r>
    </w:p>
    <w:p>
      <w:pPr>
        <w:pStyle w:val="BodyText"/>
        <w:spacing w:before="100"/>
        <w:rPr>
          <w:sz w:val="20"/>
        </w:rPr>
      </w:pPr>
    </w:p>
    <w:p>
      <w:pPr>
        <w:pStyle w:val="BodyText"/>
        <w:spacing w:after="0"/>
        <w:rPr>
          <w:sz w:val="20"/>
        </w:rPr>
        <w:sectPr>
          <w:pgSz w:w="11910" w:h="16850"/>
          <w:pgMar w:header="0" w:footer="1108" w:top="1800" w:bottom="1300" w:left="1417" w:right="850"/>
        </w:sectPr>
      </w:pPr>
    </w:p>
    <w:p>
      <w:pPr>
        <w:pStyle w:val="Heading4"/>
        <w:spacing w:before="92"/>
      </w:pPr>
      <w:r>
        <w:rPr>
          <w:color w:val="1F487C"/>
        </w:rPr>
        <w:t>Δείκτες</w:t>
      </w:r>
      <w:r>
        <w:rPr>
          <w:color w:val="1F487C"/>
          <w:spacing w:val="-4"/>
        </w:rPr>
        <w:t> </w:t>
      </w:r>
      <w:r>
        <w:rPr>
          <w:color w:val="1F487C"/>
        </w:rPr>
        <w:t>ρευστότητας</w:t>
      </w:r>
      <w:r>
        <w:rPr>
          <w:color w:val="1F487C"/>
          <w:spacing w:val="-4"/>
        </w:rPr>
        <w:t> </w:t>
      </w:r>
      <w:r>
        <w:rPr>
          <w:color w:val="1F487C"/>
        </w:rPr>
        <w:t>των</w:t>
      </w:r>
      <w:r>
        <w:rPr>
          <w:color w:val="1F487C"/>
          <w:spacing w:val="-8"/>
        </w:rPr>
        <w:t> </w:t>
      </w:r>
      <w:r>
        <w:rPr>
          <w:color w:val="1F487C"/>
          <w:spacing w:val="-2"/>
        </w:rPr>
        <w:t>τραπεζών</w:t>
      </w:r>
    </w:p>
    <w:p>
      <w:pPr>
        <w:pStyle w:val="BodyText"/>
        <w:spacing w:line="285" w:lineRule="auto" w:before="167"/>
        <w:ind w:left="172"/>
        <w:jc w:val="both"/>
      </w:pPr>
      <w:r>
        <w:rPr/>
        <mc:AlternateContent>
          <mc:Choice Requires="wps">
            <w:drawing>
              <wp:anchor distT="0" distB="0" distL="0" distR="0" allowOverlap="1" layoutInCell="1" locked="0" behindDoc="0" simplePos="0" relativeHeight="15766528">
                <wp:simplePos x="0" y="0"/>
                <wp:positionH relativeFrom="page">
                  <wp:posOffset>3587496</wp:posOffset>
                </wp:positionH>
                <wp:positionV relativeFrom="paragraph">
                  <wp:posOffset>673761</wp:posOffset>
                </wp:positionV>
                <wp:extent cx="2813050" cy="2297430"/>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2813050" cy="2297430"/>
                          <a:chExt cx="2813050" cy="2297430"/>
                        </a:xfrm>
                      </wpg:grpSpPr>
                      <wps:wsp>
                        <wps:cNvPr id="437" name="Graphic 437"/>
                        <wps:cNvSpPr/>
                        <wps:spPr>
                          <a:xfrm>
                            <a:off x="635" y="203"/>
                            <a:ext cx="2812415" cy="2297430"/>
                          </a:xfrm>
                          <a:custGeom>
                            <a:avLst/>
                            <a:gdLst/>
                            <a:ahLst/>
                            <a:cxnLst/>
                            <a:rect l="l" t="t" r="r" b="b"/>
                            <a:pathLst>
                              <a:path w="2812415" h="2297430">
                                <a:moveTo>
                                  <a:pt x="2812402" y="2080526"/>
                                </a:moveTo>
                                <a:lnTo>
                                  <a:pt x="0" y="2080526"/>
                                </a:lnTo>
                                <a:lnTo>
                                  <a:pt x="0" y="2296922"/>
                                </a:lnTo>
                                <a:lnTo>
                                  <a:pt x="2812402" y="2296922"/>
                                </a:lnTo>
                                <a:lnTo>
                                  <a:pt x="2812402" y="2080526"/>
                                </a:lnTo>
                                <a:close/>
                              </a:path>
                              <a:path w="2812415" h="2297430">
                                <a:moveTo>
                                  <a:pt x="2812402" y="0"/>
                                </a:moveTo>
                                <a:lnTo>
                                  <a:pt x="0" y="0"/>
                                </a:lnTo>
                                <a:lnTo>
                                  <a:pt x="0" y="2080514"/>
                                </a:lnTo>
                                <a:lnTo>
                                  <a:pt x="2812402" y="2080514"/>
                                </a:lnTo>
                                <a:lnTo>
                                  <a:pt x="2812402" y="0"/>
                                </a:lnTo>
                                <a:close/>
                              </a:path>
                            </a:pathLst>
                          </a:custGeom>
                          <a:solidFill>
                            <a:srgbClr val="D9D9D9"/>
                          </a:solidFill>
                        </wps:spPr>
                        <wps:bodyPr wrap="square" lIns="0" tIns="0" rIns="0" bIns="0" rtlCol="0">
                          <a:prstTxWarp prst="textNoShape">
                            <a:avLst/>
                          </a:prstTxWarp>
                          <a:noAutofit/>
                        </wps:bodyPr>
                      </wps:wsp>
                      <pic:pic>
                        <pic:nvPicPr>
                          <pic:cNvPr id="438" name="Image 438"/>
                          <pic:cNvPicPr/>
                        </pic:nvPicPr>
                        <pic:blipFill>
                          <a:blip r:embed="rId88" cstate="print"/>
                          <a:stretch>
                            <a:fillRect/>
                          </a:stretch>
                        </pic:blipFill>
                        <pic:spPr>
                          <a:xfrm>
                            <a:off x="0" y="0"/>
                            <a:ext cx="2663443" cy="2079498"/>
                          </a:xfrm>
                          <a:prstGeom prst="rect">
                            <a:avLst/>
                          </a:prstGeom>
                        </pic:spPr>
                      </pic:pic>
                      <wps:wsp>
                        <wps:cNvPr id="439" name="Textbox 439"/>
                        <wps:cNvSpPr txBox="1"/>
                        <wps:spPr>
                          <a:xfrm>
                            <a:off x="635" y="203"/>
                            <a:ext cx="2812415" cy="229743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anchor>
            </w:drawing>
          </mc:Choice>
          <mc:Fallback>
            <w:pict>
              <v:group style="position:absolute;margin-left:282.480011pt;margin-top:53.052052pt;width:221.5pt;height:180.9pt;mso-position-horizontal-relative:page;mso-position-vertical-relative:paragraph;z-index:15766528" id="docshapegroup408" coordorigin="5650,1061" coordsize="4430,3618">
                <v:shape style="position:absolute;left:5650;top:1061;width:4429;height:3618" id="docshape409" coordorigin="5651,1061" coordsize="4429,3618" path="m10080,4338l5651,4338,5651,4679,10080,4679,10080,4338xm10080,1061l5651,1061,5651,4338,10080,4338,10080,1061xe" filled="true" fillcolor="#d9d9d9" stroked="false">
                  <v:path arrowok="t"/>
                  <v:fill type="solid"/>
                </v:shape>
                <v:shape style="position:absolute;left:5649;top:1061;width:4195;height:3275" type="#_x0000_t75" id="docshape410" stroked="false">
                  <v:imagedata r:id="rId88" o:title=""/>
                </v:shape>
                <v:shape style="position:absolute;left:5650;top:1061;width:4429;height:3618" type="#_x0000_t202" id="docshape411"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v:textbox>
                  <w10:wrap type="none"/>
                </v:shape>
                <w10:wrap type="none"/>
              </v:group>
            </w:pict>
          </mc:Fallback>
        </mc:AlternateContent>
      </w:r>
      <w:r>
        <w:rPr/>
        <w:t>Το</w:t>
      </w:r>
      <w:r>
        <w:rPr>
          <w:spacing w:val="-11"/>
        </w:rPr>
        <w:t> </w:t>
      </w:r>
      <w:r>
        <w:rPr/>
        <w:t>2025</w:t>
      </w:r>
      <w:r>
        <w:rPr>
          <w:spacing w:val="-11"/>
        </w:rPr>
        <w:t> </w:t>
      </w:r>
      <w:r>
        <w:rPr/>
        <w:t>οι</w:t>
      </w:r>
      <w:r>
        <w:rPr>
          <w:spacing w:val="-10"/>
        </w:rPr>
        <w:t> </w:t>
      </w:r>
      <w:r>
        <w:rPr/>
        <w:t>ελληνικοί</w:t>
      </w:r>
      <w:r>
        <w:rPr>
          <w:spacing w:val="-10"/>
        </w:rPr>
        <w:t> </w:t>
      </w:r>
      <w:r>
        <w:rPr/>
        <w:t>τραπεζικοί</w:t>
      </w:r>
      <w:r>
        <w:rPr>
          <w:spacing w:val="-11"/>
        </w:rPr>
        <w:t> </w:t>
      </w:r>
      <w:r>
        <w:rPr/>
        <w:t>όμιλοι</w:t>
      </w:r>
      <w:r>
        <w:rPr>
          <w:spacing w:val="-9"/>
        </w:rPr>
        <w:t> </w:t>
      </w:r>
      <w:r>
        <w:rPr/>
        <w:t>δια-τήρησαν τη</w:t>
      </w:r>
      <w:r>
        <w:rPr>
          <w:spacing w:val="-1"/>
        </w:rPr>
        <w:t> </w:t>
      </w:r>
      <w:r>
        <w:rPr/>
        <w:t>ρευστότητά</w:t>
      </w:r>
      <w:r>
        <w:rPr>
          <w:spacing w:val="-1"/>
        </w:rPr>
        <w:t> </w:t>
      </w:r>
      <w:r>
        <w:rPr/>
        <w:t>τους</w:t>
      </w:r>
      <w:r>
        <w:rPr>
          <w:spacing w:val="-2"/>
        </w:rPr>
        <w:t> </w:t>
      </w:r>
      <w:r>
        <w:rPr/>
        <w:t>σε</w:t>
      </w:r>
      <w:r>
        <w:rPr>
          <w:spacing w:val="-2"/>
        </w:rPr>
        <w:t> </w:t>
      </w:r>
      <w:r>
        <w:rPr/>
        <w:t>υψηλό</w:t>
      </w:r>
      <w:r>
        <w:rPr>
          <w:spacing w:val="-2"/>
        </w:rPr>
        <w:t> </w:t>
      </w:r>
      <w:r>
        <w:rPr/>
        <w:t>επί-πεδο. Ο Δείκτης Κάλυψης Ρευστότητας (Liquidity Coverage Ratio – LCR) σημεί-ωσε μικρή πτώση και διαμορφώθηκε σε 200,0% τον Δεκέμβριο του 2025 (από 215,2% τον Δεκέμβριο του 2024, βλ. </w:t>
      </w:r>
      <w:r>
        <w:rPr/>
        <w:t>Διά-γραμμα ΙΙΙ.10), παραμένοντας, ωστόσο, δι-πλάσιος της υποχρεωτικής εποπτικής απαί-τησης, η οποία ορίζεται στο 100%, και ση-μαντικά</w:t>
      </w:r>
      <w:r>
        <w:rPr>
          <w:spacing w:val="2"/>
        </w:rPr>
        <w:t> </w:t>
      </w:r>
      <w:r>
        <w:rPr/>
        <w:t>υψηλότερος</w:t>
      </w:r>
      <w:r>
        <w:rPr>
          <w:spacing w:val="4"/>
        </w:rPr>
        <w:t> </w:t>
      </w:r>
      <w:r>
        <w:rPr/>
        <w:t>από</w:t>
      </w:r>
      <w:r>
        <w:rPr>
          <w:spacing w:val="4"/>
        </w:rPr>
        <w:t> </w:t>
      </w:r>
      <w:r>
        <w:rPr/>
        <w:t>τον</w:t>
      </w:r>
      <w:r>
        <w:rPr>
          <w:spacing w:val="4"/>
        </w:rPr>
        <w:t> </w:t>
      </w:r>
      <w:r>
        <w:rPr/>
        <w:t>μέσο</w:t>
      </w:r>
      <w:r>
        <w:rPr>
          <w:spacing w:val="4"/>
        </w:rPr>
        <w:t> </w:t>
      </w:r>
      <w:r>
        <w:rPr/>
        <w:t>όρο</w:t>
      </w:r>
      <w:r>
        <w:rPr>
          <w:spacing w:val="5"/>
        </w:rPr>
        <w:t> </w:t>
      </w:r>
      <w:r>
        <w:rPr>
          <w:spacing w:val="-5"/>
        </w:rPr>
        <w:t>των</w:t>
      </w:r>
    </w:p>
    <w:p>
      <w:pPr>
        <w:pStyle w:val="BodyText"/>
        <w:rPr>
          <w:sz w:val="20"/>
        </w:rPr>
      </w:pPr>
      <w:r>
        <w:rPr/>
        <w:br w:type="column"/>
      </w:r>
      <w:r>
        <w:rPr>
          <w:sz w:val="20"/>
        </w:rPr>
      </w:r>
    </w:p>
    <w:p>
      <w:pPr>
        <w:pStyle w:val="BodyText"/>
        <w:spacing w:before="48"/>
        <w:rPr>
          <w:sz w:val="20"/>
        </w:rPr>
      </w:pPr>
      <w:r>
        <w:rPr>
          <w:sz w:val="20"/>
        </w:rPr>
        <mc:AlternateContent>
          <mc:Choice Requires="wps">
            <w:drawing>
              <wp:anchor distT="0" distB="0" distL="0" distR="0" allowOverlap="1" layoutInCell="1" locked="0" behindDoc="1" simplePos="0" relativeHeight="487625216">
                <wp:simplePos x="0" y="0"/>
                <wp:positionH relativeFrom="page">
                  <wp:posOffset>3588130</wp:posOffset>
                </wp:positionH>
                <wp:positionV relativeFrom="paragraph">
                  <wp:posOffset>192175</wp:posOffset>
                </wp:positionV>
                <wp:extent cx="2812415" cy="338455"/>
                <wp:effectExtent l="0" t="0" r="0" b="0"/>
                <wp:wrapTopAndBottom/>
                <wp:docPr id="440" name="Textbox 440"/>
                <wp:cNvGraphicFramePr>
                  <a:graphicFrameLocks/>
                </wp:cNvGraphicFramePr>
                <a:graphic>
                  <a:graphicData uri="http://schemas.microsoft.com/office/word/2010/wordprocessingShape">
                    <wps:wsp>
                      <wps:cNvPr id="440" name="Textbox 440"/>
                      <wps:cNvSpPr txBox="1"/>
                      <wps:spPr>
                        <a:xfrm>
                          <a:off x="0" y="0"/>
                          <a:ext cx="2812415" cy="338455"/>
                        </a:xfrm>
                        <a:prstGeom prst="rect">
                          <a:avLst/>
                        </a:prstGeom>
                        <a:solidFill>
                          <a:srgbClr val="1F487C"/>
                        </a:solidFill>
                      </wps:spPr>
                      <wps:txbx>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III.10</w:t>
                            </w:r>
                            <w:r>
                              <w:rPr>
                                <w:b/>
                                <w:smallCaps w:val="0"/>
                                <w:color w:val="FFFFFF"/>
                                <w:spacing w:val="-8"/>
                                <w:sz w:val="18"/>
                              </w:rPr>
                              <w:t> </w:t>
                            </w:r>
                            <w:r>
                              <w:rPr>
                                <w:b/>
                                <w:smallCaps w:val="0"/>
                                <w:color w:val="FFFFFF"/>
                                <w:sz w:val="18"/>
                              </w:rPr>
                              <w:t>Δείκτης</w:t>
                            </w:r>
                            <w:r>
                              <w:rPr>
                                <w:b/>
                                <w:smallCaps w:val="0"/>
                                <w:color w:val="FFFFFF"/>
                                <w:spacing w:val="-10"/>
                                <w:sz w:val="18"/>
                              </w:rPr>
                              <w:t> </w:t>
                            </w:r>
                            <w:r>
                              <w:rPr>
                                <w:b/>
                                <w:smallCaps w:val="0"/>
                                <w:color w:val="FFFFFF"/>
                                <w:sz w:val="18"/>
                              </w:rPr>
                              <w:t>Κάλυψης</w:t>
                            </w:r>
                            <w:r>
                              <w:rPr>
                                <w:b/>
                                <w:smallCaps w:val="0"/>
                                <w:color w:val="FFFFFF"/>
                                <w:spacing w:val="-10"/>
                                <w:sz w:val="18"/>
                              </w:rPr>
                              <w:t> </w:t>
                            </w:r>
                            <w:r>
                              <w:rPr>
                                <w:b/>
                                <w:smallCaps w:val="0"/>
                                <w:color w:val="FFFFFF"/>
                                <w:sz w:val="18"/>
                              </w:rPr>
                              <w:t>Ρευστότητας (Liquidity Coverage Ratio ‒ LCR)</w:t>
                            </w:r>
                          </w:p>
                        </w:txbxContent>
                      </wps:txbx>
                      <wps:bodyPr wrap="square" lIns="0" tIns="0" rIns="0" bIns="0" rtlCol="0">
                        <a:noAutofit/>
                      </wps:bodyPr>
                    </wps:wsp>
                  </a:graphicData>
                </a:graphic>
              </wp:anchor>
            </w:drawing>
          </mc:Choice>
          <mc:Fallback>
            <w:pict>
              <v:shape style="position:absolute;margin-left:282.529999pt;margin-top:15.131953pt;width:221.45pt;height:26.65pt;mso-position-horizontal-relative:page;mso-position-vertical-relative:paragraph;z-index:-15691264;mso-wrap-distance-left:0;mso-wrap-distance-right:0" type="#_x0000_t202" id="docshape412" filled="true" fillcolor="#1f487c" stroked="false">
                <v:textbox inset="0,0,0,0">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III.10</w:t>
                      </w:r>
                      <w:r>
                        <w:rPr>
                          <w:b/>
                          <w:smallCaps w:val="0"/>
                          <w:color w:val="FFFFFF"/>
                          <w:spacing w:val="-8"/>
                          <w:sz w:val="18"/>
                        </w:rPr>
                        <w:t> </w:t>
                      </w:r>
                      <w:r>
                        <w:rPr>
                          <w:b/>
                          <w:smallCaps w:val="0"/>
                          <w:color w:val="FFFFFF"/>
                          <w:sz w:val="18"/>
                        </w:rPr>
                        <w:t>Δείκτης</w:t>
                      </w:r>
                      <w:r>
                        <w:rPr>
                          <w:b/>
                          <w:smallCaps w:val="0"/>
                          <w:color w:val="FFFFFF"/>
                          <w:spacing w:val="-10"/>
                          <w:sz w:val="18"/>
                        </w:rPr>
                        <w:t> </w:t>
                      </w:r>
                      <w:r>
                        <w:rPr>
                          <w:b/>
                          <w:smallCaps w:val="0"/>
                          <w:color w:val="FFFFFF"/>
                          <w:sz w:val="18"/>
                        </w:rPr>
                        <w:t>Κάλυψης</w:t>
                      </w:r>
                      <w:r>
                        <w:rPr>
                          <w:b/>
                          <w:smallCaps w:val="0"/>
                          <w:color w:val="FFFFFF"/>
                          <w:spacing w:val="-10"/>
                          <w:sz w:val="18"/>
                        </w:rPr>
                        <w:t> </w:t>
                      </w:r>
                      <w:r>
                        <w:rPr>
                          <w:b/>
                          <w:smallCaps w:val="0"/>
                          <w:color w:val="FFFFFF"/>
                          <w:sz w:val="18"/>
                        </w:rPr>
                        <w:t>Ρευστότητας (Liquidity Coverage Ratio ‒ LCR)</w:t>
                      </w:r>
                    </w:p>
                  </w:txbxContent>
                </v:textbox>
                <v:fill type="solid"/>
                <w10:wrap type="topAndBottom"/>
              </v:shape>
            </w:pict>
          </mc:Fallback>
        </mc:AlternateContent>
      </w:r>
    </w:p>
    <w:p>
      <w:pPr>
        <w:spacing w:before="119"/>
        <w:ind w:left="172" w:right="0" w:firstLine="0"/>
        <w:jc w:val="left"/>
        <w:rPr>
          <w:sz w:val="14"/>
        </w:rPr>
      </w:pPr>
      <w:r>
        <w:rPr>
          <w:color w:val="1F487C"/>
          <w:sz w:val="14"/>
        </w:rPr>
        <w:t>(δισεκ.</w:t>
      </w:r>
      <w:r>
        <w:rPr>
          <w:color w:val="1F487C"/>
          <w:spacing w:val="-4"/>
          <w:sz w:val="14"/>
        </w:rPr>
        <w:t> </w:t>
      </w:r>
      <w:r>
        <w:rPr>
          <w:color w:val="1F487C"/>
          <w:sz w:val="14"/>
        </w:rPr>
        <w:t>ευρώ,</w:t>
      </w:r>
      <w:r>
        <w:rPr>
          <w:color w:val="1F487C"/>
          <w:spacing w:val="-4"/>
          <w:sz w:val="14"/>
        </w:rPr>
        <w:t> </w:t>
      </w:r>
      <w:r>
        <w:rPr>
          <w:color w:val="1F487C"/>
          <w:sz w:val="14"/>
        </w:rPr>
        <w:t>ποσοστά</w:t>
      </w:r>
      <w:r>
        <w:rPr>
          <w:color w:val="1F487C"/>
          <w:spacing w:val="-7"/>
          <w:sz w:val="14"/>
        </w:rPr>
        <w:t> </w:t>
      </w:r>
      <w:r>
        <w:rPr>
          <w:color w:val="1F487C"/>
          <w:spacing w:val="-5"/>
          <w:sz w:val="14"/>
        </w:rPr>
        <w:t>%)</w:t>
      </w:r>
    </w:p>
    <w:p>
      <w:pPr>
        <w:spacing w:after="0"/>
        <w:jc w:val="left"/>
        <w:rPr>
          <w:sz w:val="14"/>
        </w:rPr>
        <w:sectPr>
          <w:type w:val="continuous"/>
          <w:pgSz w:w="11910" w:h="16850"/>
          <w:pgMar w:header="0" w:footer="1108" w:top="1320" w:bottom="280" w:left="1417" w:right="850"/>
          <w:cols w:num="2" w:equalWidth="0">
            <w:col w:w="4057" w:space="62"/>
            <w:col w:w="5524"/>
          </w:cols>
        </w:sectPr>
      </w:pPr>
    </w:p>
    <w:p>
      <w:pPr>
        <w:pStyle w:val="BodyText"/>
        <w:spacing w:line="285" w:lineRule="auto" w:before="66"/>
        <w:ind w:left="172" w:right="955"/>
        <w:jc w:val="both"/>
      </w:pPr>
      <w:r>
        <w:rPr/>
        <w:t>σημαντικών τραπεζών στην Τραπεζική Ένωση (158,6% τον Δεκέμβριο του 2025).</w:t>
      </w:r>
      <w:hyperlink w:history="true" w:anchor="_bookmark57">
        <w:r>
          <w:rPr>
            <w:position w:val="6"/>
            <w:sz w:val="10"/>
          </w:rPr>
          <w:t>38</w:t>
        </w:r>
      </w:hyperlink>
      <w:r>
        <w:rPr>
          <w:spacing w:val="40"/>
          <w:position w:val="6"/>
          <w:sz w:val="10"/>
        </w:rPr>
        <w:t> </w:t>
      </w:r>
      <w:r>
        <w:rPr/>
        <w:t>Η μείωση του Δείκτη Κάλυψης Ρευστότητας οφείλεται κυρίως στην αύξηση των καθαρών εκροών.</w:t>
      </w:r>
    </w:p>
    <w:p>
      <w:pPr>
        <w:pStyle w:val="BodyText"/>
        <w:spacing w:line="285" w:lineRule="auto" w:before="118"/>
        <w:ind w:left="172" w:right="955"/>
        <w:jc w:val="both"/>
      </w:pPr>
      <w:r>
        <w:rPr/>
        <mc:AlternateContent>
          <mc:Choice Requires="wps">
            <w:drawing>
              <wp:anchor distT="0" distB="0" distL="0" distR="0" allowOverlap="1" layoutInCell="1" locked="0" behindDoc="0" simplePos="0" relativeHeight="15768064">
                <wp:simplePos x="0" y="0"/>
                <wp:positionH relativeFrom="page">
                  <wp:posOffset>3588130</wp:posOffset>
                </wp:positionH>
                <wp:positionV relativeFrom="paragraph">
                  <wp:posOffset>591001</wp:posOffset>
                </wp:positionV>
                <wp:extent cx="2812415" cy="338455"/>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2812415" cy="338455"/>
                        </a:xfrm>
                        <a:prstGeom prst="rect">
                          <a:avLst/>
                        </a:prstGeom>
                        <a:solidFill>
                          <a:srgbClr val="1F487C"/>
                        </a:solidFill>
                      </wps:spPr>
                      <wps:txbx>
                        <w:txbxContent>
                          <w:p>
                            <w:pPr>
                              <w:spacing w:before="60"/>
                              <w:ind w:left="112" w:right="144"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III.11</w:t>
                            </w:r>
                            <w:r>
                              <w:rPr>
                                <w:b/>
                                <w:smallCaps w:val="0"/>
                                <w:color w:val="FFFFFF"/>
                                <w:spacing w:val="-7"/>
                                <w:sz w:val="18"/>
                              </w:rPr>
                              <w:t> </w:t>
                            </w:r>
                            <w:r>
                              <w:rPr>
                                <w:b/>
                                <w:smallCaps w:val="0"/>
                                <w:color w:val="FFFFFF"/>
                                <w:sz w:val="18"/>
                              </w:rPr>
                              <w:t>Δείκτης</w:t>
                            </w:r>
                            <w:r>
                              <w:rPr>
                                <w:b/>
                                <w:smallCaps w:val="0"/>
                                <w:color w:val="FFFFFF"/>
                                <w:spacing w:val="-9"/>
                                <w:sz w:val="18"/>
                              </w:rPr>
                              <w:t> </w:t>
                            </w:r>
                            <w:r>
                              <w:rPr>
                                <w:b/>
                                <w:smallCaps w:val="0"/>
                                <w:color w:val="FFFFFF"/>
                                <w:sz w:val="18"/>
                              </w:rPr>
                              <w:t>Καθαρής</w:t>
                            </w:r>
                            <w:r>
                              <w:rPr>
                                <w:b/>
                                <w:smallCaps w:val="0"/>
                                <w:color w:val="FFFFFF"/>
                                <w:spacing w:val="-7"/>
                                <w:sz w:val="18"/>
                              </w:rPr>
                              <w:t> </w:t>
                            </w:r>
                            <w:r>
                              <w:rPr>
                                <w:b/>
                                <w:smallCaps w:val="0"/>
                                <w:color w:val="FFFFFF"/>
                                <w:sz w:val="18"/>
                              </w:rPr>
                              <w:t>Σταθερής</w:t>
                            </w:r>
                            <w:r>
                              <w:rPr>
                                <w:b/>
                                <w:smallCaps w:val="0"/>
                                <w:color w:val="FFFFFF"/>
                                <w:spacing w:val="-7"/>
                                <w:sz w:val="18"/>
                              </w:rPr>
                              <w:t> </w:t>
                            </w:r>
                            <w:r>
                              <w:rPr>
                                <w:b/>
                                <w:smallCaps w:val="0"/>
                                <w:color w:val="FFFFFF"/>
                                <w:sz w:val="18"/>
                              </w:rPr>
                              <w:t>Χρημα-τοδότησης (Net Stable Funding Ratio – NSFR)</w:t>
                            </w:r>
                          </w:p>
                        </w:txbxContent>
                      </wps:txbx>
                      <wps:bodyPr wrap="square" lIns="0" tIns="0" rIns="0" bIns="0" rtlCol="0">
                        <a:noAutofit/>
                      </wps:bodyPr>
                    </wps:wsp>
                  </a:graphicData>
                </a:graphic>
              </wp:anchor>
            </w:drawing>
          </mc:Choice>
          <mc:Fallback>
            <w:pict>
              <v:shape style="position:absolute;margin-left:282.529999pt;margin-top:46.535557pt;width:221.45pt;height:26.65pt;mso-position-horizontal-relative:page;mso-position-vertical-relative:paragraph;z-index:15768064" type="#_x0000_t202" id="docshape413" filled="true" fillcolor="#1f487c" stroked="false">
                <v:textbox inset="0,0,0,0">
                  <w:txbxContent>
                    <w:p>
                      <w:pPr>
                        <w:spacing w:before="60"/>
                        <w:ind w:left="112" w:right="144"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III.11</w:t>
                      </w:r>
                      <w:r>
                        <w:rPr>
                          <w:b/>
                          <w:smallCaps w:val="0"/>
                          <w:color w:val="FFFFFF"/>
                          <w:spacing w:val="-7"/>
                          <w:sz w:val="18"/>
                        </w:rPr>
                        <w:t> </w:t>
                      </w:r>
                      <w:r>
                        <w:rPr>
                          <w:b/>
                          <w:smallCaps w:val="0"/>
                          <w:color w:val="FFFFFF"/>
                          <w:sz w:val="18"/>
                        </w:rPr>
                        <w:t>Δείκτης</w:t>
                      </w:r>
                      <w:r>
                        <w:rPr>
                          <w:b/>
                          <w:smallCaps w:val="0"/>
                          <w:color w:val="FFFFFF"/>
                          <w:spacing w:val="-9"/>
                          <w:sz w:val="18"/>
                        </w:rPr>
                        <w:t> </w:t>
                      </w:r>
                      <w:r>
                        <w:rPr>
                          <w:b/>
                          <w:smallCaps w:val="0"/>
                          <w:color w:val="FFFFFF"/>
                          <w:sz w:val="18"/>
                        </w:rPr>
                        <w:t>Καθαρής</w:t>
                      </w:r>
                      <w:r>
                        <w:rPr>
                          <w:b/>
                          <w:smallCaps w:val="0"/>
                          <w:color w:val="FFFFFF"/>
                          <w:spacing w:val="-7"/>
                          <w:sz w:val="18"/>
                        </w:rPr>
                        <w:t> </w:t>
                      </w:r>
                      <w:r>
                        <w:rPr>
                          <w:b/>
                          <w:smallCaps w:val="0"/>
                          <w:color w:val="FFFFFF"/>
                          <w:sz w:val="18"/>
                        </w:rPr>
                        <w:t>Σταθερής</w:t>
                      </w:r>
                      <w:r>
                        <w:rPr>
                          <w:b/>
                          <w:smallCaps w:val="0"/>
                          <w:color w:val="FFFFFF"/>
                          <w:spacing w:val="-7"/>
                          <w:sz w:val="18"/>
                        </w:rPr>
                        <w:t> </w:t>
                      </w:r>
                      <w:r>
                        <w:rPr>
                          <w:b/>
                          <w:smallCaps w:val="0"/>
                          <w:color w:val="FFFFFF"/>
                          <w:sz w:val="18"/>
                        </w:rPr>
                        <w:t>Χρημα-τοδότησης (Net Stable Funding Ratio – NSFR)</w:t>
                      </w:r>
                    </w:p>
                  </w:txbxContent>
                </v:textbox>
                <v:fill type="solid"/>
                <w10:wrap type="none"/>
              </v:shape>
            </w:pict>
          </mc:Fallback>
        </mc:AlternateContent>
      </w:r>
      <w:r>
        <w:rPr/>
        <w:t>Επιπρόσθετα, ο Δείκτης Καθαρής Σταθερής Χρηματοδότησης (Net Stable Funding Ratio – NSFR) διαμορφώθηκε σε 136,3% τον Δεκέμβριο του 2025 (από 138,5% τον Δεκέμβριο του 2024), αντανακλώντας την επαρκή</w:t>
      </w:r>
      <w:r>
        <w:rPr>
          <w:spacing w:val="40"/>
        </w:rPr>
        <w:t> </w:t>
      </w:r>
      <w:r>
        <w:rPr/>
        <w:t>χρημα-</w:t>
      </w:r>
    </w:p>
    <w:p>
      <w:pPr>
        <w:pStyle w:val="BodyText"/>
        <w:spacing w:line="250" w:lineRule="exact"/>
        <w:ind w:left="172"/>
        <w:jc w:val="both"/>
      </w:pPr>
      <w:r>
        <w:rPr/>
        <w:t>τοδότηση</w:t>
      </w:r>
      <w:r>
        <w:rPr>
          <w:spacing w:val="77"/>
        </w:rPr>
        <w:t> </w:t>
      </w:r>
      <w:r>
        <w:rPr/>
        <w:t>μακροπρόθεσμων</w:t>
      </w:r>
      <w:r>
        <w:rPr>
          <w:spacing w:val="77"/>
        </w:rPr>
        <w:t> </w:t>
      </w:r>
      <w:r>
        <w:rPr/>
        <w:t>στοιχείων</w:t>
      </w:r>
      <w:r>
        <w:rPr>
          <w:spacing w:val="77"/>
        </w:rPr>
        <w:t> </w:t>
      </w:r>
      <w:r>
        <w:rPr>
          <w:spacing w:val="-5"/>
        </w:rPr>
        <w:t>ε-</w:t>
      </w:r>
    </w:p>
    <w:p>
      <w:pPr>
        <w:pStyle w:val="BodyText"/>
        <w:spacing w:line="211" w:lineRule="exact" w:before="47"/>
        <w:ind w:left="172"/>
        <w:jc w:val="both"/>
      </w:pPr>
      <w:r>
        <w:rPr/>
        <w:t>νεργητικού</w:t>
      </w:r>
      <w:r>
        <w:rPr>
          <w:spacing w:val="-3"/>
        </w:rPr>
        <w:t> </w:t>
      </w:r>
      <w:r>
        <w:rPr/>
        <w:t>των</w:t>
      </w:r>
      <w:r>
        <w:rPr>
          <w:spacing w:val="-3"/>
        </w:rPr>
        <w:t> </w:t>
      </w:r>
      <w:r>
        <w:rPr/>
        <w:t>τραπεζών</w:t>
      </w:r>
      <w:r>
        <w:rPr>
          <w:spacing w:val="-2"/>
        </w:rPr>
        <w:t> </w:t>
      </w:r>
      <w:r>
        <w:rPr/>
        <w:t>χωρίς</w:t>
      </w:r>
      <w:r>
        <w:rPr>
          <w:spacing w:val="-5"/>
        </w:rPr>
        <w:t> </w:t>
      </w:r>
      <w:r>
        <w:rPr/>
        <w:t>να</w:t>
      </w:r>
      <w:r>
        <w:rPr>
          <w:spacing w:val="-3"/>
        </w:rPr>
        <w:t> </w:t>
      </w:r>
      <w:r>
        <w:rPr>
          <w:spacing w:val="-2"/>
        </w:rPr>
        <w:t>απαιτεί-</w:t>
      </w:r>
    </w:p>
    <w:p>
      <w:pPr>
        <w:pStyle w:val="BodyText"/>
        <w:spacing w:after="0" w:line="211" w:lineRule="exact"/>
        <w:jc w:val="both"/>
        <w:sectPr>
          <w:pgSz w:w="11910" w:h="16850"/>
          <w:pgMar w:header="0" w:footer="1108" w:top="1840" w:bottom="1300" w:left="1417" w:right="850"/>
        </w:sectPr>
      </w:pPr>
    </w:p>
    <w:p>
      <w:pPr>
        <w:pStyle w:val="BodyText"/>
        <w:spacing w:line="285" w:lineRule="auto" w:before="89"/>
        <w:ind w:left="172"/>
        <w:jc w:val="both"/>
      </w:pPr>
      <w:r>
        <w:rPr/>
        <w:t>ται</w:t>
      </w:r>
      <w:r>
        <w:rPr>
          <w:spacing w:val="-12"/>
        </w:rPr>
        <w:t> </w:t>
      </w:r>
      <w:r>
        <w:rPr/>
        <w:t>υπέρμετρη</w:t>
      </w:r>
      <w:r>
        <w:rPr>
          <w:spacing w:val="-12"/>
        </w:rPr>
        <w:t> </w:t>
      </w:r>
      <w:r>
        <w:rPr/>
        <w:t>χρήση</w:t>
      </w:r>
      <w:r>
        <w:rPr>
          <w:spacing w:val="-12"/>
        </w:rPr>
        <w:t> </w:t>
      </w:r>
      <w:r>
        <w:rPr/>
        <w:t>βραχυπρόθεσμης</w:t>
      </w:r>
      <w:r>
        <w:rPr>
          <w:spacing w:val="-13"/>
        </w:rPr>
        <w:t> </w:t>
      </w:r>
      <w:r>
        <w:rPr/>
        <w:t>χρη-ματοδότησης (βλ. Διάγραμμα ΙΙΙ.11). Η μι-κρή</w:t>
      </w:r>
      <w:r>
        <w:rPr>
          <w:spacing w:val="-3"/>
        </w:rPr>
        <w:t> </w:t>
      </w:r>
      <w:r>
        <w:rPr/>
        <w:t>μείωση</w:t>
      </w:r>
      <w:r>
        <w:rPr>
          <w:spacing w:val="-3"/>
        </w:rPr>
        <w:t> </w:t>
      </w:r>
      <w:r>
        <w:rPr/>
        <w:t>του</w:t>
      </w:r>
      <w:r>
        <w:rPr>
          <w:spacing w:val="-2"/>
        </w:rPr>
        <w:t> </w:t>
      </w:r>
      <w:r>
        <w:rPr/>
        <w:t>δείκτη</w:t>
      </w:r>
      <w:r>
        <w:rPr>
          <w:spacing w:val="-4"/>
        </w:rPr>
        <w:t> </w:t>
      </w:r>
      <w:r>
        <w:rPr/>
        <w:t>προήλθε</w:t>
      </w:r>
      <w:r>
        <w:rPr>
          <w:spacing w:val="-2"/>
        </w:rPr>
        <w:t> </w:t>
      </w:r>
      <w:r>
        <w:rPr/>
        <w:t>από</w:t>
      </w:r>
      <w:r>
        <w:rPr>
          <w:spacing w:val="-3"/>
        </w:rPr>
        <w:t> </w:t>
      </w:r>
      <w:r>
        <w:rPr/>
        <w:t>τις</w:t>
      </w:r>
      <w:r>
        <w:rPr>
          <w:spacing w:val="-4"/>
        </w:rPr>
        <w:t> </w:t>
      </w:r>
      <w:r>
        <w:rPr/>
        <w:t>αυ-ξημένες ροές για την επέκταση του δανεια-κού χαρτοφυλακίου. Ο Δείκτης Καθαρής Σταθερής Χρηματοδότησης για τις ελληνι-κές τράπεζες διατηρήθηκε σε επίπεδο υψη-λότερο από τον αντίστοιχο μέσο όρο των σημαντικών τραπεζών στην Τραπεζική Έ-νωση (126,5% τον Δεκέμβριο του 2025)</w:t>
      </w:r>
      <w:hyperlink w:history="true" w:anchor="_bookmark58">
        <w:r>
          <w:rPr>
            <w:position w:val="6"/>
            <w:sz w:val="10"/>
          </w:rPr>
          <w:t>39</w:t>
        </w:r>
      </w:hyperlink>
      <w:r>
        <w:rPr>
          <w:spacing w:val="40"/>
          <w:position w:val="6"/>
          <w:sz w:val="10"/>
        </w:rPr>
        <w:t> </w:t>
      </w:r>
      <w:r>
        <w:rPr/>
        <w:t>και την ελάχιστη υποχρεωτική εποπτική α-παίτηση, η οποία ορίζεται στο 100%.</w:t>
      </w:r>
    </w:p>
    <w:p>
      <w:pPr>
        <w:spacing w:line="133" w:lineRule="exact" w:before="0"/>
        <w:ind w:left="137" w:right="0" w:firstLine="0"/>
        <w:jc w:val="left"/>
        <w:rPr>
          <w:sz w:val="12"/>
        </w:rPr>
      </w:pPr>
      <w:r>
        <w:rPr/>
        <w:br w:type="column"/>
      </w:r>
      <w:r>
        <w:rPr>
          <w:color w:val="1F487C"/>
          <w:sz w:val="12"/>
        </w:rPr>
        <w:t>(δισεκ.</w:t>
      </w:r>
      <w:r>
        <w:rPr>
          <w:color w:val="1F487C"/>
          <w:spacing w:val="-1"/>
          <w:sz w:val="12"/>
        </w:rPr>
        <w:t> </w:t>
      </w:r>
      <w:r>
        <w:rPr>
          <w:color w:val="1F487C"/>
          <w:sz w:val="12"/>
        </w:rPr>
        <w:t>ευρώ</w:t>
      </w:r>
      <w:r>
        <w:rPr>
          <w:color w:val="1F487C"/>
          <w:spacing w:val="-2"/>
          <w:sz w:val="12"/>
        </w:rPr>
        <w:t> </w:t>
      </w:r>
      <w:r>
        <w:rPr>
          <w:color w:val="1F487C"/>
          <w:sz w:val="12"/>
        </w:rPr>
        <w:t>και</w:t>
      </w:r>
      <w:r>
        <w:rPr>
          <w:color w:val="1F487C"/>
          <w:spacing w:val="-2"/>
          <w:sz w:val="12"/>
        </w:rPr>
        <w:t> </w:t>
      </w:r>
      <w:r>
        <w:rPr>
          <w:color w:val="1F487C"/>
          <w:sz w:val="12"/>
        </w:rPr>
        <w:t>ποσοστά</w:t>
      </w:r>
      <w:r>
        <w:rPr>
          <w:color w:val="1F487C"/>
          <w:spacing w:val="-2"/>
          <w:sz w:val="12"/>
        </w:rPr>
        <w:t> </w:t>
      </w:r>
      <w:r>
        <w:rPr>
          <w:color w:val="1F487C"/>
          <w:spacing w:val="-5"/>
          <w:sz w:val="12"/>
        </w:rPr>
        <w:t>%)</w:t>
      </w:r>
    </w:p>
    <w:p>
      <w:pPr>
        <w:pStyle w:val="BodyText"/>
        <w:spacing w:before="2"/>
        <w:rPr>
          <w:sz w:val="5"/>
        </w:rPr>
      </w:pPr>
    </w:p>
    <w:p>
      <w:pPr>
        <w:spacing w:line="240" w:lineRule="auto"/>
        <w:ind w:left="137" w:right="0" w:firstLine="0"/>
        <w:rPr>
          <w:sz w:val="20"/>
        </w:rPr>
      </w:pPr>
      <w:r>
        <w:rPr>
          <w:sz w:val="20"/>
        </w:rPr>
        <mc:AlternateContent>
          <mc:Choice Requires="wps">
            <w:drawing>
              <wp:inline distT="0" distB="0" distL="0" distR="0">
                <wp:extent cx="2812415" cy="2190750"/>
                <wp:effectExtent l="0" t="0" r="0" b="9525"/>
                <wp:docPr id="442" name="Group 442"/>
                <wp:cNvGraphicFramePr>
                  <a:graphicFrameLocks/>
                </wp:cNvGraphicFramePr>
                <a:graphic>
                  <a:graphicData uri="http://schemas.microsoft.com/office/word/2010/wordprocessingGroup">
                    <wpg:wgp>
                      <wpg:cNvPr id="442" name="Group 442"/>
                      <wpg:cNvGrpSpPr/>
                      <wpg:grpSpPr>
                        <a:xfrm>
                          <a:off x="0" y="0"/>
                          <a:ext cx="2812415" cy="2190750"/>
                          <a:chExt cx="2812415" cy="2190750"/>
                        </a:xfrm>
                      </wpg:grpSpPr>
                      <wps:wsp>
                        <wps:cNvPr id="443" name="Graphic 443"/>
                        <wps:cNvSpPr/>
                        <wps:spPr>
                          <a:xfrm>
                            <a:off x="0" y="380"/>
                            <a:ext cx="2812415" cy="2190750"/>
                          </a:xfrm>
                          <a:custGeom>
                            <a:avLst/>
                            <a:gdLst/>
                            <a:ahLst/>
                            <a:cxnLst/>
                            <a:rect l="l" t="t" r="r" b="b"/>
                            <a:pathLst>
                              <a:path w="2812415" h="2190750">
                                <a:moveTo>
                                  <a:pt x="2812402" y="0"/>
                                </a:moveTo>
                                <a:lnTo>
                                  <a:pt x="0" y="0"/>
                                </a:lnTo>
                                <a:lnTo>
                                  <a:pt x="0" y="2025650"/>
                                </a:lnTo>
                                <a:lnTo>
                                  <a:pt x="0" y="2190242"/>
                                </a:lnTo>
                                <a:lnTo>
                                  <a:pt x="2812402" y="2190242"/>
                                </a:lnTo>
                                <a:lnTo>
                                  <a:pt x="2812402" y="2025650"/>
                                </a:lnTo>
                                <a:lnTo>
                                  <a:pt x="2812402" y="0"/>
                                </a:lnTo>
                                <a:close/>
                              </a:path>
                            </a:pathLst>
                          </a:custGeom>
                          <a:solidFill>
                            <a:srgbClr val="D9D9D9"/>
                          </a:solidFill>
                        </wps:spPr>
                        <wps:bodyPr wrap="square" lIns="0" tIns="0" rIns="0" bIns="0" rtlCol="0">
                          <a:prstTxWarp prst="textNoShape">
                            <a:avLst/>
                          </a:prstTxWarp>
                          <a:noAutofit/>
                        </wps:bodyPr>
                      </wps:wsp>
                      <pic:pic>
                        <pic:nvPicPr>
                          <pic:cNvPr id="444" name="Image 444"/>
                          <pic:cNvPicPr/>
                        </pic:nvPicPr>
                        <pic:blipFill>
                          <a:blip r:embed="rId89" cstate="print"/>
                          <a:stretch>
                            <a:fillRect/>
                          </a:stretch>
                        </pic:blipFill>
                        <pic:spPr>
                          <a:xfrm>
                            <a:off x="8127" y="0"/>
                            <a:ext cx="2743200" cy="2025396"/>
                          </a:xfrm>
                          <a:prstGeom prst="rect">
                            <a:avLst/>
                          </a:prstGeom>
                        </pic:spPr>
                      </pic:pic>
                      <wps:wsp>
                        <wps:cNvPr id="445" name="Textbox 445"/>
                        <wps:cNvSpPr txBox="1"/>
                        <wps:spPr>
                          <a:xfrm>
                            <a:off x="0" y="380"/>
                            <a:ext cx="2812415" cy="2190750"/>
                          </a:xfrm>
                          <a:prstGeom prst="rect">
                            <a:avLst/>
                          </a:prstGeom>
                        </wps:spPr>
                        <wps:txbx>
                          <w:txbxContent>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77"/>
                                <w:rPr>
                                  <w:sz w:val="12"/>
                                </w:rPr>
                              </w:pPr>
                            </w:p>
                            <w:p>
                              <w:pPr>
                                <w:spacing w:before="0"/>
                                <w:ind w:left="0" w:right="0" w:firstLine="0"/>
                                <w:jc w:val="left"/>
                                <w:rPr>
                                  <w:sz w:val="12"/>
                                </w:rPr>
                              </w:pPr>
                              <w:r>
                                <w:rPr>
                                  <w:sz w:val="12"/>
                                </w:rPr>
                                <w:t>Πηγή:</w:t>
                              </w:r>
                              <w:r>
                                <w:rPr>
                                  <w:spacing w:val="-3"/>
                                  <w:sz w:val="12"/>
                                </w:rPr>
                                <w:t> </w:t>
                              </w:r>
                              <w:r>
                                <w:rPr>
                                  <w:sz w:val="12"/>
                                </w:rPr>
                                <w:t>Τράπεζα</w:t>
                              </w:r>
                              <w:r>
                                <w:rPr>
                                  <w:spacing w:val="-2"/>
                                  <w:sz w:val="12"/>
                                </w:rPr>
                                <w:t> </w:t>
                              </w:r>
                              <w:r>
                                <w:rPr>
                                  <w:sz w:val="12"/>
                                </w:rPr>
                                <w:t>της</w:t>
                              </w:r>
                              <w:r>
                                <w:rPr>
                                  <w:spacing w:val="-2"/>
                                  <w:sz w:val="12"/>
                                </w:rPr>
                                <w:t> Ελλάδος.</w:t>
                              </w:r>
                            </w:p>
                          </w:txbxContent>
                        </wps:txbx>
                        <wps:bodyPr wrap="square" lIns="0" tIns="0" rIns="0" bIns="0" rtlCol="0">
                          <a:noAutofit/>
                        </wps:bodyPr>
                      </wps:wsp>
                    </wpg:wgp>
                  </a:graphicData>
                </a:graphic>
              </wp:inline>
            </w:drawing>
          </mc:Choice>
          <mc:Fallback>
            <w:pict>
              <v:group style="width:221.45pt;height:172.5pt;mso-position-horizontal-relative:char;mso-position-vertical-relative:line" id="docshapegroup414" coordorigin="0,0" coordsize="4429,3450">
                <v:shape style="position:absolute;left:0;top:0;width:4429;height:3450" id="docshape415" coordorigin="0,1" coordsize="4429,3450" path="m4429,1l0,1,0,3191,0,3450,4429,3450,4429,3191,4429,1xe" filled="true" fillcolor="#d9d9d9" stroked="false">
                  <v:path arrowok="t"/>
                  <v:fill type="solid"/>
                </v:shape>
                <v:shape style="position:absolute;left:12;top:0;width:4320;height:3190" type="#_x0000_t75" id="docshape416" stroked="false">
                  <v:imagedata r:id="rId89" o:title=""/>
                </v:shape>
                <v:shape style="position:absolute;left:0;top:0;width:4429;height:3450" type="#_x0000_t202" id="docshape417" filled="false" stroked="false">
                  <v:textbox inset="0,0,0,0">
                    <w:txbxContent>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77"/>
                          <w:rPr>
                            <w:sz w:val="12"/>
                          </w:rPr>
                        </w:pPr>
                      </w:p>
                      <w:p>
                        <w:pPr>
                          <w:spacing w:before="0"/>
                          <w:ind w:left="0" w:right="0" w:firstLine="0"/>
                          <w:jc w:val="left"/>
                          <w:rPr>
                            <w:sz w:val="12"/>
                          </w:rPr>
                        </w:pPr>
                        <w:r>
                          <w:rPr>
                            <w:sz w:val="12"/>
                          </w:rPr>
                          <w:t>Πηγή:</w:t>
                        </w:r>
                        <w:r>
                          <w:rPr>
                            <w:spacing w:val="-3"/>
                            <w:sz w:val="12"/>
                          </w:rPr>
                          <w:t> </w:t>
                        </w:r>
                        <w:r>
                          <w:rPr>
                            <w:sz w:val="12"/>
                          </w:rPr>
                          <w:t>Τράπεζα</w:t>
                        </w:r>
                        <w:r>
                          <w:rPr>
                            <w:spacing w:val="-2"/>
                            <w:sz w:val="12"/>
                          </w:rPr>
                          <w:t> </w:t>
                        </w:r>
                        <w:r>
                          <w:rPr>
                            <w:sz w:val="12"/>
                          </w:rPr>
                          <w:t>της</w:t>
                        </w:r>
                        <w:r>
                          <w:rPr>
                            <w:spacing w:val="-2"/>
                            <w:sz w:val="12"/>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057" w:space="40"/>
            <w:col w:w="5546"/>
          </w:cols>
        </w:sectPr>
      </w:pPr>
    </w:p>
    <w:p>
      <w:pPr>
        <w:pStyle w:val="BodyText"/>
        <w:spacing w:line="285" w:lineRule="auto" w:before="48"/>
        <w:ind w:left="172" w:right="954"/>
        <w:jc w:val="both"/>
      </w:pPr>
      <w:r>
        <w:rPr/>
        <w:t>Τέλος, παρατηρήθηκε μικρή αύξηση του λόγου Δανείων προς Καταθέσεις νοικοκυριών και μη χρηματοπιστωτικών επιχειρήσεων (Δεκέμβριος 2025: 62,6%</w:t>
      </w:r>
      <w:hyperlink w:history="true" w:anchor="_bookmark59">
        <w:r>
          <w:rPr/>
          <w:t>,</w:t>
        </w:r>
        <w:r>
          <w:rPr>
            <w:position w:val="6"/>
            <w:sz w:val="10"/>
          </w:rPr>
          <w:t>40</w:t>
        </w:r>
      </w:hyperlink>
      <w:r>
        <w:rPr>
          <w:spacing w:val="36"/>
          <w:position w:val="6"/>
          <w:sz w:val="10"/>
        </w:rPr>
        <w:t> </w:t>
      </w:r>
      <w:r>
        <w:rPr/>
        <w:t>Δεκέμβριος 2024: 60,6%</w:t>
      </w:r>
      <w:hyperlink w:history="true" w:anchor="_bookmark60">
        <w:r>
          <w:rPr>
            <w:position w:val="6"/>
            <w:sz w:val="10"/>
          </w:rPr>
          <w:t>41</w:t>
        </w:r>
      </w:hyperlink>
      <w:r>
        <w:rPr/>
        <w:t>), ο ο-ποίος είναι χαμηλότερος κατά 40 ποσοστιαίες μονάδες από τον μέσο όρο των σημαντικών τρα-πεζών στην Τραπεζική Ένωση (100,5%</w:t>
      </w:r>
      <w:hyperlink w:history="true" w:anchor="_bookmark61">
        <w:r>
          <w:rPr>
            <w:position w:val="6"/>
            <w:sz w:val="10"/>
          </w:rPr>
          <w:t>42</w:t>
        </w:r>
      </w:hyperlink>
      <w:r>
        <w:rPr>
          <w:spacing w:val="40"/>
          <w:position w:val="6"/>
          <w:sz w:val="10"/>
        </w:rPr>
        <w:t> </w:t>
      </w:r>
      <w:r>
        <w:rPr/>
        <w:t>τον Δεκέμβριο του 2025).</w:t>
      </w:r>
    </w:p>
    <w:p>
      <w:pPr>
        <w:pStyle w:val="BodyText"/>
        <w:spacing w:line="285" w:lineRule="auto" w:before="56"/>
        <w:ind w:left="172" w:right="954"/>
        <w:jc w:val="both"/>
      </w:pPr>
      <w:r>
        <w:rPr/>
        <w:t>Η ρευστότητα που διαθέτουν τα ελληνικά πιστωτικά ιδρύματα, σε συνδυασμό με την απρόσκο-πτη</w:t>
      </w:r>
      <w:r>
        <w:rPr>
          <w:spacing w:val="-6"/>
        </w:rPr>
        <w:t> </w:t>
      </w:r>
      <w:r>
        <w:rPr/>
        <w:t>πρόσβασή</w:t>
      </w:r>
      <w:r>
        <w:rPr>
          <w:spacing w:val="-9"/>
        </w:rPr>
        <w:t> </w:t>
      </w:r>
      <w:r>
        <w:rPr/>
        <w:t>τους</w:t>
      </w:r>
      <w:r>
        <w:rPr>
          <w:spacing w:val="-7"/>
        </w:rPr>
        <w:t> </w:t>
      </w:r>
      <w:r>
        <w:rPr/>
        <w:t>στη</w:t>
      </w:r>
      <w:r>
        <w:rPr>
          <w:spacing w:val="-6"/>
        </w:rPr>
        <w:t> </w:t>
      </w:r>
      <w:r>
        <w:rPr/>
        <w:t>διατραπεζική</w:t>
      </w:r>
      <w:r>
        <w:rPr>
          <w:spacing w:val="-7"/>
        </w:rPr>
        <w:t> </w:t>
      </w:r>
      <w:r>
        <w:rPr/>
        <w:t>αγορά</w:t>
      </w:r>
      <w:r>
        <w:rPr>
          <w:spacing w:val="-5"/>
        </w:rPr>
        <w:t> </w:t>
      </w:r>
      <w:r>
        <w:rPr/>
        <w:t>και</w:t>
      </w:r>
      <w:r>
        <w:rPr>
          <w:spacing w:val="-6"/>
        </w:rPr>
        <w:t> </w:t>
      </w:r>
      <w:r>
        <w:rPr/>
        <w:t>τις</w:t>
      </w:r>
      <w:r>
        <w:rPr>
          <w:spacing w:val="-7"/>
        </w:rPr>
        <w:t> </w:t>
      </w:r>
      <w:r>
        <w:rPr/>
        <w:t>κεφαλαιαγορές</w:t>
      </w:r>
      <w:r>
        <w:rPr>
          <w:spacing w:val="-6"/>
        </w:rPr>
        <w:t> </w:t>
      </w:r>
      <w:r>
        <w:rPr/>
        <w:t>μετά</w:t>
      </w:r>
      <w:r>
        <w:rPr>
          <w:spacing w:val="-7"/>
        </w:rPr>
        <w:t> </w:t>
      </w:r>
      <w:r>
        <w:rPr/>
        <w:t>από</w:t>
      </w:r>
      <w:r>
        <w:rPr>
          <w:spacing w:val="-6"/>
        </w:rPr>
        <w:t> </w:t>
      </w:r>
      <w:r>
        <w:rPr/>
        <w:t>τις</w:t>
      </w:r>
      <w:r>
        <w:rPr>
          <w:spacing w:val="-7"/>
        </w:rPr>
        <w:t> </w:t>
      </w:r>
      <w:r>
        <w:rPr/>
        <w:t>διαδοχικές</w:t>
      </w:r>
      <w:r>
        <w:rPr>
          <w:spacing w:val="-7"/>
        </w:rPr>
        <w:t> </w:t>
      </w:r>
      <w:r>
        <w:rPr/>
        <w:t>ανα-βαθμίσεις της πιστοληπτικής τους διαβάθμισης, έχει ενισχύσει την ανθεκτικότητά τους</w:t>
      </w:r>
      <w:r>
        <w:rPr>
          <w:spacing w:val="-1"/>
        </w:rPr>
        <w:t> </w:t>
      </w:r>
      <w:r>
        <w:rPr/>
        <w:t>σε ενδε-χόμενες διαταραχές.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rPr>
          <w:sz w:val="20"/>
        </w:rPr>
      </w:pPr>
      <w:r>
        <w:rPr>
          <w:sz w:val="20"/>
        </w:rPr>
        <mc:AlternateContent>
          <mc:Choice Requires="wps">
            <w:drawing>
              <wp:anchor distT="0" distB="0" distL="0" distR="0" allowOverlap="1" layoutInCell="1" locked="0" behindDoc="1" simplePos="0" relativeHeight="487626752">
                <wp:simplePos x="0" y="0"/>
                <wp:positionH relativeFrom="page">
                  <wp:posOffset>1009192</wp:posOffset>
                </wp:positionH>
                <wp:positionV relativeFrom="paragraph">
                  <wp:posOffset>298373</wp:posOffset>
                </wp:positionV>
                <wp:extent cx="1829435" cy="7620"/>
                <wp:effectExtent l="0" t="0" r="0" b="0"/>
                <wp:wrapTopAndBottom/>
                <wp:docPr id="446" name="Graphic 446"/>
                <wp:cNvGraphicFramePr>
                  <a:graphicFrameLocks/>
                </wp:cNvGraphicFramePr>
                <a:graphic>
                  <a:graphicData uri="http://schemas.microsoft.com/office/word/2010/wordprocessingShape">
                    <wps:wsp>
                      <wps:cNvPr id="446" name="Graphic 44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3.493971pt;width:144.020pt;height:.60004pt;mso-position-horizontal-relative:page;mso-position-vertical-relative:paragraph;z-index:-15689728;mso-wrap-distance-left:0;mso-wrap-distance-right:0" id="docshape418" filled="true" fillcolor="#000000" stroked="false">
                <v:fill type="solid"/>
                <w10:wrap type="topAndBottom"/>
              </v:rect>
            </w:pict>
          </mc:Fallback>
        </mc:AlternateContent>
      </w:r>
    </w:p>
    <w:p>
      <w:pPr>
        <w:spacing w:before="167"/>
        <w:ind w:left="172" w:right="0" w:firstLine="0"/>
        <w:jc w:val="left"/>
        <w:rPr>
          <w:sz w:val="16"/>
        </w:rPr>
      </w:pPr>
      <w:bookmarkStart w:name="_bookmark57" w:id="58"/>
      <w:bookmarkEnd w:id="58"/>
      <w:r>
        <w:rPr/>
      </w:r>
      <w:r>
        <w:rPr>
          <w:sz w:val="16"/>
          <w:vertAlign w:val="superscript"/>
        </w:rPr>
        <w:t>38</w:t>
      </w:r>
      <w:r>
        <w:rPr>
          <w:spacing w:val="-5"/>
          <w:sz w:val="16"/>
          <w:vertAlign w:val="baseline"/>
        </w:rPr>
        <w:t> </w:t>
      </w:r>
      <w:hyperlink r:id="rId90">
        <w:r>
          <w:rPr>
            <w:color w:val="0000FF"/>
            <w:sz w:val="16"/>
            <w:u w:val="single" w:color="0000FF"/>
            <w:vertAlign w:val="baseline"/>
          </w:rPr>
          <w:t>Supervisory</w:t>
        </w:r>
        <w:r>
          <w:rPr>
            <w:color w:val="0000FF"/>
            <w:spacing w:val="-5"/>
            <w:sz w:val="16"/>
            <w:u w:val="single" w:color="0000FF"/>
            <w:vertAlign w:val="baseline"/>
          </w:rPr>
          <w:t> </w:t>
        </w:r>
        <w:r>
          <w:rPr>
            <w:color w:val="0000FF"/>
            <w:sz w:val="16"/>
            <w:u w:val="single" w:color="0000FF"/>
            <w:vertAlign w:val="baseline"/>
          </w:rPr>
          <w:t>data,</w:t>
        </w:r>
        <w:r>
          <w:rPr>
            <w:color w:val="0000FF"/>
            <w:spacing w:val="-4"/>
            <w:sz w:val="16"/>
            <w:u w:val="single" w:color="0000FF"/>
            <w:vertAlign w:val="baseline"/>
          </w:rPr>
          <w:t> </w:t>
        </w:r>
        <w:r>
          <w:rPr>
            <w:sz w:val="16"/>
            <w:vertAlign w:val="baseline"/>
          </w:rPr>
          <w:t>ECB</w:t>
        </w:r>
        <w:r>
          <w:rPr>
            <w:spacing w:val="-6"/>
            <w:sz w:val="16"/>
            <w:vertAlign w:val="baseline"/>
          </w:rPr>
          <w:t> </w:t>
        </w:r>
        <w:r>
          <w:rPr>
            <w:sz w:val="16"/>
            <w:vertAlign w:val="baseline"/>
          </w:rPr>
          <w:t>Banking</w:t>
        </w:r>
        <w:r>
          <w:rPr>
            <w:spacing w:val="-3"/>
            <w:sz w:val="16"/>
            <w:vertAlign w:val="baseline"/>
          </w:rPr>
          <w:t> </w:t>
        </w:r>
        <w:r>
          <w:rPr>
            <w:spacing w:val="-2"/>
            <w:sz w:val="16"/>
            <w:vertAlign w:val="baseline"/>
          </w:rPr>
          <w:t>Supervision.</w:t>
        </w:r>
      </w:hyperlink>
    </w:p>
    <w:p>
      <w:pPr>
        <w:spacing w:before="20"/>
        <w:ind w:left="172" w:right="0" w:firstLine="0"/>
        <w:jc w:val="left"/>
        <w:rPr>
          <w:sz w:val="16"/>
        </w:rPr>
      </w:pPr>
      <w:bookmarkStart w:name="_bookmark58" w:id="59"/>
      <w:bookmarkEnd w:id="59"/>
      <w:r>
        <w:rPr/>
      </w:r>
      <w:r>
        <w:rPr>
          <w:sz w:val="16"/>
          <w:vertAlign w:val="superscript"/>
        </w:rPr>
        <w:t>39</w:t>
      </w:r>
      <w:r>
        <w:rPr>
          <w:spacing w:val="-5"/>
          <w:sz w:val="16"/>
          <w:vertAlign w:val="baseline"/>
        </w:rPr>
        <w:t> </w:t>
      </w:r>
      <w:hyperlink r:id="rId90">
        <w:r>
          <w:rPr>
            <w:color w:val="0000FF"/>
            <w:sz w:val="16"/>
            <w:u w:val="single" w:color="0000FF"/>
            <w:vertAlign w:val="baseline"/>
          </w:rPr>
          <w:t>Supervisory</w:t>
        </w:r>
        <w:r>
          <w:rPr>
            <w:color w:val="0000FF"/>
            <w:spacing w:val="-5"/>
            <w:sz w:val="16"/>
            <w:u w:val="single" w:color="0000FF"/>
            <w:vertAlign w:val="baseline"/>
          </w:rPr>
          <w:t> </w:t>
        </w:r>
        <w:r>
          <w:rPr>
            <w:color w:val="0000FF"/>
            <w:sz w:val="16"/>
            <w:u w:val="single" w:color="0000FF"/>
            <w:vertAlign w:val="baseline"/>
          </w:rPr>
          <w:t>data,</w:t>
        </w:r>
        <w:r>
          <w:rPr>
            <w:color w:val="0000FF"/>
            <w:spacing w:val="-4"/>
            <w:sz w:val="16"/>
            <w:u w:val="single" w:color="0000FF"/>
            <w:vertAlign w:val="baseline"/>
          </w:rPr>
          <w:t> </w:t>
        </w:r>
        <w:r>
          <w:rPr>
            <w:sz w:val="16"/>
            <w:vertAlign w:val="baseline"/>
          </w:rPr>
          <w:t>ECB</w:t>
        </w:r>
        <w:r>
          <w:rPr>
            <w:spacing w:val="-6"/>
            <w:sz w:val="16"/>
            <w:vertAlign w:val="baseline"/>
          </w:rPr>
          <w:t> </w:t>
        </w:r>
        <w:r>
          <w:rPr>
            <w:sz w:val="16"/>
            <w:vertAlign w:val="baseline"/>
          </w:rPr>
          <w:t>Banking</w:t>
        </w:r>
        <w:r>
          <w:rPr>
            <w:spacing w:val="-3"/>
            <w:sz w:val="16"/>
            <w:vertAlign w:val="baseline"/>
          </w:rPr>
          <w:t> </w:t>
        </w:r>
        <w:r>
          <w:rPr>
            <w:spacing w:val="-2"/>
            <w:sz w:val="16"/>
            <w:vertAlign w:val="baseline"/>
          </w:rPr>
          <w:t>Supervision.</w:t>
        </w:r>
      </w:hyperlink>
    </w:p>
    <w:p>
      <w:pPr>
        <w:spacing w:before="20"/>
        <w:ind w:left="172" w:right="0" w:firstLine="0"/>
        <w:jc w:val="left"/>
        <w:rPr>
          <w:sz w:val="16"/>
        </w:rPr>
      </w:pPr>
      <w:bookmarkStart w:name="_bookmark59" w:id="60"/>
      <w:bookmarkEnd w:id="60"/>
      <w:r>
        <w:rPr/>
      </w:r>
      <w:r>
        <w:rPr>
          <w:sz w:val="16"/>
          <w:vertAlign w:val="superscript"/>
        </w:rPr>
        <w:t>40</w:t>
      </w:r>
      <w:r>
        <w:rPr>
          <w:spacing w:val="-7"/>
          <w:sz w:val="16"/>
          <w:vertAlign w:val="baseline"/>
        </w:rPr>
        <w:t> </w:t>
      </w:r>
      <w:r>
        <w:rPr>
          <w:sz w:val="16"/>
          <w:vertAlign w:val="baseline"/>
        </w:rPr>
        <w:t>Supervisory</w:t>
      </w:r>
      <w:r>
        <w:rPr>
          <w:spacing w:val="-7"/>
          <w:sz w:val="16"/>
          <w:vertAlign w:val="baseline"/>
        </w:rPr>
        <w:t> </w:t>
      </w:r>
      <w:r>
        <w:rPr>
          <w:sz w:val="16"/>
          <w:vertAlign w:val="baseline"/>
        </w:rPr>
        <w:t>data,</w:t>
      </w:r>
      <w:r>
        <w:rPr>
          <w:spacing w:val="-6"/>
          <w:sz w:val="16"/>
          <w:vertAlign w:val="baseline"/>
        </w:rPr>
        <w:t> </w:t>
      </w:r>
      <w:r>
        <w:rPr>
          <w:sz w:val="16"/>
          <w:vertAlign w:val="baseline"/>
        </w:rPr>
        <w:t>ECB</w:t>
      </w:r>
      <w:r>
        <w:rPr>
          <w:spacing w:val="-7"/>
          <w:sz w:val="16"/>
          <w:vertAlign w:val="baseline"/>
        </w:rPr>
        <w:t> </w:t>
      </w:r>
      <w:r>
        <w:rPr>
          <w:sz w:val="16"/>
          <w:vertAlign w:val="baseline"/>
        </w:rPr>
        <w:t>Banking</w:t>
      </w:r>
      <w:r>
        <w:rPr>
          <w:spacing w:val="-6"/>
          <w:sz w:val="16"/>
          <w:vertAlign w:val="baseline"/>
        </w:rPr>
        <w:t> </w:t>
      </w:r>
      <w:r>
        <w:rPr>
          <w:sz w:val="16"/>
          <w:vertAlign w:val="baseline"/>
        </w:rPr>
        <w:t>Supervision,</w:t>
      </w:r>
      <w:r>
        <w:rPr>
          <w:spacing w:val="-6"/>
          <w:sz w:val="16"/>
          <w:vertAlign w:val="baseline"/>
        </w:rPr>
        <w:t> </w:t>
      </w:r>
      <w:hyperlink r:id="rId91">
        <w:r>
          <w:rPr>
            <w:color w:val="0000FF"/>
            <w:sz w:val="16"/>
            <w:u w:val="single" w:color="0000FF"/>
            <w:vertAlign w:val="baseline"/>
          </w:rPr>
          <w:t>Supervisory</w:t>
        </w:r>
        <w:r>
          <w:rPr>
            <w:color w:val="0000FF"/>
            <w:spacing w:val="-7"/>
            <w:sz w:val="16"/>
            <w:u w:val="single" w:color="0000FF"/>
            <w:vertAlign w:val="baseline"/>
          </w:rPr>
          <w:t> </w:t>
        </w:r>
        <w:r>
          <w:rPr>
            <w:color w:val="0000FF"/>
            <w:sz w:val="16"/>
            <w:u w:val="single" w:color="0000FF"/>
            <w:vertAlign w:val="baseline"/>
          </w:rPr>
          <w:t>Banking</w:t>
        </w:r>
        <w:r>
          <w:rPr>
            <w:color w:val="0000FF"/>
            <w:spacing w:val="-6"/>
            <w:sz w:val="16"/>
            <w:u w:val="single" w:color="0000FF"/>
            <w:vertAlign w:val="baseline"/>
          </w:rPr>
          <w:t> </w:t>
        </w:r>
        <w:r>
          <w:rPr>
            <w:color w:val="0000FF"/>
            <w:sz w:val="16"/>
            <w:u w:val="single" w:color="0000FF"/>
            <w:vertAlign w:val="baseline"/>
          </w:rPr>
          <w:t>Statistics</w:t>
        </w:r>
        <w:r>
          <w:rPr>
            <w:color w:val="0000FF"/>
            <w:spacing w:val="-7"/>
            <w:sz w:val="16"/>
            <w:u w:val="single" w:color="0000FF"/>
            <w:vertAlign w:val="baseline"/>
          </w:rPr>
          <w:t> </w:t>
        </w:r>
        <w:r>
          <w:rPr>
            <w:color w:val="0000FF"/>
            <w:sz w:val="16"/>
            <w:u w:val="single" w:color="0000FF"/>
            <w:vertAlign w:val="baseline"/>
          </w:rPr>
          <w:t>for</w:t>
        </w:r>
        <w:r>
          <w:rPr>
            <w:color w:val="0000FF"/>
            <w:spacing w:val="-7"/>
            <w:sz w:val="16"/>
            <w:u w:val="single" w:color="0000FF"/>
            <w:vertAlign w:val="baseline"/>
          </w:rPr>
          <w:t> </w:t>
        </w:r>
        <w:r>
          <w:rPr>
            <w:color w:val="0000FF"/>
            <w:sz w:val="16"/>
            <w:u w:val="single" w:color="0000FF"/>
            <w:vertAlign w:val="baseline"/>
          </w:rPr>
          <w:t>significant</w:t>
        </w:r>
        <w:r>
          <w:rPr>
            <w:color w:val="0000FF"/>
            <w:spacing w:val="-6"/>
            <w:sz w:val="16"/>
            <w:u w:val="single" w:color="0000FF"/>
            <w:vertAlign w:val="baseline"/>
          </w:rPr>
          <w:t> </w:t>
        </w:r>
        <w:r>
          <w:rPr>
            <w:color w:val="0000FF"/>
            <w:sz w:val="16"/>
            <w:u w:val="single" w:color="0000FF"/>
            <w:vertAlign w:val="baseline"/>
          </w:rPr>
          <w:t>institutions</w:t>
        </w:r>
        <w:r>
          <w:rPr>
            <w:color w:val="0000FF"/>
            <w:spacing w:val="-4"/>
            <w:sz w:val="16"/>
            <w:u w:val="single" w:color="0000FF"/>
            <w:vertAlign w:val="baseline"/>
          </w:rPr>
          <w:t> </w:t>
        </w:r>
        <w:r>
          <w:rPr>
            <w:color w:val="0000FF"/>
            <w:sz w:val="16"/>
            <w:u w:val="single" w:color="0000FF"/>
            <w:vertAlign w:val="baseline"/>
          </w:rPr>
          <w:t>-</w:t>
        </w:r>
        <w:r>
          <w:rPr>
            <w:color w:val="0000FF"/>
            <w:spacing w:val="-7"/>
            <w:sz w:val="16"/>
            <w:u w:val="single" w:color="0000FF"/>
            <w:vertAlign w:val="baseline"/>
          </w:rPr>
          <w:t> </w:t>
        </w:r>
        <w:r>
          <w:rPr>
            <w:color w:val="0000FF"/>
            <w:sz w:val="16"/>
            <w:u w:val="single" w:color="0000FF"/>
            <w:vertAlign w:val="baseline"/>
          </w:rPr>
          <w:t>Fourth</w:t>
        </w:r>
        <w:r>
          <w:rPr>
            <w:color w:val="0000FF"/>
            <w:spacing w:val="-7"/>
            <w:sz w:val="16"/>
            <w:u w:val="single" w:color="0000FF"/>
            <w:vertAlign w:val="baseline"/>
          </w:rPr>
          <w:t> </w:t>
        </w:r>
        <w:r>
          <w:rPr>
            <w:color w:val="0000FF"/>
            <w:sz w:val="16"/>
            <w:u w:val="single" w:color="0000FF"/>
            <w:vertAlign w:val="baseline"/>
          </w:rPr>
          <w:t>quarter</w:t>
        </w:r>
        <w:r>
          <w:rPr>
            <w:color w:val="0000FF"/>
            <w:spacing w:val="-9"/>
            <w:sz w:val="16"/>
            <w:u w:val="single" w:color="0000FF"/>
            <w:vertAlign w:val="baseline"/>
          </w:rPr>
          <w:t> </w:t>
        </w:r>
        <w:r>
          <w:rPr>
            <w:color w:val="0000FF"/>
            <w:sz w:val="16"/>
            <w:u w:val="single" w:color="0000FF"/>
            <w:vertAlign w:val="baseline"/>
          </w:rPr>
          <w:t>2025</w:t>
        </w:r>
      </w:hyperlink>
      <w:r>
        <w:rPr>
          <w:color w:val="0000FF"/>
          <w:spacing w:val="-4"/>
          <w:sz w:val="16"/>
          <w:vertAlign w:val="baseline"/>
        </w:rPr>
        <w:t> </w:t>
      </w:r>
      <w:r>
        <w:rPr>
          <w:spacing w:val="-10"/>
          <w:sz w:val="16"/>
          <w:vertAlign w:val="baseline"/>
        </w:rPr>
        <w:t>.</w:t>
      </w:r>
    </w:p>
    <w:p>
      <w:pPr>
        <w:spacing w:before="20"/>
        <w:ind w:left="172" w:right="0" w:firstLine="0"/>
        <w:jc w:val="left"/>
        <w:rPr>
          <w:sz w:val="16"/>
        </w:rPr>
      </w:pPr>
      <w:bookmarkStart w:name="_bookmark60" w:id="61"/>
      <w:bookmarkEnd w:id="61"/>
      <w:r>
        <w:rPr/>
      </w:r>
      <w:r>
        <w:rPr>
          <w:sz w:val="16"/>
          <w:vertAlign w:val="superscript"/>
        </w:rPr>
        <w:t>41</w:t>
      </w:r>
      <w:r>
        <w:rPr>
          <w:spacing w:val="-7"/>
          <w:sz w:val="16"/>
          <w:vertAlign w:val="baseline"/>
        </w:rPr>
        <w:t> </w:t>
      </w:r>
      <w:r>
        <w:rPr>
          <w:sz w:val="16"/>
          <w:vertAlign w:val="baseline"/>
        </w:rPr>
        <w:t>Supervisory</w:t>
      </w:r>
      <w:r>
        <w:rPr>
          <w:spacing w:val="-8"/>
          <w:sz w:val="16"/>
          <w:vertAlign w:val="baseline"/>
        </w:rPr>
        <w:t> </w:t>
      </w:r>
      <w:r>
        <w:rPr>
          <w:sz w:val="16"/>
          <w:vertAlign w:val="baseline"/>
        </w:rPr>
        <w:t>data,</w:t>
      </w:r>
      <w:r>
        <w:rPr>
          <w:spacing w:val="-6"/>
          <w:sz w:val="16"/>
          <w:vertAlign w:val="baseline"/>
        </w:rPr>
        <w:t> </w:t>
      </w:r>
      <w:r>
        <w:rPr>
          <w:sz w:val="16"/>
          <w:vertAlign w:val="baseline"/>
        </w:rPr>
        <w:t>ECB</w:t>
      </w:r>
      <w:r>
        <w:rPr>
          <w:spacing w:val="-7"/>
          <w:sz w:val="16"/>
          <w:vertAlign w:val="baseline"/>
        </w:rPr>
        <w:t> </w:t>
      </w:r>
      <w:r>
        <w:rPr>
          <w:sz w:val="16"/>
          <w:vertAlign w:val="baseline"/>
        </w:rPr>
        <w:t>Banking</w:t>
      </w:r>
      <w:r>
        <w:rPr>
          <w:spacing w:val="-6"/>
          <w:sz w:val="16"/>
          <w:vertAlign w:val="baseline"/>
        </w:rPr>
        <w:t> </w:t>
      </w:r>
      <w:r>
        <w:rPr>
          <w:sz w:val="16"/>
          <w:vertAlign w:val="baseline"/>
        </w:rPr>
        <w:t>Supervision,</w:t>
      </w:r>
      <w:r>
        <w:rPr>
          <w:spacing w:val="-6"/>
          <w:sz w:val="16"/>
          <w:vertAlign w:val="baseline"/>
        </w:rPr>
        <w:t> </w:t>
      </w:r>
      <w:hyperlink r:id="rId92">
        <w:r>
          <w:rPr>
            <w:color w:val="0000FF"/>
            <w:sz w:val="16"/>
            <w:u w:val="single" w:color="0000FF"/>
            <w:vertAlign w:val="baseline"/>
          </w:rPr>
          <w:t>Supervisory</w:t>
        </w:r>
        <w:r>
          <w:rPr>
            <w:color w:val="0000FF"/>
            <w:spacing w:val="-8"/>
            <w:sz w:val="16"/>
            <w:u w:val="single" w:color="0000FF"/>
            <w:vertAlign w:val="baseline"/>
          </w:rPr>
          <w:t> </w:t>
        </w:r>
        <w:r>
          <w:rPr>
            <w:color w:val="0000FF"/>
            <w:sz w:val="16"/>
            <w:u w:val="single" w:color="0000FF"/>
            <w:vertAlign w:val="baseline"/>
          </w:rPr>
          <w:t>Banking</w:t>
        </w:r>
        <w:r>
          <w:rPr>
            <w:color w:val="0000FF"/>
            <w:spacing w:val="-6"/>
            <w:sz w:val="16"/>
            <w:u w:val="single" w:color="0000FF"/>
            <w:vertAlign w:val="baseline"/>
          </w:rPr>
          <w:t> </w:t>
        </w:r>
        <w:r>
          <w:rPr>
            <w:color w:val="0000FF"/>
            <w:sz w:val="16"/>
            <w:u w:val="single" w:color="0000FF"/>
            <w:vertAlign w:val="baseline"/>
          </w:rPr>
          <w:t>Statistics</w:t>
        </w:r>
        <w:r>
          <w:rPr>
            <w:color w:val="0000FF"/>
            <w:spacing w:val="-6"/>
            <w:sz w:val="16"/>
            <w:u w:val="single" w:color="0000FF"/>
            <w:vertAlign w:val="baseline"/>
          </w:rPr>
          <w:t> </w:t>
        </w:r>
        <w:r>
          <w:rPr>
            <w:color w:val="0000FF"/>
            <w:sz w:val="16"/>
            <w:u w:val="single" w:color="0000FF"/>
            <w:vertAlign w:val="baseline"/>
          </w:rPr>
          <w:t>for</w:t>
        </w:r>
        <w:r>
          <w:rPr>
            <w:color w:val="0000FF"/>
            <w:spacing w:val="-8"/>
            <w:sz w:val="16"/>
            <w:u w:val="single" w:color="0000FF"/>
            <w:vertAlign w:val="baseline"/>
          </w:rPr>
          <w:t> </w:t>
        </w:r>
        <w:r>
          <w:rPr>
            <w:color w:val="0000FF"/>
            <w:sz w:val="16"/>
            <w:u w:val="single" w:color="0000FF"/>
            <w:vertAlign w:val="baseline"/>
          </w:rPr>
          <w:t>significant</w:t>
        </w:r>
        <w:r>
          <w:rPr>
            <w:color w:val="0000FF"/>
            <w:spacing w:val="-6"/>
            <w:sz w:val="16"/>
            <w:u w:val="single" w:color="0000FF"/>
            <w:vertAlign w:val="baseline"/>
          </w:rPr>
          <w:t> </w:t>
        </w:r>
        <w:r>
          <w:rPr>
            <w:color w:val="0000FF"/>
            <w:sz w:val="16"/>
            <w:u w:val="single" w:color="0000FF"/>
            <w:vertAlign w:val="baseline"/>
          </w:rPr>
          <w:t>institutions</w:t>
        </w:r>
        <w:r>
          <w:rPr>
            <w:color w:val="0000FF"/>
            <w:spacing w:val="-5"/>
            <w:sz w:val="16"/>
            <w:u w:val="single" w:color="0000FF"/>
            <w:vertAlign w:val="baseline"/>
          </w:rPr>
          <w:t> </w:t>
        </w:r>
        <w:r>
          <w:rPr>
            <w:color w:val="0000FF"/>
            <w:sz w:val="16"/>
            <w:u w:val="single" w:color="0000FF"/>
            <w:vertAlign w:val="baseline"/>
          </w:rPr>
          <w:t>-</w:t>
        </w:r>
        <w:r>
          <w:rPr>
            <w:color w:val="0000FF"/>
            <w:spacing w:val="-7"/>
            <w:sz w:val="16"/>
            <w:u w:val="single" w:color="0000FF"/>
            <w:vertAlign w:val="baseline"/>
          </w:rPr>
          <w:t> </w:t>
        </w:r>
        <w:r>
          <w:rPr>
            <w:color w:val="0000FF"/>
            <w:sz w:val="16"/>
            <w:u w:val="single" w:color="0000FF"/>
            <w:vertAlign w:val="baseline"/>
          </w:rPr>
          <w:t>Fourth</w:t>
        </w:r>
        <w:r>
          <w:rPr>
            <w:color w:val="0000FF"/>
            <w:spacing w:val="-7"/>
            <w:sz w:val="16"/>
            <w:u w:val="single" w:color="0000FF"/>
            <w:vertAlign w:val="baseline"/>
          </w:rPr>
          <w:t> </w:t>
        </w:r>
        <w:r>
          <w:rPr>
            <w:color w:val="0000FF"/>
            <w:sz w:val="16"/>
            <w:u w:val="single" w:color="0000FF"/>
            <w:vertAlign w:val="baseline"/>
          </w:rPr>
          <w:t>quarter</w:t>
        </w:r>
        <w:r>
          <w:rPr>
            <w:color w:val="0000FF"/>
            <w:spacing w:val="-9"/>
            <w:sz w:val="16"/>
            <w:u w:val="single" w:color="0000FF"/>
            <w:vertAlign w:val="baseline"/>
          </w:rPr>
          <w:t> </w:t>
        </w:r>
        <w:r>
          <w:rPr>
            <w:color w:val="0000FF"/>
            <w:spacing w:val="-2"/>
            <w:sz w:val="16"/>
            <w:u w:val="single" w:color="0000FF"/>
            <w:vertAlign w:val="baseline"/>
          </w:rPr>
          <w:t>2024</w:t>
        </w:r>
        <w:r>
          <w:rPr>
            <w:spacing w:val="-2"/>
            <w:sz w:val="16"/>
            <w:vertAlign w:val="baseline"/>
          </w:rPr>
          <w:t>.</w:t>
        </w:r>
      </w:hyperlink>
    </w:p>
    <w:p>
      <w:pPr>
        <w:spacing w:before="20"/>
        <w:ind w:left="172" w:right="0" w:firstLine="0"/>
        <w:jc w:val="left"/>
        <w:rPr>
          <w:sz w:val="16"/>
        </w:rPr>
      </w:pPr>
      <w:bookmarkStart w:name="_bookmark61" w:id="62"/>
      <w:bookmarkEnd w:id="62"/>
      <w:r>
        <w:rPr/>
      </w:r>
      <w:r>
        <w:rPr>
          <w:sz w:val="16"/>
          <w:vertAlign w:val="superscript"/>
        </w:rPr>
        <w:t>42</w:t>
      </w:r>
      <w:r>
        <w:rPr>
          <w:spacing w:val="-5"/>
          <w:sz w:val="16"/>
          <w:vertAlign w:val="baseline"/>
        </w:rPr>
        <w:t> </w:t>
      </w:r>
      <w:hyperlink r:id="rId90">
        <w:r>
          <w:rPr>
            <w:color w:val="0000FF"/>
            <w:sz w:val="16"/>
            <w:u w:val="single" w:color="0000FF"/>
            <w:vertAlign w:val="baseline"/>
          </w:rPr>
          <w:t>Supervisory</w:t>
        </w:r>
        <w:r>
          <w:rPr>
            <w:color w:val="0000FF"/>
            <w:spacing w:val="-5"/>
            <w:sz w:val="16"/>
            <w:u w:val="single" w:color="0000FF"/>
            <w:vertAlign w:val="baseline"/>
          </w:rPr>
          <w:t> </w:t>
        </w:r>
        <w:r>
          <w:rPr>
            <w:color w:val="0000FF"/>
            <w:sz w:val="16"/>
            <w:u w:val="single" w:color="0000FF"/>
            <w:vertAlign w:val="baseline"/>
          </w:rPr>
          <w:t>data,</w:t>
        </w:r>
        <w:r>
          <w:rPr>
            <w:color w:val="0000FF"/>
            <w:spacing w:val="-4"/>
            <w:sz w:val="16"/>
            <w:u w:val="single" w:color="0000FF"/>
            <w:vertAlign w:val="baseline"/>
          </w:rPr>
          <w:t> </w:t>
        </w:r>
        <w:r>
          <w:rPr>
            <w:sz w:val="16"/>
            <w:vertAlign w:val="baseline"/>
          </w:rPr>
          <w:t>ECB</w:t>
        </w:r>
        <w:r>
          <w:rPr>
            <w:spacing w:val="-6"/>
            <w:sz w:val="16"/>
            <w:vertAlign w:val="baseline"/>
          </w:rPr>
          <w:t> </w:t>
        </w:r>
        <w:r>
          <w:rPr>
            <w:sz w:val="16"/>
            <w:vertAlign w:val="baseline"/>
          </w:rPr>
          <w:t>Banking</w:t>
        </w:r>
        <w:r>
          <w:rPr>
            <w:spacing w:val="-3"/>
            <w:sz w:val="16"/>
            <w:vertAlign w:val="baseline"/>
          </w:rPr>
          <w:t> </w:t>
        </w:r>
        <w:r>
          <w:rPr>
            <w:spacing w:val="-2"/>
            <w:sz w:val="16"/>
            <w:vertAlign w:val="baseline"/>
          </w:rPr>
          <w:t>Supervision.</w:t>
        </w:r>
      </w:hyperlink>
    </w:p>
    <w:p>
      <w:pPr>
        <w:spacing w:after="0"/>
        <w:jc w:val="left"/>
        <w:rPr>
          <w:sz w:val="16"/>
        </w:rPr>
        <w:sectPr>
          <w:type w:val="continuous"/>
          <w:pgSz w:w="11910" w:h="16850"/>
          <w:pgMar w:header="0" w:footer="1108" w:top="1320" w:bottom="280" w:left="1417" w:right="850"/>
        </w:sectPr>
      </w:pPr>
    </w:p>
    <w:p>
      <w:pPr>
        <w:pStyle w:val="Heading3"/>
        <w:numPr>
          <w:ilvl w:val="2"/>
          <w:numId w:val="2"/>
        </w:numPr>
        <w:tabs>
          <w:tab w:pos="738" w:val="left" w:leader="none"/>
        </w:tabs>
        <w:spacing w:line="240" w:lineRule="auto" w:before="72" w:after="0"/>
        <w:ind w:left="738" w:right="0" w:hanging="566"/>
        <w:jc w:val="left"/>
        <w:rPr>
          <w:color w:val="1F487C"/>
        </w:rPr>
      </w:pPr>
      <w:bookmarkStart w:name="_bookmark62" w:id="63"/>
      <w:bookmarkEnd w:id="63"/>
      <w:r>
        <w:rPr>
          <w:b w:val="0"/>
        </w:rPr>
      </w:r>
      <w:r>
        <w:rPr>
          <w:color w:val="1F487C"/>
        </w:rPr>
        <w:t>ΚΙΝΔΥΝΟΣ</w:t>
      </w:r>
      <w:r>
        <w:rPr>
          <w:color w:val="1F487C"/>
          <w:spacing w:val="-7"/>
        </w:rPr>
        <w:t> </w:t>
      </w:r>
      <w:r>
        <w:rPr>
          <w:color w:val="1F487C"/>
          <w:spacing w:val="-2"/>
        </w:rPr>
        <w:t>ΑΓΟΡΑΣ</w:t>
      </w:r>
    </w:p>
    <w:p>
      <w:pPr>
        <w:pStyle w:val="BodyText"/>
        <w:spacing w:line="285" w:lineRule="auto" w:before="153"/>
        <w:ind w:left="172" w:right="1058"/>
        <w:jc w:val="both"/>
      </w:pPr>
      <w:r>
        <w:rPr/>
        <w:t>Το</w:t>
      </w:r>
      <w:r>
        <w:rPr>
          <w:spacing w:val="-9"/>
        </w:rPr>
        <w:t> </w:t>
      </w:r>
      <w:r>
        <w:rPr/>
        <w:t>χαρτοφυλάκιο</w:t>
      </w:r>
      <w:r>
        <w:rPr>
          <w:spacing w:val="-8"/>
        </w:rPr>
        <w:t> </w:t>
      </w:r>
      <w:r>
        <w:rPr/>
        <w:t>χρεογράφων</w:t>
      </w:r>
      <w:hyperlink w:history="true" w:anchor="_bookmark63">
        <w:r>
          <w:rPr>
            <w:position w:val="6"/>
            <w:sz w:val="10"/>
          </w:rPr>
          <w:t>43</w:t>
        </w:r>
      </w:hyperlink>
      <w:r>
        <w:rPr>
          <w:spacing w:val="29"/>
          <w:position w:val="6"/>
          <w:sz w:val="10"/>
        </w:rPr>
        <w:t> </w:t>
      </w:r>
      <w:r>
        <w:rPr/>
        <w:t>των</w:t>
      </w:r>
      <w:r>
        <w:rPr>
          <w:spacing w:val="-10"/>
        </w:rPr>
        <w:t> </w:t>
      </w:r>
      <w:r>
        <w:rPr/>
        <w:t>ελληνικών</w:t>
      </w:r>
      <w:r>
        <w:rPr>
          <w:spacing w:val="-7"/>
        </w:rPr>
        <w:t> </w:t>
      </w:r>
      <w:r>
        <w:rPr/>
        <w:t>πιστωτικών</w:t>
      </w:r>
      <w:r>
        <w:rPr>
          <w:spacing w:val="-10"/>
        </w:rPr>
        <w:t> </w:t>
      </w:r>
      <w:r>
        <w:rPr/>
        <w:t>ιδρυμάτων</w:t>
      </w:r>
      <w:r>
        <w:rPr>
          <w:spacing w:val="-7"/>
        </w:rPr>
        <w:t> </w:t>
      </w:r>
      <w:r>
        <w:rPr/>
        <w:t>αποτελείται</w:t>
      </w:r>
      <w:r>
        <w:rPr>
          <w:spacing w:val="-7"/>
        </w:rPr>
        <w:t> </w:t>
      </w:r>
      <w:r>
        <w:rPr/>
        <w:t>κυρίως</w:t>
      </w:r>
      <w:r>
        <w:rPr>
          <w:spacing w:val="-9"/>
        </w:rPr>
        <w:t> </w:t>
      </w:r>
      <w:r>
        <w:rPr/>
        <w:t>από τίτλους</w:t>
      </w:r>
      <w:r>
        <w:rPr>
          <w:spacing w:val="-12"/>
        </w:rPr>
        <w:t> </w:t>
      </w:r>
      <w:r>
        <w:rPr/>
        <w:t>εκδόσεως</w:t>
      </w:r>
      <w:r>
        <w:rPr>
          <w:spacing w:val="-7"/>
        </w:rPr>
        <w:t> </w:t>
      </w:r>
      <w:r>
        <w:rPr/>
        <w:t>του</w:t>
      </w:r>
      <w:r>
        <w:rPr>
          <w:spacing w:val="-7"/>
        </w:rPr>
        <w:t> </w:t>
      </w:r>
      <w:r>
        <w:rPr/>
        <w:t>Ελληνικού</w:t>
      </w:r>
      <w:r>
        <w:rPr>
          <w:spacing w:val="-8"/>
        </w:rPr>
        <w:t> </w:t>
      </w:r>
      <w:r>
        <w:rPr/>
        <w:t>Δημοσίου</w:t>
      </w:r>
      <w:r>
        <w:rPr>
          <w:spacing w:val="-7"/>
        </w:rPr>
        <w:t> </w:t>
      </w:r>
      <w:r>
        <w:rPr/>
        <w:t>(40%)</w:t>
      </w:r>
      <w:r>
        <w:rPr>
          <w:spacing w:val="-7"/>
        </w:rPr>
        <w:t> </w:t>
      </w:r>
      <w:r>
        <w:rPr/>
        <w:t>καθώς</w:t>
      </w:r>
      <w:r>
        <w:rPr>
          <w:spacing w:val="-9"/>
        </w:rPr>
        <w:t> </w:t>
      </w:r>
      <w:r>
        <w:rPr/>
        <w:t>και</w:t>
      </w:r>
      <w:r>
        <w:rPr>
          <w:spacing w:val="-8"/>
        </w:rPr>
        <w:t> </w:t>
      </w:r>
      <w:r>
        <w:rPr/>
        <w:t>από</w:t>
      </w:r>
      <w:r>
        <w:rPr>
          <w:spacing w:val="-8"/>
        </w:rPr>
        <w:t> </w:t>
      </w:r>
      <w:r>
        <w:rPr/>
        <w:t>κρατικά</w:t>
      </w:r>
      <w:r>
        <w:rPr>
          <w:spacing w:val="-9"/>
        </w:rPr>
        <w:t> </w:t>
      </w:r>
      <w:r>
        <w:rPr/>
        <w:t>ομόλογα</w:t>
      </w:r>
      <w:r>
        <w:rPr>
          <w:spacing w:val="-9"/>
        </w:rPr>
        <w:t> </w:t>
      </w:r>
      <w:r>
        <w:rPr/>
        <w:t>λοιπών</w:t>
      </w:r>
      <w:r>
        <w:rPr>
          <w:spacing w:val="-10"/>
        </w:rPr>
        <w:t> </w:t>
      </w:r>
      <w:r>
        <w:rPr/>
        <w:t>χω-ρών</w:t>
      </w:r>
      <w:r>
        <w:rPr>
          <w:spacing w:val="-1"/>
        </w:rPr>
        <w:t> </w:t>
      </w:r>
      <w:r>
        <w:rPr/>
        <w:t>(38%). Το μερίδιο των τελευταίων βαίνει αυξανόμενο, συμβάλλοντας</w:t>
      </w:r>
      <w:r>
        <w:rPr>
          <w:spacing w:val="-2"/>
        </w:rPr>
        <w:t> </w:t>
      </w:r>
      <w:r>
        <w:rPr/>
        <w:t>στη διαφοροποίηση του</w:t>
      </w:r>
      <w:r>
        <w:rPr>
          <w:spacing w:val="-11"/>
        </w:rPr>
        <w:t> </w:t>
      </w:r>
      <w:r>
        <w:rPr/>
        <w:t>χαρτοφυλακίου</w:t>
      </w:r>
      <w:r>
        <w:rPr>
          <w:spacing w:val="-11"/>
        </w:rPr>
        <w:t> </w:t>
      </w:r>
      <w:r>
        <w:rPr/>
        <w:t>ομολόγων.</w:t>
      </w:r>
      <w:r>
        <w:rPr>
          <w:spacing w:val="-14"/>
        </w:rPr>
        <w:t> </w:t>
      </w:r>
      <w:r>
        <w:rPr/>
        <w:t>Μάλιστα,</w:t>
      </w:r>
      <w:r>
        <w:rPr>
          <w:spacing w:val="-12"/>
        </w:rPr>
        <w:t> </w:t>
      </w:r>
      <w:r>
        <w:rPr/>
        <w:t>το</w:t>
      </w:r>
      <w:r>
        <w:rPr>
          <w:spacing w:val="-12"/>
        </w:rPr>
        <w:t> </w:t>
      </w:r>
      <w:r>
        <w:rPr/>
        <w:t>μεγαλύτερο</w:t>
      </w:r>
      <w:r>
        <w:rPr>
          <w:spacing w:val="-12"/>
        </w:rPr>
        <w:t> </w:t>
      </w:r>
      <w:r>
        <w:rPr/>
        <w:t>μέρος</w:t>
      </w:r>
      <w:r>
        <w:rPr>
          <w:spacing w:val="-13"/>
        </w:rPr>
        <w:t> </w:t>
      </w:r>
      <w:r>
        <w:rPr/>
        <w:t>αυτών</w:t>
      </w:r>
      <w:r>
        <w:rPr>
          <w:spacing w:val="-13"/>
        </w:rPr>
        <w:t> </w:t>
      </w:r>
      <w:r>
        <w:rPr/>
        <w:t>(85%)</w:t>
      </w:r>
      <w:r>
        <w:rPr>
          <w:spacing w:val="-11"/>
        </w:rPr>
        <w:t> </w:t>
      </w:r>
      <w:r>
        <w:rPr/>
        <w:t>αφορά</w:t>
      </w:r>
      <w:r>
        <w:rPr>
          <w:spacing w:val="-12"/>
        </w:rPr>
        <w:t> </w:t>
      </w:r>
      <w:r>
        <w:rPr/>
        <w:t>τίτλους</w:t>
      </w:r>
      <w:r>
        <w:rPr>
          <w:spacing w:val="-13"/>
        </w:rPr>
        <w:t> </w:t>
      </w:r>
      <w:r>
        <w:rPr/>
        <w:t>που διακρατούνται</w:t>
      </w:r>
      <w:r>
        <w:rPr>
          <w:spacing w:val="-12"/>
        </w:rPr>
        <w:t> </w:t>
      </w:r>
      <w:r>
        <w:rPr/>
        <w:t>μέχρι</w:t>
      </w:r>
      <w:r>
        <w:rPr>
          <w:spacing w:val="-13"/>
        </w:rPr>
        <w:t> </w:t>
      </w:r>
      <w:r>
        <w:rPr/>
        <w:t>τη</w:t>
      </w:r>
      <w:r>
        <w:rPr>
          <w:spacing w:val="-12"/>
        </w:rPr>
        <w:t> </w:t>
      </w:r>
      <w:r>
        <w:rPr/>
        <w:t>λήξη</w:t>
      </w:r>
      <w:r>
        <w:rPr>
          <w:spacing w:val="-12"/>
        </w:rPr>
        <w:t> </w:t>
      </w:r>
      <w:r>
        <w:rPr/>
        <w:t>τους</w:t>
      </w:r>
      <w:r>
        <w:rPr>
          <w:spacing w:val="-11"/>
        </w:rPr>
        <w:t> </w:t>
      </w:r>
      <w:r>
        <w:rPr/>
        <w:t>και</w:t>
      </w:r>
      <w:r>
        <w:rPr>
          <w:spacing w:val="-12"/>
        </w:rPr>
        <w:t> </w:t>
      </w:r>
      <w:r>
        <w:rPr/>
        <w:t>αποτιμώνται</w:t>
      </w:r>
      <w:r>
        <w:rPr>
          <w:spacing w:val="-11"/>
        </w:rPr>
        <w:t> </w:t>
      </w:r>
      <w:r>
        <w:rPr/>
        <w:t>στο</w:t>
      </w:r>
      <w:r>
        <w:rPr>
          <w:spacing w:val="-14"/>
        </w:rPr>
        <w:t> </w:t>
      </w:r>
      <w:r>
        <w:rPr/>
        <w:t>αποσβεσμένο</w:t>
      </w:r>
      <w:r>
        <w:rPr>
          <w:spacing w:val="-12"/>
        </w:rPr>
        <w:t> </w:t>
      </w:r>
      <w:r>
        <w:rPr/>
        <w:t>κόστος</w:t>
      </w:r>
      <w:r>
        <w:rPr>
          <w:spacing w:val="-11"/>
        </w:rPr>
        <w:t> </w:t>
      </w:r>
      <w:r>
        <w:rPr/>
        <w:t>(at</w:t>
      </w:r>
      <w:r>
        <w:rPr>
          <w:spacing w:val="-11"/>
        </w:rPr>
        <w:t> </w:t>
      </w:r>
      <w:r>
        <w:rPr/>
        <w:t>amortised</w:t>
      </w:r>
      <w:r>
        <w:rPr>
          <w:spacing w:val="-14"/>
        </w:rPr>
        <w:t> </w:t>
      </w:r>
      <w:r>
        <w:rPr/>
        <w:t>cost) και όχι στην εύλογη αξία (fair value). Κατά συνέπεια, οι ημερήσιες μεταβολές των τιμών δεν επηρεάζουν τη λογιστική αξία τους, ενώ επιπρόσθετα ο κίνδυνος αγοράς για τις τράπεζες με-τριάζεται από τις πολιτικές αντιστάθμισης του επιτοκιακού κινδύνου που εφαρμόζουν.</w:t>
      </w:r>
    </w:p>
    <w:p>
      <w:pPr>
        <w:pStyle w:val="Heading4"/>
        <w:spacing w:before="88"/>
      </w:pPr>
      <w:r>
        <w:rPr>
          <w:color w:val="1F487C"/>
        </w:rPr>
        <w:t>Έκθεση</w:t>
      </w:r>
      <w:r>
        <w:rPr>
          <w:color w:val="1F487C"/>
          <w:spacing w:val="-10"/>
        </w:rPr>
        <w:t> </w:t>
      </w:r>
      <w:r>
        <w:rPr>
          <w:color w:val="1F487C"/>
        </w:rPr>
        <w:t>σε</w:t>
      </w:r>
      <w:r>
        <w:rPr>
          <w:color w:val="1F487C"/>
          <w:spacing w:val="-10"/>
        </w:rPr>
        <w:t> </w:t>
      </w:r>
      <w:r>
        <w:rPr>
          <w:color w:val="1F487C"/>
        </w:rPr>
        <w:t>τίτλους</w:t>
      </w:r>
      <w:r>
        <w:rPr>
          <w:color w:val="1F487C"/>
          <w:spacing w:val="-6"/>
        </w:rPr>
        <w:t> </w:t>
      </w:r>
      <w:r>
        <w:rPr>
          <w:color w:val="1F487C"/>
        </w:rPr>
        <w:t>του</w:t>
      </w:r>
      <w:r>
        <w:rPr>
          <w:color w:val="1F487C"/>
          <w:spacing w:val="-9"/>
        </w:rPr>
        <w:t> </w:t>
      </w:r>
      <w:r>
        <w:rPr>
          <w:color w:val="1F487C"/>
        </w:rPr>
        <w:t>Ελλην</w:t>
      </w:r>
      <w:r>
        <w:rPr>
          <w:smallCaps/>
          <w:color w:val="1F487C"/>
        </w:rPr>
        <w:t>ι</w:t>
      </w:r>
      <w:r>
        <w:rPr>
          <w:smallCaps w:val="0"/>
          <w:color w:val="1F487C"/>
        </w:rPr>
        <w:t>κού</w:t>
      </w:r>
      <w:r>
        <w:rPr>
          <w:smallCaps w:val="0"/>
          <w:color w:val="1F487C"/>
          <w:spacing w:val="-10"/>
        </w:rPr>
        <w:t> </w:t>
      </w:r>
      <w:r>
        <w:rPr>
          <w:smallCaps w:val="0"/>
          <w:color w:val="1F487C"/>
          <w:spacing w:val="-2"/>
        </w:rPr>
        <w:t>Δημοσίου</w:t>
      </w:r>
    </w:p>
    <w:p>
      <w:pPr>
        <w:pStyle w:val="BodyText"/>
        <w:spacing w:line="285" w:lineRule="auto" w:before="131"/>
        <w:ind w:left="172" w:right="5355"/>
      </w:pPr>
      <w:r>
        <w:rPr/>
        <mc:AlternateContent>
          <mc:Choice Requires="wps">
            <w:drawing>
              <wp:anchor distT="0" distB="0" distL="0" distR="0" allowOverlap="1" layoutInCell="1" locked="0" behindDoc="0" simplePos="0" relativeHeight="15769600">
                <wp:simplePos x="0" y="0"/>
                <wp:positionH relativeFrom="page">
                  <wp:posOffset>3732910</wp:posOffset>
                </wp:positionH>
                <wp:positionV relativeFrom="paragraph">
                  <wp:posOffset>47502</wp:posOffset>
                </wp:positionV>
                <wp:extent cx="2667635" cy="339090"/>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2667635" cy="339090"/>
                        </a:xfrm>
                        <a:prstGeom prst="rect">
                          <a:avLst/>
                        </a:prstGeom>
                        <a:solidFill>
                          <a:srgbClr val="1F487C"/>
                        </a:solidFill>
                      </wps:spPr>
                      <wps:txbx>
                        <w:txbxContent>
                          <w:p>
                            <w:pPr>
                              <w:spacing w:before="60"/>
                              <w:ind w:left="112" w:right="114"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12"/>
                                <w:sz w:val="18"/>
                              </w:rPr>
                              <w:t> </w:t>
                            </w:r>
                            <w:r>
                              <w:rPr>
                                <w:b/>
                                <w:smallCaps w:val="0"/>
                                <w:color w:val="FFFFFF"/>
                                <w:sz w:val="18"/>
                              </w:rPr>
                              <w:t>III.12</w:t>
                            </w:r>
                            <w:r>
                              <w:rPr>
                                <w:b/>
                                <w:smallCaps w:val="0"/>
                                <w:color w:val="FFFFFF"/>
                                <w:spacing w:val="-11"/>
                                <w:sz w:val="18"/>
                              </w:rPr>
                              <w:t> </w:t>
                            </w:r>
                            <w:r>
                              <w:rPr>
                                <w:b/>
                                <w:smallCaps w:val="0"/>
                                <w:color w:val="FFFFFF"/>
                                <w:sz w:val="18"/>
                              </w:rPr>
                              <w:t>Χαρτοφυλάκ</w:t>
                            </w:r>
                            <w:r>
                              <w:rPr>
                                <w:b/>
                                <w:smallCaps/>
                                <w:color w:val="FFFFFF"/>
                                <w:sz w:val="18"/>
                              </w:rPr>
                              <w:t>ιο</w:t>
                            </w:r>
                            <w:r>
                              <w:rPr>
                                <w:b/>
                                <w:smallCaps w:val="0"/>
                                <w:color w:val="FFFFFF"/>
                                <w:spacing w:val="-11"/>
                                <w:sz w:val="18"/>
                              </w:rPr>
                              <w:t> </w:t>
                            </w:r>
                            <w:r>
                              <w:rPr>
                                <w:b/>
                                <w:smallCaps w:val="0"/>
                                <w:color w:val="FFFFFF"/>
                                <w:sz w:val="18"/>
                              </w:rPr>
                              <w:t>τίτλων</w:t>
                            </w:r>
                            <w:r>
                              <w:rPr>
                                <w:b/>
                                <w:smallCaps w:val="0"/>
                                <w:color w:val="FFFFFF"/>
                                <w:spacing w:val="-11"/>
                                <w:sz w:val="18"/>
                              </w:rPr>
                              <w:t> </w:t>
                            </w:r>
                            <w:r>
                              <w:rPr>
                                <w:b/>
                                <w:smallCaps w:val="0"/>
                                <w:color w:val="FFFFFF"/>
                                <w:sz w:val="18"/>
                              </w:rPr>
                              <w:t>Ελλην</w:t>
                            </w:r>
                            <w:r>
                              <w:rPr>
                                <w:b/>
                                <w:smallCaps/>
                                <w:color w:val="FFFFFF"/>
                                <w:sz w:val="18"/>
                              </w:rPr>
                              <w:t>ι</w:t>
                            </w:r>
                            <w:r>
                              <w:rPr>
                                <w:b/>
                                <w:smallCaps w:val="0"/>
                                <w:color w:val="FFFFFF"/>
                                <w:sz w:val="18"/>
                              </w:rPr>
                              <w:t>κού Δημοσίου (ΟΕΔ)</w:t>
                            </w:r>
                          </w:p>
                        </w:txbxContent>
                      </wps:txbx>
                      <wps:bodyPr wrap="square" lIns="0" tIns="0" rIns="0" bIns="0" rtlCol="0">
                        <a:noAutofit/>
                      </wps:bodyPr>
                    </wps:wsp>
                  </a:graphicData>
                </a:graphic>
              </wp:anchor>
            </w:drawing>
          </mc:Choice>
          <mc:Fallback>
            <w:pict>
              <v:shape style="position:absolute;margin-left:293.929993pt;margin-top:3.740375pt;width:210.05pt;height:26.7pt;mso-position-horizontal-relative:page;mso-position-vertical-relative:paragraph;z-index:15769600" type="#_x0000_t202" id="docshape419" filled="true" fillcolor="#1f487c" stroked="false">
                <v:textbox inset="0,0,0,0">
                  <w:txbxContent>
                    <w:p>
                      <w:pPr>
                        <w:spacing w:before="60"/>
                        <w:ind w:left="112" w:right="114"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12"/>
                          <w:sz w:val="18"/>
                        </w:rPr>
                        <w:t> </w:t>
                      </w:r>
                      <w:r>
                        <w:rPr>
                          <w:b/>
                          <w:smallCaps w:val="0"/>
                          <w:color w:val="FFFFFF"/>
                          <w:sz w:val="18"/>
                        </w:rPr>
                        <w:t>III.12</w:t>
                      </w:r>
                      <w:r>
                        <w:rPr>
                          <w:b/>
                          <w:smallCaps w:val="0"/>
                          <w:color w:val="FFFFFF"/>
                          <w:spacing w:val="-11"/>
                          <w:sz w:val="18"/>
                        </w:rPr>
                        <w:t> </w:t>
                      </w:r>
                      <w:r>
                        <w:rPr>
                          <w:b/>
                          <w:smallCaps w:val="0"/>
                          <w:color w:val="FFFFFF"/>
                          <w:sz w:val="18"/>
                        </w:rPr>
                        <w:t>Χαρτοφυλάκ</w:t>
                      </w:r>
                      <w:r>
                        <w:rPr>
                          <w:b/>
                          <w:smallCaps/>
                          <w:color w:val="FFFFFF"/>
                          <w:sz w:val="18"/>
                        </w:rPr>
                        <w:t>ιο</w:t>
                      </w:r>
                      <w:r>
                        <w:rPr>
                          <w:b/>
                          <w:smallCaps w:val="0"/>
                          <w:color w:val="FFFFFF"/>
                          <w:spacing w:val="-11"/>
                          <w:sz w:val="18"/>
                        </w:rPr>
                        <w:t> </w:t>
                      </w:r>
                      <w:r>
                        <w:rPr>
                          <w:b/>
                          <w:smallCaps w:val="0"/>
                          <w:color w:val="FFFFFF"/>
                          <w:sz w:val="18"/>
                        </w:rPr>
                        <w:t>τίτλων</w:t>
                      </w:r>
                      <w:r>
                        <w:rPr>
                          <w:b/>
                          <w:smallCaps w:val="0"/>
                          <w:color w:val="FFFFFF"/>
                          <w:spacing w:val="-11"/>
                          <w:sz w:val="18"/>
                        </w:rPr>
                        <w:t> </w:t>
                      </w:r>
                      <w:r>
                        <w:rPr>
                          <w:b/>
                          <w:smallCaps w:val="0"/>
                          <w:color w:val="FFFFFF"/>
                          <w:sz w:val="18"/>
                        </w:rPr>
                        <w:t>Ελλην</w:t>
                      </w:r>
                      <w:r>
                        <w:rPr>
                          <w:b/>
                          <w:smallCaps/>
                          <w:color w:val="FFFFFF"/>
                          <w:sz w:val="18"/>
                        </w:rPr>
                        <w:t>ι</w:t>
                      </w:r>
                      <w:r>
                        <w:rPr>
                          <w:b/>
                          <w:smallCaps w:val="0"/>
                          <w:color w:val="FFFFFF"/>
                          <w:sz w:val="18"/>
                        </w:rPr>
                        <w:t>κού Δημοσίου (ΟΕΔ)</w:t>
                      </w:r>
                    </w:p>
                  </w:txbxContent>
                </v:textbox>
                <v:fill type="solid"/>
                <w10:wrap type="none"/>
              </v:shape>
            </w:pict>
          </mc:Fallback>
        </mc:AlternateContent>
      </w:r>
      <w:r>
        <w:rPr/>
        <w:t>Το σύνολο των τίτλων του Ελληνικού Δημο-σίου</w:t>
      </w:r>
      <w:r>
        <w:rPr>
          <w:spacing w:val="26"/>
        </w:rPr>
        <w:t>  </w:t>
      </w:r>
      <w:r>
        <w:rPr/>
        <w:t>(συμπεριλαμβανομένων</w:t>
      </w:r>
      <w:r>
        <w:rPr>
          <w:spacing w:val="27"/>
        </w:rPr>
        <w:t>  </w:t>
      </w:r>
      <w:r>
        <w:rPr/>
        <w:t>των</w:t>
      </w:r>
      <w:r>
        <w:rPr>
          <w:spacing w:val="26"/>
        </w:rPr>
        <w:t>  </w:t>
      </w:r>
      <w:r>
        <w:rPr>
          <w:spacing w:val="-2"/>
        </w:rPr>
        <w:t>εντόκων</w:t>
      </w:r>
    </w:p>
    <w:p>
      <w:pPr>
        <w:pStyle w:val="BodyText"/>
        <w:spacing w:after="0" w:line="285" w:lineRule="auto"/>
        <w:sectPr>
          <w:pgSz w:w="11910" w:h="16850"/>
          <w:pgMar w:header="0" w:footer="1108" w:top="1800" w:bottom="1300" w:left="1417" w:right="850"/>
        </w:sectPr>
      </w:pPr>
    </w:p>
    <w:p>
      <w:pPr>
        <w:pStyle w:val="BodyText"/>
        <w:spacing w:line="285" w:lineRule="auto" w:before="34"/>
        <w:ind w:left="172" w:right="1"/>
        <w:jc w:val="both"/>
      </w:pPr>
      <w:r>
        <w:rPr/>
        <w:t>γραμματίων) που διακρατούν οι ελληνικές τράπεζες στα χαρτοφυλάκιά τους ανήλθε τον Δεκέμβριο του 2025 σε 34,3 δισεκ. ευρώ (πε-ρίπου 9% του ενεργητικού τους), μειωμένο κατά 87,2 εκατ. ευρώ (0,3%) σε σύγκριση με τον Δεκέμβριο του 2024, αλλά υπερδιπλάσιο σε</w:t>
      </w:r>
      <w:r>
        <w:rPr>
          <w:spacing w:val="-6"/>
        </w:rPr>
        <w:t> </w:t>
      </w:r>
      <w:r>
        <w:rPr/>
        <w:t>σύγκριση</w:t>
      </w:r>
      <w:r>
        <w:rPr>
          <w:spacing w:val="-7"/>
        </w:rPr>
        <w:t> </w:t>
      </w:r>
      <w:r>
        <w:rPr/>
        <w:t>με</w:t>
      </w:r>
      <w:r>
        <w:rPr>
          <w:spacing w:val="-6"/>
        </w:rPr>
        <w:t> </w:t>
      </w:r>
      <w:r>
        <w:rPr/>
        <w:t>την</w:t>
      </w:r>
      <w:r>
        <w:rPr>
          <w:spacing w:val="-6"/>
        </w:rPr>
        <w:t> </w:t>
      </w:r>
      <w:r>
        <w:rPr/>
        <w:t>περίοδο</w:t>
      </w:r>
      <w:r>
        <w:rPr>
          <w:spacing w:val="-5"/>
        </w:rPr>
        <w:t> </w:t>
      </w:r>
      <w:r>
        <w:rPr/>
        <w:t>πριν</w:t>
      </w:r>
      <w:r>
        <w:rPr>
          <w:spacing w:val="-6"/>
        </w:rPr>
        <w:t> </w:t>
      </w:r>
      <w:r>
        <w:rPr/>
        <w:t>από</w:t>
      </w:r>
      <w:r>
        <w:rPr>
          <w:spacing w:val="-5"/>
        </w:rPr>
        <w:t> </w:t>
      </w:r>
      <w:r>
        <w:rPr/>
        <w:t>την</w:t>
      </w:r>
      <w:r>
        <w:rPr>
          <w:spacing w:val="-4"/>
        </w:rPr>
        <w:t> </w:t>
      </w:r>
      <w:r>
        <w:rPr/>
        <w:t>παν-δημία (16,5 δισεκ. ευρώ τον Δεκέμβριο του </w:t>
      </w:r>
      <w:r>
        <w:rPr>
          <w:spacing w:val="-2"/>
        </w:rPr>
        <w:t>2019).</w:t>
      </w:r>
    </w:p>
    <w:p>
      <w:pPr>
        <w:pStyle w:val="BodyText"/>
        <w:spacing w:line="285" w:lineRule="auto" w:before="17"/>
        <w:ind w:left="172"/>
        <w:jc w:val="both"/>
      </w:pPr>
      <w:r>
        <w:rPr/>
        <w:t>Ειδικότερα,</w:t>
      </w:r>
      <w:r>
        <w:rPr>
          <w:spacing w:val="-2"/>
        </w:rPr>
        <w:t> </w:t>
      </w:r>
      <w:r>
        <w:rPr/>
        <w:t>η αξία</w:t>
      </w:r>
      <w:r>
        <w:rPr>
          <w:spacing w:val="-1"/>
        </w:rPr>
        <w:t> </w:t>
      </w:r>
      <w:r>
        <w:rPr/>
        <w:t>του</w:t>
      </w:r>
      <w:r>
        <w:rPr>
          <w:spacing w:val="-1"/>
        </w:rPr>
        <w:t> </w:t>
      </w:r>
      <w:r>
        <w:rPr/>
        <w:t>χαρτοφυλακίου τίτλων του</w:t>
      </w:r>
      <w:r>
        <w:rPr>
          <w:spacing w:val="-13"/>
        </w:rPr>
        <w:t> </w:t>
      </w:r>
      <w:r>
        <w:rPr/>
        <w:t>Ελληνικού</w:t>
      </w:r>
      <w:r>
        <w:rPr>
          <w:spacing w:val="-13"/>
        </w:rPr>
        <w:t> </w:t>
      </w:r>
      <w:r>
        <w:rPr/>
        <w:t>Δημοσίου</w:t>
      </w:r>
      <w:r>
        <w:rPr>
          <w:spacing w:val="-13"/>
        </w:rPr>
        <w:t> </w:t>
      </w:r>
      <w:r>
        <w:rPr/>
        <w:t>που</w:t>
      </w:r>
      <w:r>
        <w:rPr>
          <w:spacing w:val="-13"/>
        </w:rPr>
        <w:t> </w:t>
      </w:r>
      <w:r>
        <w:rPr/>
        <w:t>διακρατεί</w:t>
      </w:r>
      <w:r>
        <w:rPr>
          <w:spacing w:val="-14"/>
        </w:rPr>
        <w:t> </w:t>
      </w:r>
      <w:r>
        <w:rPr/>
        <w:t>ο</w:t>
      </w:r>
      <w:r>
        <w:rPr>
          <w:spacing w:val="-13"/>
        </w:rPr>
        <w:t> </w:t>
      </w:r>
      <w:r>
        <w:rPr/>
        <w:t>τρα-πεζικός</w:t>
      </w:r>
      <w:r>
        <w:rPr>
          <w:spacing w:val="-14"/>
        </w:rPr>
        <w:t> </w:t>
      </w:r>
      <w:r>
        <w:rPr/>
        <w:t>τομέας</w:t>
      </w:r>
      <w:r>
        <w:rPr>
          <w:spacing w:val="-14"/>
        </w:rPr>
        <w:t> </w:t>
      </w:r>
      <w:r>
        <w:rPr/>
        <w:t>σε</w:t>
      </w:r>
      <w:r>
        <w:rPr>
          <w:spacing w:val="-14"/>
        </w:rPr>
        <w:t> </w:t>
      </w:r>
      <w:r>
        <w:rPr/>
        <w:t>χαρτοφυλάκια</w:t>
      </w:r>
      <w:r>
        <w:rPr>
          <w:spacing w:val="-13"/>
        </w:rPr>
        <w:t> </w:t>
      </w:r>
      <w:r>
        <w:rPr/>
        <w:t>που</w:t>
      </w:r>
      <w:r>
        <w:rPr>
          <w:spacing w:val="-14"/>
        </w:rPr>
        <w:t> </w:t>
      </w:r>
      <w:r>
        <w:rPr/>
        <w:t>αποτιμώ-νται στην εύλογη αξία</w:t>
      </w:r>
      <w:hyperlink w:history="true" w:anchor="_bookmark64">
        <w:r>
          <w:rPr>
            <w:position w:val="6"/>
            <w:sz w:val="10"/>
          </w:rPr>
          <w:t>44</w:t>
        </w:r>
      </w:hyperlink>
      <w:r>
        <w:rPr>
          <w:spacing w:val="40"/>
          <w:position w:val="6"/>
          <w:sz w:val="10"/>
        </w:rPr>
        <w:t> </w:t>
      </w:r>
      <w:r>
        <w:rPr/>
        <w:t>ανήλθε σε 4,9 δισεκ. ευρώ τον Δεκέμβριο του 2025, έναντι 4,1 δι-σεκ. ευρώ τον Δεκέμβριο του 2024 (βλ. Πί-νακα</w:t>
      </w:r>
      <w:r>
        <w:rPr>
          <w:spacing w:val="-7"/>
        </w:rPr>
        <w:t> </w:t>
      </w:r>
      <w:r>
        <w:rPr/>
        <w:t>ΙΙΙ.4</w:t>
      </w:r>
      <w:r>
        <w:rPr>
          <w:spacing w:val="-6"/>
        </w:rPr>
        <w:t> </w:t>
      </w:r>
      <w:r>
        <w:rPr/>
        <w:t>και</w:t>
      </w:r>
      <w:r>
        <w:rPr>
          <w:spacing w:val="-6"/>
        </w:rPr>
        <w:t> </w:t>
      </w:r>
      <w:r>
        <w:rPr/>
        <w:t>Διάγραμμα</w:t>
      </w:r>
      <w:r>
        <w:rPr>
          <w:spacing w:val="-6"/>
        </w:rPr>
        <w:t> </w:t>
      </w:r>
      <w:r>
        <w:rPr/>
        <w:t>ΙΙΙ.12),</w:t>
      </w:r>
      <w:r>
        <w:rPr>
          <w:spacing w:val="-6"/>
        </w:rPr>
        <w:t> </w:t>
      </w:r>
      <w:r>
        <w:rPr>
          <w:spacing w:val="-2"/>
        </w:rPr>
        <w:t>παρουσιάζο-</w:t>
      </w:r>
    </w:p>
    <w:p>
      <w:pPr>
        <w:spacing w:line="155" w:lineRule="exact" w:before="0"/>
        <w:ind w:left="172" w:right="0" w:firstLine="0"/>
        <w:jc w:val="left"/>
        <w:rPr>
          <w:sz w:val="14"/>
        </w:rPr>
      </w:pPr>
      <w:r>
        <w:rPr/>
        <w:br w:type="column"/>
      </w:r>
      <w:r>
        <w:rPr>
          <w:color w:val="1F487C"/>
          <w:sz w:val="14"/>
        </w:rPr>
        <w:t>(δισεκ.</w:t>
      </w:r>
      <w:r>
        <w:rPr>
          <w:color w:val="1F487C"/>
          <w:spacing w:val="-5"/>
          <w:sz w:val="14"/>
        </w:rPr>
        <w:t> </w:t>
      </w:r>
      <w:r>
        <w:rPr>
          <w:color w:val="1F487C"/>
          <w:spacing w:val="-2"/>
          <w:sz w:val="14"/>
        </w:rPr>
        <w:t>ευρώ)</w:t>
      </w:r>
    </w:p>
    <w:p>
      <w:pPr>
        <w:pStyle w:val="BodyText"/>
        <w:spacing w:before="2"/>
        <w:rPr>
          <w:sz w:val="5"/>
        </w:rPr>
      </w:pPr>
    </w:p>
    <w:p>
      <w:pPr>
        <w:spacing w:line="240" w:lineRule="auto"/>
        <w:ind w:left="114" w:right="0" w:firstLine="0"/>
        <w:rPr>
          <w:sz w:val="20"/>
        </w:rPr>
      </w:pPr>
      <w:r>
        <w:rPr>
          <w:sz w:val="20"/>
        </w:rPr>
        <mc:AlternateContent>
          <mc:Choice Requires="wps">
            <w:drawing>
              <wp:inline distT="0" distB="0" distL="0" distR="0">
                <wp:extent cx="2668270" cy="2878455"/>
                <wp:effectExtent l="0" t="0" r="0" b="7619"/>
                <wp:docPr id="448" name="Group 448"/>
                <wp:cNvGraphicFramePr>
                  <a:graphicFrameLocks/>
                </wp:cNvGraphicFramePr>
                <a:graphic>
                  <a:graphicData uri="http://schemas.microsoft.com/office/word/2010/wordprocessingGroup">
                    <wpg:wgp>
                      <wpg:cNvPr id="448" name="Group 448"/>
                      <wpg:cNvGrpSpPr/>
                      <wpg:grpSpPr>
                        <a:xfrm>
                          <a:off x="0" y="0"/>
                          <a:ext cx="2668270" cy="2878455"/>
                          <a:chExt cx="2668270" cy="2878455"/>
                        </a:xfrm>
                      </wpg:grpSpPr>
                      <wps:wsp>
                        <wps:cNvPr id="449" name="Graphic 449"/>
                        <wps:cNvSpPr/>
                        <wps:spPr>
                          <a:xfrm>
                            <a:off x="381" y="507"/>
                            <a:ext cx="2667635" cy="2877820"/>
                          </a:xfrm>
                          <a:custGeom>
                            <a:avLst/>
                            <a:gdLst/>
                            <a:ahLst/>
                            <a:cxnLst/>
                            <a:rect l="l" t="t" r="r" b="b"/>
                            <a:pathLst>
                              <a:path w="2667635" h="2877820">
                                <a:moveTo>
                                  <a:pt x="2667635" y="0"/>
                                </a:moveTo>
                                <a:lnTo>
                                  <a:pt x="0" y="0"/>
                                </a:lnTo>
                                <a:lnTo>
                                  <a:pt x="0" y="1970786"/>
                                </a:lnTo>
                                <a:lnTo>
                                  <a:pt x="0" y="2877566"/>
                                </a:lnTo>
                                <a:lnTo>
                                  <a:pt x="2667635" y="2877566"/>
                                </a:lnTo>
                                <a:lnTo>
                                  <a:pt x="2667635" y="1970786"/>
                                </a:lnTo>
                                <a:lnTo>
                                  <a:pt x="2667635" y="0"/>
                                </a:lnTo>
                                <a:close/>
                              </a:path>
                            </a:pathLst>
                          </a:custGeom>
                          <a:solidFill>
                            <a:srgbClr val="D9D9D9"/>
                          </a:solidFill>
                        </wps:spPr>
                        <wps:bodyPr wrap="square" lIns="0" tIns="0" rIns="0" bIns="0" rtlCol="0">
                          <a:prstTxWarp prst="textNoShape">
                            <a:avLst/>
                          </a:prstTxWarp>
                          <a:noAutofit/>
                        </wps:bodyPr>
                      </wps:wsp>
                      <pic:pic>
                        <pic:nvPicPr>
                          <pic:cNvPr id="450" name="Image 450"/>
                          <pic:cNvPicPr/>
                        </pic:nvPicPr>
                        <pic:blipFill>
                          <a:blip r:embed="rId93" cstate="print"/>
                          <a:stretch>
                            <a:fillRect/>
                          </a:stretch>
                        </pic:blipFill>
                        <pic:spPr>
                          <a:xfrm>
                            <a:off x="0" y="0"/>
                            <a:ext cx="2663825" cy="1970405"/>
                          </a:xfrm>
                          <a:prstGeom prst="rect">
                            <a:avLst/>
                          </a:prstGeom>
                        </pic:spPr>
                      </pic:pic>
                      <wps:wsp>
                        <wps:cNvPr id="451" name="Textbox 451"/>
                        <wps:cNvSpPr txBox="1"/>
                        <wps:spPr>
                          <a:xfrm>
                            <a:off x="380" y="507"/>
                            <a:ext cx="2667635" cy="287782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2"/>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p>
                              <w:pPr>
                                <w:spacing w:line="240" w:lineRule="auto" w:before="120"/>
                                <w:ind w:left="112" w:right="11" w:firstLine="0"/>
                                <w:jc w:val="left"/>
                                <w:rPr>
                                  <w:sz w:val="14"/>
                                </w:rPr>
                              </w:pPr>
                              <w:r>
                                <w:rPr>
                                  <w:sz w:val="14"/>
                                </w:rPr>
                                <w:t>* ΟΕΔ σε εύλογη αξία: αφορά τίτλους του Ε.Δ. που αποτιμώνται ως</w:t>
                              </w:r>
                              <w:r>
                                <w:rPr>
                                  <w:spacing w:val="40"/>
                                  <w:sz w:val="14"/>
                                </w:rPr>
                                <w:t> </w:t>
                              </w:r>
                              <w:r>
                                <w:rPr>
                                  <w:sz w:val="14"/>
                                </w:rPr>
                                <w:t>διαθέσιμα</w:t>
                              </w:r>
                              <w:r>
                                <w:rPr>
                                  <w:spacing w:val="-6"/>
                                  <w:sz w:val="14"/>
                                </w:rPr>
                                <w:t> </w:t>
                              </w:r>
                              <w:r>
                                <w:rPr>
                                  <w:sz w:val="14"/>
                                </w:rPr>
                                <w:t>προς</w:t>
                              </w:r>
                              <w:r>
                                <w:rPr>
                                  <w:spacing w:val="-5"/>
                                  <w:sz w:val="14"/>
                                </w:rPr>
                                <w:t> </w:t>
                              </w:r>
                              <w:r>
                                <w:rPr>
                                  <w:sz w:val="14"/>
                                </w:rPr>
                                <w:t>πώληση,</w:t>
                              </w:r>
                              <w:r>
                                <w:rPr>
                                  <w:spacing w:val="-4"/>
                                  <w:sz w:val="14"/>
                                </w:rPr>
                                <w:t> </w:t>
                              </w:r>
                              <w:r>
                                <w:rPr>
                                  <w:sz w:val="14"/>
                                </w:rPr>
                                <w:t>στην</w:t>
                              </w:r>
                              <w:r>
                                <w:rPr>
                                  <w:spacing w:val="-5"/>
                                  <w:sz w:val="14"/>
                                </w:rPr>
                                <w:t> </w:t>
                              </w:r>
                              <w:r>
                                <w:rPr>
                                  <w:sz w:val="14"/>
                                </w:rPr>
                                <w:t>εύλογη</w:t>
                              </w:r>
                              <w:r>
                                <w:rPr>
                                  <w:spacing w:val="-4"/>
                                  <w:sz w:val="14"/>
                                </w:rPr>
                                <w:t> </w:t>
                              </w:r>
                              <w:r>
                                <w:rPr>
                                  <w:sz w:val="14"/>
                                </w:rPr>
                                <w:t>αξία</w:t>
                              </w:r>
                              <w:r>
                                <w:rPr>
                                  <w:spacing w:val="-6"/>
                                  <w:sz w:val="14"/>
                                </w:rPr>
                                <w:t> </w:t>
                              </w:r>
                              <w:r>
                                <w:rPr>
                                  <w:sz w:val="14"/>
                                </w:rPr>
                                <w:t>και</w:t>
                              </w:r>
                              <w:r>
                                <w:rPr>
                                  <w:spacing w:val="-5"/>
                                  <w:sz w:val="14"/>
                                </w:rPr>
                                <w:t> </w:t>
                              </w:r>
                              <w:r>
                                <w:rPr>
                                  <w:sz w:val="14"/>
                                </w:rPr>
                                <w:t>διακρατούμενα</w:t>
                              </w:r>
                              <w:r>
                                <w:rPr>
                                  <w:spacing w:val="-6"/>
                                  <w:sz w:val="14"/>
                                </w:rPr>
                                <w:t> </w:t>
                              </w:r>
                              <w:r>
                                <w:rPr>
                                  <w:sz w:val="14"/>
                                </w:rPr>
                                <w:t>για</w:t>
                              </w:r>
                              <w:r>
                                <w:rPr>
                                  <w:spacing w:val="-6"/>
                                  <w:sz w:val="14"/>
                                </w:rPr>
                                <w:t> </w:t>
                              </w:r>
                              <w:r>
                                <w:rPr>
                                  <w:sz w:val="14"/>
                                </w:rPr>
                                <w:t>εμπο-ρικούς σκοπούς. Από 1.1.2018, με την εφαρμογή του ΔΠΧΑ 9, αφορά</w:t>
                              </w:r>
                              <w:r>
                                <w:rPr>
                                  <w:spacing w:val="40"/>
                                  <w:sz w:val="14"/>
                                </w:rPr>
                                <w:t> </w:t>
                              </w:r>
                              <w:r>
                                <w:rPr>
                                  <w:sz w:val="14"/>
                                </w:rPr>
                                <w:t>τίτλους αποτιμώμενους στην εύλογη αξία μέσω αποτελεσμάτων, στην</w:t>
                              </w:r>
                              <w:r>
                                <w:rPr>
                                  <w:spacing w:val="40"/>
                                  <w:sz w:val="14"/>
                                </w:rPr>
                                <w:t> </w:t>
                              </w:r>
                              <w:r>
                                <w:rPr>
                                  <w:sz w:val="14"/>
                                </w:rPr>
                                <w:t>εύλογη αξία μέσω λοιπών συνολικών εσόδων και διακρατούμενα για ε-μπορικούς</w:t>
                              </w:r>
                              <w:r>
                                <w:rPr>
                                  <w:spacing w:val="-9"/>
                                  <w:sz w:val="14"/>
                                </w:rPr>
                                <w:t> </w:t>
                              </w:r>
                              <w:r>
                                <w:rPr>
                                  <w:sz w:val="14"/>
                                </w:rPr>
                                <w:t>σκοπούς.</w:t>
                              </w:r>
                            </w:p>
                          </w:txbxContent>
                        </wps:txbx>
                        <wps:bodyPr wrap="square" lIns="0" tIns="0" rIns="0" bIns="0" rtlCol="0">
                          <a:noAutofit/>
                        </wps:bodyPr>
                      </wps:wsp>
                    </wpg:wgp>
                  </a:graphicData>
                </a:graphic>
              </wp:inline>
            </w:drawing>
          </mc:Choice>
          <mc:Fallback>
            <w:pict>
              <v:group style="width:210.1pt;height:226.65pt;mso-position-horizontal-relative:char;mso-position-vertical-relative:line" id="docshapegroup420" coordorigin="0,0" coordsize="4202,4533">
                <v:shape style="position:absolute;left:0;top:0;width:4201;height:4532" id="docshape421" coordorigin="1,1" coordsize="4201,4532" path="m4202,1l1,1,1,3104,1,4532,4202,4532,4202,3104,4202,1xe" filled="true" fillcolor="#d9d9d9" stroked="false">
                  <v:path arrowok="t"/>
                  <v:fill type="solid"/>
                </v:shape>
                <v:shape style="position:absolute;left:0;top:0;width:4195;height:3103" type="#_x0000_t75" id="docshape422" stroked="false">
                  <v:imagedata r:id="rId93" o:title=""/>
                </v:shape>
                <v:shape style="position:absolute;left:0;top:0;width:4201;height:4532" type="#_x0000_t202" id="docshape423"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2"/>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p>
                        <w:pPr>
                          <w:spacing w:line="240" w:lineRule="auto" w:before="120"/>
                          <w:ind w:left="112" w:right="11" w:firstLine="0"/>
                          <w:jc w:val="left"/>
                          <w:rPr>
                            <w:sz w:val="14"/>
                          </w:rPr>
                        </w:pPr>
                        <w:r>
                          <w:rPr>
                            <w:sz w:val="14"/>
                          </w:rPr>
                          <w:t>* ΟΕΔ σε εύλογη αξία: αφορά τίτλους του Ε.Δ. που αποτιμώνται ως</w:t>
                        </w:r>
                        <w:r>
                          <w:rPr>
                            <w:spacing w:val="40"/>
                            <w:sz w:val="14"/>
                          </w:rPr>
                          <w:t> </w:t>
                        </w:r>
                        <w:r>
                          <w:rPr>
                            <w:sz w:val="14"/>
                          </w:rPr>
                          <w:t>διαθέσιμα</w:t>
                        </w:r>
                        <w:r>
                          <w:rPr>
                            <w:spacing w:val="-6"/>
                            <w:sz w:val="14"/>
                          </w:rPr>
                          <w:t> </w:t>
                        </w:r>
                        <w:r>
                          <w:rPr>
                            <w:sz w:val="14"/>
                          </w:rPr>
                          <w:t>προς</w:t>
                        </w:r>
                        <w:r>
                          <w:rPr>
                            <w:spacing w:val="-5"/>
                            <w:sz w:val="14"/>
                          </w:rPr>
                          <w:t> </w:t>
                        </w:r>
                        <w:r>
                          <w:rPr>
                            <w:sz w:val="14"/>
                          </w:rPr>
                          <w:t>πώληση,</w:t>
                        </w:r>
                        <w:r>
                          <w:rPr>
                            <w:spacing w:val="-4"/>
                            <w:sz w:val="14"/>
                          </w:rPr>
                          <w:t> </w:t>
                        </w:r>
                        <w:r>
                          <w:rPr>
                            <w:sz w:val="14"/>
                          </w:rPr>
                          <w:t>στην</w:t>
                        </w:r>
                        <w:r>
                          <w:rPr>
                            <w:spacing w:val="-5"/>
                            <w:sz w:val="14"/>
                          </w:rPr>
                          <w:t> </w:t>
                        </w:r>
                        <w:r>
                          <w:rPr>
                            <w:sz w:val="14"/>
                          </w:rPr>
                          <w:t>εύλογη</w:t>
                        </w:r>
                        <w:r>
                          <w:rPr>
                            <w:spacing w:val="-4"/>
                            <w:sz w:val="14"/>
                          </w:rPr>
                          <w:t> </w:t>
                        </w:r>
                        <w:r>
                          <w:rPr>
                            <w:sz w:val="14"/>
                          </w:rPr>
                          <w:t>αξία</w:t>
                        </w:r>
                        <w:r>
                          <w:rPr>
                            <w:spacing w:val="-6"/>
                            <w:sz w:val="14"/>
                          </w:rPr>
                          <w:t> </w:t>
                        </w:r>
                        <w:r>
                          <w:rPr>
                            <w:sz w:val="14"/>
                          </w:rPr>
                          <w:t>και</w:t>
                        </w:r>
                        <w:r>
                          <w:rPr>
                            <w:spacing w:val="-5"/>
                            <w:sz w:val="14"/>
                          </w:rPr>
                          <w:t> </w:t>
                        </w:r>
                        <w:r>
                          <w:rPr>
                            <w:sz w:val="14"/>
                          </w:rPr>
                          <w:t>διακρατούμενα</w:t>
                        </w:r>
                        <w:r>
                          <w:rPr>
                            <w:spacing w:val="-6"/>
                            <w:sz w:val="14"/>
                          </w:rPr>
                          <w:t> </w:t>
                        </w:r>
                        <w:r>
                          <w:rPr>
                            <w:sz w:val="14"/>
                          </w:rPr>
                          <w:t>για</w:t>
                        </w:r>
                        <w:r>
                          <w:rPr>
                            <w:spacing w:val="-6"/>
                            <w:sz w:val="14"/>
                          </w:rPr>
                          <w:t> </w:t>
                        </w:r>
                        <w:r>
                          <w:rPr>
                            <w:sz w:val="14"/>
                          </w:rPr>
                          <w:t>εμπο-ρικούς σκοπούς. Από 1.1.2018, με την εφαρμογή του ΔΠΧΑ 9, αφορά</w:t>
                        </w:r>
                        <w:r>
                          <w:rPr>
                            <w:spacing w:val="40"/>
                            <w:sz w:val="14"/>
                          </w:rPr>
                          <w:t> </w:t>
                        </w:r>
                        <w:r>
                          <w:rPr>
                            <w:sz w:val="14"/>
                          </w:rPr>
                          <w:t>τίτλους αποτιμώμενους στην εύλογη αξία μέσω αποτελεσμάτων, στην</w:t>
                        </w:r>
                        <w:r>
                          <w:rPr>
                            <w:spacing w:val="40"/>
                            <w:sz w:val="14"/>
                          </w:rPr>
                          <w:t> </w:t>
                        </w:r>
                        <w:r>
                          <w:rPr>
                            <w:sz w:val="14"/>
                          </w:rPr>
                          <w:t>εύλογη αξία μέσω λοιπών συνολικών εσόδων και διακρατούμενα για ε-μπορικούς</w:t>
                        </w:r>
                        <w:r>
                          <w:rPr>
                            <w:spacing w:val="-9"/>
                            <w:sz w:val="14"/>
                          </w:rPr>
                          <w:t> </w:t>
                        </w:r>
                        <w:r>
                          <w:rPr>
                            <w:sz w:val="14"/>
                          </w:rPr>
                          <w:t>σκοπούς.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288" w:space="59"/>
            <w:col w:w="5296"/>
          </w:cols>
        </w:sectPr>
      </w:pPr>
    </w:p>
    <w:p>
      <w:pPr>
        <w:pStyle w:val="BodyText"/>
        <w:spacing w:line="285" w:lineRule="auto"/>
        <w:ind w:left="172" w:right="918"/>
        <w:jc w:val="both"/>
      </w:pPr>
      <w:r>
        <w:rPr/>
        <w:t>ντας</w:t>
      </w:r>
      <w:r>
        <w:rPr>
          <w:spacing w:val="-4"/>
        </w:rPr>
        <w:t> </w:t>
      </w:r>
      <w:r>
        <w:rPr/>
        <w:t>αύξηση</w:t>
      </w:r>
      <w:r>
        <w:rPr>
          <w:spacing w:val="-2"/>
        </w:rPr>
        <w:t> </w:t>
      </w:r>
      <w:r>
        <w:rPr/>
        <w:t>κατά</w:t>
      </w:r>
      <w:r>
        <w:rPr>
          <w:spacing w:val="-3"/>
        </w:rPr>
        <w:t> </w:t>
      </w:r>
      <w:r>
        <w:rPr/>
        <w:t>20,2%.</w:t>
      </w:r>
      <w:r>
        <w:rPr>
          <w:spacing w:val="-4"/>
        </w:rPr>
        <w:t> </w:t>
      </w:r>
      <w:r>
        <w:rPr/>
        <w:t>Η</w:t>
      </w:r>
      <w:r>
        <w:rPr>
          <w:spacing w:val="-4"/>
        </w:rPr>
        <w:t> </w:t>
      </w:r>
      <w:r>
        <w:rPr/>
        <w:t>αξία</w:t>
      </w:r>
      <w:r>
        <w:rPr>
          <w:spacing w:val="-3"/>
        </w:rPr>
        <w:t> </w:t>
      </w:r>
      <w:r>
        <w:rPr/>
        <w:t>του</w:t>
      </w:r>
      <w:r>
        <w:rPr>
          <w:spacing w:val="-1"/>
        </w:rPr>
        <w:t> </w:t>
      </w:r>
      <w:r>
        <w:rPr/>
        <w:t>εν</w:t>
      </w:r>
      <w:r>
        <w:rPr>
          <w:spacing w:val="-4"/>
        </w:rPr>
        <w:t> </w:t>
      </w:r>
      <w:r>
        <w:rPr/>
        <w:t>λόγω</w:t>
      </w:r>
      <w:r>
        <w:rPr>
          <w:spacing w:val="-1"/>
        </w:rPr>
        <w:t> </w:t>
      </w:r>
      <w:r>
        <w:rPr/>
        <w:t>χαρτοφυλακίου</w:t>
      </w:r>
      <w:r>
        <w:rPr>
          <w:spacing w:val="-6"/>
        </w:rPr>
        <w:t> </w:t>
      </w:r>
      <w:r>
        <w:rPr/>
        <w:t>ως</w:t>
      </w:r>
      <w:r>
        <w:rPr>
          <w:spacing w:val="-9"/>
        </w:rPr>
        <w:t> </w:t>
      </w:r>
      <w:r>
        <w:rPr/>
        <w:t>ποσοστού</w:t>
      </w:r>
      <w:r>
        <w:rPr>
          <w:spacing w:val="-6"/>
        </w:rPr>
        <w:t> </w:t>
      </w:r>
      <w:r>
        <w:rPr/>
        <w:t>του</w:t>
      </w:r>
      <w:r>
        <w:rPr>
          <w:spacing w:val="-9"/>
        </w:rPr>
        <w:t> </w:t>
      </w:r>
      <w:r>
        <w:rPr/>
        <w:t>συνολικού</w:t>
      </w:r>
      <w:r>
        <w:rPr>
          <w:spacing w:val="-9"/>
        </w:rPr>
        <w:t> </w:t>
      </w:r>
      <w:r>
        <w:rPr/>
        <w:t>ενερ-γητικού</w:t>
      </w:r>
      <w:r>
        <w:rPr>
          <w:spacing w:val="-1"/>
        </w:rPr>
        <w:t> </w:t>
      </w:r>
      <w:r>
        <w:rPr/>
        <w:t>των</w:t>
      </w:r>
      <w:r>
        <w:rPr>
          <w:spacing w:val="-1"/>
        </w:rPr>
        <w:t> </w:t>
      </w:r>
      <w:r>
        <w:rPr/>
        <w:t>τραπεζών</w:t>
      </w:r>
      <w:r>
        <w:rPr>
          <w:spacing w:val="-1"/>
        </w:rPr>
        <w:t> </w:t>
      </w:r>
      <w:r>
        <w:rPr/>
        <w:t>αυξήθηκε</w:t>
      </w:r>
      <w:r>
        <w:rPr>
          <w:spacing w:val="-1"/>
        </w:rPr>
        <w:t> </w:t>
      </w:r>
      <w:r>
        <w:rPr/>
        <w:t>σε 1,3%,</w:t>
      </w:r>
      <w:r>
        <w:rPr>
          <w:spacing w:val="-2"/>
        </w:rPr>
        <w:t> </w:t>
      </w:r>
      <w:r>
        <w:rPr/>
        <w:t>από</w:t>
      </w:r>
      <w:r>
        <w:rPr>
          <w:spacing w:val="-2"/>
        </w:rPr>
        <w:t> </w:t>
      </w:r>
      <w:r>
        <w:rPr/>
        <w:t>1,2%</w:t>
      </w:r>
      <w:r>
        <w:rPr>
          <w:spacing w:val="-1"/>
        </w:rPr>
        <w:t> </w:t>
      </w:r>
      <w:r>
        <w:rPr/>
        <w:t>τον</w:t>
      </w:r>
      <w:r>
        <w:rPr>
          <w:spacing w:val="-1"/>
        </w:rPr>
        <w:t> </w:t>
      </w:r>
      <w:r>
        <w:rPr/>
        <w:t>Δεκέμβριο</w:t>
      </w:r>
      <w:r>
        <w:rPr>
          <w:spacing w:val="-2"/>
        </w:rPr>
        <w:t> </w:t>
      </w:r>
      <w:r>
        <w:rPr/>
        <w:t>του</w:t>
      </w:r>
      <w:r>
        <w:rPr>
          <w:spacing w:val="-1"/>
        </w:rPr>
        <w:t> </w:t>
      </w:r>
      <w:r>
        <w:rPr/>
        <w:t>2024.</w:t>
      </w:r>
    </w:p>
    <w:p>
      <w:pPr>
        <w:pStyle w:val="BodyText"/>
        <w:spacing w:line="285" w:lineRule="auto" w:before="63"/>
        <w:ind w:left="172" w:right="1060"/>
        <w:jc w:val="both"/>
      </w:pPr>
      <w:r>
        <w:rPr/>
        <w:t>Επισημαίνεται</w:t>
      </w:r>
      <w:r>
        <w:rPr>
          <w:spacing w:val="-7"/>
        </w:rPr>
        <w:t> </w:t>
      </w:r>
      <w:r>
        <w:rPr/>
        <w:t>ότι,</w:t>
      </w:r>
      <w:r>
        <w:rPr>
          <w:spacing w:val="-6"/>
        </w:rPr>
        <w:t> </w:t>
      </w:r>
      <w:r>
        <w:rPr/>
        <w:t>στο</w:t>
      </w:r>
      <w:r>
        <w:rPr>
          <w:spacing w:val="-7"/>
        </w:rPr>
        <w:t> </w:t>
      </w:r>
      <w:r>
        <w:rPr/>
        <w:t>πλαίσιο</w:t>
      </w:r>
      <w:r>
        <w:rPr>
          <w:spacing w:val="-6"/>
        </w:rPr>
        <w:t> </w:t>
      </w:r>
      <w:r>
        <w:rPr/>
        <w:t>της</w:t>
      </w:r>
      <w:r>
        <w:rPr>
          <w:spacing w:val="-7"/>
        </w:rPr>
        <w:t> </w:t>
      </w:r>
      <w:r>
        <w:rPr/>
        <w:t>αξιολόγησης</w:t>
      </w:r>
      <w:r>
        <w:rPr>
          <w:spacing w:val="-6"/>
        </w:rPr>
        <w:t> </w:t>
      </w:r>
      <w:r>
        <w:rPr/>
        <w:t>του</w:t>
      </w:r>
      <w:r>
        <w:rPr>
          <w:spacing w:val="-7"/>
        </w:rPr>
        <w:t> </w:t>
      </w:r>
      <w:r>
        <w:rPr/>
        <w:t>επιτοκιακού</w:t>
      </w:r>
      <w:r>
        <w:rPr>
          <w:spacing w:val="-5"/>
        </w:rPr>
        <w:t> </w:t>
      </w:r>
      <w:r>
        <w:rPr/>
        <w:t>κινδύνου</w:t>
      </w:r>
      <w:r>
        <w:rPr>
          <w:spacing w:val="-5"/>
        </w:rPr>
        <w:t> </w:t>
      </w:r>
      <w:r>
        <w:rPr/>
        <w:t>του</w:t>
      </w:r>
      <w:r>
        <w:rPr>
          <w:spacing w:val="-5"/>
        </w:rPr>
        <w:t> </w:t>
      </w:r>
      <w:r>
        <w:rPr/>
        <w:t>χαρτοφυλακίου ομολόγων</w:t>
      </w:r>
      <w:r>
        <w:rPr>
          <w:spacing w:val="-6"/>
        </w:rPr>
        <w:t> </w:t>
      </w:r>
      <w:r>
        <w:rPr/>
        <w:t>του</w:t>
      </w:r>
      <w:r>
        <w:rPr>
          <w:spacing w:val="-6"/>
        </w:rPr>
        <w:t> </w:t>
      </w:r>
      <w:r>
        <w:rPr/>
        <w:t>Ελληνικού</w:t>
      </w:r>
      <w:r>
        <w:rPr>
          <w:spacing w:val="-6"/>
        </w:rPr>
        <w:t> </w:t>
      </w:r>
      <w:r>
        <w:rPr/>
        <w:t>Δημοσίου,</w:t>
      </w:r>
      <w:r>
        <w:rPr>
          <w:spacing w:val="-7"/>
        </w:rPr>
        <w:t> </w:t>
      </w:r>
      <w:r>
        <w:rPr/>
        <w:t>σύμφωνα</w:t>
      </w:r>
      <w:r>
        <w:rPr>
          <w:spacing w:val="-8"/>
        </w:rPr>
        <w:t> </w:t>
      </w:r>
      <w:r>
        <w:rPr/>
        <w:t>με</w:t>
      </w:r>
      <w:r>
        <w:rPr>
          <w:spacing w:val="-6"/>
        </w:rPr>
        <w:t> </w:t>
      </w:r>
      <w:r>
        <w:rPr/>
        <w:t>τη</w:t>
      </w:r>
      <w:r>
        <w:rPr>
          <w:spacing w:val="-10"/>
        </w:rPr>
        <w:t> </w:t>
      </w:r>
      <w:r>
        <w:rPr/>
        <w:t>σύνθεσή</w:t>
      </w:r>
      <w:r>
        <w:rPr>
          <w:spacing w:val="-7"/>
        </w:rPr>
        <w:t> </w:t>
      </w:r>
      <w:r>
        <w:rPr/>
        <w:t>του</w:t>
      </w:r>
      <w:r>
        <w:rPr>
          <w:spacing w:val="-6"/>
        </w:rPr>
        <w:t> </w:t>
      </w:r>
      <w:r>
        <w:rPr/>
        <w:t>τον</w:t>
      </w:r>
      <w:r>
        <w:rPr>
          <w:spacing w:val="-6"/>
        </w:rPr>
        <w:t> </w:t>
      </w:r>
      <w:r>
        <w:rPr/>
        <w:t>Δεκέμβριο</w:t>
      </w:r>
      <w:r>
        <w:rPr>
          <w:spacing w:val="-10"/>
        </w:rPr>
        <w:t> </w:t>
      </w:r>
      <w:r>
        <w:rPr/>
        <w:t>του</w:t>
      </w:r>
      <w:r>
        <w:rPr>
          <w:spacing w:val="-6"/>
        </w:rPr>
        <w:t> </w:t>
      </w:r>
      <w:r>
        <w:rPr/>
        <w:t>2025,</w:t>
      </w:r>
      <w:r>
        <w:rPr>
          <w:spacing w:val="-7"/>
        </w:rPr>
        <w:t> </w:t>
      </w:r>
      <w:r>
        <w:rPr/>
        <w:t>μια δυνητική αύξηση του γενικού επιπέδου των επιτοκίων (general level of interest rates) κατά 1 μ.β. (PV01) θα επέφερε ζημία ύψους 25,4</w:t>
      </w:r>
      <w:r>
        <w:rPr>
          <w:spacing w:val="-1"/>
        </w:rPr>
        <w:t> </w:t>
      </w:r>
      <w:r>
        <w:rPr/>
        <w:t>εκατ. ευρώ για το σύνολο των ελληνικών τραπεζών, έναντι</w:t>
      </w:r>
      <w:r>
        <w:rPr>
          <w:spacing w:val="-7"/>
        </w:rPr>
        <w:t> </w:t>
      </w:r>
      <w:r>
        <w:rPr/>
        <w:t>ζημίας</w:t>
      </w:r>
      <w:r>
        <w:rPr>
          <w:spacing w:val="-9"/>
        </w:rPr>
        <w:t> </w:t>
      </w:r>
      <w:r>
        <w:rPr/>
        <w:t>26,9</w:t>
      </w:r>
      <w:r>
        <w:rPr>
          <w:spacing w:val="-8"/>
        </w:rPr>
        <w:t> </w:t>
      </w:r>
      <w:r>
        <w:rPr/>
        <w:t>εκατ.</w:t>
      </w:r>
      <w:r>
        <w:rPr>
          <w:spacing w:val="-10"/>
        </w:rPr>
        <w:t> </w:t>
      </w:r>
      <w:r>
        <w:rPr/>
        <w:t>ευρώ</w:t>
      </w:r>
      <w:r>
        <w:rPr>
          <w:spacing w:val="-6"/>
        </w:rPr>
        <w:t> </w:t>
      </w:r>
      <w:r>
        <w:rPr/>
        <w:t>τον</w:t>
      </w:r>
      <w:r>
        <w:rPr>
          <w:spacing w:val="-7"/>
        </w:rPr>
        <w:t> </w:t>
      </w:r>
      <w:r>
        <w:rPr/>
        <w:t>Δεκέμβριο</w:t>
      </w:r>
      <w:r>
        <w:rPr>
          <w:spacing w:val="-7"/>
        </w:rPr>
        <w:t> </w:t>
      </w:r>
      <w:r>
        <w:rPr/>
        <w:t>του</w:t>
      </w:r>
      <w:r>
        <w:rPr>
          <w:spacing w:val="-7"/>
        </w:rPr>
        <w:t> </w:t>
      </w:r>
      <w:r>
        <w:rPr/>
        <w:t>2024.</w:t>
      </w:r>
      <w:r>
        <w:rPr>
          <w:spacing w:val="-8"/>
        </w:rPr>
        <w:t> </w:t>
      </w:r>
      <w:r>
        <w:rPr/>
        <w:t>Αντίστοιχα,</w:t>
      </w:r>
      <w:r>
        <w:rPr>
          <w:spacing w:val="-7"/>
        </w:rPr>
        <w:t> </w:t>
      </w:r>
      <w:r>
        <w:rPr/>
        <w:t>η</w:t>
      </w:r>
      <w:r>
        <w:rPr>
          <w:spacing w:val="-8"/>
        </w:rPr>
        <w:t> </w:t>
      </w:r>
      <w:r>
        <w:rPr/>
        <w:t>επίδραση</w:t>
      </w:r>
      <w:r>
        <w:rPr>
          <w:spacing w:val="-8"/>
        </w:rPr>
        <w:t> </w:t>
      </w:r>
      <w:r>
        <w:rPr/>
        <w:t>μιας</w:t>
      </w:r>
      <w:r>
        <w:rPr>
          <w:spacing w:val="-10"/>
        </w:rPr>
        <w:t> </w:t>
      </w:r>
      <w:r>
        <w:rPr/>
        <w:t>δυνητικής αύξησης των πιστωτικών περιθωρίων (credit spreads) κατά 1 μ.β. (CS01) θα επέφερε ζημία ύ-</w:t>
      </w:r>
    </w:p>
    <w:p>
      <w:pPr>
        <w:pStyle w:val="BodyText"/>
        <w:rPr>
          <w:sz w:val="20"/>
        </w:rPr>
      </w:pPr>
    </w:p>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628288">
                <wp:simplePos x="0" y="0"/>
                <wp:positionH relativeFrom="page">
                  <wp:posOffset>1009192</wp:posOffset>
                </wp:positionH>
                <wp:positionV relativeFrom="paragraph">
                  <wp:posOffset>191625</wp:posOffset>
                </wp:positionV>
                <wp:extent cx="1829435" cy="7620"/>
                <wp:effectExtent l="0" t="0" r="0" b="0"/>
                <wp:wrapTopAndBottom/>
                <wp:docPr id="452" name="Graphic 452"/>
                <wp:cNvGraphicFramePr>
                  <a:graphicFrameLocks/>
                </wp:cNvGraphicFramePr>
                <a:graphic>
                  <a:graphicData uri="http://schemas.microsoft.com/office/word/2010/wordprocessingShape">
                    <wps:wsp>
                      <wps:cNvPr id="452" name="Graphic 45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5.088585pt;width:144.020pt;height:.599980pt;mso-position-horizontal-relative:page;mso-position-vertical-relative:paragraph;z-index:-15688192;mso-wrap-distance-left:0;mso-wrap-distance-right:0" id="docshape424" filled="true" fillcolor="#000000" stroked="false">
                <v:fill type="solid"/>
                <w10:wrap type="topAndBottom"/>
              </v:rect>
            </w:pict>
          </mc:Fallback>
        </mc:AlternateContent>
      </w:r>
    </w:p>
    <w:p>
      <w:pPr>
        <w:spacing w:before="167"/>
        <w:ind w:left="172" w:right="0" w:firstLine="0"/>
        <w:jc w:val="both"/>
        <w:rPr>
          <w:sz w:val="16"/>
        </w:rPr>
      </w:pPr>
      <w:bookmarkStart w:name="_bookmark63" w:id="64"/>
      <w:bookmarkEnd w:id="64"/>
      <w:r>
        <w:rPr/>
      </w:r>
      <w:r>
        <w:rPr>
          <w:sz w:val="16"/>
          <w:vertAlign w:val="superscript"/>
        </w:rPr>
        <w:t>43</w:t>
      </w:r>
      <w:r>
        <w:rPr>
          <w:spacing w:val="-5"/>
          <w:sz w:val="16"/>
          <w:vertAlign w:val="baseline"/>
        </w:rPr>
        <w:t> </w:t>
      </w:r>
      <w:r>
        <w:rPr>
          <w:sz w:val="16"/>
          <w:vertAlign w:val="baseline"/>
        </w:rPr>
        <w:t>Εποπτικά</w:t>
      </w:r>
      <w:r>
        <w:rPr>
          <w:spacing w:val="-5"/>
          <w:sz w:val="16"/>
          <w:vertAlign w:val="baseline"/>
        </w:rPr>
        <w:t> </w:t>
      </w:r>
      <w:r>
        <w:rPr>
          <w:sz w:val="16"/>
          <w:vertAlign w:val="baseline"/>
        </w:rPr>
        <w:t>στοιχεία</w:t>
      </w:r>
      <w:r>
        <w:rPr>
          <w:spacing w:val="-4"/>
          <w:sz w:val="16"/>
          <w:vertAlign w:val="baseline"/>
        </w:rPr>
        <w:t> </w:t>
      </w:r>
      <w:r>
        <w:rPr>
          <w:sz w:val="16"/>
          <w:vertAlign w:val="baseline"/>
        </w:rPr>
        <w:t>σε</w:t>
      </w:r>
      <w:r>
        <w:rPr>
          <w:spacing w:val="-5"/>
          <w:sz w:val="16"/>
          <w:vertAlign w:val="baseline"/>
        </w:rPr>
        <w:t> </w:t>
      </w:r>
      <w:r>
        <w:rPr>
          <w:sz w:val="16"/>
          <w:vertAlign w:val="baseline"/>
        </w:rPr>
        <w:t>ενοποιημένη</w:t>
      </w:r>
      <w:r>
        <w:rPr>
          <w:spacing w:val="-6"/>
          <w:sz w:val="16"/>
          <w:vertAlign w:val="baseline"/>
        </w:rPr>
        <w:t> </w:t>
      </w:r>
      <w:r>
        <w:rPr>
          <w:sz w:val="16"/>
          <w:vertAlign w:val="baseline"/>
        </w:rPr>
        <w:t>βάση</w:t>
      </w:r>
      <w:r>
        <w:rPr>
          <w:spacing w:val="-3"/>
          <w:sz w:val="16"/>
          <w:vertAlign w:val="baseline"/>
        </w:rPr>
        <w:t> </w:t>
      </w:r>
      <w:r>
        <w:rPr>
          <w:sz w:val="16"/>
          <w:vertAlign w:val="baseline"/>
        </w:rPr>
        <w:t>με</w:t>
      </w:r>
      <w:r>
        <w:rPr>
          <w:spacing w:val="-5"/>
          <w:sz w:val="16"/>
          <w:vertAlign w:val="baseline"/>
        </w:rPr>
        <w:t> </w:t>
      </w:r>
      <w:r>
        <w:rPr>
          <w:sz w:val="16"/>
          <w:vertAlign w:val="baseline"/>
        </w:rPr>
        <w:t>ημερομηνία</w:t>
      </w:r>
      <w:r>
        <w:rPr>
          <w:spacing w:val="-7"/>
          <w:sz w:val="16"/>
          <w:vertAlign w:val="baseline"/>
        </w:rPr>
        <w:t> </w:t>
      </w:r>
      <w:r>
        <w:rPr>
          <w:sz w:val="16"/>
          <w:vertAlign w:val="baseline"/>
        </w:rPr>
        <w:t>αναφοράς</w:t>
      </w:r>
      <w:r>
        <w:rPr>
          <w:spacing w:val="-5"/>
          <w:sz w:val="16"/>
          <w:vertAlign w:val="baseline"/>
        </w:rPr>
        <w:t> </w:t>
      </w:r>
      <w:r>
        <w:rPr>
          <w:spacing w:val="-2"/>
          <w:sz w:val="16"/>
          <w:vertAlign w:val="baseline"/>
        </w:rPr>
        <w:t>31.12.2025.</w:t>
      </w:r>
    </w:p>
    <w:p>
      <w:pPr>
        <w:spacing w:before="20"/>
        <w:ind w:left="172" w:right="954" w:firstLine="0"/>
        <w:jc w:val="both"/>
        <w:rPr>
          <w:sz w:val="16"/>
        </w:rPr>
      </w:pPr>
      <w:bookmarkStart w:name="_bookmark64" w:id="65"/>
      <w:bookmarkEnd w:id="65"/>
      <w:r>
        <w:rPr/>
      </w:r>
      <w:r>
        <w:rPr>
          <w:sz w:val="16"/>
          <w:vertAlign w:val="superscript"/>
        </w:rPr>
        <w:t>44</w:t>
      </w:r>
      <w:r>
        <w:rPr>
          <w:spacing w:val="-10"/>
          <w:sz w:val="16"/>
          <w:vertAlign w:val="baseline"/>
        </w:rPr>
        <w:t> </w:t>
      </w:r>
      <w:r>
        <w:rPr>
          <w:sz w:val="16"/>
          <w:vertAlign w:val="baseline"/>
        </w:rPr>
        <w:t>Με</w:t>
      </w:r>
      <w:r>
        <w:rPr>
          <w:spacing w:val="-10"/>
          <w:sz w:val="16"/>
          <w:vertAlign w:val="baseline"/>
        </w:rPr>
        <w:t> </w:t>
      </w:r>
      <w:r>
        <w:rPr>
          <w:sz w:val="16"/>
          <w:vertAlign w:val="baseline"/>
        </w:rPr>
        <w:t>βάση</w:t>
      </w:r>
      <w:r>
        <w:rPr>
          <w:spacing w:val="-10"/>
          <w:sz w:val="16"/>
          <w:vertAlign w:val="baseline"/>
        </w:rPr>
        <w:t> </w:t>
      </w:r>
      <w:r>
        <w:rPr>
          <w:sz w:val="16"/>
          <w:vertAlign w:val="baseline"/>
        </w:rPr>
        <w:t>το</w:t>
      </w:r>
      <w:r>
        <w:rPr>
          <w:spacing w:val="-10"/>
          <w:sz w:val="16"/>
          <w:vertAlign w:val="baseline"/>
        </w:rPr>
        <w:t> </w:t>
      </w:r>
      <w:r>
        <w:rPr>
          <w:sz w:val="16"/>
          <w:vertAlign w:val="baseline"/>
        </w:rPr>
        <w:t>ΔΠΧΑ</w:t>
      </w:r>
      <w:r>
        <w:rPr>
          <w:spacing w:val="-10"/>
          <w:sz w:val="16"/>
          <w:vertAlign w:val="baseline"/>
        </w:rPr>
        <w:t> </w:t>
      </w:r>
      <w:r>
        <w:rPr>
          <w:sz w:val="16"/>
          <w:vertAlign w:val="baseline"/>
        </w:rPr>
        <w:t>9,</w:t>
      </w:r>
      <w:r>
        <w:rPr>
          <w:spacing w:val="-10"/>
          <w:sz w:val="16"/>
          <w:vertAlign w:val="baseline"/>
        </w:rPr>
        <w:t> </w:t>
      </w:r>
      <w:r>
        <w:rPr>
          <w:sz w:val="16"/>
          <w:vertAlign w:val="baseline"/>
        </w:rPr>
        <w:t>τα</w:t>
      </w:r>
      <w:r>
        <w:rPr>
          <w:spacing w:val="-10"/>
          <w:sz w:val="16"/>
          <w:vertAlign w:val="baseline"/>
        </w:rPr>
        <w:t> </w:t>
      </w:r>
      <w:r>
        <w:rPr>
          <w:sz w:val="16"/>
          <w:vertAlign w:val="baseline"/>
        </w:rPr>
        <w:t>περιουσιακά</w:t>
      </w:r>
      <w:r>
        <w:rPr>
          <w:spacing w:val="-10"/>
          <w:sz w:val="16"/>
          <w:vertAlign w:val="baseline"/>
        </w:rPr>
        <w:t> </w:t>
      </w:r>
      <w:r>
        <w:rPr>
          <w:sz w:val="16"/>
          <w:vertAlign w:val="baseline"/>
        </w:rPr>
        <w:t>στοιχεία</w:t>
      </w:r>
      <w:r>
        <w:rPr>
          <w:spacing w:val="-10"/>
          <w:sz w:val="16"/>
          <w:vertAlign w:val="baseline"/>
        </w:rPr>
        <w:t> </w:t>
      </w:r>
      <w:r>
        <w:rPr>
          <w:sz w:val="16"/>
          <w:vertAlign w:val="baseline"/>
        </w:rPr>
        <w:t>που</w:t>
      </w:r>
      <w:r>
        <w:rPr>
          <w:spacing w:val="-10"/>
          <w:sz w:val="16"/>
          <w:vertAlign w:val="baseline"/>
        </w:rPr>
        <w:t> </w:t>
      </w:r>
      <w:r>
        <w:rPr>
          <w:sz w:val="16"/>
          <w:vertAlign w:val="baseline"/>
        </w:rPr>
        <w:t>έχουν</w:t>
      </w:r>
      <w:r>
        <w:rPr>
          <w:spacing w:val="-10"/>
          <w:sz w:val="16"/>
          <w:vertAlign w:val="baseline"/>
        </w:rPr>
        <w:t> </w:t>
      </w:r>
      <w:r>
        <w:rPr>
          <w:sz w:val="16"/>
          <w:vertAlign w:val="baseline"/>
        </w:rPr>
        <w:t>κατηγοριοποιηθεί</w:t>
      </w:r>
      <w:r>
        <w:rPr>
          <w:spacing w:val="-10"/>
          <w:sz w:val="16"/>
          <w:vertAlign w:val="baseline"/>
        </w:rPr>
        <w:t> </w:t>
      </w:r>
      <w:r>
        <w:rPr>
          <w:sz w:val="16"/>
          <w:vertAlign w:val="baseline"/>
        </w:rPr>
        <w:t>στα</w:t>
      </w:r>
      <w:r>
        <w:rPr>
          <w:spacing w:val="-10"/>
          <w:sz w:val="16"/>
          <w:vertAlign w:val="baseline"/>
        </w:rPr>
        <w:t> </w:t>
      </w:r>
      <w:r>
        <w:rPr>
          <w:sz w:val="16"/>
          <w:vertAlign w:val="baseline"/>
        </w:rPr>
        <w:t>παρακάτω</w:t>
      </w:r>
      <w:r>
        <w:rPr>
          <w:spacing w:val="-10"/>
          <w:sz w:val="16"/>
          <w:vertAlign w:val="baseline"/>
        </w:rPr>
        <w:t> </w:t>
      </w:r>
      <w:r>
        <w:rPr>
          <w:sz w:val="16"/>
          <w:vertAlign w:val="baseline"/>
        </w:rPr>
        <w:t>χαρτοφυλάκια</w:t>
      </w:r>
      <w:r>
        <w:rPr>
          <w:spacing w:val="-10"/>
          <w:sz w:val="16"/>
          <w:vertAlign w:val="baseline"/>
        </w:rPr>
        <w:t> </w:t>
      </w:r>
      <w:r>
        <w:rPr>
          <w:sz w:val="16"/>
          <w:vertAlign w:val="baseline"/>
        </w:rPr>
        <w:t>αποτιμώνται</w:t>
      </w:r>
      <w:r>
        <w:rPr>
          <w:spacing w:val="-10"/>
          <w:sz w:val="16"/>
          <w:vertAlign w:val="baseline"/>
        </w:rPr>
        <w:t> </w:t>
      </w:r>
      <w:r>
        <w:rPr>
          <w:sz w:val="16"/>
          <w:vertAlign w:val="baseline"/>
        </w:rPr>
        <w:t>στην</w:t>
      </w:r>
      <w:r>
        <w:rPr>
          <w:spacing w:val="-10"/>
          <w:sz w:val="16"/>
          <w:vertAlign w:val="baseline"/>
        </w:rPr>
        <w:t> </w:t>
      </w:r>
      <w:r>
        <w:rPr>
          <w:sz w:val="16"/>
          <w:vertAlign w:val="baseline"/>
        </w:rPr>
        <w:t>εύλογη</w:t>
      </w:r>
      <w:r>
        <w:rPr>
          <w:spacing w:val="40"/>
          <w:sz w:val="16"/>
          <w:vertAlign w:val="baseline"/>
        </w:rPr>
        <w:t> </w:t>
      </w:r>
      <w:r>
        <w:rPr>
          <w:sz w:val="16"/>
          <w:vertAlign w:val="baseline"/>
        </w:rPr>
        <w:t>αξία (fair value): χαρτοφυλάκιο συναλλαγών (Held For Trading – HFT), χαρτοφυλάκιο χρηματοοικονομικών περιουσιακών στοι-χείων αποτιμώμενων στην εύλογη αξία μέσω των αποτελεσμάτων (Fair Value Through Profit and Loss – FVTPL), χαρτοφυλάκιο</w:t>
      </w:r>
      <w:r>
        <w:rPr>
          <w:spacing w:val="40"/>
          <w:sz w:val="16"/>
          <w:vertAlign w:val="baseline"/>
        </w:rPr>
        <w:t> </w:t>
      </w:r>
      <w:r>
        <w:rPr>
          <w:sz w:val="16"/>
          <w:vertAlign w:val="baseline"/>
        </w:rPr>
        <w:t>θέσεων υποχρεωτικά αποτιμώμενων στην εύλογη αξία μέσω των αποτελεσμάτων (Mandatorily Through Fair Value – MΤFV) και</w:t>
      </w:r>
      <w:r>
        <w:rPr>
          <w:spacing w:val="40"/>
          <w:sz w:val="16"/>
          <w:vertAlign w:val="baseline"/>
        </w:rPr>
        <w:t> </w:t>
      </w:r>
      <w:r>
        <w:rPr>
          <w:sz w:val="16"/>
          <w:vertAlign w:val="baseline"/>
        </w:rPr>
        <w:t>χαρτοφυλάκιο χρηματοοικονομικών μέσων αποτιμώμενων στην εύλογη αξία μέσω</w:t>
      </w:r>
      <w:r>
        <w:rPr>
          <w:spacing w:val="-2"/>
          <w:sz w:val="16"/>
          <w:vertAlign w:val="baseline"/>
        </w:rPr>
        <w:t> </w:t>
      </w:r>
      <w:r>
        <w:rPr>
          <w:sz w:val="16"/>
          <w:vertAlign w:val="baseline"/>
        </w:rPr>
        <w:t>λοιπών συνολικών εσόδων (Fair Value Through</w:t>
      </w:r>
      <w:r>
        <w:rPr>
          <w:spacing w:val="40"/>
          <w:sz w:val="16"/>
          <w:vertAlign w:val="baseline"/>
        </w:rPr>
        <w:t> </w:t>
      </w:r>
      <w:r>
        <w:rPr>
          <w:sz w:val="16"/>
          <w:vertAlign w:val="baseline"/>
        </w:rPr>
        <w:t>Other Comprehensive Income – FVTOCI).</w:t>
      </w:r>
    </w:p>
    <w:p>
      <w:pPr>
        <w:spacing w:after="0"/>
        <w:jc w:val="both"/>
        <w:rPr>
          <w:sz w:val="16"/>
        </w:rPr>
        <w:sectPr>
          <w:type w:val="continuous"/>
          <w:pgSz w:w="11910" w:h="16850"/>
          <w:pgMar w:header="0" w:footer="1108" w:top="1320" w:bottom="280" w:left="1417" w:right="850"/>
        </w:sectPr>
      </w:pPr>
    </w:p>
    <w:p>
      <w:pPr>
        <w:pStyle w:val="BodyText"/>
        <w:spacing w:line="285" w:lineRule="auto" w:before="72"/>
        <w:ind w:left="172" w:right="1062"/>
        <w:jc w:val="both"/>
      </w:pPr>
      <w:r>
        <w:rPr/>
        <mc:AlternateContent>
          <mc:Choice Requires="wps">
            <w:drawing>
              <wp:anchor distT="0" distB="0" distL="0" distR="0" allowOverlap="1" layoutInCell="1" locked="0" behindDoc="1" simplePos="0" relativeHeight="487629312">
                <wp:simplePos x="0" y="0"/>
                <wp:positionH relativeFrom="page">
                  <wp:posOffset>1032052</wp:posOffset>
                </wp:positionH>
                <wp:positionV relativeFrom="paragraph">
                  <wp:posOffset>1418589</wp:posOffset>
                </wp:positionV>
                <wp:extent cx="5400675" cy="207645"/>
                <wp:effectExtent l="0" t="0" r="0" b="0"/>
                <wp:wrapTopAndBottom/>
                <wp:docPr id="453" name="Textbox 453"/>
                <wp:cNvGraphicFramePr>
                  <a:graphicFrameLocks/>
                </wp:cNvGraphicFramePr>
                <a:graphic>
                  <a:graphicData uri="http://schemas.microsoft.com/office/word/2010/wordprocessingShape">
                    <wps:wsp>
                      <wps:cNvPr id="453" name="Textbox 453"/>
                      <wps:cNvSpPr txBox="1"/>
                      <wps:spPr>
                        <a:xfrm>
                          <a:off x="0" y="0"/>
                          <a:ext cx="5400675" cy="207645"/>
                        </a:xfrm>
                        <a:prstGeom prst="rect">
                          <a:avLst/>
                        </a:prstGeom>
                        <a:solidFill>
                          <a:srgbClr val="1F487C"/>
                        </a:solidFill>
                      </wps:spPr>
                      <wps:txbx>
                        <w:txbxContent>
                          <w:p>
                            <w:pPr>
                              <w:spacing w:before="60"/>
                              <w:ind w:left="112" w:right="0" w:firstLine="0"/>
                              <w:jc w:val="left"/>
                              <w:rPr>
                                <w:b/>
                                <w:color w:val="000000"/>
                                <w:sz w:val="18"/>
                              </w:rPr>
                            </w:pPr>
                            <w:r>
                              <w:rPr>
                                <w:b/>
                                <w:color w:val="FFFFFF"/>
                                <w:spacing w:val="-6"/>
                                <w:sz w:val="18"/>
                              </w:rPr>
                              <w:t>Πίνακας</w:t>
                            </w:r>
                            <w:r>
                              <w:rPr>
                                <w:b/>
                                <w:color w:val="FFFFFF"/>
                                <w:spacing w:val="14"/>
                                <w:sz w:val="18"/>
                              </w:rPr>
                              <w:t> </w:t>
                            </w:r>
                            <w:r>
                              <w:rPr>
                                <w:b/>
                                <w:color w:val="FFFFFF"/>
                                <w:spacing w:val="-6"/>
                                <w:sz w:val="18"/>
                              </w:rPr>
                              <w:t>III.4</w:t>
                            </w:r>
                            <w:r>
                              <w:rPr>
                                <w:b/>
                                <w:color w:val="FFFFFF"/>
                                <w:spacing w:val="11"/>
                                <w:sz w:val="18"/>
                              </w:rPr>
                              <w:t> </w:t>
                            </w:r>
                            <w:r>
                              <w:rPr>
                                <w:b/>
                                <w:color w:val="FFFFFF"/>
                                <w:spacing w:val="-6"/>
                                <w:sz w:val="18"/>
                              </w:rPr>
                              <w:t>Δ</w:t>
                            </w:r>
                            <w:r>
                              <w:rPr>
                                <w:b/>
                                <w:smallCaps/>
                                <w:color w:val="FFFFFF"/>
                                <w:spacing w:val="-6"/>
                                <w:sz w:val="18"/>
                              </w:rPr>
                              <w:t>ι</w:t>
                            </w:r>
                            <w:r>
                              <w:rPr>
                                <w:b/>
                                <w:smallCaps w:val="0"/>
                                <w:color w:val="FFFFFF"/>
                                <w:spacing w:val="-6"/>
                                <w:sz w:val="18"/>
                              </w:rPr>
                              <w:t>άρθρωση</w:t>
                            </w:r>
                            <w:r>
                              <w:rPr>
                                <w:b/>
                                <w:smallCaps w:val="0"/>
                                <w:color w:val="FFFFFF"/>
                                <w:spacing w:val="4"/>
                                <w:sz w:val="18"/>
                              </w:rPr>
                              <w:t> </w:t>
                            </w:r>
                            <w:r>
                              <w:rPr>
                                <w:b/>
                                <w:smallCaps w:val="0"/>
                                <w:color w:val="FFFFFF"/>
                                <w:spacing w:val="-6"/>
                                <w:sz w:val="18"/>
                              </w:rPr>
                              <w:t>χρηματοο</w:t>
                            </w:r>
                            <w:r>
                              <w:rPr>
                                <w:b/>
                                <w:smallCaps/>
                                <w:color w:val="FFFFFF"/>
                                <w:spacing w:val="-6"/>
                                <w:sz w:val="18"/>
                              </w:rPr>
                              <w:t>ι</w:t>
                            </w:r>
                            <w:r>
                              <w:rPr>
                                <w:b/>
                                <w:smallCaps w:val="0"/>
                                <w:color w:val="FFFFFF"/>
                                <w:spacing w:val="-6"/>
                                <w:sz w:val="18"/>
                              </w:rPr>
                              <w:t>κονομ</w:t>
                            </w:r>
                            <w:r>
                              <w:rPr>
                                <w:b/>
                                <w:smallCaps/>
                                <w:color w:val="FFFFFF"/>
                                <w:spacing w:val="-6"/>
                                <w:sz w:val="18"/>
                              </w:rPr>
                              <w:t>ι</w:t>
                            </w:r>
                            <w:r>
                              <w:rPr>
                                <w:b/>
                                <w:smallCaps w:val="0"/>
                                <w:color w:val="FFFFFF"/>
                                <w:spacing w:val="-6"/>
                                <w:sz w:val="18"/>
                              </w:rPr>
                              <w:t>κών</w:t>
                            </w:r>
                            <w:r>
                              <w:rPr>
                                <w:b/>
                                <w:smallCaps w:val="0"/>
                                <w:color w:val="FFFFFF"/>
                                <w:spacing w:val="6"/>
                                <w:sz w:val="18"/>
                              </w:rPr>
                              <w:t> </w:t>
                            </w:r>
                            <w:r>
                              <w:rPr>
                                <w:b/>
                                <w:smallCaps w:val="0"/>
                                <w:color w:val="FFFFFF"/>
                                <w:spacing w:val="-6"/>
                                <w:sz w:val="18"/>
                              </w:rPr>
                              <w:t>επενδύσεων</w:t>
                            </w:r>
                          </w:p>
                        </w:txbxContent>
                      </wps:txbx>
                      <wps:bodyPr wrap="square" lIns="0" tIns="0" rIns="0" bIns="0" rtlCol="0">
                        <a:noAutofit/>
                      </wps:bodyPr>
                    </wps:wsp>
                  </a:graphicData>
                </a:graphic>
              </wp:anchor>
            </w:drawing>
          </mc:Choice>
          <mc:Fallback>
            <w:pict>
              <v:shape style="position:absolute;margin-left:81.264pt;margin-top:111.699997pt;width:425.25pt;height:16.3500pt;mso-position-horizontal-relative:page;mso-position-vertical-relative:paragraph;z-index:-15687168;mso-wrap-distance-left:0;mso-wrap-distance-right:0" type="#_x0000_t202" id="docshape425" filled="true" fillcolor="#1f487c" stroked="false">
                <v:textbox inset="0,0,0,0">
                  <w:txbxContent>
                    <w:p>
                      <w:pPr>
                        <w:spacing w:before="60"/>
                        <w:ind w:left="112" w:right="0" w:firstLine="0"/>
                        <w:jc w:val="left"/>
                        <w:rPr>
                          <w:b/>
                          <w:color w:val="000000"/>
                          <w:sz w:val="18"/>
                        </w:rPr>
                      </w:pPr>
                      <w:r>
                        <w:rPr>
                          <w:b/>
                          <w:color w:val="FFFFFF"/>
                          <w:spacing w:val="-6"/>
                          <w:sz w:val="18"/>
                        </w:rPr>
                        <w:t>Πίνακας</w:t>
                      </w:r>
                      <w:r>
                        <w:rPr>
                          <w:b/>
                          <w:color w:val="FFFFFF"/>
                          <w:spacing w:val="14"/>
                          <w:sz w:val="18"/>
                        </w:rPr>
                        <w:t> </w:t>
                      </w:r>
                      <w:r>
                        <w:rPr>
                          <w:b/>
                          <w:color w:val="FFFFFF"/>
                          <w:spacing w:val="-6"/>
                          <w:sz w:val="18"/>
                        </w:rPr>
                        <w:t>III.4</w:t>
                      </w:r>
                      <w:r>
                        <w:rPr>
                          <w:b/>
                          <w:color w:val="FFFFFF"/>
                          <w:spacing w:val="11"/>
                          <w:sz w:val="18"/>
                        </w:rPr>
                        <w:t> </w:t>
                      </w:r>
                      <w:r>
                        <w:rPr>
                          <w:b/>
                          <w:color w:val="FFFFFF"/>
                          <w:spacing w:val="-6"/>
                          <w:sz w:val="18"/>
                        </w:rPr>
                        <w:t>Δ</w:t>
                      </w:r>
                      <w:r>
                        <w:rPr>
                          <w:b/>
                          <w:smallCaps/>
                          <w:color w:val="FFFFFF"/>
                          <w:spacing w:val="-6"/>
                          <w:sz w:val="18"/>
                        </w:rPr>
                        <w:t>ι</w:t>
                      </w:r>
                      <w:r>
                        <w:rPr>
                          <w:b/>
                          <w:smallCaps w:val="0"/>
                          <w:color w:val="FFFFFF"/>
                          <w:spacing w:val="-6"/>
                          <w:sz w:val="18"/>
                        </w:rPr>
                        <w:t>άρθρωση</w:t>
                      </w:r>
                      <w:r>
                        <w:rPr>
                          <w:b/>
                          <w:smallCaps w:val="0"/>
                          <w:color w:val="FFFFFF"/>
                          <w:spacing w:val="4"/>
                          <w:sz w:val="18"/>
                        </w:rPr>
                        <w:t> </w:t>
                      </w:r>
                      <w:r>
                        <w:rPr>
                          <w:b/>
                          <w:smallCaps w:val="0"/>
                          <w:color w:val="FFFFFF"/>
                          <w:spacing w:val="-6"/>
                          <w:sz w:val="18"/>
                        </w:rPr>
                        <w:t>χρηματοο</w:t>
                      </w:r>
                      <w:r>
                        <w:rPr>
                          <w:b/>
                          <w:smallCaps/>
                          <w:color w:val="FFFFFF"/>
                          <w:spacing w:val="-6"/>
                          <w:sz w:val="18"/>
                        </w:rPr>
                        <w:t>ι</w:t>
                      </w:r>
                      <w:r>
                        <w:rPr>
                          <w:b/>
                          <w:smallCaps w:val="0"/>
                          <w:color w:val="FFFFFF"/>
                          <w:spacing w:val="-6"/>
                          <w:sz w:val="18"/>
                        </w:rPr>
                        <w:t>κονομ</w:t>
                      </w:r>
                      <w:r>
                        <w:rPr>
                          <w:b/>
                          <w:smallCaps/>
                          <w:color w:val="FFFFFF"/>
                          <w:spacing w:val="-6"/>
                          <w:sz w:val="18"/>
                        </w:rPr>
                        <w:t>ι</w:t>
                      </w:r>
                      <w:r>
                        <w:rPr>
                          <w:b/>
                          <w:smallCaps w:val="0"/>
                          <w:color w:val="FFFFFF"/>
                          <w:spacing w:val="-6"/>
                          <w:sz w:val="18"/>
                        </w:rPr>
                        <w:t>κών</w:t>
                      </w:r>
                      <w:r>
                        <w:rPr>
                          <w:b/>
                          <w:smallCaps w:val="0"/>
                          <w:color w:val="FFFFFF"/>
                          <w:spacing w:val="6"/>
                          <w:sz w:val="18"/>
                        </w:rPr>
                        <w:t> </w:t>
                      </w:r>
                      <w:r>
                        <w:rPr>
                          <w:b/>
                          <w:smallCaps w:val="0"/>
                          <w:color w:val="FFFFFF"/>
                          <w:spacing w:val="-6"/>
                          <w:sz w:val="18"/>
                        </w:rPr>
                        <w:t>επενδύσεων</w:t>
                      </w:r>
                    </w:p>
                  </w:txbxContent>
                </v:textbox>
                <v:fill type="solid"/>
                <w10:wrap type="topAndBottom"/>
              </v:shape>
            </w:pict>
          </mc:Fallback>
        </mc:AlternateContent>
      </w:r>
      <w:r>
        <w:rPr/>
        <w:t>ψους 27,2 εκατ. ευρώ τον Δεκέμβριο του 2025, έναντι ζημίας ύψους 29,6 εκατ. ευρώ τον Δε-κέμβριο του 2024. Εντούτοις, θα πρέπει να σημειωθεί ότι η επίπτωση στα αποτελέσματα ή τα κεφάλαια</w:t>
      </w:r>
      <w:r>
        <w:rPr>
          <w:spacing w:val="-12"/>
        </w:rPr>
        <w:t> </w:t>
      </w:r>
      <w:r>
        <w:rPr/>
        <w:t>των</w:t>
      </w:r>
      <w:r>
        <w:rPr>
          <w:spacing w:val="-11"/>
        </w:rPr>
        <w:t> </w:t>
      </w:r>
      <w:r>
        <w:rPr/>
        <w:t>τραπεζών</w:t>
      </w:r>
      <w:r>
        <w:rPr>
          <w:spacing w:val="-11"/>
        </w:rPr>
        <w:t> </w:t>
      </w:r>
      <w:r>
        <w:rPr/>
        <w:t>θα</w:t>
      </w:r>
      <w:r>
        <w:rPr>
          <w:spacing w:val="-12"/>
        </w:rPr>
        <w:t> </w:t>
      </w:r>
      <w:r>
        <w:rPr/>
        <w:t>περιοριζόταν</w:t>
      </w:r>
      <w:r>
        <w:rPr>
          <w:spacing w:val="-9"/>
        </w:rPr>
        <w:t> </w:t>
      </w:r>
      <w:r>
        <w:rPr/>
        <w:t>σε</w:t>
      </w:r>
      <w:r>
        <w:rPr>
          <w:spacing w:val="-11"/>
        </w:rPr>
        <w:t> </w:t>
      </w:r>
      <w:r>
        <w:rPr/>
        <w:t>ζημία</w:t>
      </w:r>
      <w:r>
        <w:rPr>
          <w:spacing w:val="-12"/>
        </w:rPr>
        <w:t> </w:t>
      </w:r>
      <w:r>
        <w:rPr/>
        <w:t>ύψους</w:t>
      </w:r>
      <w:r>
        <w:rPr>
          <w:spacing w:val="-10"/>
        </w:rPr>
        <w:t> </w:t>
      </w:r>
      <w:r>
        <w:rPr/>
        <w:t>1,9</w:t>
      </w:r>
      <w:r>
        <w:rPr>
          <w:spacing w:val="-12"/>
        </w:rPr>
        <w:t> </w:t>
      </w:r>
      <w:r>
        <w:rPr/>
        <w:t>εκατ.</w:t>
      </w:r>
      <w:r>
        <w:rPr>
          <w:spacing w:val="-12"/>
        </w:rPr>
        <w:t> </w:t>
      </w:r>
      <w:r>
        <w:rPr/>
        <w:t>ευρώ,</w:t>
      </w:r>
      <w:r>
        <w:rPr>
          <w:spacing w:val="-11"/>
        </w:rPr>
        <w:t> </w:t>
      </w:r>
      <w:r>
        <w:rPr/>
        <w:t>σε</w:t>
      </w:r>
      <w:r>
        <w:rPr>
          <w:spacing w:val="-11"/>
        </w:rPr>
        <w:t> </w:t>
      </w:r>
      <w:r>
        <w:rPr/>
        <w:t>καθεμία</w:t>
      </w:r>
      <w:r>
        <w:rPr>
          <w:spacing w:val="-9"/>
        </w:rPr>
        <w:t> </w:t>
      </w:r>
      <w:r>
        <w:rPr/>
        <w:t>περίπτωση για</w:t>
      </w:r>
      <w:r>
        <w:rPr>
          <w:spacing w:val="-4"/>
        </w:rPr>
        <w:t> </w:t>
      </w:r>
      <w:r>
        <w:rPr/>
        <w:t>τις</w:t>
      </w:r>
      <w:r>
        <w:rPr>
          <w:spacing w:val="-2"/>
        </w:rPr>
        <w:t> </w:t>
      </w:r>
      <w:r>
        <w:rPr/>
        <w:t>προαναφερθείσες</w:t>
      </w:r>
      <w:r>
        <w:rPr>
          <w:spacing w:val="-3"/>
        </w:rPr>
        <w:t> </w:t>
      </w:r>
      <w:r>
        <w:rPr/>
        <w:t>μεταβολές</w:t>
      </w:r>
      <w:r>
        <w:rPr>
          <w:spacing w:val="-3"/>
        </w:rPr>
        <w:t> </w:t>
      </w:r>
      <w:r>
        <w:rPr/>
        <w:t>επιτοκίων</w:t>
      </w:r>
      <w:r>
        <w:rPr>
          <w:spacing w:val="-2"/>
        </w:rPr>
        <w:t> </w:t>
      </w:r>
      <w:r>
        <w:rPr/>
        <w:t>(PV01</w:t>
      </w:r>
      <w:r>
        <w:rPr>
          <w:spacing w:val="-4"/>
        </w:rPr>
        <w:t> </w:t>
      </w:r>
      <w:r>
        <w:rPr/>
        <w:t>και</w:t>
      </w:r>
      <w:r>
        <w:rPr>
          <w:spacing w:val="-1"/>
        </w:rPr>
        <w:t> </w:t>
      </w:r>
      <w:r>
        <w:rPr/>
        <w:t>CS01),</w:t>
      </w:r>
      <w:r>
        <w:rPr>
          <w:spacing w:val="-2"/>
        </w:rPr>
        <w:t> </w:t>
      </w:r>
      <w:r>
        <w:rPr/>
        <w:t>που</w:t>
      </w:r>
      <w:r>
        <w:rPr>
          <w:spacing w:val="-1"/>
        </w:rPr>
        <w:t> </w:t>
      </w:r>
      <w:r>
        <w:rPr/>
        <w:t>αφορά</w:t>
      </w:r>
      <w:r>
        <w:rPr>
          <w:spacing w:val="-2"/>
        </w:rPr>
        <w:t> </w:t>
      </w:r>
      <w:r>
        <w:rPr/>
        <w:t>τίτλους</w:t>
      </w:r>
      <w:r>
        <w:rPr>
          <w:spacing w:val="-2"/>
        </w:rPr>
        <w:t> </w:t>
      </w:r>
      <w:r>
        <w:rPr/>
        <w:t>του Ελλη-νικού</w:t>
      </w:r>
      <w:r>
        <w:rPr>
          <w:spacing w:val="-4"/>
        </w:rPr>
        <w:t> </w:t>
      </w:r>
      <w:r>
        <w:rPr/>
        <w:t>Δημοσίου</w:t>
      </w:r>
      <w:r>
        <w:rPr>
          <w:spacing w:val="-3"/>
        </w:rPr>
        <w:t> </w:t>
      </w:r>
      <w:r>
        <w:rPr/>
        <w:t>οι</w:t>
      </w:r>
      <w:r>
        <w:rPr>
          <w:spacing w:val="-4"/>
        </w:rPr>
        <w:t> </w:t>
      </w:r>
      <w:r>
        <w:rPr/>
        <w:t>οποίοι</w:t>
      </w:r>
      <w:r>
        <w:rPr>
          <w:spacing w:val="-4"/>
        </w:rPr>
        <w:t> </w:t>
      </w:r>
      <w:r>
        <w:rPr/>
        <w:t>αποτιμώνται</w:t>
      </w:r>
      <w:r>
        <w:rPr>
          <w:spacing w:val="-5"/>
        </w:rPr>
        <w:t> </w:t>
      </w:r>
      <w:r>
        <w:rPr/>
        <w:t>στην</w:t>
      </w:r>
      <w:r>
        <w:rPr>
          <w:spacing w:val="-4"/>
        </w:rPr>
        <w:t> </w:t>
      </w:r>
      <w:r>
        <w:rPr/>
        <w:t>εύλογη</w:t>
      </w:r>
      <w:r>
        <w:rPr>
          <w:spacing w:val="-5"/>
        </w:rPr>
        <w:t> </w:t>
      </w:r>
      <w:r>
        <w:rPr/>
        <w:t>αξία</w:t>
      </w:r>
      <w:r>
        <w:rPr>
          <w:spacing w:val="-4"/>
        </w:rPr>
        <w:t> </w:t>
      </w:r>
      <w:r>
        <w:rPr/>
        <w:t>(Fair</w:t>
      </w:r>
      <w:r>
        <w:rPr>
          <w:spacing w:val="-4"/>
        </w:rPr>
        <w:t> </w:t>
      </w:r>
      <w:r>
        <w:rPr/>
        <w:t>value</w:t>
      </w:r>
      <w:r>
        <w:rPr>
          <w:spacing w:val="-4"/>
        </w:rPr>
        <w:t> </w:t>
      </w:r>
      <w:r>
        <w:rPr/>
        <w:t>through</w:t>
      </w:r>
      <w:r>
        <w:rPr>
          <w:spacing w:val="-5"/>
        </w:rPr>
        <w:t> </w:t>
      </w:r>
      <w:r>
        <w:rPr/>
        <w:t>Profit</w:t>
      </w:r>
      <w:r>
        <w:rPr>
          <w:spacing w:val="-4"/>
        </w:rPr>
        <w:t> </w:t>
      </w:r>
      <w:r>
        <w:rPr/>
        <w:t>and</w:t>
      </w:r>
      <w:r>
        <w:rPr>
          <w:spacing w:val="-4"/>
        </w:rPr>
        <w:t> </w:t>
      </w:r>
      <w:r>
        <w:rPr/>
        <w:t>Loss</w:t>
      </w:r>
      <w:r>
        <w:rPr>
          <w:spacing w:val="-4"/>
        </w:rPr>
        <w:t> </w:t>
      </w:r>
      <w:r>
        <w:rPr/>
        <w:t>or through</w:t>
      </w:r>
      <w:r>
        <w:rPr>
          <w:spacing w:val="-1"/>
        </w:rPr>
        <w:t> </w:t>
      </w:r>
      <w:r>
        <w:rPr/>
        <w:t>Other Comprehensive</w:t>
      </w:r>
      <w:r>
        <w:rPr>
          <w:spacing w:val="-1"/>
        </w:rPr>
        <w:t> </w:t>
      </w:r>
      <w:r>
        <w:rPr/>
        <w:t>Income</w:t>
      </w:r>
      <w:r>
        <w:rPr>
          <w:spacing w:val="-3"/>
        </w:rPr>
        <w:t> </w:t>
      </w:r>
      <w:r>
        <w:rPr/>
        <w:t>(OCI)) και</w:t>
      </w:r>
      <w:r>
        <w:rPr>
          <w:spacing w:val="-1"/>
        </w:rPr>
        <w:t> </w:t>
      </w:r>
      <w:r>
        <w:rPr/>
        <w:t>των</w:t>
      </w:r>
      <w:r>
        <w:rPr>
          <w:spacing w:val="-2"/>
        </w:rPr>
        <w:t> </w:t>
      </w:r>
      <w:r>
        <w:rPr/>
        <w:t>οποίων η</w:t>
      </w:r>
      <w:r>
        <w:rPr>
          <w:spacing w:val="-1"/>
        </w:rPr>
        <w:t> </w:t>
      </w:r>
      <w:r>
        <w:rPr/>
        <w:t>μεταβολή</w:t>
      </w:r>
      <w:r>
        <w:rPr>
          <w:spacing w:val="-3"/>
        </w:rPr>
        <w:t> </w:t>
      </w:r>
      <w:r>
        <w:rPr/>
        <w:t>αξίας</w:t>
      </w:r>
      <w:r>
        <w:rPr>
          <w:spacing w:val="-2"/>
        </w:rPr>
        <w:t> </w:t>
      </w:r>
      <w:r>
        <w:rPr/>
        <w:t>αποτυπώνεται άμεσα στα κεφάλαια ή τα κέρδη χρήσης.</w:t>
      </w:r>
    </w:p>
    <w:p>
      <w:pPr>
        <w:spacing w:before="119"/>
        <w:ind w:left="265" w:right="0" w:firstLine="0"/>
        <w:jc w:val="both"/>
        <w:rPr>
          <w:sz w:val="14"/>
        </w:rPr>
      </w:pPr>
      <w:r>
        <w:rPr>
          <w:color w:val="1F487C"/>
          <w:sz w:val="14"/>
        </w:rPr>
        <w:t>(εκατ.</w:t>
      </w:r>
      <w:r>
        <w:rPr>
          <w:color w:val="1F487C"/>
          <w:spacing w:val="-5"/>
          <w:sz w:val="14"/>
        </w:rPr>
        <w:t> </w:t>
      </w:r>
      <w:r>
        <w:rPr>
          <w:color w:val="1F487C"/>
          <w:spacing w:val="-2"/>
          <w:sz w:val="14"/>
        </w:rPr>
        <w:t>ευρώ)</w:t>
      </w:r>
    </w:p>
    <w:p>
      <w:pPr>
        <w:pStyle w:val="BodyText"/>
        <w:spacing w:before="6"/>
        <w:rPr>
          <w:sz w:val="6"/>
        </w:rPr>
      </w:pPr>
    </w:p>
    <w:tbl>
      <w:tblPr>
        <w:tblW w:w="0" w:type="auto"/>
        <w:jc w:val="left"/>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7"/>
        <w:gridCol w:w="901"/>
        <w:gridCol w:w="929"/>
        <w:gridCol w:w="948"/>
        <w:gridCol w:w="812"/>
        <w:gridCol w:w="1227"/>
      </w:tblGrid>
      <w:tr>
        <w:trPr>
          <w:trHeight w:val="624" w:hRule="atLeast"/>
        </w:trPr>
        <w:tc>
          <w:tcPr>
            <w:tcW w:w="3687" w:type="dxa"/>
            <w:shd w:val="clear" w:color="auto" w:fill="BEBEBE"/>
          </w:tcPr>
          <w:p>
            <w:pPr>
              <w:pStyle w:val="TableParagraph"/>
              <w:rPr>
                <w:sz w:val="18"/>
              </w:rPr>
            </w:pPr>
          </w:p>
        </w:tc>
        <w:tc>
          <w:tcPr>
            <w:tcW w:w="901" w:type="dxa"/>
            <w:shd w:val="clear" w:color="auto" w:fill="BEBEBE"/>
          </w:tcPr>
          <w:p>
            <w:pPr>
              <w:pStyle w:val="TableParagraph"/>
              <w:spacing w:before="1"/>
              <w:rPr>
                <w:sz w:val="18"/>
              </w:rPr>
            </w:pPr>
          </w:p>
          <w:p>
            <w:pPr>
              <w:pStyle w:val="TableParagraph"/>
              <w:ind w:right="195"/>
              <w:jc w:val="right"/>
              <w:rPr>
                <w:b/>
                <w:sz w:val="18"/>
              </w:rPr>
            </w:pPr>
            <w:r>
              <w:rPr>
                <w:b/>
                <w:color w:val="1F477B"/>
                <w:spacing w:val="-4"/>
                <w:sz w:val="18"/>
              </w:rPr>
              <w:t>2022</w:t>
            </w:r>
          </w:p>
        </w:tc>
        <w:tc>
          <w:tcPr>
            <w:tcW w:w="929" w:type="dxa"/>
            <w:shd w:val="clear" w:color="auto" w:fill="BEBEBE"/>
          </w:tcPr>
          <w:p>
            <w:pPr>
              <w:pStyle w:val="TableParagraph"/>
              <w:spacing w:before="1"/>
              <w:rPr>
                <w:sz w:val="18"/>
              </w:rPr>
            </w:pPr>
          </w:p>
          <w:p>
            <w:pPr>
              <w:pStyle w:val="TableParagraph"/>
              <w:ind w:right="236"/>
              <w:jc w:val="right"/>
              <w:rPr>
                <w:b/>
                <w:sz w:val="18"/>
              </w:rPr>
            </w:pPr>
            <w:r>
              <w:rPr>
                <w:b/>
                <w:color w:val="1F477B"/>
                <w:spacing w:val="-4"/>
                <w:sz w:val="18"/>
              </w:rPr>
              <w:t>2023</w:t>
            </w:r>
          </w:p>
        </w:tc>
        <w:tc>
          <w:tcPr>
            <w:tcW w:w="948" w:type="dxa"/>
            <w:shd w:val="clear" w:color="auto" w:fill="BEBEBE"/>
          </w:tcPr>
          <w:p>
            <w:pPr>
              <w:pStyle w:val="TableParagraph"/>
              <w:spacing w:before="1"/>
              <w:rPr>
                <w:sz w:val="18"/>
              </w:rPr>
            </w:pPr>
          </w:p>
          <w:p>
            <w:pPr>
              <w:pStyle w:val="TableParagraph"/>
              <w:ind w:right="214"/>
              <w:jc w:val="right"/>
              <w:rPr>
                <w:b/>
                <w:sz w:val="18"/>
              </w:rPr>
            </w:pPr>
            <w:r>
              <w:rPr>
                <w:b/>
                <w:color w:val="1F477B"/>
                <w:spacing w:val="-4"/>
                <w:sz w:val="18"/>
              </w:rPr>
              <w:t>2024</w:t>
            </w:r>
          </w:p>
        </w:tc>
        <w:tc>
          <w:tcPr>
            <w:tcW w:w="812" w:type="dxa"/>
            <w:shd w:val="clear" w:color="auto" w:fill="BEBEBE"/>
          </w:tcPr>
          <w:p>
            <w:pPr>
              <w:pStyle w:val="TableParagraph"/>
              <w:spacing w:before="1"/>
              <w:rPr>
                <w:sz w:val="18"/>
              </w:rPr>
            </w:pPr>
          </w:p>
          <w:p>
            <w:pPr>
              <w:pStyle w:val="TableParagraph"/>
              <w:ind w:right="100"/>
              <w:jc w:val="right"/>
              <w:rPr>
                <w:b/>
                <w:sz w:val="18"/>
              </w:rPr>
            </w:pPr>
            <w:r>
              <w:rPr>
                <w:b/>
                <w:color w:val="1F477B"/>
                <w:spacing w:val="-4"/>
                <w:sz w:val="18"/>
              </w:rPr>
              <w:t>2025</w:t>
            </w:r>
          </w:p>
        </w:tc>
        <w:tc>
          <w:tcPr>
            <w:tcW w:w="1227" w:type="dxa"/>
            <w:shd w:val="clear" w:color="auto" w:fill="BEBEBE"/>
          </w:tcPr>
          <w:p>
            <w:pPr>
              <w:pStyle w:val="TableParagraph"/>
              <w:spacing w:before="105"/>
              <w:ind w:left="346" w:right="-15" w:hanging="248"/>
              <w:rPr>
                <w:b/>
                <w:sz w:val="18"/>
              </w:rPr>
            </w:pPr>
            <w:r>
              <w:rPr>
                <w:b/>
                <w:color w:val="1F477B"/>
                <w:spacing w:val="-2"/>
                <w:sz w:val="18"/>
              </w:rPr>
              <w:t>Μεταβολή</w:t>
            </w:r>
            <w:r>
              <w:rPr>
                <w:b/>
                <w:color w:val="1F477B"/>
                <w:spacing w:val="-10"/>
                <w:sz w:val="18"/>
              </w:rPr>
              <w:t> </w:t>
            </w:r>
            <w:r>
              <w:rPr>
                <w:b/>
                <w:color w:val="1F477B"/>
                <w:spacing w:val="-2"/>
                <w:sz w:val="18"/>
              </w:rPr>
              <w:t>(%) </w:t>
            </w:r>
            <w:r>
              <w:rPr>
                <w:b/>
                <w:color w:val="1F477B"/>
                <w:sz w:val="18"/>
              </w:rPr>
              <w:t>2024</w:t>
            </w:r>
            <w:r>
              <w:rPr>
                <w:b/>
                <w:color w:val="1F477B"/>
                <w:spacing w:val="-5"/>
                <w:sz w:val="18"/>
              </w:rPr>
              <w:t> </w:t>
            </w:r>
            <w:r>
              <w:rPr>
                <w:b/>
                <w:color w:val="1F477B"/>
                <w:sz w:val="18"/>
              </w:rPr>
              <w:t>–</w:t>
            </w:r>
            <w:r>
              <w:rPr>
                <w:b/>
                <w:color w:val="1F477B"/>
                <w:spacing w:val="-3"/>
                <w:sz w:val="18"/>
              </w:rPr>
              <w:t> </w:t>
            </w:r>
            <w:r>
              <w:rPr>
                <w:b/>
                <w:color w:val="1F477B"/>
                <w:spacing w:val="-4"/>
                <w:sz w:val="18"/>
              </w:rPr>
              <w:t>2025</w:t>
            </w:r>
          </w:p>
        </w:tc>
      </w:tr>
      <w:tr>
        <w:trPr>
          <w:trHeight w:val="396" w:hRule="atLeast"/>
        </w:trPr>
        <w:tc>
          <w:tcPr>
            <w:tcW w:w="3687" w:type="dxa"/>
            <w:shd w:val="clear" w:color="auto" w:fill="D9D9D9"/>
          </w:tcPr>
          <w:p>
            <w:pPr>
              <w:pStyle w:val="TableParagraph"/>
              <w:spacing w:before="36"/>
              <w:ind w:left="108"/>
              <w:rPr>
                <w:b/>
                <w:sz w:val="18"/>
              </w:rPr>
            </w:pPr>
            <w:r>
              <w:rPr>
                <w:b/>
                <w:color w:val="1F477B"/>
                <w:sz w:val="18"/>
              </w:rPr>
              <w:t>Γεν</w:t>
            </w:r>
            <w:r>
              <w:rPr>
                <w:b/>
                <w:smallCaps/>
                <w:color w:val="1F477B"/>
                <w:sz w:val="18"/>
              </w:rPr>
              <w:t>ι</w:t>
            </w:r>
            <w:r>
              <w:rPr>
                <w:b/>
                <w:smallCaps w:val="0"/>
                <w:color w:val="1F477B"/>
                <w:sz w:val="18"/>
              </w:rPr>
              <w:t>κό</w:t>
            </w:r>
            <w:r>
              <w:rPr>
                <w:b/>
                <w:smallCaps w:val="0"/>
                <w:color w:val="1F477B"/>
                <w:spacing w:val="-6"/>
                <w:sz w:val="18"/>
              </w:rPr>
              <w:t> </w:t>
            </w:r>
            <w:r>
              <w:rPr>
                <w:b/>
                <w:smallCaps w:val="0"/>
                <w:color w:val="1F477B"/>
                <w:spacing w:val="-2"/>
                <w:sz w:val="18"/>
              </w:rPr>
              <w:t>σύνολο</w:t>
            </w:r>
          </w:p>
        </w:tc>
        <w:tc>
          <w:tcPr>
            <w:tcW w:w="901" w:type="dxa"/>
            <w:shd w:val="clear" w:color="auto" w:fill="D9D9D9"/>
          </w:tcPr>
          <w:p>
            <w:pPr>
              <w:pStyle w:val="TableParagraph"/>
              <w:spacing w:before="36"/>
              <w:ind w:right="194"/>
              <w:jc w:val="right"/>
              <w:rPr>
                <w:b/>
                <w:sz w:val="18"/>
              </w:rPr>
            </w:pPr>
            <w:r>
              <w:rPr>
                <w:b/>
                <w:color w:val="1F477B"/>
                <w:spacing w:val="-2"/>
                <w:sz w:val="18"/>
              </w:rPr>
              <w:t>56.030</w:t>
            </w:r>
          </w:p>
        </w:tc>
        <w:tc>
          <w:tcPr>
            <w:tcW w:w="929" w:type="dxa"/>
            <w:shd w:val="clear" w:color="auto" w:fill="D9D9D9"/>
          </w:tcPr>
          <w:p>
            <w:pPr>
              <w:pStyle w:val="TableParagraph"/>
              <w:spacing w:before="36"/>
              <w:ind w:right="235"/>
              <w:jc w:val="right"/>
              <w:rPr>
                <w:b/>
                <w:sz w:val="18"/>
              </w:rPr>
            </w:pPr>
            <w:r>
              <w:rPr>
                <w:b/>
                <w:color w:val="1F477B"/>
                <w:spacing w:val="-2"/>
                <w:sz w:val="18"/>
              </w:rPr>
              <w:t>66.768</w:t>
            </w:r>
          </w:p>
        </w:tc>
        <w:tc>
          <w:tcPr>
            <w:tcW w:w="948" w:type="dxa"/>
            <w:shd w:val="clear" w:color="auto" w:fill="D9D9D9"/>
          </w:tcPr>
          <w:p>
            <w:pPr>
              <w:pStyle w:val="TableParagraph"/>
              <w:spacing w:before="36"/>
              <w:ind w:right="213"/>
              <w:jc w:val="right"/>
              <w:rPr>
                <w:b/>
                <w:sz w:val="18"/>
              </w:rPr>
            </w:pPr>
            <w:r>
              <w:rPr>
                <w:b/>
                <w:color w:val="1F477B"/>
                <w:spacing w:val="-2"/>
                <w:sz w:val="18"/>
              </w:rPr>
              <w:t>82.780</w:t>
            </w:r>
          </w:p>
        </w:tc>
        <w:tc>
          <w:tcPr>
            <w:tcW w:w="812" w:type="dxa"/>
            <w:shd w:val="clear" w:color="auto" w:fill="D9D9D9"/>
          </w:tcPr>
          <w:p>
            <w:pPr>
              <w:pStyle w:val="TableParagraph"/>
              <w:spacing w:before="36"/>
              <w:ind w:right="99"/>
              <w:jc w:val="right"/>
              <w:rPr>
                <w:b/>
                <w:sz w:val="18"/>
              </w:rPr>
            </w:pPr>
            <w:r>
              <w:rPr>
                <w:b/>
                <w:color w:val="1F477B"/>
                <w:spacing w:val="-2"/>
                <w:sz w:val="18"/>
              </w:rPr>
              <w:t>91.003</w:t>
            </w:r>
          </w:p>
        </w:tc>
        <w:tc>
          <w:tcPr>
            <w:tcW w:w="1227" w:type="dxa"/>
            <w:shd w:val="clear" w:color="auto" w:fill="D9D9D9"/>
          </w:tcPr>
          <w:p>
            <w:pPr>
              <w:pStyle w:val="TableParagraph"/>
              <w:spacing w:before="36"/>
              <w:ind w:left="266"/>
              <w:jc w:val="center"/>
              <w:rPr>
                <w:b/>
                <w:sz w:val="18"/>
              </w:rPr>
            </w:pPr>
            <w:r>
              <w:rPr>
                <w:b/>
                <w:color w:val="1F477B"/>
                <w:spacing w:val="-4"/>
                <w:sz w:val="18"/>
              </w:rPr>
              <w:t>9,9%</w:t>
            </w:r>
          </w:p>
        </w:tc>
      </w:tr>
      <w:tr>
        <w:trPr>
          <w:trHeight w:val="283" w:hRule="atLeast"/>
        </w:trPr>
        <w:tc>
          <w:tcPr>
            <w:tcW w:w="3687" w:type="dxa"/>
            <w:shd w:val="clear" w:color="auto" w:fill="BEBEBE"/>
          </w:tcPr>
          <w:p>
            <w:pPr>
              <w:pStyle w:val="TableParagraph"/>
              <w:spacing w:before="2"/>
              <w:ind w:left="108"/>
              <w:rPr>
                <w:sz w:val="18"/>
              </w:rPr>
            </w:pPr>
            <w:r>
              <w:rPr>
                <w:sz w:val="18"/>
              </w:rPr>
              <w:t>Τίτλοι</w:t>
            </w:r>
            <w:r>
              <w:rPr>
                <w:spacing w:val="-2"/>
                <w:sz w:val="18"/>
              </w:rPr>
              <w:t> </w:t>
            </w:r>
            <w:r>
              <w:rPr>
                <w:sz w:val="18"/>
              </w:rPr>
              <w:t>εκδόσεως</w:t>
            </w:r>
            <w:r>
              <w:rPr>
                <w:spacing w:val="-1"/>
                <w:sz w:val="18"/>
              </w:rPr>
              <w:t> </w:t>
            </w:r>
            <w:r>
              <w:rPr>
                <w:sz w:val="18"/>
              </w:rPr>
              <w:t>του</w:t>
            </w:r>
            <w:r>
              <w:rPr>
                <w:spacing w:val="-2"/>
                <w:sz w:val="18"/>
              </w:rPr>
              <w:t> </w:t>
            </w:r>
            <w:r>
              <w:rPr>
                <w:sz w:val="18"/>
              </w:rPr>
              <w:t>Ελληνικού</w:t>
            </w:r>
            <w:r>
              <w:rPr>
                <w:spacing w:val="-4"/>
                <w:sz w:val="18"/>
              </w:rPr>
              <w:t> </w:t>
            </w:r>
            <w:r>
              <w:rPr>
                <w:spacing w:val="-2"/>
                <w:sz w:val="18"/>
              </w:rPr>
              <w:t>Δημοσίου</w:t>
            </w:r>
          </w:p>
        </w:tc>
        <w:tc>
          <w:tcPr>
            <w:tcW w:w="901" w:type="dxa"/>
            <w:shd w:val="clear" w:color="auto" w:fill="BEBEBE"/>
          </w:tcPr>
          <w:p>
            <w:pPr>
              <w:pStyle w:val="TableParagraph"/>
              <w:spacing w:before="2"/>
              <w:ind w:right="197"/>
              <w:jc w:val="right"/>
              <w:rPr>
                <w:sz w:val="18"/>
              </w:rPr>
            </w:pPr>
            <w:r>
              <w:rPr>
                <w:spacing w:val="-2"/>
                <w:sz w:val="18"/>
              </w:rPr>
              <w:t>28.503</w:t>
            </w:r>
          </w:p>
        </w:tc>
        <w:tc>
          <w:tcPr>
            <w:tcW w:w="929" w:type="dxa"/>
            <w:shd w:val="clear" w:color="auto" w:fill="BEBEBE"/>
          </w:tcPr>
          <w:p>
            <w:pPr>
              <w:pStyle w:val="TableParagraph"/>
              <w:spacing w:before="2"/>
              <w:ind w:right="238"/>
              <w:jc w:val="right"/>
              <w:rPr>
                <w:sz w:val="18"/>
              </w:rPr>
            </w:pPr>
            <w:r>
              <w:rPr>
                <w:spacing w:val="-2"/>
                <w:sz w:val="18"/>
              </w:rPr>
              <w:t>32.562</w:t>
            </w:r>
          </w:p>
        </w:tc>
        <w:tc>
          <w:tcPr>
            <w:tcW w:w="948" w:type="dxa"/>
            <w:shd w:val="clear" w:color="auto" w:fill="BEBEBE"/>
          </w:tcPr>
          <w:p>
            <w:pPr>
              <w:pStyle w:val="TableParagraph"/>
              <w:spacing w:before="2"/>
              <w:ind w:right="216"/>
              <w:jc w:val="right"/>
              <w:rPr>
                <w:sz w:val="18"/>
              </w:rPr>
            </w:pPr>
            <w:r>
              <w:rPr>
                <w:spacing w:val="-2"/>
                <w:sz w:val="18"/>
              </w:rPr>
              <w:t>34.393</w:t>
            </w:r>
          </w:p>
        </w:tc>
        <w:tc>
          <w:tcPr>
            <w:tcW w:w="812" w:type="dxa"/>
            <w:shd w:val="clear" w:color="auto" w:fill="BEBEBE"/>
          </w:tcPr>
          <w:p>
            <w:pPr>
              <w:pStyle w:val="TableParagraph"/>
              <w:spacing w:before="2"/>
              <w:ind w:right="102"/>
              <w:jc w:val="right"/>
              <w:rPr>
                <w:sz w:val="18"/>
              </w:rPr>
            </w:pPr>
            <w:r>
              <w:rPr>
                <w:spacing w:val="-2"/>
                <w:sz w:val="18"/>
              </w:rPr>
              <w:t>34.305</w:t>
            </w:r>
          </w:p>
        </w:tc>
        <w:tc>
          <w:tcPr>
            <w:tcW w:w="1227" w:type="dxa"/>
            <w:shd w:val="clear" w:color="auto" w:fill="BEBEBE"/>
          </w:tcPr>
          <w:p>
            <w:pPr>
              <w:pStyle w:val="TableParagraph"/>
              <w:spacing w:before="2"/>
              <w:ind w:left="223"/>
              <w:jc w:val="center"/>
              <w:rPr>
                <w:sz w:val="18"/>
              </w:rPr>
            </w:pPr>
            <w:r>
              <w:rPr>
                <w:sz w:val="18"/>
              </w:rPr>
              <w:t>-</w:t>
            </w:r>
            <w:r>
              <w:rPr>
                <w:spacing w:val="-4"/>
                <w:sz w:val="18"/>
              </w:rPr>
              <w:t>0,3%</w:t>
            </w:r>
          </w:p>
        </w:tc>
      </w:tr>
      <w:tr>
        <w:trPr>
          <w:trHeight w:val="304" w:hRule="atLeast"/>
        </w:trPr>
        <w:tc>
          <w:tcPr>
            <w:tcW w:w="3687" w:type="dxa"/>
            <w:shd w:val="clear" w:color="auto" w:fill="D9D9D9"/>
          </w:tcPr>
          <w:p>
            <w:pPr>
              <w:pStyle w:val="TableParagraph"/>
              <w:spacing w:before="2"/>
              <w:ind w:left="388"/>
              <w:rPr>
                <w:i/>
                <w:sz w:val="18"/>
              </w:rPr>
            </w:pPr>
            <w:r>
              <w:rPr>
                <w:i/>
                <w:sz w:val="18"/>
              </w:rPr>
              <w:t>εκ των οποίων:</w:t>
            </w:r>
            <w:r>
              <w:rPr>
                <w:i/>
                <w:spacing w:val="-2"/>
                <w:sz w:val="18"/>
              </w:rPr>
              <w:t> ΕΓΕΔ*</w:t>
            </w:r>
          </w:p>
        </w:tc>
        <w:tc>
          <w:tcPr>
            <w:tcW w:w="901" w:type="dxa"/>
            <w:shd w:val="clear" w:color="auto" w:fill="D9D9D9"/>
          </w:tcPr>
          <w:p>
            <w:pPr>
              <w:pStyle w:val="TableParagraph"/>
              <w:spacing w:before="2"/>
              <w:ind w:right="197"/>
              <w:jc w:val="right"/>
              <w:rPr>
                <w:i/>
                <w:sz w:val="18"/>
              </w:rPr>
            </w:pPr>
            <w:r>
              <w:rPr>
                <w:i/>
                <w:spacing w:val="-2"/>
                <w:sz w:val="18"/>
              </w:rPr>
              <w:t>2.632</w:t>
            </w:r>
          </w:p>
        </w:tc>
        <w:tc>
          <w:tcPr>
            <w:tcW w:w="929" w:type="dxa"/>
            <w:shd w:val="clear" w:color="auto" w:fill="D9D9D9"/>
          </w:tcPr>
          <w:p>
            <w:pPr>
              <w:pStyle w:val="TableParagraph"/>
              <w:spacing w:before="2"/>
              <w:ind w:right="238"/>
              <w:jc w:val="right"/>
              <w:rPr>
                <w:i/>
                <w:sz w:val="18"/>
              </w:rPr>
            </w:pPr>
            <w:r>
              <w:rPr>
                <w:i/>
                <w:spacing w:val="-2"/>
                <w:sz w:val="18"/>
              </w:rPr>
              <w:t>3.031</w:t>
            </w:r>
          </w:p>
        </w:tc>
        <w:tc>
          <w:tcPr>
            <w:tcW w:w="948" w:type="dxa"/>
            <w:shd w:val="clear" w:color="auto" w:fill="D9D9D9"/>
          </w:tcPr>
          <w:p>
            <w:pPr>
              <w:pStyle w:val="TableParagraph"/>
              <w:spacing w:before="2"/>
              <w:ind w:right="216"/>
              <w:jc w:val="right"/>
              <w:rPr>
                <w:i/>
                <w:sz w:val="18"/>
              </w:rPr>
            </w:pPr>
            <w:r>
              <w:rPr>
                <w:i/>
                <w:spacing w:val="-2"/>
                <w:sz w:val="18"/>
              </w:rPr>
              <w:t>1.588</w:t>
            </w:r>
          </w:p>
        </w:tc>
        <w:tc>
          <w:tcPr>
            <w:tcW w:w="812" w:type="dxa"/>
            <w:shd w:val="clear" w:color="auto" w:fill="D9D9D9"/>
          </w:tcPr>
          <w:p>
            <w:pPr>
              <w:pStyle w:val="TableParagraph"/>
              <w:spacing w:before="2"/>
              <w:ind w:right="102"/>
              <w:jc w:val="right"/>
              <w:rPr>
                <w:i/>
                <w:sz w:val="18"/>
              </w:rPr>
            </w:pPr>
            <w:r>
              <w:rPr>
                <w:i/>
                <w:spacing w:val="-2"/>
                <w:sz w:val="18"/>
              </w:rPr>
              <w:t>1.805</w:t>
            </w:r>
          </w:p>
        </w:tc>
        <w:tc>
          <w:tcPr>
            <w:tcW w:w="1227" w:type="dxa"/>
            <w:shd w:val="clear" w:color="auto" w:fill="D9D9D9"/>
          </w:tcPr>
          <w:p>
            <w:pPr>
              <w:pStyle w:val="TableParagraph"/>
              <w:spacing w:before="2"/>
              <w:ind w:left="192"/>
              <w:jc w:val="center"/>
              <w:rPr>
                <w:i/>
                <w:sz w:val="18"/>
              </w:rPr>
            </w:pPr>
            <w:r>
              <w:rPr>
                <w:i/>
                <w:spacing w:val="-2"/>
                <w:sz w:val="18"/>
              </w:rPr>
              <w:t>13,7%</w:t>
            </w:r>
          </w:p>
        </w:tc>
      </w:tr>
      <w:tr>
        <w:trPr>
          <w:trHeight w:val="453" w:hRule="atLeast"/>
        </w:trPr>
        <w:tc>
          <w:tcPr>
            <w:tcW w:w="3687" w:type="dxa"/>
            <w:shd w:val="clear" w:color="auto" w:fill="BEBEBE"/>
          </w:tcPr>
          <w:p>
            <w:pPr>
              <w:pStyle w:val="TableParagraph"/>
              <w:ind w:left="108" w:right="204"/>
              <w:rPr>
                <w:sz w:val="18"/>
              </w:rPr>
            </w:pPr>
            <w:r>
              <w:rPr>
                <w:sz w:val="18"/>
              </w:rPr>
              <w:t>Κρατικά</w:t>
            </w:r>
            <w:r>
              <w:rPr>
                <w:spacing w:val="-8"/>
                <w:sz w:val="18"/>
              </w:rPr>
              <w:t> </w:t>
            </w:r>
            <w:r>
              <w:rPr>
                <w:sz w:val="18"/>
              </w:rPr>
              <w:t>ομόλογα</w:t>
            </w:r>
            <w:r>
              <w:rPr>
                <w:spacing w:val="-9"/>
                <w:sz w:val="18"/>
              </w:rPr>
              <w:t> </w:t>
            </w:r>
            <w:r>
              <w:rPr>
                <w:sz w:val="18"/>
              </w:rPr>
              <w:t>λοιπών</w:t>
            </w:r>
            <w:r>
              <w:rPr>
                <w:spacing w:val="-8"/>
                <w:sz w:val="18"/>
              </w:rPr>
              <w:t> </w:t>
            </w:r>
            <w:r>
              <w:rPr>
                <w:sz w:val="18"/>
              </w:rPr>
              <w:t>χωρών</w:t>
            </w:r>
            <w:r>
              <w:rPr>
                <w:spacing w:val="-8"/>
                <w:sz w:val="18"/>
              </w:rPr>
              <w:t> </w:t>
            </w:r>
            <w:r>
              <w:rPr>
                <w:sz w:val="18"/>
              </w:rPr>
              <w:t>(εκτός</w:t>
            </w:r>
            <w:r>
              <w:rPr>
                <w:spacing w:val="-10"/>
                <w:sz w:val="18"/>
              </w:rPr>
              <w:t> </w:t>
            </w:r>
            <w:r>
              <w:rPr>
                <w:sz w:val="18"/>
              </w:rPr>
              <w:t>Ελλά-</w:t>
            </w:r>
            <w:r>
              <w:rPr>
                <w:spacing w:val="-4"/>
                <w:sz w:val="18"/>
              </w:rPr>
              <w:t>δος)</w:t>
            </w:r>
          </w:p>
        </w:tc>
        <w:tc>
          <w:tcPr>
            <w:tcW w:w="901" w:type="dxa"/>
            <w:shd w:val="clear" w:color="auto" w:fill="BEBEBE"/>
          </w:tcPr>
          <w:p>
            <w:pPr>
              <w:pStyle w:val="TableParagraph"/>
              <w:spacing w:before="122"/>
              <w:ind w:right="197"/>
              <w:jc w:val="right"/>
              <w:rPr>
                <w:sz w:val="18"/>
              </w:rPr>
            </w:pPr>
            <w:r>
              <w:rPr>
                <w:spacing w:val="-2"/>
                <w:sz w:val="18"/>
              </w:rPr>
              <w:t>15.240</w:t>
            </w:r>
          </w:p>
        </w:tc>
        <w:tc>
          <w:tcPr>
            <w:tcW w:w="929" w:type="dxa"/>
            <w:shd w:val="clear" w:color="auto" w:fill="BEBEBE"/>
          </w:tcPr>
          <w:p>
            <w:pPr>
              <w:pStyle w:val="TableParagraph"/>
              <w:spacing w:before="122"/>
              <w:ind w:right="238"/>
              <w:jc w:val="right"/>
              <w:rPr>
                <w:sz w:val="18"/>
              </w:rPr>
            </w:pPr>
            <w:r>
              <w:rPr>
                <w:spacing w:val="-2"/>
                <w:sz w:val="18"/>
              </w:rPr>
              <w:t>18.160</w:t>
            </w:r>
          </w:p>
        </w:tc>
        <w:tc>
          <w:tcPr>
            <w:tcW w:w="948" w:type="dxa"/>
            <w:shd w:val="clear" w:color="auto" w:fill="BEBEBE"/>
          </w:tcPr>
          <w:p>
            <w:pPr>
              <w:pStyle w:val="TableParagraph"/>
              <w:spacing w:before="122"/>
              <w:ind w:right="216"/>
              <w:jc w:val="right"/>
              <w:rPr>
                <w:sz w:val="18"/>
              </w:rPr>
            </w:pPr>
            <w:r>
              <w:rPr>
                <w:spacing w:val="-2"/>
                <w:sz w:val="18"/>
              </w:rPr>
              <w:t>26.227</w:t>
            </w:r>
          </w:p>
        </w:tc>
        <w:tc>
          <w:tcPr>
            <w:tcW w:w="812" w:type="dxa"/>
            <w:shd w:val="clear" w:color="auto" w:fill="BEBEBE"/>
          </w:tcPr>
          <w:p>
            <w:pPr>
              <w:pStyle w:val="TableParagraph"/>
              <w:spacing w:before="206"/>
              <w:ind w:right="102"/>
              <w:jc w:val="right"/>
              <w:rPr>
                <w:sz w:val="18"/>
              </w:rPr>
            </w:pPr>
            <w:r>
              <w:rPr>
                <w:spacing w:val="-2"/>
                <w:sz w:val="18"/>
              </w:rPr>
              <w:t>32.854</w:t>
            </w:r>
          </w:p>
        </w:tc>
        <w:tc>
          <w:tcPr>
            <w:tcW w:w="1227" w:type="dxa"/>
            <w:shd w:val="clear" w:color="auto" w:fill="BEBEBE"/>
          </w:tcPr>
          <w:p>
            <w:pPr>
              <w:pStyle w:val="TableParagraph"/>
              <w:spacing w:before="122"/>
              <w:ind w:left="192"/>
              <w:jc w:val="center"/>
              <w:rPr>
                <w:sz w:val="18"/>
              </w:rPr>
            </w:pPr>
            <w:r>
              <w:rPr>
                <w:spacing w:val="-2"/>
                <w:sz w:val="18"/>
              </w:rPr>
              <w:t>25,3%</w:t>
            </w:r>
          </w:p>
        </w:tc>
      </w:tr>
      <w:tr>
        <w:trPr>
          <w:trHeight w:val="297" w:hRule="atLeast"/>
        </w:trPr>
        <w:tc>
          <w:tcPr>
            <w:tcW w:w="3687" w:type="dxa"/>
            <w:shd w:val="clear" w:color="auto" w:fill="D9D9D9"/>
          </w:tcPr>
          <w:p>
            <w:pPr>
              <w:pStyle w:val="TableParagraph"/>
              <w:ind w:left="108"/>
              <w:rPr>
                <w:sz w:val="18"/>
              </w:rPr>
            </w:pPr>
            <w:r>
              <w:rPr>
                <w:sz w:val="18"/>
              </w:rPr>
              <w:t>Ομόλογα</w:t>
            </w:r>
            <w:r>
              <w:rPr>
                <w:spacing w:val="-9"/>
                <w:sz w:val="18"/>
              </w:rPr>
              <w:t> </w:t>
            </w:r>
            <w:r>
              <w:rPr>
                <w:sz w:val="18"/>
              </w:rPr>
              <w:t>υπερεθνικών</w:t>
            </w:r>
            <w:r>
              <w:rPr>
                <w:spacing w:val="-7"/>
                <w:sz w:val="18"/>
              </w:rPr>
              <w:t> </w:t>
            </w:r>
            <w:r>
              <w:rPr>
                <w:spacing w:val="-2"/>
                <w:sz w:val="18"/>
              </w:rPr>
              <w:t>οργανισμών</w:t>
            </w:r>
          </w:p>
        </w:tc>
        <w:tc>
          <w:tcPr>
            <w:tcW w:w="901" w:type="dxa"/>
            <w:shd w:val="clear" w:color="auto" w:fill="D9D9D9"/>
          </w:tcPr>
          <w:p>
            <w:pPr>
              <w:pStyle w:val="TableParagraph"/>
              <w:ind w:right="192"/>
              <w:jc w:val="right"/>
              <w:rPr>
                <w:sz w:val="18"/>
              </w:rPr>
            </w:pPr>
            <w:r>
              <w:rPr>
                <w:spacing w:val="-5"/>
                <w:sz w:val="18"/>
              </w:rPr>
              <w:t>700</w:t>
            </w:r>
          </w:p>
        </w:tc>
        <w:tc>
          <w:tcPr>
            <w:tcW w:w="929" w:type="dxa"/>
            <w:shd w:val="clear" w:color="auto" w:fill="D9D9D9"/>
          </w:tcPr>
          <w:p>
            <w:pPr>
              <w:pStyle w:val="TableParagraph"/>
              <w:ind w:right="235"/>
              <w:jc w:val="right"/>
              <w:rPr>
                <w:sz w:val="18"/>
              </w:rPr>
            </w:pPr>
            <w:r>
              <w:rPr>
                <w:spacing w:val="-2"/>
                <w:sz w:val="18"/>
              </w:rPr>
              <w:t>1.125</w:t>
            </w:r>
          </w:p>
        </w:tc>
        <w:tc>
          <w:tcPr>
            <w:tcW w:w="948" w:type="dxa"/>
            <w:shd w:val="clear" w:color="auto" w:fill="D9D9D9"/>
          </w:tcPr>
          <w:p>
            <w:pPr>
              <w:pStyle w:val="TableParagraph"/>
              <w:ind w:right="213"/>
              <w:jc w:val="right"/>
              <w:rPr>
                <w:sz w:val="18"/>
              </w:rPr>
            </w:pPr>
            <w:r>
              <w:rPr>
                <w:spacing w:val="-2"/>
                <w:sz w:val="18"/>
              </w:rPr>
              <w:t>1.751</w:t>
            </w:r>
          </w:p>
        </w:tc>
        <w:tc>
          <w:tcPr>
            <w:tcW w:w="812" w:type="dxa"/>
            <w:shd w:val="clear" w:color="auto" w:fill="D9D9D9"/>
          </w:tcPr>
          <w:p>
            <w:pPr>
              <w:pStyle w:val="TableParagraph"/>
              <w:ind w:right="99"/>
              <w:jc w:val="right"/>
              <w:rPr>
                <w:sz w:val="18"/>
              </w:rPr>
            </w:pPr>
            <w:r>
              <w:rPr>
                <w:spacing w:val="-2"/>
                <w:sz w:val="18"/>
              </w:rPr>
              <w:t>1.781</w:t>
            </w:r>
          </w:p>
        </w:tc>
        <w:tc>
          <w:tcPr>
            <w:tcW w:w="1227" w:type="dxa"/>
            <w:shd w:val="clear" w:color="auto" w:fill="D9D9D9"/>
          </w:tcPr>
          <w:p>
            <w:pPr>
              <w:pStyle w:val="TableParagraph"/>
              <w:ind w:left="293"/>
              <w:jc w:val="center"/>
              <w:rPr>
                <w:sz w:val="18"/>
              </w:rPr>
            </w:pPr>
            <w:r>
              <w:rPr>
                <w:spacing w:val="-4"/>
                <w:sz w:val="18"/>
              </w:rPr>
              <w:t>1,7%</w:t>
            </w:r>
          </w:p>
        </w:tc>
      </w:tr>
      <w:tr>
        <w:trPr>
          <w:trHeight w:val="297" w:hRule="atLeast"/>
        </w:trPr>
        <w:tc>
          <w:tcPr>
            <w:tcW w:w="3687" w:type="dxa"/>
            <w:shd w:val="clear" w:color="auto" w:fill="BEBEBE"/>
          </w:tcPr>
          <w:p>
            <w:pPr>
              <w:pStyle w:val="TableParagraph"/>
              <w:spacing w:before="52"/>
              <w:ind w:left="108"/>
              <w:rPr>
                <w:sz w:val="18"/>
              </w:rPr>
            </w:pPr>
            <w:r>
              <w:rPr>
                <w:sz w:val="18"/>
              </w:rPr>
              <w:t>Ομόλογα</w:t>
            </w:r>
            <w:r>
              <w:rPr>
                <w:spacing w:val="-9"/>
                <w:sz w:val="18"/>
              </w:rPr>
              <w:t> </w:t>
            </w:r>
            <w:r>
              <w:rPr>
                <w:spacing w:val="-2"/>
                <w:sz w:val="18"/>
              </w:rPr>
              <w:t>τραπεζών</w:t>
            </w:r>
          </w:p>
        </w:tc>
        <w:tc>
          <w:tcPr>
            <w:tcW w:w="901" w:type="dxa"/>
            <w:shd w:val="clear" w:color="auto" w:fill="BEBEBE"/>
          </w:tcPr>
          <w:p>
            <w:pPr>
              <w:pStyle w:val="TableParagraph"/>
              <w:spacing w:before="52"/>
              <w:ind w:right="194"/>
              <w:jc w:val="right"/>
              <w:rPr>
                <w:sz w:val="18"/>
              </w:rPr>
            </w:pPr>
            <w:r>
              <w:rPr>
                <w:spacing w:val="-2"/>
                <w:sz w:val="18"/>
              </w:rPr>
              <w:t>5.283</w:t>
            </w:r>
          </w:p>
        </w:tc>
        <w:tc>
          <w:tcPr>
            <w:tcW w:w="929" w:type="dxa"/>
            <w:shd w:val="clear" w:color="auto" w:fill="BEBEBE"/>
          </w:tcPr>
          <w:p>
            <w:pPr>
              <w:pStyle w:val="TableParagraph"/>
              <w:spacing w:before="52"/>
              <w:ind w:right="235"/>
              <w:jc w:val="right"/>
              <w:rPr>
                <w:sz w:val="18"/>
              </w:rPr>
            </w:pPr>
            <w:r>
              <w:rPr>
                <w:spacing w:val="-2"/>
                <w:sz w:val="18"/>
              </w:rPr>
              <w:t>7.015</w:t>
            </w:r>
          </w:p>
        </w:tc>
        <w:tc>
          <w:tcPr>
            <w:tcW w:w="948" w:type="dxa"/>
            <w:shd w:val="clear" w:color="auto" w:fill="BEBEBE"/>
          </w:tcPr>
          <w:p>
            <w:pPr>
              <w:pStyle w:val="TableParagraph"/>
              <w:spacing w:before="52"/>
              <w:ind w:right="213"/>
              <w:jc w:val="right"/>
              <w:rPr>
                <w:sz w:val="18"/>
              </w:rPr>
            </w:pPr>
            <w:r>
              <w:rPr>
                <w:spacing w:val="-2"/>
                <w:sz w:val="18"/>
              </w:rPr>
              <w:t>8.821</w:t>
            </w:r>
          </w:p>
        </w:tc>
        <w:tc>
          <w:tcPr>
            <w:tcW w:w="812" w:type="dxa"/>
            <w:shd w:val="clear" w:color="auto" w:fill="BEBEBE"/>
          </w:tcPr>
          <w:p>
            <w:pPr>
              <w:pStyle w:val="TableParagraph"/>
              <w:spacing w:before="52"/>
              <w:ind w:right="99"/>
              <w:jc w:val="right"/>
              <w:rPr>
                <w:sz w:val="18"/>
              </w:rPr>
            </w:pPr>
            <w:r>
              <w:rPr>
                <w:spacing w:val="-2"/>
                <w:sz w:val="18"/>
              </w:rPr>
              <w:t>8.667</w:t>
            </w:r>
          </w:p>
        </w:tc>
        <w:tc>
          <w:tcPr>
            <w:tcW w:w="1227" w:type="dxa"/>
            <w:shd w:val="clear" w:color="auto" w:fill="BEBEBE"/>
          </w:tcPr>
          <w:p>
            <w:pPr>
              <w:pStyle w:val="TableParagraph"/>
              <w:spacing w:before="52"/>
              <w:ind w:left="235"/>
              <w:jc w:val="center"/>
              <w:rPr>
                <w:sz w:val="18"/>
              </w:rPr>
            </w:pPr>
            <w:r>
              <w:rPr>
                <w:spacing w:val="-3"/>
                <w:sz w:val="18"/>
              </w:rPr>
              <w:t>-</w:t>
            </w:r>
            <w:r>
              <w:rPr>
                <w:spacing w:val="-4"/>
                <w:sz w:val="18"/>
              </w:rPr>
              <w:t>1,7%</w:t>
            </w:r>
          </w:p>
        </w:tc>
      </w:tr>
      <w:tr>
        <w:trPr>
          <w:trHeight w:val="300" w:hRule="atLeast"/>
        </w:trPr>
        <w:tc>
          <w:tcPr>
            <w:tcW w:w="3687" w:type="dxa"/>
            <w:shd w:val="clear" w:color="auto" w:fill="D9D9D9"/>
          </w:tcPr>
          <w:p>
            <w:pPr>
              <w:pStyle w:val="TableParagraph"/>
              <w:spacing w:before="52"/>
              <w:ind w:left="108"/>
              <w:rPr>
                <w:sz w:val="18"/>
              </w:rPr>
            </w:pPr>
            <w:r>
              <w:rPr>
                <w:sz w:val="18"/>
              </w:rPr>
              <w:t>Εταιρικά</w:t>
            </w:r>
            <w:r>
              <w:rPr>
                <w:spacing w:val="-8"/>
                <w:sz w:val="18"/>
              </w:rPr>
              <w:t> </w:t>
            </w:r>
            <w:r>
              <w:rPr>
                <w:spacing w:val="-2"/>
                <w:sz w:val="18"/>
              </w:rPr>
              <w:t>ομόλογα</w:t>
            </w:r>
          </w:p>
        </w:tc>
        <w:tc>
          <w:tcPr>
            <w:tcW w:w="901" w:type="dxa"/>
            <w:shd w:val="clear" w:color="auto" w:fill="D9D9D9"/>
          </w:tcPr>
          <w:p>
            <w:pPr>
              <w:pStyle w:val="TableParagraph"/>
              <w:spacing w:before="52"/>
              <w:ind w:right="194"/>
              <w:jc w:val="right"/>
              <w:rPr>
                <w:sz w:val="18"/>
              </w:rPr>
            </w:pPr>
            <w:r>
              <w:rPr>
                <w:spacing w:val="-2"/>
                <w:sz w:val="18"/>
              </w:rPr>
              <w:t>3.551</w:t>
            </w:r>
          </w:p>
        </w:tc>
        <w:tc>
          <w:tcPr>
            <w:tcW w:w="929" w:type="dxa"/>
            <w:shd w:val="clear" w:color="auto" w:fill="D9D9D9"/>
          </w:tcPr>
          <w:p>
            <w:pPr>
              <w:pStyle w:val="TableParagraph"/>
              <w:spacing w:before="52"/>
              <w:ind w:right="235"/>
              <w:jc w:val="right"/>
              <w:rPr>
                <w:sz w:val="18"/>
              </w:rPr>
            </w:pPr>
            <w:r>
              <w:rPr>
                <w:spacing w:val="-2"/>
                <w:sz w:val="18"/>
              </w:rPr>
              <w:t>3.462</w:t>
            </w:r>
          </w:p>
        </w:tc>
        <w:tc>
          <w:tcPr>
            <w:tcW w:w="948" w:type="dxa"/>
            <w:shd w:val="clear" w:color="auto" w:fill="D9D9D9"/>
          </w:tcPr>
          <w:p>
            <w:pPr>
              <w:pStyle w:val="TableParagraph"/>
              <w:spacing w:before="52"/>
              <w:ind w:right="213"/>
              <w:jc w:val="right"/>
              <w:rPr>
                <w:sz w:val="18"/>
              </w:rPr>
            </w:pPr>
            <w:r>
              <w:rPr>
                <w:spacing w:val="-2"/>
                <w:sz w:val="18"/>
              </w:rPr>
              <w:t>4.673</w:t>
            </w:r>
          </w:p>
        </w:tc>
        <w:tc>
          <w:tcPr>
            <w:tcW w:w="812" w:type="dxa"/>
            <w:shd w:val="clear" w:color="auto" w:fill="D9D9D9"/>
          </w:tcPr>
          <w:p>
            <w:pPr>
              <w:pStyle w:val="TableParagraph"/>
              <w:spacing w:before="52"/>
              <w:ind w:right="99"/>
              <w:jc w:val="right"/>
              <w:rPr>
                <w:sz w:val="18"/>
              </w:rPr>
            </w:pPr>
            <w:r>
              <w:rPr>
                <w:spacing w:val="-2"/>
                <w:sz w:val="18"/>
              </w:rPr>
              <w:t>5.184</w:t>
            </w:r>
          </w:p>
        </w:tc>
        <w:tc>
          <w:tcPr>
            <w:tcW w:w="1227" w:type="dxa"/>
            <w:shd w:val="clear" w:color="auto" w:fill="D9D9D9"/>
          </w:tcPr>
          <w:p>
            <w:pPr>
              <w:pStyle w:val="TableParagraph"/>
              <w:spacing w:before="52"/>
              <w:ind w:left="204"/>
              <w:jc w:val="center"/>
              <w:rPr>
                <w:sz w:val="18"/>
              </w:rPr>
            </w:pPr>
            <w:r>
              <w:rPr>
                <w:spacing w:val="-2"/>
                <w:sz w:val="18"/>
              </w:rPr>
              <w:t>10,9%</w:t>
            </w:r>
          </w:p>
        </w:tc>
      </w:tr>
      <w:tr>
        <w:trPr>
          <w:trHeight w:val="300" w:hRule="atLeast"/>
        </w:trPr>
        <w:tc>
          <w:tcPr>
            <w:tcW w:w="3687" w:type="dxa"/>
            <w:shd w:val="clear" w:color="auto" w:fill="BEBEBE"/>
          </w:tcPr>
          <w:p>
            <w:pPr>
              <w:pStyle w:val="TableParagraph"/>
              <w:spacing w:before="52"/>
              <w:ind w:left="108"/>
              <w:rPr>
                <w:sz w:val="18"/>
              </w:rPr>
            </w:pPr>
            <w:r>
              <w:rPr>
                <w:sz w:val="18"/>
              </w:rPr>
              <w:t>Λοιπά</w:t>
            </w:r>
            <w:r>
              <w:rPr>
                <w:spacing w:val="-5"/>
                <w:sz w:val="18"/>
              </w:rPr>
              <w:t> </w:t>
            </w:r>
            <w:r>
              <w:rPr>
                <w:spacing w:val="-2"/>
                <w:sz w:val="18"/>
              </w:rPr>
              <w:t>ομόλογα</w:t>
            </w:r>
          </w:p>
        </w:tc>
        <w:tc>
          <w:tcPr>
            <w:tcW w:w="901" w:type="dxa"/>
            <w:shd w:val="clear" w:color="auto" w:fill="BEBEBE"/>
          </w:tcPr>
          <w:p>
            <w:pPr>
              <w:pStyle w:val="TableParagraph"/>
              <w:spacing w:before="52"/>
              <w:ind w:right="192"/>
              <w:jc w:val="right"/>
              <w:rPr>
                <w:sz w:val="18"/>
              </w:rPr>
            </w:pPr>
            <w:r>
              <w:rPr>
                <w:spacing w:val="-5"/>
                <w:sz w:val="18"/>
              </w:rPr>
              <w:t>121</w:t>
            </w:r>
          </w:p>
        </w:tc>
        <w:tc>
          <w:tcPr>
            <w:tcW w:w="929" w:type="dxa"/>
            <w:shd w:val="clear" w:color="auto" w:fill="BEBEBE"/>
          </w:tcPr>
          <w:p>
            <w:pPr>
              <w:pStyle w:val="TableParagraph"/>
              <w:spacing w:before="52"/>
              <w:ind w:right="232"/>
              <w:jc w:val="right"/>
              <w:rPr>
                <w:sz w:val="18"/>
              </w:rPr>
            </w:pPr>
            <w:r>
              <w:rPr>
                <w:spacing w:val="-5"/>
                <w:sz w:val="18"/>
              </w:rPr>
              <w:t>964</w:t>
            </w:r>
          </w:p>
        </w:tc>
        <w:tc>
          <w:tcPr>
            <w:tcW w:w="948" w:type="dxa"/>
            <w:shd w:val="clear" w:color="auto" w:fill="BEBEBE"/>
          </w:tcPr>
          <w:p>
            <w:pPr>
              <w:pStyle w:val="TableParagraph"/>
              <w:spacing w:before="52"/>
              <w:ind w:right="213"/>
              <w:jc w:val="right"/>
              <w:rPr>
                <w:sz w:val="18"/>
              </w:rPr>
            </w:pPr>
            <w:r>
              <w:rPr>
                <w:spacing w:val="-2"/>
                <w:sz w:val="18"/>
              </w:rPr>
              <w:t>3.180</w:t>
            </w:r>
          </w:p>
        </w:tc>
        <w:tc>
          <w:tcPr>
            <w:tcW w:w="812" w:type="dxa"/>
            <w:shd w:val="clear" w:color="auto" w:fill="BEBEBE"/>
          </w:tcPr>
          <w:p>
            <w:pPr>
              <w:pStyle w:val="TableParagraph"/>
              <w:spacing w:before="52"/>
              <w:ind w:right="99"/>
              <w:jc w:val="right"/>
              <w:rPr>
                <w:sz w:val="18"/>
              </w:rPr>
            </w:pPr>
            <w:r>
              <w:rPr>
                <w:spacing w:val="-2"/>
                <w:sz w:val="18"/>
              </w:rPr>
              <w:t>3.123</w:t>
            </w:r>
          </w:p>
        </w:tc>
        <w:tc>
          <w:tcPr>
            <w:tcW w:w="1227" w:type="dxa"/>
            <w:shd w:val="clear" w:color="auto" w:fill="BEBEBE"/>
          </w:tcPr>
          <w:p>
            <w:pPr>
              <w:pStyle w:val="TableParagraph"/>
              <w:spacing w:before="52"/>
              <w:ind w:left="235"/>
              <w:jc w:val="center"/>
              <w:rPr>
                <w:sz w:val="18"/>
              </w:rPr>
            </w:pPr>
            <w:r>
              <w:rPr>
                <w:spacing w:val="-3"/>
                <w:sz w:val="18"/>
              </w:rPr>
              <w:t>-</w:t>
            </w:r>
            <w:r>
              <w:rPr>
                <w:spacing w:val="-4"/>
                <w:sz w:val="18"/>
              </w:rPr>
              <w:t>1,8%</w:t>
            </w:r>
          </w:p>
        </w:tc>
      </w:tr>
      <w:tr>
        <w:trPr>
          <w:trHeight w:val="297" w:hRule="atLeast"/>
        </w:trPr>
        <w:tc>
          <w:tcPr>
            <w:tcW w:w="3687" w:type="dxa"/>
            <w:shd w:val="clear" w:color="auto" w:fill="D9D9D9"/>
          </w:tcPr>
          <w:p>
            <w:pPr>
              <w:pStyle w:val="TableParagraph"/>
              <w:spacing w:before="52"/>
              <w:ind w:left="108"/>
              <w:rPr>
                <w:sz w:val="18"/>
              </w:rPr>
            </w:pPr>
            <w:r>
              <w:rPr>
                <w:spacing w:val="-2"/>
                <w:sz w:val="18"/>
              </w:rPr>
              <w:t>Μετοχές</w:t>
            </w:r>
          </w:p>
        </w:tc>
        <w:tc>
          <w:tcPr>
            <w:tcW w:w="901" w:type="dxa"/>
            <w:shd w:val="clear" w:color="auto" w:fill="D9D9D9"/>
          </w:tcPr>
          <w:p>
            <w:pPr>
              <w:pStyle w:val="TableParagraph"/>
              <w:spacing w:before="52"/>
              <w:ind w:right="192"/>
              <w:jc w:val="right"/>
              <w:rPr>
                <w:sz w:val="18"/>
              </w:rPr>
            </w:pPr>
            <w:r>
              <w:rPr>
                <w:spacing w:val="-5"/>
                <w:sz w:val="18"/>
              </w:rPr>
              <w:t>694</w:t>
            </w:r>
          </w:p>
        </w:tc>
        <w:tc>
          <w:tcPr>
            <w:tcW w:w="929" w:type="dxa"/>
            <w:shd w:val="clear" w:color="auto" w:fill="D9D9D9"/>
          </w:tcPr>
          <w:p>
            <w:pPr>
              <w:pStyle w:val="TableParagraph"/>
              <w:spacing w:before="52"/>
              <w:ind w:right="232"/>
              <w:jc w:val="right"/>
              <w:rPr>
                <w:sz w:val="18"/>
              </w:rPr>
            </w:pPr>
            <w:r>
              <w:rPr>
                <w:spacing w:val="-5"/>
                <w:sz w:val="18"/>
              </w:rPr>
              <w:t>822</w:t>
            </w:r>
          </w:p>
        </w:tc>
        <w:tc>
          <w:tcPr>
            <w:tcW w:w="948" w:type="dxa"/>
            <w:shd w:val="clear" w:color="auto" w:fill="D9D9D9"/>
          </w:tcPr>
          <w:p>
            <w:pPr>
              <w:pStyle w:val="TableParagraph"/>
              <w:spacing w:before="52"/>
              <w:ind w:right="217"/>
              <w:jc w:val="right"/>
              <w:rPr>
                <w:sz w:val="18"/>
              </w:rPr>
            </w:pPr>
            <w:r>
              <w:rPr>
                <w:spacing w:val="-5"/>
                <w:sz w:val="18"/>
              </w:rPr>
              <w:t>860</w:t>
            </w:r>
          </w:p>
        </w:tc>
        <w:tc>
          <w:tcPr>
            <w:tcW w:w="812" w:type="dxa"/>
            <w:shd w:val="clear" w:color="auto" w:fill="D9D9D9"/>
          </w:tcPr>
          <w:p>
            <w:pPr>
              <w:pStyle w:val="TableParagraph"/>
              <w:spacing w:before="52"/>
              <w:ind w:right="99"/>
              <w:jc w:val="right"/>
              <w:rPr>
                <w:sz w:val="18"/>
              </w:rPr>
            </w:pPr>
            <w:r>
              <w:rPr>
                <w:spacing w:val="-2"/>
                <w:sz w:val="18"/>
              </w:rPr>
              <w:t>1.297</w:t>
            </w:r>
          </w:p>
        </w:tc>
        <w:tc>
          <w:tcPr>
            <w:tcW w:w="1227" w:type="dxa"/>
            <w:shd w:val="clear" w:color="auto" w:fill="D9D9D9"/>
          </w:tcPr>
          <w:p>
            <w:pPr>
              <w:pStyle w:val="TableParagraph"/>
              <w:spacing w:before="52"/>
              <w:ind w:left="204"/>
              <w:jc w:val="center"/>
              <w:rPr>
                <w:sz w:val="18"/>
              </w:rPr>
            </w:pPr>
            <w:r>
              <w:rPr>
                <w:spacing w:val="-2"/>
                <w:sz w:val="18"/>
              </w:rPr>
              <w:t>50,8%</w:t>
            </w:r>
          </w:p>
        </w:tc>
      </w:tr>
      <w:tr>
        <w:trPr>
          <w:trHeight w:val="299" w:hRule="atLeast"/>
        </w:trPr>
        <w:tc>
          <w:tcPr>
            <w:tcW w:w="3687" w:type="dxa"/>
            <w:shd w:val="clear" w:color="auto" w:fill="BEBEBE"/>
          </w:tcPr>
          <w:p>
            <w:pPr>
              <w:pStyle w:val="TableParagraph"/>
              <w:spacing w:before="52"/>
              <w:ind w:left="108"/>
              <w:rPr>
                <w:sz w:val="18"/>
              </w:rPr>
            </w:pPr>
            <w:r>
              <w:rPr>
                <w:sz w:val="18"/>
              </w:rPr>
              <w:t>Αμοιβαία</w:t>
            </w:r>
            <w:r>
              <w:rPr>
                <w:spacing w:val="-11"/>
                <w:sz w:val="18"/>
              </w:rPr>
              <w:t> </w:t>
            </w:r>
            <w:r>
              <w:rPr>
                <w:spacing w:val="-2"/>
                <w:sz w:val="18"/>
              </w:rPr>
              <w:t>κεφάλαια</w:t>
            </w:r>
          </w:p>
        </w:tc>
        <w:tc>
          <w:tcPr>
            <w:tcW w:w="901" w:type="dxa"/>
            <w:shd w:val="clear" w:color="auto" w:fill="BEBEBE"/>
          </w:tcPr>
          <w:p>
            <w:pPr>
              <w:pStyle w:val="TableParagraph"/>
              <w:spacing w:before="52"/>
              <w:ind w:right="192"/>
              <w:jc w:val="right"/>
              <w:rPr>
                <w:sz w:val="18"/>
              </w:rPr>
            </w:pPr>
            <w:r>
              <w:rPr>
                <w:spacing w:val="-5"/>
                <w:sz w:val="18"/>
              </w:rPr>
              <w:t>351</w:t>
            </w:r>
          </w:p>
        </w:tc>
        <w:tc>
          <w:tcPr>
            <w:tcW w:w="929" w:type="dxa"/>
            <w:shd w:val="clear" w:color="auto" w:fill="BEBEBE"/>
          </w:tcPr>
          <w:p>
            <w:pPr>
              <w:pStyle w:val="TableParagraph"/>
              <w:spacing w:before="52"/>
              <w:ind w:right="232"/>
              <w:jc w:val="right"/>
              <w:rPr>
                <w:sz w:val="18"/>
              </w:rPr>
            </w:pPr>
            <w:r>
              <w:rPr>
                <w:spacing w:val="-5"/>
                <w:sz w:val="18"/>
              </w:rPr>
              <w:t>501</w:t>
            </w:r>
          </w:p>
        </w:tc>
        <w:tc>
          <w:tcPr>
            <w:tcW w:w="948" w:type="dxa"/>
            <w:shd w:val="clear" w:color="auto" w:fill="BEBEBE"/>
          </w:tcPr>
          <w:p>
            <w:pPr>
              <w:pStyle w:val="TableParagraph"/>
              <w:spacing w:before="52"/>
              <w:ind w:right="211"/>
              <w:jc w:val="right"/>
              <w:rPr>
                <w:sz w:val="18"/>
              </w:rPr>
            </w:pPr>
            <w:r>
              <w:rPr>
                <w:spacing w:val="-5"/>
                <w:sz w:val="18"/>
              </w:rPr>
              <w:t>508</w:t>
            </w:r>
          </w:p>
        </w:tc>
        <w:tc>
          <w:tcPr>
            <w:tcW w:w="812" w:type="dxa"/>
            <w:shd w:val="clear" w:color="auto" w:fill="BEBEBE"/>
          </w:tcPr>
          <w:p>
            <w:pPr>
              <w:pStyle w:val="TableParagraph"/>
              <w:spacing w:before="52"/>
              <w:ind w:right="100"/>
              <w:jc w:val="right"/>
              <w:rPr>
                <w:sz w:val="18"/>
              </w:rPr>
            </w:pPr>
            <w:r>
              <w:rPr>
                <w:spacing w:val="-5"/>
                <w:sz w:val="18"/>
              </w:rPr>
              <w:t>512</w:t>
            </w:r>
          </w:p>
        </w:tc>
        <w:tc>
          <w:tcPr>
            <w:tcW w:w="1227" w:type="dxa"/>
            <w:shd w:val="clear" w:color="auto" w:fill="BEBEBE"/>
          </w:tcPr>
          <w:p>
            <w:pPr>
              <w:pStyle w:val="TableParagraph"/>
              <w:spacing w:before="52"/>
              <w:ind w:left="293"/>
              <w:jc w:val="center"/>
              <w:rPr>
                <w:sz w:val="18"/>
              </w:rPr>
            </w:pPr>
            <w:r>
              <w:rPr>
                <w:spacing w:val="-4"/>
                <w:sz w:val="18"/>
              </w:rPr>
              <w:t>0,9%</w:t>
            </w:r>
          </w:p>
        </w:tc>
      </w:tr>
      <w:tr>
        <w:trPr>
          <w:trHeight w:val="305" w:hRule="atLeast"/>
        </w:trPr>
        <w:tc>
          <w:tcPr>
            <w:tcW w:w="3687" w:type="dxa"/>
            <w:shd w:val="clear" w:color="auto" w:fill="D9D9D9"/>
          </w:tcPr>
          <w:p>
            <w:pPr>
              <w:pStyle w:val="TableParagraph"/>
              <w:spacing w:before="33"/>
              <w:ind w:left="108"/>
              <w:rPr>
                <w:sz w:val="18"/>
              </w:rPr>
            </w:pPr>
            <w:r>
              <w:rPr>
                <w:spacing w:val="-2"/>
                <w:sz w:val="18"/>
              </w:rPr>
              <w:t>Συμμετοχές</w:t>
            </w:r>
          </w:p>
        </w:tc>
        <w:tc>
          <w:tcPr>
            <w:tcW w:w="901" w:type="dxa"/>
            <w:shd w:val="clear" w:color="auto" w:fill="D9D9D9"/>
          </w:tcPr>
          <w:p>
            <w:pPr>
              <w:pStyle w:val="TableParagraph"/>
              <w:spacing w:before="33"/>
              <w:ind w:right="194"/>
              <w:jc w:val="right"/>
              <w:rPr>
                <w:sz w:val="18"/>
              </w:rPr>
            </w:pPr>
            <w:r>
              <w:rPr>
                <w:spacing w:val="-2"/>
                <w:sz w:val="18"/>
              </w:rPr>
              <w:t>1.588</w:t>
            </w:r>
          </w:p>
        </w:tc>
        <w:tc>
          <w:tcPr>
            <w:tcW w:w="929" w:type="dxa"/>
            <w:shd w:val="clear" w:color="auto" w:fill="D9D9D9"/>
          </w:tcPr>
          <w:p>
            <w:pPr>
              <w:pStyle w:val="TableParagraph"/>
              <w:spacing w:before="33"/>
              <w:ind w:right="235"/>
              <w:jc w:val="right"/>
              <w:rPr>
                <w:sz w:val="18"/>
              </w:rPr>
            </w:pPr>
            <w:r>
              <w:rPr>
                <w:spacing w:val="-2"/>
                <w:sz w:val="18"/>
              </w:rPr>
              <w:t>2.158</w:t>
            </w:r>
          </w:p>
        </w:tc>
        <w:tc>
          <w:tcPr>
            <w:tcW w:w="948" w:type="dxa"/>
            <w:shd w:val="clear" w:color="auto" w:fill="D9D9D9"/>
          </w:tcPr>
          <w:p>
            <w:pPr>
              <w:pStyle w:val="TableParagraph"/>
              <w:spacing w:before="33"/>
              <w:ind w:right="213"/>
              <w:jc w:val="right"/>
              <w:rPr>
                <w:sz w:val="18"/>
              </w:rPr>
            </w:pPr>
            <w:r>
              <w:rPr>
                <w:spacing w:val="-2"/>
                <w:sz w:val="18"/>
              </w:rPr>
              <w:t>2.368</w:t>
            </w:r>
          </w:p>
        </w:tc>
        <w:tc>
          <w:tcPr>
            <w:tcW w:w="812" w:type="dxa"/>
            <w:shd w:val="clear" w:color="auto" w:fill="D9D9D9"/>
          </w:tcPr>
          <w:p>
            <w:pPr>
              <w:pStyle w:val="TableParagraph"/>
              <w:spacing w:before="53"/>
              <w:ind w:right="99"/>
              <w:jc w:val="right"/>
              <w:rPr>
                <w:sz w:val="18"/>
              </w:rPr>
            </w:pPr>
            <w:r>
              <w:rPr>
                <w:spacing w:val="-2"/>
                <w:sz w:val="18"/>
              </w:rPr>
              <w:t>3.279</w:t>
            </w:r>
          </w:p>
        </w:tc>
        <w:tc>
          <w:tcPr>
            <w:tcW w:w="1227" w:type="dxa"/>
            <w:shd w:val="clear" w:color="auto" w:fill="D9D9D9"/>
          </w:tcPr>
          <w:p>
            <w:pPr>
              <w:pStyle w:val="TableParagraph"/>
              <w:spacing w:before="53"/>
              <w:ind w:left="204"/>
              <w:jc w:val="center"/>
              <w:rPr>
                <w:sz w:val="18"/>
              </w:rPr>
            </w:pPr>
            <w:r>
              <w:rPr>
                <w:spacing w:val="-2"/>
                <w:sz w:val="18"/>
              </w:rPr>
              <w:t>38,5%</w:t>
            </w:r>
          </w:p>
        </w:tc>
      </w:tr>
      <w:tr>
        <w:trPr>
          <w:trHeight w:val="511" w:hRule="atLeast"/>
        </w:trPr>
        <w:tc>
          <w:tcPr>
            <w:tcW w:w="3687" w:type="dxa"/>
            <w:shd w:val="clear" w:color="auto" w:fill="BEBEBE"/>
          </w:tcPr>
          <w:p>
            <w:pPr>
              <w:pStyle w:val="TableParagraph"/>
              <w:ind w:left="108" w:right="278"/>
              <w:rPr>
                <w:b/>
                <w:sz w:val="18"/>
              </w:rPr>
            </w:pPr>
            <w:r>
              <w:rPr>
                <w:b/>
                <w:color w:val="1F477B"/>
                <w:sz w:val="18"/>
              </w:rPr>
              <w:t>Χαρτοφυλάκ</w:t>
            </w:r>
            <w:r>
              <w:rPr>
                <w:b/>
                <w:smallCaps/>
                <w:color w:val="1F477B"/>
                <w:sz w:val="18"/>
              </w:rPr>
              <w:t>ι</w:t>
            </w:r>
            <w:r>
              <w:rPr>
                <w:b/>
                <w:smallCaps w:val="0"/>
                <w:color w:val="1F477B"/>
                <w:sz w:val="18"/>
              </w:rPr>
              <w:t>α</w:t>
            </w:r>
            <w:r>
              <w:rPr>
                <w:b/>
                <w:smallCaps w:val="0"/>
                <w:color w:val="1F477B"/>
                <w:spacing w:val="31"/>
                <w:sz w:val="18"/>
              </w:rPr>
              <w:t> </w:t>
            </w:r>
            <w:r>
              <w:rPr>
                <w:b/>
                <w:smallCaps w:val="0"/>
                <w:color w:val="1F477B"/>
                <w:sz w:val="18"/>
              </w:rPr>
              <w:t>που</w:t>
            </w:r>
            <w:r>
              <w:rPr>
                <w:b/>
                <w:smallCaps w:val="0"/>
                <w:color w:val="1F477B"/>
                <w:spacing w:val="40"/>
                <w:sz w:val="18"/>
              </w:rPr>
              <w:t> </w:t>
            </w:r>
            <w:r>
              <w:rPr>
                <w:b/>
                <w:smallCaps w:val="0"/>
                <w:color w:val="1F477B"/>
                <w:sz w:val="18"/>
              </w:rPr>
              <w:t>αποτ</w:t>
            </w:r>
            <w:r>
              <w:rPr>
                <w:b/>
                <w:smallCaps/>
                <w:color w:val="1F477B"/>
                <w:sz w:val="18"/>
              </w:rPr>
              <w:t>ι</w:t>
            </w:r>
            <w:r>
              <w:rPr>
                <w:b/>
                <w:smallCaps w:val="0"/>
                <w:color w:val="1F477B"/>
                <w:sz w:val="18"/>
              </w:rPr>
              <w:t>μώντα</w:t>
            </w:r>
            <w:r>
              <w:rPr>
                <w:b/>
                <w:smallCaps/>
                <w:color w:val="1F477B"/>
                <w:sz w:val="18"/>
              </w:rPr>
              <w:t>ι</w:t>
            </w:r>
            <w:r>
              <w:rPr>
                <w:b/>
                <w:smallCaps w:val="0"/>
                <w:color w:val="1F477B"/>
                <w:spacing w:val="-6"/>
                <w:sz w:val="18"/>
              </w:rPr>
              <w:t> </w:t>
            </w:r>
            <w:r>
              <w:rPr>
                <w:b/>
                <w:smallCaps w:val="0"/>
                <w:color w:val="1F477B"/>
                <w:sz w:val="18"/>
              </w:rPr>
              <w:t>στην</w:t>
            </w:r>
            <w:r>
              <w:rPr>
                <w:b/>
                <w:smallCaps w:val="0"/>
                <w:color w:val="1F477B"/>
                <w:spacing w:val="-5"/>
                <w:sz w:val="18"/>
              </w:rPr>
              <w:t> </w:t>
            </w:r>
            <w:r>
              <w:rPr>
                <w:b/>
                <w:smallCaps w:val="0"/>
                <w:color w:val="1F477B"/>
                <w:sz w:val="18"/>
              </w:rPr>
              <w:t>εύ-λογη αξία</w:t>
            </w:r>
          </w:p>
        </w:tc>
        <w:tc>
          <w:tcPr>
            <w:tcW w:w="901" w:type="dxa"/>
            <w:shd w:val="clear" w:color="auto" w:fill="BEBEBE"/>
          </w:tcPr>
          <w:p>
            <w:pPr>
              <w:pStyle w:val="TableParagraph"/>
              <w:spacing w:before="136"/>
              <w:ind w:right="194"/>
              <w:jc w:val="right"/>
              <w:rPr>
                <w:b/>
                <w:sz w:val="18"/>
              </w:rPr>
            </w:pPr>
            <w:r>
              <w:rPr>
                <w:b/>
                <w:color w:val="1F477B"/>
                <w:spacing w:val="-2"/>
                <w:sz w:val="18"/>
              </w:rPr>
              <w:t>11.532</w:t>
            </w:r>
          </w:p>
        </w:tc>
        <w:tc>
          <w:tcPr>
            <w:tcW w:w="929" w:type="dxa"/>
            <w:shd w:val="clear" w:color="auto" w:fill="BEBEBE"/>
          </w:tcPr>
          <w:p>
            <w:pPr>
              <w:pStyle w:val="TableParagraph"/>
              <w:spacing w:before="136"/>
              <w:ind w:right="235"/>
              <w:jc w:val="right"/>
              <w:rPr>
                <w:b/>
                <w:sz w:val="18"/>
              </w:rPr>
            </w:pPr>
            <w:r>
              <w:rPr>
                <w:b/>
                <w:color w:val="1F477B"/>
                <w:spacing w:val="-2"/>
                <w:sz w:val="18"/>
              </w:rPr>
              <w:t>12.651</w:t>
            </w:r>
          </w:p>
        </w:tc>
        <w:tc>
          <w:tcPr>
            <w:tcW w:w="948" w:type="dxa"/>
            <w:shd w:val="clear" w:color="auto" w:fill="BEBEBE"/>
          </w:tcPr>
          <w:p>
            <w:pPr>
              <w:pStyle w:val="TableParagraph"/>
              <w:spacing w:before="136"/>
              <w:ind w:right="213"/>
              <w:jc w:val="right"/>
              <w:rPr>
                <w:b/>
                <w:sz w:val="18"/>
              </w:rPr>
            </w:pPr>
            <w:r>
              <w:rPr>
                <w:b/>
                <w:color w:val="1F477B"/>
                <w:spacing w:val="-2"/>
                <w:sz w:val="18"/>
              </w:rPr>
              <w:t>13.331</w:t>
            </w:r>
          </w:p>
        </w:tc>
        <w:tc>
          <w:tcPr>
            <w:tcW w:w="812" w:type="dxa"/>
            <w:shd w:val="clear" w:color="auto" w:fill="BEBEBE"/>
          </w:tcPr>
          <w:p>
            <w:pPr>
              <w:pStyle w:val="TableParagraph"/>
              <w:spacing w:before="136"/>
              <w:ind w:right="99"/>
              <w:jc w:val="right"/>
              <w:rPr>
                <w:b/>
                <w:sz w:val="18"/>
              </w:rPr>
            </w:pPr>
            <w:r>
              <w:rPr>
                <w:b/>
                <w:color w:val="1F477B"/>
                <w:spacing w:val="-2"/>
                <w:sz w:val="18"/>
              </w:rPr>
              <w:t>15.261</w:t>
            </w:r>
          </w:p>
        </w:tc>
        <w:tc>
          <w:tcPr>
            <w:tcW w:w="1227" w:type="dxa"/>
            <w:shd w:val="clear" w:color="auto" w:fill="BEBEBE"/>
          </w:tcPr>
          <w:p>
            <w:pPr>
              <w:pStyle w:val="TableParagraph"/>
              <w:spacing w:before="136"/>
              <w:ind w:left="177"/>
              <w:jc w:val="center"/>
              <w:rPr>
                <w:b/>
                <w:sz w:val="18"/>
              </w:rPr>
            </w:pPr>
            <w:r>
              <w:rPr>
                <w:b/>
                <w:color w:val="1F477B"/>
                <w:spacing w:val="-2"/>
                <w:sz w:val="18"/>
              </w:rPr>
              <w:t>14,5%</w:t>
            </w:r>
          </w:p>
        </w:tc>
      </w:tr>
      <w:tr>
        <w:trPr>
          <w:trHeight w:val="283" w:hRule="atLeast"/>
        </w:trPr>
        <w:tc>
          <w:tcPr>
            <w:tcW w:w="3687" w:type="dxa"/>
            <w:shd w:val="clear" w:color="auto" w:fill="D9D9D9"/>
          </w:tcPr>
          <w:p>
            <w:pPr>
              <w:pStyle w:val="TableParagraph"/>
              <w:ind w:left="108"/>
              <w:rPr>
                <w:sz w:val="18"/>
              </w:rPr>
            </w:pPr>
            <w:r>
              <w:rPr>
                <w:spacing w:val="-2"/>
                <w:sz w:val="18"/>
              </w:rPr>
              <w:t>Τίτλοι</w:t>
            </w:r>
            <w:r>
              <w:rPr>
                <w:spacing w:val="-8"/>
                <w:sz w:val="18"/>
              </w:rPr>
              <w:t> </w:t>
            </w:r>
            <w:r>
              <w:rPr>
                <w:spacing w:val="-2"/>
                <w:sz w:val="18"/>
              </w:rPr>
              <w:t>εκδόσεως του</w:t>
            </w:r>
            <w:r>
              <w:rPr>
                <w:spacing w:val="-4"/>
                <w:sz w:val="18"/>
              </w:rPr>
              <w:t> </w:t>
            </w:r>
            <w:r>
              <w:rPr>
                <w:spacing w:val="-2"/>
                <w:sz w:val="18"/>
              </w:rPr>
              <w:t>Ελληνικού Δημοσίου</w:t>
            </w:r>
          </w:p>
        </w:tc>
        <w:tc>
          <w:tcPr>
            <w:tcW w:w="901" w:type="dxa"/>
            <w:shd w:val="clear" w:color="auto" w:fill="D9D9D9"/>
          </w:tcPr>
          <w:p>
            <w:pPr>
              <w:pStyle w:val="TableParagraph"/>
              <w:ind w:right="194"/>
              <w:jc w:val="right"/>
              <w:rPr>
                <w:sz w:val="18"/>
              </w:rPr>
            </w:pPr>
            <w:r>
              <w:rPr>
                <w:spacing w:val="-2"/>
                <w:sz w:val="18"/>
              </w:rPr>
              <w:t>4.786</w:t>
            </w:r>
          </w:p>
        </w:tc>
        <w:tc>
          <w:tcPr>
            <w:tcW w:w="929" w:type="dxa"/>
            <w:shd w:val="clear" w:color="auto" w:fill="D9D9D9"/>
          </w:tcPr>
          <w:p>
            <w:pPr>
              <w:pStyle w:val="TableParagraph"/>
              <w:ind w:right="235"/>
              <w:jc w:val="right"/>
              <w:rPr>
                <w:sz w:val="18"/>
              </w:rPr>
            </w:pPr>
            <w:r>
              <w:rPr>
                <w:spacing w:val="-2"/>
                <w:sz w:val="18"/>
              </w:rPr>
              <w:t>5.664</w:t>
            </w:r>
          </w:p>
        </w:tc>
        <w:tc>
          <w:tcPr>
            <w:tcW w:w="948" w:type="dxa"/>
            <w:shd w:val="clear" w:color="auto" w:fill="D9D9D9"/>
          </w:tcPr>
          <w:p>
            <w:pPr>
              <w:pStyle w:val="TableParagraph"/>
              <w:ind w:right="213"/>
              <w:jc w:val="right"/>
              <w:rPr>
                <w:sz w:val="18"/>
              </w:rPr>
            </w:pPr>
            <w:r>
              <w:rPr>
                <w:spacing w:val="-2"/>
                <w:sz w:val="18"/>
              </w:rPr>
              <w:t>4.059</w:t>
            </w:r>
          </w:p>
        </w:tc>
        <w:tc>
          <w:tcPr>
            <w:tcW w:w="812" w:type="dxa"/>
            <w:shd w:val="clear" w:color="auto" w:fill="D9D9D9"/>
          </w:tcPr>
          <w:p>
            <w:pPr>
              <w:pStyle w:val="TableParagraph"/>
              <w:ind w:right="99"/>
              <w:jc w:val="right"/>
              <w:rPr>
                <w:sz w:val="18"/>
              </w:rPr>
            </w:pPr>
            <w:r>
              <w:rPr>
                <w:spacing w:val="-2"/>
                <w:sz w:val="18"/>
              </w:rPr>
              <w:t>4.880</w:t>
            </w:r>
          </w:p>
        </w:tc>
        <w:tc>
          <w:tcPr>
            <w:tcW w:w="1227" w:type="dxa"/>
            <w:shd w:val="clear" w:color="auto" w:fill="D9D9D9"/>
          </w:tcPr>
          <w:p>
            <w:pPr>
              <w:pStyle w:val="TableParagraph"/>
              <w:ind w:left="204"/>
              <w:jc w:val="center"/>
              <w:rPr>
                <w:sz w:val="18"/>
              </w:rPr>
            </w:pPr>
            <w:r>
              <w:rPr>
                <w:spacing w:val="-2"/>
                <w:sz w:val="18"/>
              </w:rPr>
              <w:t>20,2%</w:t>
            </w:r>
          </w:p>
        </w:tc>
      </w:tr>
      <w:tr>
        <w:trPr>
          <w:trHeight w:val="206" w:hRule="atLeast"/>
        </w:trPr>
        <w:tc>
          <w:tcPr>
            <w:tcW w:w="3687" w:type="dxa"/>
            <w:shd w:val="clear" w:color="auto" w:fill="BEBEBE"/>
          </w:tcPr>
          <w:p>
            <w:pPr>
              <w:pStyle w:val="TableParagraph"/>
              <w:spacing w:line="186" w:lineRule="exact"/>
              <w:ind w:left="388"/>
              <w:rPr>
                <w:i/>
                <w:sz w:val="18"/>
              </w:rPr>
            </w:pPr>
            <w:r>
              <w:rPr>
                <w:i/>
                <w:sz w:val="18"/>
              </w:rPr>
              <w:t>εκ των οποίων:</w:t>
            </w:r>
            <w:r>
              <w:rPr>
                <w:i/>
                <w:spacing w:val="-2"/>
                <w:sz w:val="18"/>
              </w:rPr>
              <w:t> ΕΓΕΔ*</w:t>
            </w:r>
          </w:p>
        </w:tc>
        <w:tc>
          <w:tcPr>
            <w:tcW w:w="901" w:type="dxa"/>
            <w:shd w:val="clear" w:color="auto" w:fill="BEBEBE"/>
          </w:tcPr>
          <w:p>
            <w:pPr>
              <w:pStyle w:val="TableParagraph"/>
              <w:spacing w:line="186" w:lineRule="exact"/>
              <w:ind w:right="194"/>
              <w:jc w:val="right"/>
              <w:rPr>
                <w:i/>
                <w:sz w:val="18"/>
              </w:rPr>
            </w:pPr>
            <w:r>
              <w:rPr>
                <w:i/>
                <w:spacing w:val="-2"/>
                <w:sz w:val="18"/>
              </w:rPr>
              <w:t>2.473</w:t>
            </w:r>
          </w:p>
        </w:tc>
        <w:tc>
          <w:tcPr>
            <w:tcW w:w="929" w:type="dxa"/>
            <w:shd w:val="clear" w:color="auto" w:fill="BEBEBE"/>
          </w:tcPr>
          <w:p>
            <w:pPr>
              <w:pStyle w:val="TableParagraph"/>
              <w:spacing w:line="186" w:lineRule="exact"/>
              <w:ind w:right="235"/>
              <w:jc w:val="right"/>
              <w:rPr>
                <w:i/>
                <w:sz w:val="18"/>
              </w:rPr>
            </w:pPr>
            <w:r>
              <w:rPr>
                <w:i/>
                <w:spacing w:val="-2"/>
                <w:sz w:val="18"/>
              </w:rPr>
              <w:t>2.952</w:t>
            </w:r>
          </w:p>
        </w:tc>
        <w:tc>
          <w:tcPr>
            <w:tcW w:w="948" w:type="dxa"/>
            <w:shd w:val="clear" w:color="auto" w:fill="BEBEBE"/>
          </w:tcPr>
          <w:p>
            <w:pPr>
              <w:pStyle w:val="TableParagraph"/>
              <w:spacing w:line="186" w:lineRule="exact"/>
              <w:ind w:right="213"/>
              <w:jc w:val="right"/>
              <w:rPr>
                <w:i/>
                <w:sz w:val="18"/>
              </w:rPr>
            </w:pPr>
            <w:r>
              <w:rPr>
                <w:i/>
                <w:spacing w:val="-2"/>
                <w:sz w:val="18"/>
              </w:rPr>
              <w:t>1.583</w:t>
            </w:r>
          </w:p>
        </w:tc>
        <w:tc>
          <w:tcPr>
            <w:tcW w:w="812" w:type="dxa"/>
            <w:shd w:val="clear" w:color="auto" w:fill="BEBEBE"/>
          </w:tcPr>
          <w:p>
            <w:pPr>
              <w:pStyle w:val="TableParagraph"/>
              <w:spacing w:line="186" w:lineRule="exact"/>
              <w:ind w:right="99"/>
              <w:jc w:val="right"/>
              <w:rPr>
                <w:i/>
                <w:sz w:val="18"/>
              </w:rPr>
            </w:pPr>
            <w:r>
              <w:rPr>
                <w:i/>
                <w:spacing w:val="-2"/>
                <w:sz w:val="18"/>
              </w:rPr>
              <w:t>1.723</w:t>
            </w:r>
          </w:p>
        </w:tc>
        <w:tc>
          <w:tcPr>
            <w:tcW w:w="1227" w:type="dxa"/>
            <w:shd w:val="clear" w:color="auto" w:fill="BEBEBE"/>
          </w:tcPr>
          <w:p>
            <w:pPr>
              <w:pStyle w:val="TableParagraph"/>
              <w:spacing w:line="186" w:lineRule="exact"/>
              <w:ind w:left="293"/>
              <w:jc w:val="center"/>
              <w:rPr>
                <w:i/>
                <w:sz w:val="18"/>
              </w:rPr>
            </w:pPr>
            <w:r>
              <w:rPr>
                <w:i/>
                <w:spacing w:val="-4"/>
                <w:sz w:val="18"/>
              </w:rPr>
              <w:t>8,9%</w:t>
            </w:r>
          </w:p>
        </w:tc>
      </w:tr>
      <w:tr>
        <w:trPr>
          <w:trHeight w:val="508" w:hRule="atLeast"/>
        </w:trPr>
        <w:tc>
          <w:tcPr>
            <w:tcW w:w="3687" w:type="dxa"/>
            <w:shd w:val="clear" w:color="auto" w:fill="D9D9D9"/>
          </w:tcPr>
          <w:p>
            <w:pPr>
              <w:pStyle w:val="TableParagraph"/>
              <w:spacing w:before="52"/>
              <w:ind w:left="108" w:right="273"/>
              <w:rPr>
                <w:sz w:val="18"/>
              </w:rPr>
            </w:pPr>
            <w:r>
              <w:rPr>
                <w:spacing w:val="-2"/>
                <w:sz w:val="18"/>
              </w:rPr>
              <w:t>Κρατικά</w:t>
            </w:r>
            <w:r>
              <w:rPr>
                <w:spacing w:val="-10"/>
                <w:sz w:val="18"/>
              </w:rPr>
              <w:t> </w:t>
            </w:r>
            <w:r>
              <w:rPr>
                <w:spacing w:val="-2"/>
                <w:sz w:val="18"/>
              </w:rPr>
              <w:t>ομόλογα</w:t>
            </w:r>
            <w:r>
              <w:rPr>
                <w:spacing w:val="-11"/>
                <w:sz w:val="18"/>
              </w:rPr>
              <w:t> </w:t>
            </w:r>
            <w:r>
              <w:rPr>
                <w:spacing w:val="-2"/>
                <w:sz w:val="18"/>
              </w:rPr>
              <w:t>λοιπών</w:t>
            </w:r>
            <w:r>
              <w:rPr>
                <w:spacing w:val="-10"/>
                <w:sz w:val="18"/>
              </w:rPr>
              <w:t> </w:t>
            </w:r>
            <w:r>
              <w:rPr>
                <w:spacing w:val="-2"/>
                <w:sz w:val="18"/>
              </w:rPr>
              <w:t>χωρών</w:t>
            </w:r>
            <w:r>
              <w:rPr>
                <w:spacing w:val="-9"/>
                <w:sz w:val="18"/>
              </w:rPr>
              <w:t> </w:t>
            </w:r>
            <w:r>
              <w:rPr>
                <w:spacing w:val="-2"/>
                <w:sz w:val="18"/>
              </w:rPr>
              <w:t>(εκτός Ελλά-</w:t>
            </w:r>
            <w:r>
              <w:rPr>
                <w:spacing w:val="-4"/>
                <w:sz w:val="18"/>
              </w:rPr>
              <w:t>δος)</w:t>
            </w:r>
          </w:p>
        </w:tc>
        <w:tc>
          <w:tcPr>
            <w:tcW w:w="901" w:type="dxa"/>
            <w:shd w:val="clear" w:color="auto" w:fill="D9D9D9"/>
          </w:tcPr>
          <w:p>
            <w:pPr>
              <w:pStyle w:val="TableParagraph"/>
              <w:spacing w:before="151"/>
              <w:ind w:right="194"/>
              <w:jc w:val="right"/>
              <w:rPr>
                <w:sz w:val="18"/>
              </w:rPr>
            </w:pPr>
            <w:r>
              <w:rPr>
                <w:spacing w:val="-2"/>
                <w:sz w:val="18"/>
              </w:rPr>
              <w:t>3.266</w:t>
            </w:r>
          </w:p>
        </w:tc>
        <w:tc>
          <w:tcPr>
            <w:tcW w:w="929" w:type="dxa"/>
            <w:shd w:val="clear" w:color="auto" w:fill="D9D9D9"/>
          </w:tcPr>
          <w:p>
            <w:pPr>
              <w:pStyle w:val="TableParagraph"/>
              <w:spacing w:before="151"/>
              <w:ind w:right="235"/>
              <w:jc w:val="right"/>
              <w:rPr>
                <w:sz w:val="18"/>
              </w:rPr>
            </w:pPr>
            <w:r>
              <w:rPr>
                <w:spacing w:val="-2"/>
                <w:sz w:val="18"/>
              </w:rPr>
              <w:t>3.457</w:t>
            </w:r>
          </w:p>
        </w:tc>
        <w:tc>
          <w:tcPr>
            <w:tcW w:w="948" w:type="dxa"/>
            <w:shd w:val="clear" w:color="auto" w:fill="D9D9D9"/>
          </w:tcPr>
          <w:p>
            <w:pPr>
              <w:pStyle w:val="TableParagraph"/>
              <w:spacing w:before="151"/>
              <w:ind w:right="216"/>
              <w:jc w:val="right"/>
              <w:rPr>
                <w:sz w:val="18"/>
              </w:rPr>
            </w:pPr>
            <w:r>
              <w:rPr>
                <w:spacing w:val="-2"/>
                <w:sz w:val="18"/>
              </w:rPr>
              <w:t>5.303</w:t>
            </w:r>
          </w:p>
        </w:tc>
        <w:tc>
          <w:tcPr>
            <w:tcW w:w="812" w:type="dxa"/>
            <w:shd w:val="clear" w:color="auto" w:fill="D9D9D9"/>
          </w:tcPr>
          <w:p>
            <w:pPr>
              <w:pStyle w:val="TableParagraph"/>
              <w:spacing w:before="151"/>
              <w:ind w:right="102"/>
              <w:jc w:val="right"/>
              <w:rPr>
                <w:sz w:val="18"/>
              </w:rPr>
            </w:pPr>
            <w:r>
              <w:rPr>
                <w:spacing w:val="-2"/>
                <w:sz w:val="18"/>
              </w:rPr>
              <w:t>5.254</w:t>
            </w:r>
          </w:p>
        </w:tc>
        <w:tc>
          <w:tcPr>
            <w:tcW w:w="1227" w:type="dxa"/>
            <w:shd w:val="clear" w:color="auto" w:fill="D9D9D9"/>
          </w:tcPr>
          <w:p>
            <w:pPr>
              <w:pStyle w:val="TableParagraph"/>
              <w:spacing w:before="151"/>
              <w:ind w:left="235"/>
              <w:jc w:val="center"/>
              <w:rPr>
                <w:sz w:val="18"/>
              </w:rPr>
            </w:pPr>
            <w:r>
              <w:rPr>
                <w:spacing w:val="-3"/>
                <w:sz w:val="18"/>
              </w:rPr>
              <w:t>-</w:t>
            </w:r>
            <w:r>
              <w:rPr>
                <w:spacing w:val="-4"/>
                <w:sz w:val="18"/>
              </w:rPr>
              <w:t>0,9%</w:t>
            </w:r>
          </w:p>
        </w:tc>
      </w:tr>
      <w:tr>
        <w:trPr>
          <w:trHeight w:val="261" w:hRule="atLeast"/>
        </w:trPr>
        <w:tc>
          <w:tcPr>
            <w:tcW w:w="3687" w:type="dxa"/>
            <w:shd w:val="clear" w:color="auto" w:fill="BEBEBE"/>
          </w:tcPr>
          <w:p>
            <w:pPr>
              <w:pStyle w:val="TableParagraph"/>
              <w:spacing w:line="189" w:lineRule="exact" w:before="52"/>
              <w:ind w:left="108"/>
              <w:rPr>
                <w:sz w:val="18"/>
              </w:rPr>
            </w:pPr>
            <w:r>
              <w:rPr>
                <w:sz w:val="18"/>
              </w:rPr>
              <w:t>Ομόλογα</w:t>
            </w:r>
            <w:r>
              <w:rPr>
                <w:spacing w:val="-4"/>
                <w:sz w:val="18"/>
              </w:rPr>
              <w:t> </w:t>
            </w:r>
            <w:r>
              <w:rPr>
                <w:sz w:val="18"/>
              </w:rPr>
              <w:t>υπερεθνικών</w:t>
            </w:r>
            <w:r>
              <w:rPr>
                <w:spacing w:val="-4"/>
                <w:sz w:val="18"/>
              </w:rPr>
              <w:t> </w:t>
            </w:r>
            <w:r>
              <w:rPr>
                <w:spacing w:val="-2"/>
                <w:sz w:val="18"/>
              </w:rPr>
              <w:t>οργανισμών</w:t>
            </w:r>
          </w:p>
        </w:tc>
        <w:tc>
          <w:tcPr>
            <w:tcW w:w="901" w:type="dxa"/>
            <w:shd w:val="clear" w:color="auto" w:fill="BEBEBE"/>
          </w:tcPr>
          <w:p>
            <w:pPr>
              <w:pStyle w:val="TableParagraph"/>
              <w:spacing w:line="189" w:lineRule="exact" w:before="52"/>
              <w:ind w:right="195"/>
              <w:jc w:val="right"/>
              <w:rPr>
                <w:sz w:val="18"/>
              </w:rPr>
            </w:pPr>
            <w:r>
              <w:rPr>
                <w:spacing w:val="-5"/>
                <w:sz w:val="18"/>
              </w:rPr>
              <w:t>243</w:t>
            </w:r>
          </w:p>
        </w:tc>
        <w:tc>
          <w:tcPr>
            <w:tcW w:w="929" w:type="dxa"/>
            <w:shd w:val="clear" w:color="auto" w:fill="BEBEBE"/>
          </w:tcPr>
          <w:p>
            <w:pPr>
              <w:pStyle w:val="TableParagraph"/>
              <w:spacing w:line="189" w:lineRule="exact" w:before="52"/>
              <w:ind w:right="236"/>
              <w:jc w:val="right"/>
              <w:rPr>
                <w:sz w:val="18"/>
              </w:rPr>
            </w:pPr>
            <w:r>
              <w:rPr>
                <w:spacing w:val="-5"/>
                <w:sz w:val="18"/>
              </w:rPr>
              <w:t>335</w:t>
            </w:r>
          </w:p>
        </w:tc>
        <w:tc>
          <w:tcPr>
            <w:tcW w:w="948" w:type="dxa"/>
            <w:shd w:val="clear" w:color="auto" w:fill="BEBEBE"/>
          </w:tcPr>
          <w:p>
            <w:pPr>
              <w:pStyle w:val="TableParagraph"/>
              <w:spacing w:line="189" w:lineRule="exact" w:before="52"/>
              <w:ind w:right="214"/>
              <w:jc w:val="right"/>
              <w:rPr>
                <w:sz w:val="18"/>
              </w:rPr>
            </w:pPr>
            <w:r>
              <w:rPr>
                <w:spacing w:val="-5"/>
                <w:sz w:val="18"/>
              </w:rPr>
              <w:t>682</w:t>
            </w:r>
          </w:p>
        </w:tc>
        <w:tc>
          <w:tcPr>
            <w:tcW w:w="812" w:type="dxa"/>
            <w:shd w:val="clear" w:color="auto" w:fill="BEBEBE"/>
          </w:tcPr>
          <w:p>
            <w:pPr>
              <w:pStyle w:val="TableParagraph"/>
              <w:spacing w:line="189" w:lineRule="exact" w:before="52"/>
              <w:ind w:right="101"/>
              <w:jc w:val="right"/>
              <w:rPr>
                <w:sz w:val="18"/>
              </w:rPr>
            </w:pPr>
            <w:r>
              <w:rPr>
                <w:spacing w:val="-5"/>
                <w:sz w:val="18"/>
              </w:rPr>
              <w:t>549</w:t>
            </w:r>
          </w:p>
        </w:tc>
        <w:tc>
          <w:tcPr>
            <w:tcW w:w="1227" w:type="dxa"/>
            <w:shd w:val="clear" w:color="auto" w:fill="BEBEBE"/>
          </w:tcPr>
          <w:p>
            <w:pPr>
              <w:pStyle w:val="TableParagraph"/>
              <w:spacing w:line="189" w:lineRule="exact" w:before="52"/>
              <w:ind w:left="147"/>
              <w:jc w:val="center"/>
              <w:rPr>
                <w:sz w:val="18"/>
              </w:rPr>
            </w:pPr>
            <w:r>
              <w:rPr>
                <w:spacing w:val="-3"/>
                <w:sz w:val="18"/>
              </w:rPr>
              <w:t>-</w:t>
            </w:r>
            <w:r>
              <w:rPr>
                <w:spacing w:val="-2"/>
                <w:sz w:val="18"/>
              </w:rPr>
              <w:t>19,6%</w:t>
            </w:r>
          </w:p>
        </w:tc>
      </w:tr>
      <w:tr>
        <w:trPr>
          <w:trHeight w:val="259" w:hRule="atLeast"/>
        </w:trPr>
        <w:tc>
          <w:tcPr>
            <w:tcW w:w="3687" w:type="dxa"/>
            <w:shd w:val="clear" w:color="auto" w:fill="D9D9D9"/>
          </w:tcPr>
          <w:p>
            <w:pPr>
              <w:pStyle w:val="TableParagraph"/>
              <w:spacing w:line="186" w:lineRule="exact" w:before="52"/>
              <w:ind w:left="108"/>
              <w:rPr>
                <w:sz w:val="18"/>
              </w:rPr>
            </w:pPr>
            <w:r>
              <w:rPr>
                <w:sz w:val="18"/>
              </w:rPr>
              <w:t>Ομόλογα</w:t>
            </w:r>
            <w:r>
              <w:rPr>
                <w:spacing w:val="-2"/>
                <w:sz w:val="18"/>
              </w:rPr>
              <w:t> τραπεζών</w:t>
            </w:r>
          </w:p>
        </w:tc>
        <w:tc>
          <w:tcPr>
            <w:tcW w:w="901" w:type="dxa"/>
            <w:shd w:val="clear" w:color="auto" w:fill="D9D9D9"/>
          </w:tcPr>
          <w:p>
            <w:pPr>
              <w:pStyle w:val="TableParagraph"/>
              <w:spacing w:line="186" w:lineRule="exact" w:before="52"/>
              <w:ind w:right="195"/>
              <w:jc w:val="right"/>
              <w:rPr>
                <w:sz w:val="18"/>
              </w:rPr>
            </w:pPr>
            <w:r>
              <w:rPr>
                <w:spacing w:val="-5"/>
                <w:sz w:val="18"/>
              </w:rPr>
              <w:t>875</w:t>
            </w:r>
          </w:p>
        </w:tc>
        <w:tc>
          <w:tcPr>
            <w:tcW w:w="929" w:type="dxa"/>
            <w:shd w:val="clear" w:color="auto" w:fill="D9D9D9"/>
          </w:tcPr>
          <w:p>
            <w:pPr>
              <w:pStyle w:val="TableParagraph"/>
              <w:spacing w:line="186" w:lineRule="exact" w:before="52"/>
              <w:ind w:right="236"/>
              <w:jc w:val="right"/>
              <w:rPr>
                <w:sz w:val="18"/>
              </w:rPr>
            </w:pPr>
            <w:r>
              <w:rPr>
                <w:spacing w:val="-5"/>
                <w:sz w:val="18"/>
              </w:rPr>
              <w:t>663</w:t>
            </w:r>
          </w:p>
        </w:tc>
        <w:tc>
          <w:tcPr>
            <w:tcW w:w="948" w:type="dxa"/>
            <w:shd w:val="clear" w:color="auto" w:fill="D9D9D9"/>
          </w:tcPr>
          <w:p>
            <w:pPr>
              <w:pStyle w:val="TableParagraph"/>
              <w:spacing w:line="186" w:lineRule="exact" w:before="52"/>
              <w:ind w:right="214"/>
              <w:jc w:val="right"/>
              <w:rPr>
                <w:sz w:val="18"/>
              </w:rPr>
            </w:pPr>
            <w:r>
              <w:rPr>
                <w:spacing w:val="-5"/>
                <w:sz w:val="18"/>
              </w:rPr>
              <w:t>414</w:t>
            </w:r>
          </w:p>
        </w:tc>
        <w:tc>
          <w:tcPr>
            <w:tcW w:w="812" w:type="dxa"/>
            <w:shd w:val="clear" w:color="auto" w:fill="D9D9D9"/>
          </w:tcPr>
          <w:p>
            <w:pPr>
              <w:pStyle w:val="TableParagraph"/>
              <w:spacing w:line="186" w:lineRule="exact" w:before="52"/>
              <w:ind w:right="100"/>
              <w:jc w:val="right"/>
              <w:rPr>
                <w:sz w:val="18"/>
              </w:rPr>
            </w:pPr>
            <w:r>
              <w:rPr>
                <w:spacing w:val="-5"/>
                <w:sz w:val="18"/>
              </w:rPr>
              <w:t>966</w:t>
            </w:r>
          </w:p>
        </w:tc>
        <w:tc>
          <w:tcPr>
            <w:tcW w:w="1227" w:type="dxa"/>
            <w:shd w:val="clear" w:color="auto" w:fill="D9D9D9"/>
          </w:tcPr>
          <w:p>
            <w:pPr>
              <w:pStyle w:val="TableParagraph"/>
              <w:spacing w:line="186" w:lineRule="exact" w:before="52"/>
              <w:ind w:left="118"/>
              <w:jc w:val="center"/>
              <w:rPr>
                <w:sz w:val="18"/>
              </w:rPr>
            </w:pPr>
            <w:r>
              <w:rPr>
                <w:spacing w:val="-2"/>
                <w:sz w:val="18"/>
              </w:rPr>
              <w:t>133,4%</w:t>
            </w:r>
          </w:p>
        </w:tc>
      </w:tr>
      <w:tr>
        <w:trPr>
          <w:trHeight w:val="300" w:hRule="atLeast"/>
        </w:trPr>
        <w:tc>
          <w:tcPr>
            <w:tcW w:w="3687" w:type="dxa"/>
            <w:shd w:val="clear" w:color="auto" w:fill="BEBEBE"/>
          </w:tcPr>
          <w:p>
            <w:pPr>
              <w:pStyle w:val="TableParagraph"/>
              <w:spacing w:before="52"/>
              <w:ind w:left="108"/>
              <w:rPr>
                <w:sz w:val="18"/>
              </w:rPr>
            </w:pPr>
            <w:r>
              <w:rPr>
                <w:sz w:val="18"/>
              </w:rPr>
              <w:t>Εταιρικά</w:t>
            </w:r>
            <w:r>
              <w:rPr>
                <w:spacing w:val="-4"/>
                <w:sz w:val="18"/>
              </w:rPr>
              <w:t> </w:t>
            </w:r>
            <w:r>
              <w:rPr>
                <w:spacing w:val="-2"/>
                <w:sz w:val="18"/>
              </w:rPr>
              <w:t>ομόλογα</w:t>
            </w:r>
          </w:p>
        </w:tc>
        <w:tc>
          <w:tcPr>
            <w:tcW w:w="901" w:type="dxa"/>
            <w:shd w:val="clear" w:color="auto" w:fill="BEBEBE"/>
          </w:tcPr>
          <w:p>
            <w:pPr>
              <w:pStyle w:val="TableParagraph"/>
              <w:spacing w:before="52"/>
              <w:ind w:right="197"/>
              <w:jc w:val="right"/>
              <w:rPr>
                <w:sz w:val="18"/>
              </w:rPr>
            </w:pPr>
            <w:r>
              <w:rPr>
                <w:spacing w:val="-2"/>
                <w:sz w:val="18"/>
              </w:rPr>
              <w:t>1.318</w:t>
            </w:r>
          </w:p>
        </w:tc>
        <w:tc>
          <w:tcPr>
            <w:tcW w:w="929" w:type="dxa"/>
            <w:shd w:val="clear" w:color="auto" w:fill="BEBEBE"/>
          </w:tcPr>
          <w:p>
            <w:pPr>
              <w:pStyle w:val="TableParagraph"/>
              <w:spacing w:before="52"/>
              <w:ind w:right="238"/>
              <w:jc w:val="right"/>
              <w:rPr>
                <w:sz w:val="18"/>
              </w:rPr>
            </w:pPr>
            <w:r>
              <w:rPr>
                <w:spacing w:val="-2"/>
                <w:sz w:val="18"/>
              </w:rPr>
              <w:t>1.178</w:t>
            </w:r>
          </w:p>
        </w:tc>
        <w:tc>
          <w:tcPr>
            <w:tcW w:w="948" w:type="dxa"/>
            <w:shd w:val="clear" w:color="auto" w:fill="BEBEBE"/>
          </w:tcPr>
          <w:p>
            <w:pPr>
              <w:pStyle w:val="TableParagraph"/>
              <w:spacing w:before="52"/>
              <w:ind w:right="216"/>
              <w:jc w:val="right"/>
              <w:rPr>
                <w:sz w:val="18"/>
              </w:rPr>
            </w:pPr>
            <w:r>
              <w:rPr>
                <w:spacing w:val="-2"/>
                <w:sz w:val="18"/>
              </w:rPr>
              <w:t>1.279</w:t>
            </w:r>
          </w:p>
        </w:tc>
        <w:tc>
          <w:tcPr>
            <w:tcW w:w="812" w:type="dxa"/>
            <w:shd w:val="clear" w:color="auto" w:fill="BEBEBE"/>
          </w:tcPr>
          <w:p>
            <w:pPr>
              <w:pStyle w:val="TableParagraph"/>
              <w:spacing w:before="52"/>
              <w:ind w:right="102"/>
              <w:jc w:val="right"/>
              <w:rPr>
                <w:sz w:val="18"/>
              </w:rPr>
            </w:pPr>
            <w:r>
              <w:rPr>
                <w:spacing w:val="-2"/>
                <w:sz w:val="18"/>
              </w:rPr>
              <w:t>1.641</w:t>
            </w:r>
          </w:p>
        </w:tc>
        <w:tc>
          <w:tcPr>
            <w:tcW w:w="1227" w:type="dxa"/>
            <w:shd w:val="clear" w:color="auto" w:fill="BEBEBE"/>
          </w:tcPr>
          <w:p>
            <w:pPr>
              <w:pStyle w:val="TableParagraph"/>
              <w:spacing w:before="52"/>
              <w:ind w:left="192"/>
              <w:jc w:val="center"/>
              <w:rPr>
                <w:sz w:val="18"/>
              </w:rPr>
            </w:pPr>
            <w:r>
              <w:rPr>
                <w:spacing w:val="-2"/>
                <w:sz w:val="18"/>
              </w:rPr>
              <w:t>28,3%</w:t>
            </w:r>
          </w:p>
        </w:tc>
      </w:tr>
      <w:tr>
        <w:trPr>
          <w:trHeight w:val="297" w:hRule="atLeast"/>
        </w:trPr>
        <w:tc>
          <w:tcPr>
            <w:tcW w:w="3687" w:type="dxa"/>
            <w:shd w:val="clear" w:color="auto" w:fill="D9D9D9"/>
          </w:tcPr>
          <w:p>
            <w:pPr>
              <w:pStyle w:val="TableParagraph"/>
              <w:spacing w:before="52"/>
              <w:ind w:left="108"/>
              <w:rPr>
                <w:sz w:val="18"/>
              </w:rPr>
            </w:pPr>
            <w:r>
              <w:rPr>
                <w:sz w:val="18"/>
              </w:rPr>
              <w:t>Λοιπά</w:t>
            </w:r>
            <w:r>
              <w:rPr>
                <w:spacing w:val="-1"/>
                <w:sz w:val="18"/>
              </w:rPr>
              <w:t> </w:t>
            </w:r>
            <w:r>
              <w:rPr>
                <w:spacing w:val="-2"/>
                <w:sz w:val="18"/>
              </w:rPr>
              <w:t>ομόλογα</w:t>
            </w:r>
          </w:p>
        </w:tc>
        <w:tc>
          <w:tcPr>
            <w:tcW w:w="901" w:type="dxa"/>
            <w:shd w:val="clear" w:color="auto" w:fill="D9D9D9"/>
          </w:tcPr>
          <w:p>
            <w:pPr>
              <w:pStyle w:val="TableParagraph"/>
              <w:spacing w:before="52"/>
              <w:ind w:right="199"/>
              <w:jc w:val="right"/>
              <w:rPr>
                <w:sz w:val="18"/>
              </w:rPr>
            </w:pPr>
            <w:r>
              <w:rPr>
                <w:spacing w:val="-10"/>
                <w:sz w:val="18"/>
              </w:rPr>
              <w:t>0</w:t>
            </w:r>
          </w:p>
        </w:tc>
        <w:tc>
          <w:tcPr>
            <w:tcW w:w="929" w:type="dxa"/>
            <w:shd w:val="clear" w:color="auto" w:fill="D9D9D9"/>
          </w:tcPr>
          <w:p>
            <w:pPr>
              <w:pStyle w:val="TableParagraph"/>
              <w:spacing w:before="52"/>
              <w:ind w:right="236"/>
              <w:jc w:val="right"/>
              <w:rPr>
                <w:sz w:val="18"/>
              </w:rPr>
            </w:pPr>
            <w:r>
              <w:rPr>
                <w:spacing w:val="-5"/>
                <w:sz w:val="18"/>
              </w:rPr>
              <w:t>31</w:t>
            </w:r>
          </w:p>
        </w:tc>
        <w:tc>
          <w:tcPr>
            <w:tcW w:w="948" w:type="dxa"/>
            <w:shd w:val="clear" w:color="auto" w:fill="D9D9D9"/>
          </w:tcPr>
          <w:p>
            <w:pPr>
              <w:pStyle w:val="TableParagraph"/>
              <w:spacing w:before="52"/>
              <w:ind w:right="214"/>
              <w:jc w:val="right"/>
              <w:rPr>
                <w:sz w:val="18"/>
              </w:rPr>
            </w:pPr>
            <w:r>
              <w:rPr>
                <w:spacing w:val="-5"/>
                <w:sz w:val="18"/>
              </w:rPr>
              <w:t>226</w:t>
            </w:r>
          </w:p>
        </w:tc>
        <w:tc>
          <w:tcPr>
            <w:tcW w:w="812" w:type="dxa"/>
            <w:shd w:val="clear" w:color="auto" w:fill="D9D9D9"/>
          </w:tcPr>
          <w:p>
            <w:pPr>
              <w:pStyle w:val="TableParagraph"/>
              <w:spacing w:before="52"/>
              <w:ind w:right="100"/>
              <w:jc w:val="right"/>
              <w:rPr>
                <w:sz w:val="18"/>
              </w:rPr>
            </w:pPr>
            <w:r>
              <w:rPr>
                <w:spacing w:val="-5"/>
                <w:sz w:val="18"/>
              </w:rPr>
              <w:t>163</w:t>
            </w:r>
          </w:p>
        </w:tc>
        <w:tc>
          <w:tcPr>
            <w:tcW w:w="1227" w:type="dxa"/>
            <w:shd w:val="clear" w:color="auto" w:fill="D9D9D9"/>
          </w:tcPr>
          <w:p>
            <w:pPr>
              <w:pStyle w:val="TableParagraph"/>
              <w:spacing w:before="52"/>
              <w:ind w:left="132"/>
              <w:jc w:val="center"/>
              <w:rPr>
                <w:sz w:val="18"/>
              </w:rPr>
            </w:pPr>
            <w:r>
              <w:rPr>
                <w:sz w:val="18"/>
              </w:rPr>
              <w:t>-</w:t>
            </w:r>
            <w:r>
              <w:rPr>
                <w:spacing w:val="-2"/>
                <w:sz w:val="18"/>
              </w:rPr>
              <w:t>27,8%</w:t>
            </w:r>
          </w:p>
        </w:tc>
      </w:tr>
      <w:tr>
        <w:trPr>
          <w:trHeight w:val="300" w:hRule="atLeast"/>
        </w:trPr>
        <w:tc>
          <w:tcPr>
            <w:tcW w:w="3687" w:type="dxa"/>
            <w:shd w:val="clear" w:color="auto" w:fill="BEBEBE"/>
          </w:tcPr>
          <w:p>
            <w:pPr>
              <w:pStyle w:val="TableParagraph"/>
              <w:spacing w:before="52"/>
              <w:ind w:left="108"/>
              <w:rPr>
                <w:sz w:val="18"/>
              </w:rPr>
            </w:pPr>
            <w:r>
              <w:rPr>
                <w:spacing w:val="-2"/>
                <w:sz w:val="18"/>
              </w:rPr>
              <w:t>Μετοχές</w:t>
            </w:r>
          </w:p>
        </w:tc>
        <w:tc>
          <w:tcPr>
            <w:tcW w:w="901" w:type="dxa"/>
            <w:shd w:val="clear" w:color="auto" w:fill="BEBEBE"/>
          </w:tcPr>
          <w:p>
            <w:pPr>
              <w:pStyle w:val="TableParagraph"/>
              <w:spacing w:before="52"/>
              <w:ind w:right="195"/>
              <w:jc w:val="right"/>
              <w:rPr>
                <w:sz w:val="18"/>
              </w:rPr>
            </w:pPr>
            <w:r>
              <w:rPr>
                <w:spacing w:val="-5"/>
                <w:sz w:val="18"/>
              </w:rPr>
              <w:t>694</w:t>
            </w:r>
          </w:p>
        </w:tc>
        <w:tc>
          <w:tcPr>
            <w:tcW w:w="929" w:type="dxa"/>
            <w:shd w:val="clear" w:color="auto" w:fill="BEBEBE"/>
          </w:tcPr>
          <w:p>
            <w:pPr>
              <w:pStyle w:val="TableParagraph"/>
              <w:spacing w:before="52"/>
              <w:ind w:right="236"/>
              <w:jc w:val="right"/>
              <w:rPr>
                <w:sz w:val="18"/>
              </w:rPr>
            </w:pPr>
            <w:r>
              <w:rPr>
                <w:spacing w:val="-5"/>
                <w:sz w:val="18"/>
              </w:rPr>
              <w:t>822</w:t>
            </w:r>
          </w:p>
        </w:tc>
        <w:tc>
          <w:tcPr>
            <w:tcW w:w="948" w:type="dxa"/>
            <w:shd w:val="clear" w:color="auto" w:fill="BEBEBE"/>
          </w:tcPr>
          <w:p>
            <w:pPr>
              <w:pStyle w:val="TableParagraph"/>
              <w:spacing w:before="52"/>
              <w:ind w:right="214"/>
              <w:jc w:val="right"/>
              <w:rPr>
                <w:sz w:val="18"/>
              </w:rPr>
            </w:pPr>
            <w:r>
              <w:rPr>
                <w:spacing w:val="-5"/>
                <w:sz w:val="18"/>
              </w:rPr>
              <w:t>860</w:t>
            </w:r>
          </w:p>
        </w:tc>
        <w:tc>
          <w:tcPr>
            <w:tcW w:w="812" w:type="dxa"/>
            <w:shd w:val="clear" w:color="auto" w:fill="BEBEBE"/>
          </w:tcPr>
          <w:p>
            <w:pPr>
              <w:pStyle w:val="TableParagraph"/>
              <w:spacing w:before="52"/>
              <w:ind w:right="102"/>
              <w:jc w:val="right"/>
              <w:rPr>
                <w:sz w:val="18"/>
              </w:rPr>
            </w:pPr>
            <w:r>
              <w:rPr>
                <w:spacing w:val="-2"/>
                <w:sz w:val="18"/>
              </w:rPr>
              <w:t>1.297</w:t>
            </w:r>
          </w:p>
        </w:tc>
        <w:tc>
          <w:tcPr>
            <w:tcW w:w="1227" w:type="dxa"/>
            <w:shd w:val="clear" w:color="auto" w:fill="BEBEBE"/>
          </w:tcPr>
          <w:p>
            <w:pPr>
              <w:pStyle w:val="TableParagraph"/>
              <w:spacing w:before="52"/>
              <w:ind w:left="192"/>
              <w:jc w:val="center"/>
              <w:rPr>
                <w:sz w:val="18"/>
              </w:rPr>
            </w:pPr>
            <w:r>
              <w:rPr>
                <w:spacing w:val="-2"/>
                <w:sz w:val="18"/>
              </w:rPr>
              <w:t>50,8%</w:t>
            </w:r>
          </w:p>
        </w:tc>
      </w:tr>
      <w:tr>
        <w:trPr>
          <w:trHeight w:val="316" w:hRule="atLeast"/>
        </w:trPr>
        <w:tc>
          <w:tcPr>
            <w:tcW w:w="3687" w:type="dxa"/>
            <w:shd w:val="clear" w:color="auto" w:fill="D9D9D9"/>
          </w:tcPr>
          <w:p>
            <w:pPr>
              <w:pStyle w:val="TableParagraph"/>
              <w:spacing w:before="52"/>
              <w:ind w:left="108"/>
              <w:rPr>
                <w:sz w:val="18"/>
              </w:rPr>
            </w:pPr>
            <w:r>
              <w:rPr>
                <w:sz w:val="18"/>
              </w:rPr>
              <w:t>Αμοιβαία</w:t>
            </w:r>
            <w:r>
              <w:rPr>
                <w:spacing w:val="-4"/>
                <w:sz w:val="18"/>
              </w:rPr>
              <w:t> </w:t>
            </w:r>
            <w:r>
              <w:rPr>
                <w:spacing w:val="-2"/>
                <w:sz w:val="18"/>
              </w:rPr>
              <w:t>κεφάλαια</w:t>
            </w:r>
          </w:p>
        </w:tc>
        <w:tc>
          <w:tcPr>
            <w:tcW w:w="901" w:type="dxa"/>
            <w:shd w:val="clear" w:color="auto" w:fill="D9D9D9"/>
          </w:tcPr>
          <w:p>
            <w:pPr>
              <w:pStyle w:val="TableParagraph"/>
              <w:spacing w:before="52"/>
              <w:ind w:right="195"/>
              <w:jc w:val="right"/>
              <w:rPr>
                <w:sz w:val="18"/>
              </w:rPr>
            </w:pPr>
            <w:r>
              <w:rPr>
                <w:spacing w:val="-5"/>
                <w:sz w:val="18"/>
              </w:rPr>
              <w:t>351</w:t>
            </w:r>
          </w:p>
        </w:tc>
        <w:tc>
          <w:tcPr>
            <w:tcW w:w="929" w:type="dxa"/>
            <w:shd w:val="clear" w:color="auto" w:fill="D9D9D9"/>
          </w:tcPr>
          <w:p>
            <w:pPr>
              <w:pStyle w:val="TableParagraph"/>
              <w:spacing w:before="52"/>
              <w:ind w:right="236"/>
              <w:jc w:val="right"/>
              <w:rPr>
                <w:sz w:val="18"/>
              </w:rPr>
            </w:pPr>
            <w:r>
              <w:rPr>
                <w:spacing w:val="-5"/>
                <w:sz w:val="18"/>
              </w:rPr>
              <w:t>501</w:t>
            </w:r>
          </w:p>
        </w:tc>
        <w:tc>
          <w:tcPr>
            <w:tcW w:w="948" w:type="dxa"/>
            <w:shd w:val="clear" w:color="auto" w:fill="D9D9D9"/>
          </w:tcPr>
          <w:p>
            <w:pPr>
              <w:pStyle w:val="TableParagraph"/>
              <w:spacing w:before="52"/>
              <w:ind w:right="214"/>
              <w:jc w:val="right"/>
              <w:rPr>
                <w:sz w:val="18"/>
              </w:rPr>
            </w:pPr>
            <w:r>
              <w:rPr>
                <w:spacing w:val="-5"/>
                <w:sz w:val="18"/>
              </w:rPr>
              <w:t>508</w:t>
            </w:r>
          </w:p>
        </w:tc>
        <w:tc>
          <w:tcPr>
            <w:tcW w:w="812" w:type="dxa"/>
            <w:shd w:val="clear" w:color="auto" w:fill="D9D9D9"/>
          </w:tcPr>
          <w:p>
            <w:pPr>
              <w:pStyle w:val="TableParagraph"/>
              <w:spacing w:before="52"/>
              <w:ind w:right="100"/>
              <w:jc w:val="right"/>
              <w:rPr>
                <w:sz w:val="18"/>
              </w:rPr>
            </w:pPr>
            <w:r>
              <w:rPr>
                <w:spacing w:val="-5"/>
                <w:sz w:val="18"/>
              </w:rPr>
              <w:t>512</w:t>
            </w:r>
          </w:p>
        </w:tc>
        <w:tc>
          <w:tcPr>
            <w:tcW w:w="1227" w:type="dxa"/>
            <w:shd w:val="clear" w:color="auto" w:fill="D9D9D9"/>
          </w:tcPr>
          <w:p>
            <w:pPr>
              <w:pStyle w:val="TableParagraph"/>
              <w:spacing w:before="52"/>
              <w:ind w:left="283"/>
              <w:jc w:val="center"/>
              <w:rPr>
                <w:sz w:val="18"/>
              </w:rPr>
            </w:pPr>
            <w:r>
              <w:rPr>
                <w:spacing w:val="-4"/>
                <w:sz w:val="18"/>
              </w:rPr>
              <w:t>0,9%</w:t>
            </w:r>
          </w:p>
        </w:tc>
      </w:tr>
      <w:tr>
        <w:trPr>
          <w:trHeight w:val="622" w:hRule="atLeast"/>
        </w:trPr>
        <w:tc>
          <w:tcPr>
            <w:tcW w:w="8504" w:type="dxa"/>
            <w:gridSpan w:val="6"/>
            <w:shd w:val="clear" w:color="auto" w:fill="BEBEBE"/>
          </w:tcPr>
          <w:p>
            <w:pPr>
              <w:pStyle w:val="TableParagraph"/>
              <w:spacing w:before="119"/>
              <w:ind w:left="112"/>
              <w:rPr>
                <w:sz w:val="14"/>
              </w:rPr>
            </w:pPr>
            <w:r>
              <w:rPr>
                <w:sz w:val="14"/>
              </w:rPr>
              <w:t>Πηγή:</w:t>
            </w:r>
            <w:r>
              <w:rPr>
                <w:spacing w:val="-6"/>
                <w:sz w:val="14"/>
              </w:rPr>
              <w:t> </w:t>
            </w:r>
            <w:r>
              <w:rPr>
                <w:sz w:val="14"/>
              </w:rPr>
              <w:t>Τράπεζα</w:t>
            </w:r>
            <w:r>
              <w:rPr>
                <w:spacing w:val="-5"/>
                <w:sz w:val="14"/>
              </w:rPr>
              <w:t> </w:t>
            </w:r>
            <w:r>
              <w:rPr>
                <w:sz w:val="14"/>
              </w:rPr>
              <w:t>της</w:t>
            </w:r>
            <w:r>
              <w:rPr>
                <w:spacing w:val="-6"/>
                <w:sz w:val="14"/>
              </w:rPr>
              <w:t> </w:t>
            </w:r>
            <w:r>
              <w:rPr>
                <w:spacing w:val="-2"/>
                <w:sz w:val="14"/>
              </w:rPr>
              <w:t>Ελλάδος.</w:t>
            </w:r>
          </w:p>
          <w:p>
            <w:pPr>
              <w:pStyle w:val="TableParagraph"/>
              <w:spacing w:before="120"/>
              <w:ind w:left="112"/>
              <w:rPr>
                <w:sz w:val="14"/>
              </w:rPr>
            </w:pPr>
            <w:r>
              <w:rPr>
                <w:sz w:val="14"/>
              </w:rPr>
              <w:t>*</w:t>
            </w:r>
            <w:r>
              <w:rPr>
                <w:spacing w:val="-8"/>
                <w:sz w:val="14"/>
              </w:rPr>
              <w:t> </w:t>
            </w:r>
            <w:r>
              <w:rPr>
                <w:sz w:val="14"/>
              </w:rPr>
              <w:t>Έντοκα</w:t>
            </w:r>
            <w:r>
              <w:rPr>
                <w:spacing w:val="-7"/>
                <w:sz w:val="14"/>
              </w:rPr>
              <w:t> </w:t>
            </w:r>
            <w:r>
              <w:rPr>
                <w:sz w:val="14"/>
              </w:rPr>
              <w:t>Γραμμάτια</w:t>
            </w:r>
            <w:r>
              <w:rPr>
                <w:spacing w:val="-7"/>
                <w:sz w:val="14"/>
              </w:rPr>
              <w:t> </w:t>
            </w:r>
            <w:r>
              <w:rPr>
                <w:sz w:val="14"/>
              </w:rPr>
              <w:t>Ελληνικού</w:t>
            </w:r>
            <w:r>
              <w:rPr>
                <w:spacing w:val="-7"/>
                <w:sz w:val="14"/>
              </w:rPr>
              <w:t> </w:t>
            </w:r>
            <w:r>
              <w:rPr>
                <w:spacing w:val="-2"/>
                <w:sz w:val="14"/>
              </w:rPr>
              <w:t>Δημοσίου.</w:t>
            </w:r>
          </w:p>
        </w:tc>
      </w:tr>
    </w:tbl>
    <w:p>
      <w:pPr>
        <w:pStyle w:val="BodyText"/>
        <w:rPr>
          <w:sz w:val="14"/>
        </w:rPr>
      </w:pPr>
    </w:p>
    <w:p>
      <w:pPr>
        <w:pStyle w:val="BodyText"/>
        <w:rPr>
          <w:sz w:val="14"/>
        </w:rPr>
      </w:pPr>
    </w:p>
    <w:p>
      <w:pPr>
        <w:pStyle w:val="BodyText"/>
        <w:rPr>
          <w:sz w:val="14"/>
        </w:rPr>
      </w:pPr>
    </w:p>
    <w:p>
      <w:pPr>
        <w:pStyle w:val="BodyText"/>
        <w:spacing w:before="48"/>
        <w:rPr>
          <w:sz w:val="14"/>
        </w:rPr>
      </w:pPr>
    </w:p>
    <w:p>
      <w:pPr>
        <w:pStyle w:val="Heading4"/>
      </w:pPr>
      <w:r>
        <w:rPr>
          <w:color w:val="1F487C"/>
        </w:rPr>
        <w:t>Έκθεση</w:t>
      </w:r>
      <w:r>
        <w:rPr>
          <w:color w:val="1F487C"/>
          <w:spacing w:val="-12"/>
        </w:rPr>
        <w:t> </w:t>
      </w:r>
      <w:r>
        <w:rPr>
          <w:color w:val="1F487C"/>
        </w:rPr>
        <w:t>σε</w:t>
      </w:r>
      <w:r>
        <w:rPr>
          <w:color w:val="1F487C"/>
          <w:spacing w:val="-11"/>
        </w:rPr>
        <w:t> </w:t>
      </w:r>
      <w:r>
        <w:rPr>
          <w:color w:val="1F487C"/>
        </w:rPr>
        <w:t>κρατ</w:t>
      </w:r>
      <w:r>
        <w:rPr>
          <w:smallCaps/>
          <w:color w:val="1F487C"/>
        </w:rPr>
        <w:t>ι</w:t>
      </w:r>
      <w:r>
        <w:rPr>
          <w:smallCaps w:val="0"/>
          <w:color w:val="1F487C"/>
        </w:rPr>
        <w:t>κά</w:t>
      </w:r>
      <w:r>
        <w:rPr>
          <w:smallCaps w:val="0"/>
          <w:color w:val="1F487C"/>
          <w:spacing w:val="-12"/>
        </w:rPr>
        <w:t> </w:t>
      </w:r>
      <w:r>
        <w:rPr>
          <w:smallCaps w:val="0"/>
          <w:color w:val="1F487C"/>
        </w:rPr>
        <w:t>ομόλογα</w:t>
      </w:r>
      <w:r>
        <w:rPr>
          <w:smallCaps w:val="0"/>
          <w:color w:val="1F487C"/>
          <w:spacing w:val="-10"/>
        </w:rPr>
        <w:t> </w:t>
      </w:r>
      <w:r>
        <w:rPr>
          <w:smallCaps w:val="0"/>
          <w:color w:val="1F487C"/>
        </w:rPr>
        <w:t>λο</w:t>
      </w:r>
      <w:r>
        <w:rPr>
          <w:smallCaps/>
          <w:color w:val="1F487C"/>
        </w:rPr>
        <w:t>ι</w:t>
      </w:r>
      <w:r>
        <w:rPr>
          <w:smallCaps w:val="0"/>
          <w:color w:val="1F487C"/>
        </w:rPr>
        <w:t>πών</w:t>
      </w:r>
      <w:r>
        <w:rPr>
          <w:smallCaps w:val="0"/>
          <w:color w:val="1F487C"/>
          <w:spacing w:val="-12"/>
        </w:rPr>
        <w:t> </w:t>
      </w:r>
      <w:r>
        <w:rPr>
          <w:smallCaps w:val="0"/>
          <w:color w:val="1F487C"/>
          <w:spacing w:val="-4"/>
        </w:rPr>
        <w:t>χωρών</w:t>
      </w:r>
    </w:p>
    <w:p>
      <w:pPr>
        <w:pStyle w:val="BodyText"/>
        <w:spacing w:line="285" w:lineRule="auto" w:before="73"/>
        <w:ind w:left="172" w:right="1062"/>
        <w:jc w:val="both"/>
      </w:pPr>
      <w:r>
        <w:rPr/>
        <w:t>H</w:t>
      </w:r>
      <w:r>
        <w:rPr>
          <w:spacing w:val="-1"/>
        </w:rPr>
        <w:t> </w:t>
      </w:r>
      <w:r>
        <w:rPr/>
        <w:t>αξία</w:t>
      </w:r>
      <w:r>
        <w:rPr>
          <w:spacing w:val="-1"/>
        </w:rPr>
        <w:t> </w:t>
      </w:r>
      <w:r>
        <w:rPr/>
        <w:t>των κρατικών ομολόγων λοιπών χωρών</w:t>
      </w:r>
      <w:r>
        <w:rPr>
          <w:spacing w:val="-1"/>
        </w:rPr>
        <w:t> </w:t>
      </w:r>
      <w:r>
        <w:rPr/>
        <w:t>(εκτός</w:t>
      </w:r>
      <w:r>
        <w:rPr>
          <w:spacing w:val="-1"/>
        </w:rPr>
        <w:t> </w:t>
      </w:r>
      <w:r>
        <w:rPr/>
        <w:t>Ελλάδος) που διακρατούν</w:t>
      </w:r>
      <w:r>
        <w:rPr>
          <w:spacing w:val="-4"/>
        </w:rPr>
        <w:t> </w:t>
      </w:r>
      <w:r>
        <w:rPr/>
        <w:t>οι τραπεζικοί όμιλοι ανήλθε σε 32,9 δισεκ. ευρώ τον Δεκέμβριο του 2025, αυξημένη κατά 6,6</w:t>
      </w:r>
      <w:r>
        <w:rPr>
          <w:spacing w:val="-3"/>
        </w:rPr>
        <w:t> </w:t>
      </w:r>
      <w:r>
        <w:rPr/>
        <w:t>δισεκ. ευρώ ή 25,3%</w:t>
      </w:r>
      <w:r>
        <w:rPr>
          <w:spacing w:val="-10"/>
        </w:rPr>
        <w:t> </w:t>
      </w:r>
      <w:r>
        <w:rPr/>
        <w:t>σε</w:t>
      </w:r>
      <w:r>
        <w:rPr>
          <w:spacing w:val="-10"/>
        </w:rPr>
        <w:t> </w:t>
      </w:r>
      <w:r>
        <w:rPr/>
        <w:t>σύγκριση</w:t>
      </w:r>
      <w:r>
        <w:rPr>
          <w:spacing w:val="-9"/>
        </w:rPr>
        <w:t> </w:t>
      </w:r>
      <w:r>
        <w:rPr/>
        <w:t>με</w:t>
      </w:r>
      <w:r>
        <w:rPr>
          <w:spacing w:val="-8"/>
        </w:rPr>
        <w:t> </w:t>
      </w:r>
      <w:r>
        <w:rPr/>
        <w:t>τον</w:t>
      </w:r>
      <w:r>
        <w:rPr>
          <w:spacing w:val="-9"/>
        </w:rPr>
        <w:t> </w:t>
      </w:r>
      <w:r>
        <w:rPr/>
        <w:t>Δεκέμβριο</w:t>
      </w:r>
      <w:r>
        <w:rPr>
          <w:spacing w:val="-8"/>
        </w:rPr>
        <w:t> </w:t>
      </w:r>
      <w:r>
        <w:rPr/>
        <w:t>του</w:t>
      </w:r>
      <w:r>
        <w:rPr>
          <w:spacing w:val="-8"/>
        </w:rPr>
        <w:t> </w:t>
      </w:r>
      <w:r>
        <w:rPr/>
        <w:t>2024.</w:t>
      </w:r>
      <w:r>
        <w:rPr>
          <w:spacing w:val="-9"/>
        </w:rPr>
        <w:t> </w:t>
      </w:r>
      <w:r>
        <w:rPr/>
        <w:t>Τα</w:t>
      </w:r>
      <w:r>
        <w:rPr>
          <w:spacing w:val="-12"/>
        </w:rPr>
        <w:t> </w:t>
      </w:r>
      <w:r>
        <w:rPr/>
        <w:t>εν</w:t>
      </w:r>
      <w:r>
        <w:rPr>
          <w:spacing w:val="-10"/>
        </w:rPr>
        <w:t> </w:t>
      </w:r>
      <w:r>
        <w:rPr/>
        <w:t>λόγω</w:t>
      </w:r>
      <w:r>
        <w:rPr>
          <w:spacing w:val="-8"/>
        </w:rPr>
        <w:t> </w:t>
      </w:r>
      <w:r>
        <w:rPr/>
        <w:t>ομόλογα</w:t>
      </w:r>
      <w:r>
        <w:rPr>
          <w:spacing w:val="-8"/>
        </w:rPr>
        <w:t> </w:t>
      </w:r>
      <w:r>
        <w:rPr/>
        <w:t>αφορούν</w:t>
      </w:r>
      <w:r>
        <w:rPr>
          <w:spacing w:val="-8"/>
        </w:rPr>
        <w:t> </w:t>
      </w:r>
      <w:r>
        <w:rPr/>
        <w:t>κατά</w:t>
      </w:r>
      <w:r>
        <w:rPr>
          <w:spacing w:val="-9"/>
        </w:rPr>
        <w:t> </w:t>
      </w:r>
      <w:r>
        <w:rPr/>
        <w:t>κύριο</w:t>
      </w:r>
      <w:r>
        <w:rPr>
          <w:spacing w:val="-11"/>
        </w:rPr>
        <w:t> </w:t>
      </w:r>
      <w:r>
        <w:rPr/>
        <w:t>λόγο εκδόσεις χωρών της Ευρωπαϊκής Ένωσης (ΕΕ) και της Ομάδας των 10 (G10) και αποτελούν</w:t>
      </w:r>
    </w:p>
    <w:p>
      <w:pPr>
        <w:pStyle w:val="BodyText"/>
        <w:spacing w:after="0" w:line="285" w:lineRule="auto"/>
        <w:jc w:val="both"/>
        <w:sectPr>
          <w:pgSz w:w="11910" w:h="16850"/>
          <w:pgMar w:header="0" w:footer="1108" w:top="1800" w:bottom="1300" w:left="1417" w:right="850"/>
        </w:sectPr>
      </w:pPr>
    </w:p>
    <w:p>
      <w:pPr>
        <w:pStyle w:val="BodyText"/>
        <w:spacing w:line="285" w:lineRule="auto" w:before="72"/>
        <w:ind w:left="172" w:right="1065"/>
        <w:jc w:val="both"/>
      </w:pPr>
      <w:r>
        <w:rPr/>
        <w:t>περίπου</w:t>
      </w:r>
      <w:r>
        <w:rPr>
          <w:spacing w:val="-4"/>
        </w:rPr>
        <w:t> </w:t>
      </w:r>
      <w:r>
        <w:rPr/>
        <w:t>το</w:t>
      </w:r>
      <w:r>
        <w:rPr>
          <w:spacing w:val="-3"/>
        </w:rPr>
        <w:t> </w:t>
      </w:r>
      <w:r>
        <w:rPr/>
        <w:t>38%</w:t>
      </w:r>
      <w:r>
        <w:rPr>
          <w:spacing w:val="-2"/>
        </w:rPr>
        <w:t> </w:t>
      </w:r>
      <w:r>
        <w:rPr/>
        <w:t>του</w:t>
      </w:r>
      <w:r>
        <w:rPr>
          <w:spacing w:val="-2"/>
        </w:rPr>
        <w:t> </w:t>
      </w:r>
      <w:r>
        <w:rPr/>
        <w:t>χαρτοφυλακίου</w:t>
      </w:r>
      <w:r>
        <w:rPr>
          <w:spacing w:val="-1"/>
        </w:rPr>
        <w:t> </w:t>
      </w:r>
      <w:r>
        <w:rPr/>
        <w:t>ομολόγων</w:t>
      </w:r>
      <w:r>
        <w:rPr>
          <w:spacing w:val="-2"/>
        </w:rPr>
        <w:t> </w:t>
      </w:r>
      <w:r>
        <w:rPr/>
        <w:t>που</w:t>
      </w:r>
      <w:r>
        <w:rPr>
          <w:spacing w:val="-2"/>
        </w:rPr>
        <w:t> </w:t>
      </w:r>
      <w:r>
        <w:rPr/>
        <w:t>διατηρούν</w:t>
      </w:r>
      <w:r>
        <w:rPr>
          <w:spacing w:val="-2"/>
        </w:rPr>
        <w:t> </w:t>
      </w:r>
      <w:r>
        <w:rPr/>
        <w:t>οι</w:t>
      </w:r>
      <w:r>
        <w:rPr>
          <w:spacing w:val="-5"/>
        </w:rPr>
        <w:t> </w:t>
      </w:r>
      <w:r>
        <w:rPr/>
        <w:t>τράπεζες</w:t>
      </w:r>
      <w:r>
        <w:rPr>
          <w:spacing w:val="-4"/>
        </w:rPr>
        <w:t> </w:t>
      </w:r>
      <w:r>
        <w:rPr/>
        <w:t>(8,9%</w:t>
      </w:r>
      <w:r>
        <w:rPr>
          <w:spacing w:val="-5"/>
        </w:rPr>
        <w:t> </w:t>
      </w:r>
      <w:r>
        <w:rPr/>
        <w:t>του</w:t>
      </w:r>
      <w:r>
        <w:rPr>
          <w:spacing w:val="-5"/>
        </w:rPr>
        <w:t> </w:t>
      </w:r>
      <w:r>
        <w:rPr/>
        <w:t>ενεργητι-κού τους). Τα ομόλογα αυτά κατά το μεγαλύτερο μέρος τους (84%) διακρατούνται μέχρι τη λήξη τους και αποτιμώνται στο αποσβεσμένο κόστος (at amortised cost).</w:t>
      </w:r>
    </w:p>
    <w:p>
      <w:pPr>
        <w:pStyle w:val="Heading4"/>
        <w:spacing w:before="91"/>
      </w:pPr>
      <w:r>
        <w:rPr>
          <w:color w:val="1F487C"/>
        </w:rPr>
        <w:t>Έκθεση</w:t>
      </w:r>
      <w:r>
        <w:rPr>
          <w:color w:val="1F487C"/>
          <w:spacing w:val="-10"/>
        </w:rPr>
        <w:t> </w:t>
      </w:r>
      <w:r>
        <w:rPr>
          <w:color w:val="1F487C"/>
        </w:rPr>
        <w:t>σε</w:t>
      </w:r>
      <w:r>
        <w:rPr>
          <w:color w:val="1F487C"/>
          <w:spacing w:val="-7"/>
        </w:rPr>
        <w:t> </w:t>
      </w:r>
      <w:r>
        <w:rPr>
          <w:color w:val="1F487C"/>
        </w:rPr>
        <w:t>μη</w:t>
      </w:r>
      <w:r>
        <w:rPr>
          <w:color w:val="1F487C"/>
          <w:spacing w:val="-6"/>
        </w:rPr>
        <w:t> </w:t>
      </w:r>
      <w:r>
        <w:rPr>
          <w:color w:val="1F487C"/>
        </w:rPr>
        <w:t>κρατ</w:t>
      </w:r>
      <w:r>
        <w:rPr>
          <w:smallCaps/>
          <w:color w:val="1F487C"/>
        </w:rPr>
        <w:t>ι</w:t>
      </w:r>
      <w:r>
        <w:rPr>
          <w:smallCaps w:val="0"/>
          <w:color w:val="1F487C"/>
        </w:rPr>
        <w:t>κά</w:t>
      </w:r>
      <w:r>
        <w:rPr>
          <w:smallCaps w:val="0"/>
          <w:color w:val="1F487C"/>
          <w:spacing w:val="-12"/>
        </w:rPr>
        <w:t> </w:t>
      </w:r>
      <w:r>
        <w:rPr>
          <w:smallCaps w:val="0"/>
          <w:color w:val="1F487C"/>
          <w:spacing w:val="-2"/>
        </w:rPr>
        <w:t>ομόλογα</w:t>
      </w:r>
    </w:p>
    <w:p>
      <w:pPr>
        <w:pStyle w:val="BodyText"/>
        <w:spacing w:line="285" w:lineRule="auto" w:before="73"/>
        <w:ind w:left="172" w:right="1059"/>
        <w:jc w:val="both"/>
      </w:pPr>
      <w:r>
        <w:rPr/>
        <w:t>Πέραν</w:t>
      </w:r>
      <w:r>
        <w:rPr>
          <w:spacing w:val="-5"/>
        </w:rPr>
        <w:t> </w:t>
      </w:r>
      <w:r>
        <w:rPr/>
        <w:t>των</w:t>
      </w:r>
      <w:r>
        <w:rPr>
          <w:spacing w:val="-2"/>
        </w:rPr>
        <w:t> </w:t>
      </w:r>
      <w:r>
        <w:rPr/>
        <w:t>κρατικών</w:t>
      </w:r>
      <w:r>
        <w:rPr>
          <w:spacing w:val="-2"/>
        </w:rPr>
        <w:t> </w:t>
      </w:r>
      <w:r>
        <w:rPr/>
        <w:t>ομολόγων,</w:t>
      </w:r>
      <w:r>
        <w:rPr>
          <w:spacing w:val="-6"/>
        </w:rPr>
        <w:t> </w:t>
      </w:r>
      <w:r>
        <w:rPr/>
        <w:t>οι</w:t>
      </w:r>
      <w:r>
        <w:rPr>
          <w:spacing w:val="-3"/>
        </w:rPr>
        <w:t> </w:t>
      </w:r>
      <w:r>
        <w:rPr/>
        <w:t>τράπεζες</w:t>
      </w:r>
      <w:r>
        <w:rPr>
          <w:spacing w:val="-6"/>
        </w:rPr>
        <w:t> </w:t>
      </w:r>
      <w:r>
        <w:rPr/>
        <w:t>διατηρούν</w:t>
      </w:r>
      <w:r>
        <w:rPr>
          <w:spacing w:val="-5"/>
        </w:rPr>
        <w:t> </w:t>
      </w:r>
      <w:r>
        <w:rPr/>
        <w:t>στα</w:t>
      </w:r>
      <w:r>
        <w:rPr>
          <w:spacing w:val="-3"/>
        </w:rPr>
        <w:t> </w:t>
      </w:r>
      <w:r>
        <w:rPr/>
        <w:t>χαρτοφυλάκιά</w:t>
      </w:r>
      <w:r>
        <w:rPr>
          <w:spacing w:val="-5"/>
        </w:rPr>
        <w:t> </w:t>
      </w:r>
      <w:r>
        <w:rPr/>
        <w:t>τους</w:t>
      </w:r>
      <w:r>
        <w:rPr>
          <w:spacing w:val="-4"/>
        </w:rPr>
        <w:t> </w:t>
      </w:r>
      <w:r>
        <w:rPr/>
        <w:t>ομόλογα</w:t>
      </w:r>
      <w:r>
        <w:rPr>
          <w:spacing w:val="-1"/>
        </w:rPr>
        <w:t> </w:t>
      </w:r>
      <w:r>
        <w:rPr/>
        <w:t>εκδό-σεως</w:t>
      </w:r>
      <w:r>
        <w:rPr>
          <w:spacing w:val="-8"/>
        </w:rPr>
        <w:t> </w:t>
      </w:r>
      <w:r>
        <w:rPr/>
        <w:t>υπερεθνικών</w:t>
      </w:r>
      <w:r>
        <w:rPr>
          <w:spacing w:val="-4"/>
        </w:rPr>
        <w:t> </w:t>
      </w:r>
      <w:r>
        <w:rPr/>
        <w:t>οργανισμών,</w:t>
      </w:r>
      <w:r>
        <w:rPr>
          <w:spacing w:val="-7"/>
        </w:rPr>
        <w:t> </w:t>
      </w:r>
      <w:r>
        <w:rPr/>
        <w:t>τραπεζικά</w:t>
      </w:r>
      <w:r>
        <w:rPr>
          <w:spacing w:val="-6"/>
        </w:rPr>
        <w:t> </w:t>
      </w:r>
      <w:r>
        <w:rPr/>
        <w:t>ομόλογα,</w:t>
      </w:r>
      <w:r>
        <w:rPr>
          <w:spacing w:val="-8"/>
        </w:rPr>
        <w:t> </w:t>
      </w:r>
      <w:r>
        <w:rPr/>
        <w:t>εταιρικά</w:t>
      </w:r>
      <w:r>
        <w:rPr>
          <w:spacing w:val="-8"/>
        </w:rPr>
        <w:t> </w:t>
      </w:r>
      <w:r>
        <w:rPr/>
        <w:t>ομόλογα,</w:t>
      </w:r>
      <w:r>
        <w:rPr>
          <w:spacing w:val="-5"/>
        </w:rPr>
        <w:t> </w:t>
      </w:r>
      <w:r>
        <w:rPr/>
        <w:t>καθώς</w:t>
      </w:r>
      <w:r>
        <w:rPr>
          <w:spacing w:val="-6"/>
        </w:rPr>
        <w:t> </w:t>
      </w:r>
      <w:r>
        <w:rPr/>
        <w:t>και</w:t>
      </w:r>
      <w:r>
        <w:rPr>
          <w:spacing w:val="-4"/>
        </w:rPr>
        <w:t> </w:t>
      </w:r>
      <w:r>
        <w:rPr/>
        <w:t>ομόλογα</w:t>
      </w:r>
      <w:r>
        <w:rPr>
          <w:spacing w:val="-8"/>
        </w:rPr>
        <w:t> </w:t>
      </w:r>
      <w:r>
        <w:rPr/>
        <w:t>εκ-δόσεως μη τραπεζικών χρηματοοικονομικών οργανισμών. Συγκεκριμένα, τον Δεκέμβριο του 2025</w:t>
      </w:r>
      <w:r>
        <w:rPr>
          <w:spacing w:val="-5"/>
        </w:rPr>
        <w:t> </w:t>
      </w:r>
      <w:r>
        <w:rPr/>
        <w:t>η</w:t>
      </w:r>
      <w:r>
        <w:rPr>
          <w:spacing w:val="-5"/>
        </w:rPr>
        <w:t> </w:t>
      </w:r>
      <w:r>
        <w:rPr/>
        <w:t>αξία</w:t>
      </w:r>
      <w:r>
        <w:rPr>
          <w:spacing w:val="-5"/>
        </w:rPr>
        <w:t> </w:t>
      </w:r>
      <w:r>
        <w:rPr/>
        <w:t>των</w:t>
      </w:r>
      <w:r>
        <w:rPr>
          <w:spacing w:val="-3"/>
        </w:rPr>
        <w:t> </w:t>
      </w:r>
      <w:r>
        <w:rPr/>
        <w:t>ομολόγων</w:t>
      </w:r>
      <w:r>
        <w:rPr>
          <w:spacing w:val="-5"/>
        </w:rPr>
        <w:t> </w:t>
      </w:r>
      <w:r>
        <w:rPr/>
        <w:t>υπερεθνικών</w:t>
      </w:r>
      <w:r>
        <w:rPr>
          <w:spacing w:val="-3"/>
        </w:rPr>
        <w:t> </w:t>
      </w:r>
      <w:r>
        <w:rPr/>
        <w:t>οργανισμών</w:t>
      </w:r>
      <w:r>
        <w:rPr>
          <w:spacing w:val="-3"/>
        </w:rPr>
        <w:t> </w:t>
      </w:r>
      <w:r>
        <w:rPr/>
        <w:t>διαμορφώθηκε</w:t>
      </w:r>
      <w:r>
        <w:rPr>
          <w:spacing w:val="-4"/>
        </w:rPr>
        <w:t> </w:t>
      </w:r>
      <w:r>
        <w:rPr/>
        <w:t>σε</w:t>
      </w:r>
      <w:r>
        <w:rPr>
          <w:spacing w:val="-4"/>
        </w:rPr>
        <w:t> </w:t>
      </w:r>
      <w:r>
        <w:rPr/>
        <w:t>1,8</w:t>
      </w:r>
      <w:r>
        <w:rPr>
          <w:spacing w:val="-5"/>
        </w:rPr>
        <w:t> </w:t>
      </w:r>
      <w:r>
        <w:rPr/>
        <w:t>δισεκ.</w:t>
      </w:r>
      <w:r>
        <w:rPr>
          <w:spacing w:val="-7"/>
        </w:rPr>
        <w:t> </w:t>
      </w:r>
      <w:r>
        <w:rPr/>
        <w:t>ευρώ</w:t>
      </w:r>
      <w:r>
        <w:rPr>
          <w:spacing w:val="-3"/>
        </w:rPr>
        <w:t> </w:t>
      </w:r>
      <w:r>
        <w:rPr/>
        <w:t>(αυξη-μένη κατά 29,9 εκατ. ευρώ ή 1,7%), των τραπεζικών ομολόγων σε 8,7 δισεκ. ευρώ (μειωμένη κατά</w:t>
      </w:r>
      <w:r>
        <w:rPr>
          <w:spacing w:val="-3"/>
        </w:rPr>
        <w:t> </w:t>
      </w:r>
      <w:r>
        <w:rPr/>
        <w:t>154</w:t>
      </w:r>
      <w:r>
        <w:rPr>
          <w:spacing w:val="-2"/>
        </w:rPr>
        <w:t> </w:t>
      </w:r>
      <w:r>
        <w:rPr/>
        <w:t>εκατ.</w:t>
      </w:r>
      <w:r>
        <w:rPr>
          <w:spacing w:val="-2"/>
        </w:rPr>
        <w:t> </w:t>
      </w:r>
      <w:r>
        <w:rPr/>
        <w:t>ευρώ</w:t>
      </w:r>
      <w:r>
        <w:rPr>
          <w:spacing w:val="-1"/>
        </w:rPr>
        <w:t> </w:t>
      </w:r>
      <w:r>
        <w:rPr/>
        <w:t>ή</w:t>
      </w:r>
      <w:r>
        <w:rPr>
          <w:spacing w:val="-2"/>
        </w:rPr>
        <w:t> </w:t>
      </w:r>
      <w:r>
        <w:rPr/>
        <w:t>1,7%),</w:t>
      </w:r>
      <w:r>
        <w:rPr>
          <w:spacing w:val="-2"/>
        </w:rPr>
        <w:t> </w:t>
      </w:r>
      <w:r>
        <w:rPr/>
        <w:t>ενώ</w:t>
      </w:r>
      <w:r>
        <w:rPr>
          <w:spacing w:val="-1"/>
        </w:rPr>
        <w:t> </w:t>
      </w:r>
      <w:r>
        <w:rPr/>
        <w:t>των</w:t>
      </w:r>
      <w:r>
        <w:rPr>
          <w:spacing w:val="-1"/>
        </w:rPr>
        <w:t> </w:t>
      </w:r>
      <w:r>
        <w:rPr/>
        <w:t>εταιρικών</w:t>
      </w:r>
      <w:r>
        <w:rPr>
          <w:spacing w:val="-1"/>
        </w:rPr>
        <w:t> </w:t>
      </w:r>
      <w:r>
        <w:rPr/>
        <w:t>ομολόγων</w:t>
      </w:r>
      <w:r>
        <w:rPr>
          <w:spacing w:val="-1"/>
        </w:rPr>
        <w:t> </w:t>
      </w:r>
      <w:r>
        <w:rPr/>
        <w:t>διαμορφώθηκε</w:t>
      </w:r>
      <w:r>
        <w:rPr>
          <w:spacing w:val="-2"/>
        </w:rPr>
        <w:t> </w:t>
      </w:r>
      <w:r>
        <w:rPr/>
        <w:t>σε</w:t>
      </w:r>
      <w:r>
        <w:rPr>
          <w:spacing w:val="-2"/>
        </w:rPr>
        <w:t> </w:t>
      </w:r>
      <w:r>
        <w:rPr/>
        <w:t>5,2</w:t>
      </w:r>
      <w:r>
        <w:rPr>
          <w:spacing w:val="-2"/>
        </w:rPr>
        <w:t> </w:t>
      </w:r>
      <w:r>
        <w:rPr/>
        <w:t>δισεκ.</w:t>
      </w:r>
      <w:r>
        <w:rPr>
          <w:spacing w:val="-2"/>
        </w:rPr>
        <w:t> </w:t>
      </w:r>
      <w:r>
        <w:rPr/>
        <w:t>ευρώ (αυξημένη</w:t>
      </w:r>
      <w:r>
        <w:rPr>
          <w:spacing w:val="-10"/>
        </w:rPr>
        <w:t> </w:t>
      </w:r>
      <w:r>
        <w:rPr/>
        <w:t>κατά</w:t>
      </w:r>
      <w:r>
        <w:rPr>
          <w:spacing w:val="-8"/>
        </w:rPr>
        <w:t> </w:t>
      </w:r>
      <w:r>
        <w:rPr/>
        <w:t>511,1</w:t>
      </w:r>
      <w:r>
        <w:rPr>
          <w:spacing w:val="-9"/>
        </w:rPr>
        <w:t> </w:t>
      </w:r>
      <w:r>
        <w:rPr/>
        <w:t>εκατ.</w:t>
      </w:r>
      <w:r>
        <w:rPr>
          <w:spacing w:val="-7"/>
        </w:rPr>
        <w:t> </w:t>
      </w:r>
      <w:r>
        <w:rPr/>
        <w:t>ευρώ</w:t>
      </w:r>
      <w:r>
        <w:rPr>
          <w:spacing w:val="-7"/>
        </w:rPr>
        <w:t> </w:t>
      </w:r>
      <w:r>
        <w:rPr/>
        <w:t>ή</w:t>
      </w:r>
      <w:r>
        <w:rPr>
          <w:spacing w:val="-10"/>
        </w:rPr>
        <w:t> </w:t>
      </w:r>
      <w:r>
        <w:rPr/>
        <w:t>10,9%).</w:t>
      </w:r>
      <w:r>
        <w:rPr>
          <w:spacing w:val="-10"/>
        </w:rPr>
        <w:t> </w:t>
      </w:r>
      <w:r>
        <w:rPr/>
        <w:t>Παράλληλα,</w:t>
      </w:r>
      <w:r>
        <w:rPr>
          <w:spacing w:val="-8"/>
        </w:rPr>
        <w:t> </w:t>
      </w:r>
      <w:r>
        <w:rPr/>
        <w:t>οι</w:t>
      </w:r>
      <w:r>
        <w:rPr>
          <w:spacing w:val="-9"/>
        </w:rPr>
        <w:t> </w:t>
      </w:r>
      <w:r>
        <w:rPr/>
        <w:t>τράπεζες</w:t>
      </w:r>
      <w:r>
        <w:rPr>
          <w:spacing w:val="-6"/>
        </w:rPr>
        <w:t> </w:t>
      </w:r>
      <w:r>
        <w:rPr/>
        <w:t>διατηρούν</w:t>
      </w:r>
      <w:r>
        <w:rPr>
          <w:spacing w:val="-7"/>
        </w:rPr>
        <w:t> </w:t>
      </w:r>
      <w:r>
        <w:rPr/>
        <w:t>και</w:t>
      </w:r>
      <w:r>
        <w:rPr>
          <w:spacing w:val="-7"/>
        </w:rPr>
        <w:t> </w:t>
      </w:r>
      <w:r>
        <w:rPr/>
        <w:t>λοιπά</w:t>
      </w:r>
      <w:r>
        <w:rPr>
          <w:spacing w:val="-8"/>
        </w:rPr>
        <w:t> </w:t>
      </w:r>
      <w:r>
        <w:rPr/>
        <w:t>ομό-λογα, κυρίως μη τραπεζικών χρηματοοικονομικών οργανισμών, ύψους 3,1 δισεκ. ευρώ.</w:t>
      </w:r>
    </w:p>
    <w:p>
      <w:pPr>
        <w:pStyle w:val="Heading4"/>
        <w:spacing w:before="88"/>
      </w:pPr>
      <w:r>
        <w:rPr>
          <w:color w:val="1F487C"/>
        </w:rPr>
        <w:t>Έκθεση</w:t>
      </w:r>
      <w:r>
        <w:rPr>
          <w:color w:val="1F487C"/>
          <w:spacing w:val="-14"/>
        </w:rPr>
        <w:t> </w:t>
      </w:r>
      <w:r>
        <w:rPr>
          <w:color w:val="1F487C"/>
        </w:rPr>
        <w:t>σε</w:t>
      </w:r>
      <w:r>
        <w:rPr>
          <w:color w:val="1F487C"/>
          <w:spacing w:val="-14"/>
        </w:rPr>
        <w:t> </w:t>
      </w:r>
      <w:r>
        <w:rPr>
          <w:color w:val="1F487C"/>
        </w:rPr>
        <w:t>μετοχ</w:t>
      </w:r>
      <w:r>
        <w:rPr>
          <w:smallCaps/>
          <w:color w:val="1F487C"/>
        </w:rPr>
        <w:t>ι</w:t>
      </w:r>
      <w:r>
        <w:rPr>
          <w:smallCaps w:val="0"/>
          <w:color w:val="1F487C"/>
        </w:rPr>
        <w:t>κούς</w:t>
      </w:r>
      <w:r>
        <w:rPr>
          <w:smallCaps w:val="0"/>
          <w:color w:val="1F487C"/>
          <w:spacing w:val="-11"/>
        </w:rPr>
        <w:t> </w:t>
      </w:r>
      <w:r>
        <w:rPr>
          <w:smallCaps w:val="0"/>
          <w:color w:val="1F487C"/>
        </w:rPr>
        <w:t>τίτλους,</w:t>
      </w:r>
      <w:r>
        <w:rPr>
          <w:smallCaps w:val="0"/>
          <w:color w:val="1F487C"/>
          <w:spacing w:val="-10"/>
        </w:rPr>
        <w:t> </w:t>
      </w:r>
      <w:r>
        <w:rPr>
          <w:smallCaps w:val="0"/>
          <w:color w:val="1F487C"/>
        </w:rPr>
        <w:t>αμο</w:t>
      </w:r>
      <w:r>
        <w:rPr>
          <w:smallCaps/>
          <w:color w:val="1F487C"/>
        </w:rPr>
        <w:t>ι</w:t>
      </w:r>
      <w:r>
        <w:rPr>
          <w:smallCaps w:val="0"/>
          <w:color w:val="1F487C"/>
        </w:rPr>
        <w:t>βαία</w:t>
      </w:r>
      <w:r>
        <w:rPr>
          <w:smallCaps w:val="0"/>
          <w:color w:val="1F487C"/>
          <w:spacing w:val="-13"/>
        </w:rPr>
        <w:t> </w:t>
      </w:r>
      <w:r>
        <w:rPr>
          <w:smallCaps w:val="0"/>
          <w:color w:val="1F487C"/>
        </w:rPr>
        <w:t>κεφάλα</w:t>
      </w:r>
      <w:r>
        <w:rPr>
          <w:smallCaps/>
          <w:color w:val="1F487C"/>
        </w:rPr>
        <w:t>ι</w:t>
      </w:r>
      <w:r>
        <w:rPr>
          <w:smallCaps w:val="0"/>
          <w:color w:val="1F487C"/>
        </w:rPr>
        <w:t>α</w:t>
      </w:r>
      <w:r>
        <w:rPr>
          <w:smallCaps w:val="0"/>
          <w:color w:val="1F487C"/>
          <w:spacing w:val="-14"/>
        </w:rPr>
        <w:t> </w:t>
      </w:r>
      <w:r>
        <w:rPr>
          <w:smallCaps w:val="0"/>
          <w:color w:val="1F487C"/>
        </w:rPr>
        <w:t>κα</w:t>
      </w:r>
      <w:r>
        <w:rPr>
          <w:smallCaps/>
          <w:color w:val="1F487C"/>
        </w:rPr>
        <w:t>ι</w:t>
      </w:r>
      <w:r>
        <w:rPr>
          <w:smallCaps w:val="0"/>
          <w:color w:val="1F487C"/>
          <w:spacing w:val="-7"/>
        </w:rPr>
        <w:t> </w:t>
      </w:r>
      <w:r>
        <w:rPr>
          <w:smallCaps w:val="0"/>
          <w:color w:val="1F487C"/>
        </w:rPr>
        <w:t>λο</w:t>
      </w:r>
      <w:r>
        <w:rPr>
          <w:smallCaps/>
          <w:color w:val="1F487C"/>
        </w:rPr>
        <w:t>ι</w:t>
      </w:r>
      <w:r>
        <w:rPr>
          <w:smallCaps w:val="0"/>
          <w:color w:val="1F487C"/>
        </w:rPr>
        <w:t>πές</w:t>
      </w:r>
      <w:r>
        <w:rPr>
          <w:smallCaps w:val="0"/>
          <w:color w:val="1F487C"/>
          <w:spacing w:val="-10"/>
        </w:rPr>
        <w:t> </w:t>
      </w:r>
      <w:r>
        <w:rPr>
          <w:smallCaps w:val="0"/>
          <w:color w:val="1F487C"/>
          <w:spacing w:val="-2"/>
        </w:rPr>
        <w:t>συμμετοχές</w:t>
      </w:r>
    </w:p>
    <w:p>
      <w:pPr>
        <w:pStyle w:val="BodyText"/>
        <w:spacing w:line="285" w:lineRule="auto" w:before="74"/>
        <w:ind w:left="201" w:right="1061"/>
        <w:jc w:val="both"/>
      </w:pPr>
      <w:r>
        <w:rPr/>
        <w:t>Η αξία των μετοχικών τίτλων, αμοιβαίων κεφαλαίων και λοιπών συμμετοχών που διακρατεί ο τραπεζικός</w:t>
      </w:r>
      <w:r>
        <w:rPr>
          <w:spacing w:val="-14"/>
        </w:rPr>
        <w:t> </w:t>
      </w:r>
      <w:r>
        <w:rPr/>
        <w:t>τομέας</w:t>
      </w:r>
      <w:r>
        <w:rPr>
          <w:spacing w:val="-14"/>
        </w:rPr>
        <w:t> </w:t>
      </w:r>
      <w:r>
        <w:rPr/>
        <w:t>σημείωσε</w:t>
      </w:r>
      <w:r>
        <w:rPr>
          <w:spacing w:val="-14"/>
        </w:rPr>
        <w:t> </w:t>
      </w:r>
      <w:r>
        <w:rPr/>
        <w:t>αύξηση</w:t>
      </w:r>
      <w:r>
        <w:rPr>
          <w:spacing w:val="-13"/>
        </w:rPr>
        <w:t> </w:t>
      </w:r>
      <w:r>
        <w:rPr/>
        <w:t>τόσο</w:t>
      </w:r>
      <w:r>
        <w:rPr>
          <w:spacing w:val="-14"/>
        </w:rPr>
        <w:t> </w:t>
      </w:r>
      <w:r>
        <w:rPr/>
        <w:t>σε</w:t>
      </w:r>
      <w:r>
        <w:rPr>
          <w:spacing w:val="-14"/>
        </w:rPr>
        <w:t> </w:t>
      </w:r>
      <w:r>
        <w:rPr/>
        <w:t>απόλυτους</w:t>
      </w:r>
      <w:r>
        <w:rPr>
          <w:spacing w:val="-14"/>
        </w:rPr>
        <w:t> </w:t>
      </w:r>
      <w:r>
        <w:rPr/>
        <w:t>όρους</w:t>
      </w:r>
      <w:r>
        <w:rPr>
          <w:spacing w:val="-13"/>
        </w:rPr>
        <w:t> </w:t>
      </w:r>
      <w:r>
        <w:rPr/>
        <w:t>όσο</w:t>
      </w:r>
      <w:r>
        <w:rPr>
          <w:spacing w:val="-14"/>
        </w:rPr>
        <w:t> </w:t>
      </w:r>
      <w:r>
        <w:rPr/>
        <w:t>και</w:t>
      </w:r>
      <w:r>
        <w:rPr>
          <w:spacing w:val="-14"/>
        </w:rPr>
        <w:t> </w:t>
      </w:r>
      <w:r>
        <w:rPr/>
        <w:t>ως</w:t>
      </w:r>
      <w:r>
        <w:rPr>
          <w:spacing w:val="-14"/>
        </w:rPr>
        <w:t> </w:t>
      </w:r>
      <w:r>
        <w:rPr/>
        <w:t>ποσοστό</w:t>
      </w:r>
      <w:r>
        <w:rPr>
          <w:spacing w:val="-13"/>
        </w:rPr>
        <w:t> </w:t>
      </w:r>
      <w:r>
        <w:rPr/>
        <w:t>του</w:t>
      </w:r>
      <w:r>
        <w:rPr>
          <w:spacing w:val="-14"/>
        </w:rPr>
        <w:t> </w:t>
      </w:r>
      <w:r>
        <w:rPr/>
        <w:t>συνολι-κού ενεργητικού του. Συγκεκριμένα, το Δεκέμβριο του 2025 οι τράπεζες κατείχαν μετοχικούς τίτλους, συμμετοχές και μερίδια αμοιβαίων κεφαλαίων συνολικής αξίας 5,1 δισεκ. ευρώ, ήτοι 1,4%</w:t>
      </w:r>
      <w:r>
        <w:rPr>
          <w:spacing w:val="-5"/>
        </w:rPr>
        <w:t> </w:t>
      </w:r>
      <w:r>
        <w:rPr/>
        <w:t>του</w:t>
      </w:r>
      <w:r>
        <w:rPr>
          <w:spacing w:val="-5"/>
        </w:rPr>
        <w:t> </w:t>
      </w:r>
      <w:r>
        <w:rPr/>
        <w:t>συνολικού</w:t>
      </w:r>
      <w:r>
        <w:rPr>
          <w:spacing w:val="-5"/>
        </w:rPr>
        <w:t> </w:t>
      </w:r>
      <w:r>
        <w:rPr/>
        <w:t>ενεργητικού</w:t>
      </w:r>
      <w:r>
        <w:rPr>
          <w:spacing w:val="-5"/>
        </w:rPr>
        <w:t> </w:t>
      </w:r>
      <w:r>
        <w:rPr/>
        <w:t>του</w:t>
      </w:r>
      <w:r>
        <w:rPr>
          <w:spacing w:val="-3"/>
        </w:rPr>
        <w:t> </w:t>
      </w:r>
      <w:r>
        <w:rPr/>
        <w:t>τραπεζικού</w:t>
      </w:r>
      <w:r>
        <w:rPr>
          <w:spacing w:val="-5"/>
        </w:rPr>
        <w:t> </w:t>
      </w:r>
      <w:r>
        <w:rPr/>
        <w:t>τομέα,</w:t>
      </w:r>
      <w:r>
        <w:rPr>
          <w:spacing w:val="-5"/>
        </w:rPr>
        <w:t> </w:t>
      </w:r>
      <w:r>
        <w:rPr/>
        <w:t>έναντι</w:t>
      </w:r>
      <w:r>
        <w:rPr>
          <w:spacing w:val="-5"/>
        </w:rPr>
        <w:t> </w:t>
      </w:r>
      <w:r>
        <w:rPr/>
        <w:t>3,7</w:t>
      </w:r>
      <w:r>
        <w:rPr>
          <w:spacing w:val="-6"/>
        </w:rPr>
        <w:t> </w:t>
      </w:r>
      <w:r>
        <w:rPr/>
        <w:t>δισεκ.</w:t>
      </w:r>
      <w:r>
        <w:rPr>
          <w:spacing w:val="-5"/>
        </w:rPr>
        <w:t> </w:t>
      </w:r>
      <w:r>
        <w:rPr/>
        <w:t>ευρώ</w:t>
      </w:r>
      <w:r>
        <w:rPr>
          <w:spacing w:val="-4"/>
        </w:rPr>
        <w:t> </w:t>
      </w:r>
      <w:r>
        <w:rPr/>
        <w:t>τον</w:t>
      </w:r>
      <w:r>
        <w:rPr>
          <w:spacing w:val="-5"/>
        </w:rPr>
        <w:t> </w:t>
      </w:r>
      <w:r>
        <w:rPr/>
        <w:t>Δεκέμβριο του 2024, ήτοι 1,1% του συνολικού ενεργητικού του τραπεζικού τομέα (βλ. Πίνακα ΙΙΙ.4). Η αύξηση</w:t>
      </w:r>
      <w:r>
        <w:rPr>
          <w:spacing w:val="-13"/>
        </w:rPr>
        <w:t> </w:t>
      </w:r>
      <w:r>
        <w:rPr/>
        <w:t>αυτή</w:t>
      </w:r>
      <w:r>
        <w:rPr>
          <w:spacing w:val="-10"/>
        </w:rPr>
        <w:t> </w:t>
      </w:r>
      <w:r>
        <w:rPr/>
        <w:t>οφείλεται</w:t>
      </w:r>
      <w:r>
        <w:rPr>
          <w:spacing w:val="-10"/>
        </w:rPr>
        <w:t> </w:t>
      </w:r>
      <w:r>
        <w:rPr/>
        <w:t>κυρίως</w:t>
      </w:r>
      <w:r>
        <w:rPr>
          <w:spacing w:val="-13"/>
        </w:rPr>
        <w:t> </w:t>
      </w:r>
      <w:r>
        <w:rPr/>
        <w:t>στην</w:t>
      </w:r>
      <w:r>
        <w:rPr>
          <w:spacing w:val="-10"/>
        </w:rPr>
        <w:t> </w:t>
      </w:r>
      <w:r>
        <w:rPr/>
        <w:t>ολοκλήρωση</w:t>
      </w:r>
      <w:r>
        <w:rPr>
          <w:spacing w:val="-12"/>
        </w:rPr>
        <w:t> </w:t>
      </w:r>
      <w:r>
        <w:rPr/>
        <w:t>της</w:t>
      </w:r>
      <w:r>
        <w:rPr>
          <w:spacing w:val="-12"/>
        </w:rPr>
        <w:t> </w:t>
      </w:r>
      <w:r>
        <w:rPr/>
        <w:t>εξαγοράς</w:t>
      </w:r>
      <w:r>
        <w:rPr>
          <w:spacing w:val="-11"/>
        </w:rPr>
        <w:t> </w:t>
      </w:r>
      <w:r>
        <w:rPr/>
        <w:t>της</w:t>
      </w:r>
      <w:r>
        <w:rPr>
          <w:spacing w:val="-14"/>
        </w:rPr>
        <w:t> </w:t>
      </w:r>
      <w:r>
        <w:rPr/>
        <w:t>Εθνικής</w:t>
      </w:r>
      <w:r>
        <w:rPr>
          <w:spacing w:val="-12"/>
        </w:rPr>
        <w:t> </w:t>
      </w:r>
      <w:r>
        <w:rPr/>
        <w:t>Ασφαλιστικής</w:t>
      </w:r>
      <w:r>
        <w:rPr>
          <w:spacing w:val="-12"/>
        </w:rPr>
        <w:t> </w:t>
      </w:r>
      <w:r>
        <w:rPr/>
        <w:t>από την Τράπεζα Πειραιώς το Νοέμβριο του 2025 και δευτερευόντως σε αύξηση του χαρτοφυλα-κίου μετοχών θυγατρικής σημαντικής τράπεζας.</w:t>
      </w:r>
    </w:p>
    <w:p>
      <w:pPr>
        <w:pStyle w:val="Heading4"/>
        <w:spacing w:before="89"/>
      </w:pPr>
      <w:r>
        <w:rPr>
          <w:color w:val="1F487C"/>
          <w:spacing w:val="-2"/>
        </w:rPr>
        <w:t>Έκθεση σε</w:t>
      </w:r>
      <w:r>
        <w:rPr>
          <w:color w:val="1F487C"/>
          <w:spacing w:val="-1"/>
        </w:rPr>
        <w:t> </w:t>
      </w:r>
      <w:r>
        <w:rPr>
          <w:color w:val="1F487C"/>
          <w:spacing w:val="-2"/>
        </w:rPr>
        <w:t>συναλλαγματ</w:t>
      </w:r>
      <w:r>
        <w:rPr>
          <w:smallCaps/>
          <w:color w:val="1F487C"/>
          <w:spacing w:val="-2"/>
        </w:rPr>
        <w:t>ι</w:t>
      </w:r>
      <w:r>
        <w:rPr>
          <w:smallCaps w:val="0"/>
          <w:color w:val="1F487C"/>
          <w:spacing w:val="-2"/>
        </w:rPr>
        <w:t>κό</w:t>
      </w:r>
      <w:r>
        <w:rPr>
          <w:smallCaps w:val="0"/>
          <w:color w:val="1F487C"/>
        </w:rPr>
        <w:t> </w:t>
      </w:r>
      <w:r>
        <w:rPr>
          <w:smallCaps w:val="0"/>
          <w:color w:val="1F487C"/>
          <w:spacing w:val="-2"/>
        </w:rPr>
        <w:t>κίνδυνο</w:t>
      </w:r>
    </w:p>
    <w:p>
      <w:pPr>
        <w:pStyle w:val="BodyText"/>
        <w:spacing w:line="285" w:lineRule="auto" w:before="74"/>
        <w:ind w:left="172" w:right="1059"/>
        <w:jc w:val="both"/>
      </w:pPr>
      <w:r>
        <w:rPr/>
        <w:t>Η ανοικτή συναλλαγματική θέση</w:t>
      </w:r>
      <w:hyperlink w:history="true" w:anchor="_bookmark65">
        <w:r>
          <w:rPr>
            <w:position w:val="6"/>
            <w:sz w:val="10"/>
          </w:rPr>
          <w:t>45</w:t>
        </w:r>
      </w:hyperlink>
      <w:r>
        <w:rPr>
          <w:spacing w:val="40"/>
          <w:position w:val="6"/>
          <w:sz w:val="10"/>
        </w:rPr>
        <w:t> </w:t>
      </w:r>
      <w:r>
        <w:rPr/>
        <w:t>των ελληνικών τραπεζών ανήλθε σε 1 δισεκ. ευρώ τον Δε-κέμβριο του 2025, αυξημένη κατά 487 εκατ. ευρώ σε σχέση με τον Δεκέμβριο του 2024. Οι ελληνικές</w:t>
      </w:r>
      <w:r>
        <w:rPr>
          <w:spacing w:val="-1"/>
        </w:rPr>
        <w:t> </w:t>
      </w:r>
      <w:r>
        <w:rPr/>
        <w:t>τράπεζες</w:t>
      </w:r>
      <w:r>
        <w:rPr>
          <w:spacing w:val="-1"/>
        </w:rPr>
        <w:t> </w:t>
      </w:r>
      <w:r>
        <w:rPr/>
        <w:t>τον Δεκέμβριο του 2025</w:t>
      </w:r>
      <w:r>
        <w:rPr>
          <w:spacing w:val="-2"/>
        </w:rPr>
        <w:t> </w:t>
      </w:r>
      <w:r>
        <w:rPr/>
        <w:t>είχαν ανοικτές</w:t>
      </w:r>
      <w:r>
        <w:rPr>
          <w:spacing w:val="-1"/>
        </w:rPr>
        <w:t> </w:t>
      </w:r>
      <w:r>
        <w:rPr/>
        <w:t>συναλλαγματικές</w:t>
      </w:r>
      <w:r>
        <w:rPr>
          <w:spacing w:val="-1"/>
        </w:rPr>
        <w:t> </w:t>
      </w:r>
      <w:r>
        <w:rPr/>
        <w:t>θέσεις 113</w:t>
      </w:r>
      <w:r>
        <w:rPr>
          <w:spacing w:val="-2"/>
        </w:rPr>
        <w:t> </w:t>
      </w:r>
      <w:r>
        <w:rPr/>
        <w:t>εκατ. ευρώ σε δολάρια ΗΠΑ (USD), 30 εκατ. ευρώ σε λίρες Αγγλίας (GBP) και 48 εκατ. ευρώ σε ελβετικά φράγκα (CHF). Η σχετικά μικρή έκθεσή τους στα παραπάνω κύρια νομίσματα οφεί-λεται</w:t>
      </w:r>
      <w:r>
        <w:rPr>
          <w:spacing w:val="-5"/>
        </w:rPr>
        <w:t> </w:t>
      </w:r>
      <w:r>
        <w:rPr/>
        <w:t>τόσο</w:t>
      </w:r>
      <w:r>
        <w:rPr>
          <w:spacing w:val="-9"/>
        </w:rPr>
        <w:t> </w:t>
      </w:r>
      <w:r>
        <w:rPr/>
        <w:t>στο</w:t>
      </w:r>
      <w:r>
        <w:rPr>
          <w:spacing w:val="-6"/>
        </w:rPr>
        <w:t> </w:t>
      </w:r>
      <w:r>
        <w:rPr/>
        <w:t>γεγονός</w:t>
      </w:r>
      <w:r>
        <w:rPr>
          <w:spacing w:val="-7"/>
        </w:rPr>
        <w:t> </w:t>
      </w:r>
      <w:r>
        <w:rPr/>
        <w:t>ότι</w:t>
      </w:r>
      <w:r>
        <w:rPr>
          <w:spacing w:val="-8"/>
        </w:rPr>
        <w:t> </w:t>
      </w:r>
      <w:r>
        <w:rPr/>
        <w:t>για</w:t>
      </w:r>
      <w:r>
        <w:rPr>
          <w:spacing w:val="-6"/>
        </w:rPr>
        <w:t> </w:t>
      </w:r>
      <w:r>
        <w:rPr/>
        <w:t>τη</w:t>
      </w:r>
      <w:r>
        <w:rPr>
          <w:spacing w:val="-6"/>
        </w:rPr>
        <w:t> </w:t>
      </w:r>
      <w:r>
        <w:rPr/>
        <w:t>χρηματοδότηση</w:t>
      </w:r>
      <w:r>
        <w:rPr>
          <w:spacing w:val="-6"/>
        </w:rPr>
        <w:t> </w:t>
      </w:r>
      <w:r>
        <w:rPr/>
        <w:t>στοιχείων</w:t>
      </w:r>
      <w:r>
        <w:rPr>
          <w:spacing w:val="-8"/>
        </w:rPr>
        <w:t> </w:t>
      </w:r>
      <w:r>
        <w:rPr/>
        <w:t>ενεργητικού</w:t>
      </w:r>
      <w:r>
        <w:rPr>
          <w:spacing w:val="-8"/>
        </w:rPr>
        <w:t> </w:t>
      </w:r>
      <w:r>
        <w:rPr/>
        <w:t>σε</w:t>
      </w:r>
      <w:r>
        <w:rPr>
          <w:spacing w:val="-5"/>
        </w:rPr>
        <w:t> </w:t>
      </w:r>
      <w:r>
        <w:rPr/>
        <w:t>ξένο</w:t>
      </w:r>
      <w:r>
        <w:rPr>
          <w:spacing w:val="-9"/>
        </w:rPr>
        <w:t> </w:t>
      </w:r>
      <w:r>
        <w:rPr/>
        <w:t>νόμισμα</w:t>
      </w:r>
      <w:r>
        <w:rPr>
          <w:spacing w:val="-7"/>
        </w:rPr>
        <w:t> </w:t>
      </w:r>
      <w:r>
        <w:rPr/>
        <w:t>χρη-σιμοποιούνται καταθέσεις</w:t>
      </w:r>
      <w:r>
        <w:rPr>
          <w:spacing w:val="-1"/>
        </w:rPr>
        <w:t> </w:t>
      </w:r>
      <w:r>
        <w:rPr/>
        <w:t>στο ίδιο</w:t>
      </w:r>
      <w:r>
        <w:rPr>
          <w:spacing w:val="-2"/>
        </w:rPr>
        <w:t> </w:t>
      </w:r>
      <w:r>
        <w:rPr/>
        <w:t>νόμισμα,</w:t>
      </w:r>
      <w:r>
        <w:rPr>
          <w:spacing w:val="-1"/>
        </w:rPr>
        <w:t> </w:t>
      </w:r>
      <w:r>
        <w:rPr/>
        <w:t>όσο και</w:t>
      </w:r>
      <w:r>
        <w:rPr>
          <w:spacing w:val="-2"/>
        </w:rPr>
        <w:t> </w:t>
      </w:r>
      <w:r>
        <w:rPr/>
        <w:t>στη χρήση παράγωγων προϊόντων ανταλ-λαγής συναλλάγματος (π.χ. FX swaps, cross currency swaps), με αποτέλεσμα να μετριάζεται σημαντικά ο συναλλαγματικός κίνδυνος. Επιπρόσθετα, η ανοικτή συναλλαγματική θέση των ελληνικών τραπεζών σε νομίσματα χωρών όπου εδρεύουν οι θυγατρικές τους αυξήθηκε σημα-</w:t>
      </w:r>
      <w:r>
        <w:rPr>
          <w:spacing w:val="-2"/>
        </w:rPr>
        <w:t>ντικά</w:t>
      </w:r>
      <w:r>
        <w:rPr>
          <w:spacing w:val="-12"/>
        </w:rPr>
        <w:t> </w:t>
      </w:r>
      <w:r>
        <w:rPr>
          <w:spacing w:val="-2"/>
        </w:rPr>
        <w:t>κυρίως</w:t>
      </w:r>
      <w:r>
        <w:rPr>
          <w:spacing w:val="-12"/>
        </w:rPr>
        <w:t> </w:t>
      </w:r>
      <w:r>
        <w:rPr>
          <w:spacing w:val="-2"/>
        </w:rPr>
        <w:t>λόγω</w:t>
      </w:r>
      <w:r>
        <w:rPr>
          <w:spacing w:val="-12"/>
        </w:rPr>
        <w:t> </w:t>
      </w:r>
      <w:r>
        <w:rPr>
          <w:spacing w:val="-2"/>
        </w:rPr>
        <w:t>αλλαγών</w:t>
      </w:r>
      <w:r>
        <w:rPr>
          <w:spacing w:val="-11"/>
        </w:rPr>
        <w:t> </w:t>
      </w:r>
      <w:r>
        <w:rPr>
          <w:spacing w:val="-2"/>
        </w:rPr>
        <w:t>στη</w:t>
      </w:r>
      <w:r>
        <w:rPr>
          <w:spacing w:val="-12"/>
        </w:rPr>
        <w:t> </w:t>
      </w:r>
      <w:r>
        <w:rPr>
          <w:spacing w:val="-2"/>
        </w:rPr>
        <w:t>δομή</w:t>
      </w:r>
      <w:r>
        <w:rPr>
          <w:spacing w:val="-12"/>
        </w:rPr>
        <w:t> </w:t>
      </w:r>
      <w:r>
        <w:rPr>
          <w:spacing w:val="-2"/>
        </w:rPr>
        <w:t>των</w:t>
      </w:r>
      <w:r>
        <w:rPr>
          <w:spacing w:val="-12"/>
        </w:rPr>
        <w:t> </w:t>
      </w:r>
      <w:r>
        <w:rPr>
          <w:spacing w:val="-2"/>
        </w:rPr>
        <w:t>ισολογισμών</w:t>
      </w:r>
      <w:r>
        <w:rPr>
          <w:spacing w:val="-11"/>
        </w:rPr>
        <w:t> </w:t>
      </w:r>
      <w:r>
        <w:rPr>
          <w:spacing w:val="-2"/>
        </w:rPr>
        <w:t>των</w:t>
      </w:r>
      <w:r>
        <w:rPr>
          <w:spacing w:val="-12"/>
        </w:rPr>
        <w:t> </w:t>
      </w:r>
      <w:r>
        <w:rPr>
          <w:spacing w:val="-2"/>
        </w:rPr>
        <w:t>θυγατρικών</w:t>
      </w:r>
      <w:r>
        <w:rPr>
          <w:spacing w:val="-11"/>
        </w:rPr>
        <w:t> </w:t>
      </w:r>
      <w:r>
        <w:rPr>
          <w:spacing w:val="-2"/>
        </w:rPr>
        <w:t>τους</w:t>
      </w:r>
      <w:r>
        <w:rPr>
          <w:spacing w:val="-12"/>
        </w:rPr>
        <w:t> </w:t>
      </w:r>
      <w:r>
        <w:rPr>
          <w:spacing w:val="-2"/>
        </w:rPr>
        <w:t>στο</w:t>
      </w:r>
      <w:r>
        <w:rPr>
          <w:spacing w:val="-12"/>
        </w:rPr>
        <w:t> </w:t>
      </w:r>
      <w:r>
        <w:rPr>
          <w:spacing w:val="-2"/>
        </w:rPr>
        <w:t>εξωτερικό</w:t>
      </w:r>
      <w:r>
        <w:rPr>
          <w:spacing w:val="-11"/>
        </w:rPr>
        <w:t> </w:t>
      </w:r>
      <w:r>
        <w:rPr>
          <w:spacing w:val="-2"/>
        </w:rPr>
        <w:t>(π.χ. </w:t>
      </w:r>
      <w:r>
        <w:rPr>
          <w:spacing w:val="-4"/>
        </w:rPr>
        <w:t>παύση</w:t>
      </w:r>
      <w:r>
        <w:rPr>
          <w:spacing w:val="-10"/>
        </w:rPr>
        <w:t> </w:t>
      </w:r>
      <w:r>
        <w:rPr>
          <w:spacing w:val="-4"/>
        </w:rPr>
        <w:t>της</w:t>
      </w:r>
      <w:r>
        <w:rPr>
          <w:spacing w:val="-10"/>
        </w:rPr>
        <w:t> </w:t>
      </w:r>
      <w:r>
        <w:rPr>
          <w:spacing w:val="-4"/>
        </w:rPr>
        <w:t>αντιστάθμισης</w:t>
      </w:r>
      <w:r>
        <w:rPr>
          <w:spacing w:val="-10"/>
        </w:rPr>
        <w:t> </w:t>
      </w:r>
      <w:r>
        <w:rPr>
          <w:spacing w:val="-4"/>
        </w:rPr>
        <w:t>μέσω</w:t>
      </w:r>
      <w:r>
        <w:rPr>
          <w:spacing w:val="-9"/>
        </w:rPr>
        <w:t> </w:t>
      </w:r>
      <w:r>
        <w:rPr>
          <w:spacing w:val="-4"/>
        </w:rPr>
        <w:t>παράγωγων</w:t>
      </w:r>
      <w:r>
        <w:rPr>
          <w:spacing w:val="-10"/>
        </w:rPr>
        <w:t> </w:t>
      </w:r>
      <w:r>
        <w:rPr>
          <w:spacing w:val="-4"/>
        </w:rPr>
        <w:t>προϊόντων</w:t>
      </w:r>
      <w:r>
        <w:rPr>
          <w:spacing w:val="-10"/>
        </w:rPr>
        <w:t> </w:t>
      </w:r>
      <w:r>
        <w:rPr>
          <w:spacing w:val="-4"/>
        </w:rPr>
        <w:t>ανταλλαγής</w:t>
      </w:r>
      <w:r>
        <w:rPr>
          <w:spacing w:val="-10"/>
        </w:rPr>
        <w:t> </w:t>
      </w:r>
      <w:r>
        <w:rPr>
          <w:spacing w:val="-4"/>
        </w:rPr>
        <w:t>συναλλάγματος</w:t>
      </w:r>
      <w:r>
        <w:rPr>
          <w:spacing w:val="-9"/>
        </w:rPr>
        <w:t> </w:t>
      </w:r>
      <w:r>
        <w:rPr>
          <w:spacing w:val="-4"/>
        </w:rPr>
        <w:t>από</w:t>
      </w:r>
      <w:r>
        <w:rPr>
          <w:spacing w:val="-10"/>
        </w:rPr>
        <w:t> </w:t>
      </w:r>
      <w:r>
        <w:rPr>
          <w:spacing w:val="-4"/>
        </w:rPr>
        <w:t>σημαντικό </w:t>
      </w:r>
      <w:r>
        <w:rPr/>
        <w:t>πιστωτικό</w:t>
      </w:r>
      <w:r>
        <w:rPr>
          <w:spacing w:val="-2"/>
        </w:rPr>
        <w:t> </w:t>
      </w:r>
      <w:r>
        <w:rPr/>
        <w:t>ίδρυμα).</w:t>
      </w:r>
      <w:r>
        <w:rPr>
          <w:spacing w:val="-3"/>
        </w:rPr>
        <w:t> </w:t>
      </w:r>
      <w:r>
        <w:rPr/>
        <w:t>Σε σχέση με τον Δεκέμβριο του 2024, η έκθεση των τραπεζών σε δολάρια ΗΠΑ (USD) αυξήθηκε κατά 57,7 εκατ. ευρώ, ενώ μειώθηκε σε ελβετικά φράγκα (CHF) κατά 10,7 εκατ. ευρώ και σε λίρες Αγγλίας (GBP) κατά 50,7 εκατ. ευρώ.</w:t>
      </w:r>
    </w:p>
    <w:p>
      <w:pPr>
        <w:pStyle w:val="BodyText"/>
        <w:rPr>
          <w:sz w:val="20"/>
        </w:rPr>
      </w:pPr>
    </w:p>
    <w:p>
      <w:pPr>
        <w:pStyle w:val="BodyText"/>
        <w:rPr>
          <w:sz w:val="20"/>
        </w:rPr>
      </w:pPr>
    </w:p>
    <w:p>
      <w:pPr>
        <w:pStyle w:val="BodyText"/>
        <w:rPr>
          <w:sz w:val="20"/>
        </w:rPr>
      </w:pPr>
    </w:p>
    <w:p>
      <w:pPr>
        <w:pStyle w:val="BodyText"/>
        <w:spacing w:before="16"/>
        <w:rPr>
          <w:sz w:val="20"/>
        </w:rPr>
      </w:pPr>
      <w:r>
        <w:rPr>
          <w:sz w:val="20"/>
        </w:rPr>
        <mc:AlternateContent>
          <mc:Choice Requires="wps">
            <w:drawing>
              <wp:anchor distT="0" distB="0" distL="0" distR="0" allowOverlap="1" layoutInCell="1" locked="0" behindDoc="1" simplePos="0" relativeHeight="487629824">
                <wp:simplePos x="0" y="0"/>
                <wp:positionH relativeFrom="page">
                  <wp:posOffset>1009192</wp:posOffset>
                </wp:positionH>
                <wp:positionV relativeFrom="paragraph">
                  <wp:posOffset>171937</wp:posOffset>
                </wp:positionV>
                <wp:extent cx="1829435" cy="7620"/>
                <wp:effectExtent l="0" t="0" r="0" b="0"/>
                <wp:wrapTopAndBottom/>
                <wp:docPr id="454" name="Graphic 454"/>
                <wp:cNvGraphicFramePr>
                  <a:graphicFrameLocks/>
                </wp:cNvGraphicFramePr>
                <a:graphic>
                  <a:graphicData uri="http://schemas.microsoft.com/office/word/2010/wordprocessingShape">
                    <wps:wsp>
                      <wps:cNvPr id="454" name="Graphic 454"/>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3.538354pt;width:144.020pt;height:.60004pt;mso-position-horizontal-relative:page;mso-position-vertical-relative:paragraph;z-index:-15686656;mso-wrap-distance-left:0;mso-wrap-distance-right:0" id="docshape426" filled="true" fillcolor="#000000" stroked="false">
                <v:fill type="solid"/>
                <w10:wrap type="topAndBottom"/>
              </v:rect>
            </w:pict>
          </mc:Fallback>
        </mc:AlternateContent>
      </w:r>
    </w:p>
    <w:p>
      <w:pPr>
        <w:spacing w:before="167"/>
        <w:ind w:left="172" w:right="955" w:firstLine="0"/>
        <w:jc w:val="both"/>
        <w:rPr>
          <w:sz w:val="16"/>
        </w:rPr>
      </w:pPr>
      <w:bookmarkStart w:name="_bookmark65" w:id="66"/>
      <w:bookmarkEnd w:id="66"/>
      <w:r>
        <w:rPr/>
      </w:r>
      <w:r>
        <w:rPr>
          <w:sz w:val="16"/>
          <w:vertAlign w:val="superscript"/>
        </w:rPr>
        <w:t>45</w:t>
      </w:r>
      <w:r>
        <w:rPr>
          <w:spacing w:val="-4"/>
          <w:sz w:val="16"/>
          <w:vertAlign w:val="baseline"/>
        </w:rPr>
        <w:t> </w:t>
      </w:r>
      <w:r>
        <w:rPr>
          <w:sz w:val="16"/>
          <w:vertAlign w:val="baseline"/>
        </w:rPr>
        <w:t>Για</w:t>
      </w:r>
      <w:r>
        <w:rPr>
          <w:spacing w:val="-4"/>
          <w:sz w:val="16"/>
          <w:vertAlign w:val="baseline"/>
        </w:rPr>
        <w:t> </w:t>
      </w:r>
      <w:r>
        <w:rPr>
          <w:sz w:val="16"/>
          <w:vertAlign w:val="baseline"/>
        </w:rPr>
        <w:t>τον</w:t>
      </w:r>
      <w:r>
        <w:rPr>
          <w:spacing w:val="-5"/>
          <w:sz w:val="16"/>
          <w:vertAlign w:val="baseline"/>
        </w:rPr>
        <w:t> </w:t>
      </w:r>
      <w:r>
        <w:rPr>
          <w:sz w:val="16"/>
          <w:vertAlign w:val="baseline"/>
        </w:rPr>
        <w:t>υπολογισμό</w:t>
      </w:r>
      <w:r>
        <w:rPr>
          <w:spacing w:val="-3"/>
          <w:sz w:val="16"/>
          <w:vertAlign w:val="baseline"/>
        </w:rPr>
        <w:t> </w:t>
      </w:r>
      <w:r>
        <w:rPr>
          <w:sz w:val="16"/>
          <w:vertAlign w:val="baseline"/>
        </w:rPr>
        <w:t>σε</w:t>
      </w:r>
      <w:r>
        <w:rPr>
          <w:spacing w:val="-5"/>
          <w:sz w:val="16"/>
          <w:vertAlign w:val="baseline"/>
        </w:rPr>
        <w:t> </w:t>
      </w:r>
      <w:r>
        <w:rPr>
          <w:sz w:val="16"/>
          <w:vertAlign w:val="baseline"/>
        </w:rPr>
        <w:t>επίπεδο</w:t>
      </w:r>
      <w:r>
        <w:rPr>
          <w:spacing w:val="-5"/>
          <w:sz w:val="16"/>
          <w:vertAlign w:val="baseline"/>
        </w:rPr>
        <w:t> </w:t>
      </w:r>
      <w:r>
        <w:rPr>
          <w:sz w:val="16"/>
          <w:vertAlign w:val="baseline"/>
        </w:rPr>
        <w:t>τραπεζικού</w:t>
      </w:r>
      <w:r>
        <w:rPr>
          <w:spacing w:val="-5"/>
          <w:sz w:val="16"/>
          <w:vertAlign w:val="baseline"/>
        </w:rPr>
        <w:t> </w:t>
      </w:r>
      <w:r>
        <w:rPr>
          <w:sz w:val="16"/>
          <w:vertAlign w:val="baseline"/>
        </w:rPr>
        <w:t>τομέα</w:t>
      </w:r>
      <w:r>
        <w:rPr>
          <w:spacing w:val="-6"/>
          <w:sz w:val="16"/>
          <w:vertAlign w:val="baseline"/>
        </w:rPr>
        <w:t> </w:t>
      </w:r>
      <w:r>
        <w:rPr>
          <w:sz w:val="16"/>
          <w:vertAlign w:val="baseline"/>
        </w:rPr>
        <w:t>δεν</w:t>
      </w:r>
      <w:r>
        <w:rPr>
          <w:spacing w:val="-5"/>
          <w:sz w:val="16"/>
          <w:vertAlign w:val="baseline"/>
        </w:rPr>
        <w:t> </w:t>
      </w:r>
      <w:r>
        <w:rPr>
          <w:sz w:val="16"/>
          <w:vertAlign w:val="baseline"/>
        </w:rPr>
        <w:t>συμψηφίζονται</w:t>
      </w:r>
      <w:r>
        <w:rPr>
          <w:spacing w:val="-7"/>
          <w:sz w:val="16"/>
          <w:vertAlign w:val="baseline"/>
        </w:rPr>
        <w:t> </w:t>
      </w:r>
      <w:r>
        <w:rPr>
          <w:sz w:val="16"/>
          <w:vertAlign w:val="baseline"/>
        </w:rPr>
        <w:t>αντίθετες</w:t>
      </w:r>
      <w:r>
        <w:rPr>
          <w:spacing w:val="-3"/>
          <w:sz w:val="16"/>
          <w:vertAlign w:val="baseline"/>
        </w:rPr>
        <w:t> </w:t>
      </w:r>
      <w:r>
        <w:rPr>
          <w:sz w:val="16"/>
          <w:vertAlign w:val="baseline"/>
        </w:rPr>
        <w:t>θέσεις</w:t>
      </w:r>
      <w:r>
        <w:rPr>
          <w:spacing w:val="-3"/>
          <w:sz w:val="16"/>
          <w:vertAlign w:val="baseline"/>
        </w:rPr>
        <w:t> </w:t>
      </w:r>
      <w:r>
        <w:rPr>
          <w:sz w:val="16"/>
          <w:vertAlign w:val="baseline"/>
        </w:rPr>
        <w:t>στο</w:t>
      </w:r>
      <w:r>
        <w:rPr>
          <w:spacing w:val="-3"/>
          <w:sz w:val="16"/>
          <w:vertAlign w:val="baseline"/>
        </w:rPr>
        <w:t> </w:t>
      </w:r>
      <w:r>
        <w:rPr>
          <w:sz w:val="16"/>
          <w:vertAlign w:val="baseline"/>
        </w:rPr>
        <w:t>ίδιο</w:t>
      </w:r>
      <w:r>
        <w:rPr>
          <w:spacing w:val="-3"/>
          <w:sz w:val="16"/>
          <w:vertAlign w:val="baseline"/>
        </w:rPr>
        <w:t> </w:t>
      </w:r>
      <w:r>
        <w:rPr>
          <w:sz w:val="16"/>
          <w:vertAlign w:val="baseline"/>
        </w:rPr>
        <w:t>νόμισμα</w:t>
      </w:r>
      <w:r>
        <w:rPr>
          <w:spacing w:val="-4"/>
          <w:sz w:val="16"/>
          <w:vertAlign w:val="baseline"/>
        </w:rPr>
        <w:t> </w:t>
      </w:r>
      <w:r>
        <w:rPr>
          <w:sz w:val="16"/>
          <w:vertAlign w:val="baseline"/>
        </w:rPr>
        <w:t>σε</w:t>
      </w:r>
      <w:r>
        <w:rPr>
          <w:spacing w:val="-7"/>
          <w:sz w:val="16"/>
          <w:vertAlign w:val="baseline"/>
        </w:rPr>
        <w:t> </w:t>
      </w:r>
      <w:r>
        <w:rPr>
          <w:sz w:val="16"/>
          <w:vertAlign w:val="baseline"/>
        </w:rPr>
        <w:t>διαφορετικά</w:t>
      </w:r>
      <w:r>
        <w:rPr>
          <w:spacing w:val="-4"/>
          <w:sz w:val="16"/>
          <w:vertAlign w:val="baseline"/>
        </w:rPr>
        <w:t> </w:t>
      </w:r>
      <w:r>
        <w:rPr>
          <w:sz w:val="16"/>
          <w:vertAlign w:val="baseline"/>
        </w:rPr>
        <w:t>πιστωτικά</w:t>
      </w:r>
      <w:r>
        <w:rPr>
          <w:spacing w:val="40"/>
          <w:sz w:val="16"/>
          <w:vertAlign w:val="baseline"/>
        </w:rPr>
        <w:t> </w:t>
      </w:r>
      <w:r>
        <w:rPr>
          <w:sz w:val="16"/>
          <w:vertAlign w:val="baseline"/>
        </w:rPr>
        <w:t>ιδρύματα. Επιπλέον, για τον υπολογισμό της ανοικτής συναλλαγματικής θέσης λαμβάνεται υπόψη η μεγαλύτερη εκ των θέσεων</w:t>
      </w:r>
      <w:r>
        <w:rPr>
          <w:spacing w:val="40"/>
          <w:sz w:val="16"/>
          <w:vertAlign w:val="baseline"/>
        </w:rPr>
        <w:t> </w:t>
      </w:r>
      <w:r>
        <w:rPr>
          <w:sz w:val="16"/>
          <w:vertAlign w:val="baseline"/>
        </w:rPr>
        <w:t>αγοράς (long) και πώλησης (short) ανά νόμισμα.</w:t>
      </w:r>
    </w:p>
    <w:p>
      <w:pPr>
        <w:spacing w:after="0"/>
        <w:jc w:val="both"/>
        <w:rPr>
          <w:sz w:val="16"/>
        </w:rPr>
        <w:sectPr>
          <w:pgSz w:w="11910" w:h="16850"/>
          <w:pgMar w:header="0" w:footer="1108" w:top="1800" w:bottom="1300" w:left="1417" w:right="850"/>
        </w:sectPr>
      </w:pPr>
    </w:p>
    <w:p>
      <w:pPr>
        <w:pStyle w:val="Heading4"/>
        <w:spacing w:before="66"/>
      </w:pPr>
      <w:r>
        <w:rPr>
          <w:color w:val="1F487C"/>
        </w:rPr>
        <w:t>Επ</w:t>
      </w:r>
      <w:r>
        <w:rPr>
          <w:smallCaps/>
          <w:color w:val="1F487C"/>
        </w:rPr>
        <w:t>ι</w:t>
      </w:r>
      <w:r>
        <w:rPr>
          <w:smallCaps w:val="0"/>
          <w:color w:val="1F487C"/>
        </w:rPr>
        <w:t>τοκ</w:t>
      </w:r>
      <w:r>
        <w:rPr>
          <w:smallCaps/>
          <w:color w:val="1F487C"/>
        </w:rPr>
        <w:t>ι</w:t>
      </w:r>
      <w:r>
        <w:rPr>
          <w:smallCaps w:val="0"/>
          <w:color w:val="1F487C"/>
        </w:rPr>
        <w:t>ακή</w:t>
      </w:r>
      <w:r>
        <w:rPr>
          <w:smallCaps w:val="0"/>
          <w:color w:val="1F487C"/>
          <w:spacing w:val="-14"/>
        </w:rPr>
        <w:t> </w:t>
      </w:r>
      <w:r>
        <w:rPr>
          <w:smallCaps w:val="0"/>
          <w:color w:val="1F487C"/>
        </w:rPr>
        <w:t>ευα</w:t>
      </w:r>
      <w:r>
        <w:rPr>
          <w:smallCaps/>
          <w:color w:val="1F487C"/>
        </w:rPr>
        <w:t>ι</w:t>
      </w:r>
      <w:r>
        <w:rPr>
          <w:smallCaps w:val="0"/>
          <w:color w:val="1F487C"/>
        </w:rPr>
        <w:t>σθησία</w:t>
      </w:r>
      <w:r>
        <w:rPr>
          <w:smallCaps w:val="0"/>
          <w:color w:val="1F487C"/>
          <w:spacing w:val="-14"/>
        </w:rPr>
        <w:t> </w:t>
      </w:r>
      <w:r>
        <w:rPr>
          <w:smallCaps w:val="0"/>
          <w:color w:val="1F487C"/>
        </w:rPr>
        <w:t>των</w:t>
      </w:r>
      <w:r>
        <w:rPr>
          <w:smallCaps w:val="0"/>
          <w:color w:val="1F487C"/>
          <w:spacing w:val="-14"/>
        </w:rPr>
        <w:t> </w:t>
      </w:r>
      <w:r>
        <w:rPr>
          <w:smallCaps w:val="0"/>
          <w:color w:val="1F487C"/>
        </w:rPr>
        <w:t>χρεογράφων</w:t>
      </w:r>
      <w:r>
        <w:rPr>
          <w:smallCaps w:val="0"/>
          <w:color w:val="1F487C"/>
          <w:spacing w:val="-13"/>
        </w:rPr>
        <w:t> </w:t>
      </w:r>
      <w:r>
        <w:rPr>
          <w:smallCaps w:val="0"/>
          <w:color w:val="1F487C"/>
        </w:rPr>
        <w:t>κα</w:t>
      </w:r>
      <w:r>
        <w:rPr>
          <w:smallCaps/>
          <w:color w:val="1F487C"/>
        </w:rPr>
        <w:t>ι</w:t>
      </w:r>
      <w:r>
        <w:rPr>
          <w:smallCaps w:val="0"/>
          <w:color w:val="1F487C"/>
          <w:spacing w:val="-13"/>
        </w:rPr>
        <w:t> </w:t>
      </w:r>
      <w:r>
        <w:rPr>
          <w:smallCaps w:val="0"/>
          <w:color w:val="1F487C"/>
          <w:spacing w:val="-2"/>
        </w:rPr>
        <w:t>παραγώγων</w:t>
      </w:r>
    </w:p>
    <w:p>
      <w:pPr>
        <w:pStyle w:val="BodyText"/>
        <w:spacing w:line="285" w:lineRule="auto" w:before="81"/>
        <w:ind w:left="172" w:right="1059"/>
        <w:jc w:val="both"/>
      </w:pPr>
      <w:r>
        <w:rPr/>
        <w:t>Από την εξέταση του επιτοκιακού κινδύνου του χαρτοφυλακίου χρεογράφων και παραγώγων του τραπεζικού</w:t>
      </w:r>
      <w:r>
        <w:rPr>
          <w:spacing w:val="-1"/>
        </w:rPr>
        <w:t> </w:t>
      </w:r>
      <w:r>
        <w:rPr/>
        <w:t>τομέα</w:t>
      </w:r>
      <w:r>
        <w:rPr>
          <w:spacing w:val="-1"/>
        </w:rPr>
        <w:t> </w:t>
      </w:r>
      <w:r>
        <w:rPr/>
        <w:t>προκύπτει</w:t>
      </w:r>
      <w:r>
        <w:rPr>
          <w:spacing w:val="-1"/>
        </w:rPr>
        <w:t> </w:t>
      </w:r>
      <w:r>
        <w:rPr/>
        <w:t>ότι</w:t>
      </w:r>
      <w:r>
        <w:rPr>
          <w:spacing w:val="-1"/>
        </w:rPr>
        <w:t> </w:t>
      </w:r>
      <w:r>
        <w:rPr/>
        <w:t>μια</w:t>
      </w:r>
      <w:r>
        <w:rPr>
          <w:spacing w:val="-1"/>
        </w:rPr>
        <w:t> </w:t>
      </w:r>
      <w:r>
        <w:rPr/>
        <w:t>αύξηση</w:t>
      </w:r>
      <w:r>
        <w:rPr>
          <w:spacing w:val="-1"/>
        </w:rPr>
        <w:t> </w:t>
      </w:r>
      <w:r>
        <w:rPr/>
        <w:t>των</w:t>
      </w:r>
      <w:r>
        <w:rPr>
          <w:spacing w:val="-3"/>
        </w:rPr>
        <w:t> </w:t>
      </w:r>
      <w:r>
        <w:rPr/>
        <w:t>επιτοκίων κατά</w:t>
      </w:r>
      <w:r>
        <w:rPr>
          <w:spacing w:val="-2"/>
        </w:rPr>
        <w:t> </w:t>
      </w:r>
      <w:r>
        <w:rPr/>
        <w:t>1</w:t>
      </w:r>
      <w:r>
        <w:rPr>
          <w:spacing w:val="-1"/>
        </w:rPr>
        <w:t> </w:t>
      </w:r>
      <w:r>
        <w:rPr/>
        <w:t>μ.β.</w:t>
      </w:r>
      <w:r>
        <w:rPr>
          <w:spacing w:val="-1"/>
        </w:rPr>
        <w:t> </w:t>
      </w:r>
      <w:r>
        <w:rPr/>
        <w:t>(PV01)</w:t>
      </w:r>
      <w:r>
        <w:rPr>
          <w:spacing w:val="-1"/>
        </w:rPr>
        <w:t> </w:t>
      </w:r>
      <w:r>
        <w:rPr/>
        <w:t>για</w:t>
      </w:r>
      <w:r>
        <w:rPr>
          <w:spacing w:val="-1"/>
        </w:rPr>
        <w:t> </w:t>
      </w:r>
      <w:r>
        <w:rPr/>
        <w:t>τα χαρ-τοφυλάκια</w:t>
      </w:r>
      <w:r>
        <w:rPr>
          <w:spacing w:val="-14"/>
        </w:rPr>
        <w:t> </w:t>
      </w:r>
      <w:r>
        <w:rPr/>
        <w:t>που</w:t>
      </w:r>
      <w:r>
        <w:rPr>
          <w:spacing w:val="-14"/>
        </w:rPr>
        <w:t> </w:t>
      </w:r>
      <w:r>
        <w:rPr/>
        <w:t>αποτιμώνται</w:t>
      </w:r>
      <w:r>
        <w:rPr>
          <w:spacing w:val="-14"/>
        </w:rPr>
        <w:t> </w:t>
      </w:r>
      <w:r>
        <w:rPr/>
        <w:t>στην</w:t>
      </w:r>
      <w:r>
        <w:rPr>
          <w:spacing w:val="-13"/>
        </w:rPr>
        <w:t> </w:t>
      </w:r>
      <w:r>
        <w:rPr/>
        <w:t>εύλογη</w:t>
      </w:r>
      <w:r>
        <w:rPr>
          <w:spacing w:val="-14"/>
        </w:rPr>
        <w:t> </w:t>
      </w:r>
      <w:r>
        <w:rPr/>
        <w:t>αξία</w:t>
      </w:r>
      <w:r>
        <w:rPr>
          <w:spacing w:val="-14"/>
        </w:rPr>
        <w:t> </w:t>
      </w:r>
      <w:r>
        <w:rPr/>
        <w:t>(fair</w:t>
      </w:r>
      <w:r>
        <w:rPr>
          <w:spacing w:val="-14"/>
        </w:rPr>
        <w:t> </w:t>
      </w:r>
      <w:r>
        <w:rPr/>
        <w:t>value),</w:t>
      </w:r>
      <w:r>
        <w:rPr>
          <w:spacing w:val="-13"/>
        </w:rPr>
        <w:t> </w:t>
      </w:r>
      <w:r>
        <w:rPr/>
        <w:t>των</w:t>
      </w:r>
      <w:r>
        <w:rPr>
          <w:spacing w:val="-14"/>
        </w:rPr>
        <w:t> </w:t>
      </w:r>
      <w:r>
        <w:rPr/>
        <w:t>οποίων</w:t>
      </w:r>
      <w:r>
        <w:rPr>
          <w:spacing w:val="-14"/>
        </w:rPr>
        <w:t> </w:t>
      </w:r>
      <w:r>
        <w:rPr/>
        <w:t>η</w:t>
      </w:r>
      <w:r>
        <w:rPr>
          <w:spacing w:val="-14"/>
        </w:rPr>
        <w:t> </w:t>
      </w:r>
      <w:r>
        <w:rPr/>
        <w:t>εύλογη</w:t>
      </w:r>
      <w:r>
        <w:rPr>
          <w:spacing w:val="-13"/>
        </w:rPr>
        <w:t> </w:t>
      </w:r>
      <w:r>
        <w:rPr/>
        <w:t>αξία</w:t>
      </w:r>
      <w:r>
        <w:rPr>
          <w:spacing w:val="-10"/>
        </w:rPr>
        <w:t> </w:t>
      </w:r>
      <w:r>
        <w:rPr/>
        <w:t>ανερχόταν σε 15,3 δισεκ. ευρώ τον Δεκέμβριο του 2025, θα επέφερε ζημία ύψους 9,7 εκατ. ευρώ. Σε επί-πεδο συνόλου χαρτοφυλακίων χρεογράφων και παραγώγων, δηλαδή περιουσιακών στοιχείων αποτιμώμενων</w:t>
      </w:r>
      <w:r>
        <w:rPr>
          <w:spacing w:val="-8"/>
        </w:rPr>
        <w:t> </w:t>
      </w:r>
      <w:r>
        <w:rPr/>
        <w:t>τόσο</w:t>
      </w:r>
      <w:r>
        <w:rPr>
          <w:spacing w:val="-9"/>
        </w:rPr>
        <w:t> </w:t>
      </w:r>
      <w:r>
        <w:rPr/>
        <w:t>σε</w:t>
      </w:r>
      <w:r>
        <w:rPr>
          <w:spacing w:val="-9"/>
        </w:rPr>
        <w:t> </w:t>
      </w:r>
      <w:r>
        <w:rPr/>
        <w:t>εύλογη</w:t>
      </w:r>
      <w:r>
        <w:rPr>
          <w:spacing w:val="-9"/>
        </w:rPr>
        <w:t> </w:t>
      </w:r>
      <w:r>
        <w:rPr/>
        <w:t>αξία</w:t>
      </w:r>
      <w:r>
        <w:rPr>
          <w:spacing w:val="-10"/>
        </w:rPr>
        <w:t> </w:t>
      </w:r>
      <w:r>
        <w:rPr/>
        <w:t>όσο</w:t>
      </w:r>
      <w:r>
        <w:rPr>
          <w:spacing w:val="-9"/>
        </w:rPr>
        <w:t> </w:t>
      </w:r>
      <w:r>
        <w:rPr/>
        <w:t>και</w:t>
      </w:r>
      <w:r>
        <w:rPr>
          <w:spacing w:val="-9"/>
        </w:rPr>
        <w:t> </w:t>
      </w:r>
      <w:r>
        <w:rPr/>
        <w:t>στο</w:t>
      </w:r>
      <w:r>
        <w:rPr>
          <w:spacing w:val="-9"/>
        </w:rPr>
        <w:t> </w:t>
      </w:r>
      <w:r>
        <w:rPr/>
        <w:t>αποσβεσμένο</w:t>
      </w:r>
      <w:r>
        <w:rPr>
          <w:spacing w:val="-9"/>
        </w:rPr>
        <w:t> </w:t>
      </w:r>
      <w:r>
        <w:rPr/>
        <w:t>κόστος,</w:t>
      </w:r>
      <w:r>
        <w:rPr>
          <w:spacing w:val="-9"/>
        </w:rPr>
        <w:t> </w:t>
      </w:r>
      <w:r>
        <w:rPr/>
        <w:t>η</w:t>
      </w:r>
      <w:r>
        <w:rPr>
          <w:spacing w:val="-10"/>
        </w:rPr>
        <w:t> </w:t>
      </w:r>
      <w:r>
        <w:rPr/>
        <w:t>αύξηση</w:t>
      </w:r>
      <w:r>
        <w:rPr>
          <w:spacing w:val="-12"/>
        </w:rPr>
        <w:t> </w:t>
      </w:r>
      <w:r>
        <w:rPr/>
        <w:t>των</w:t>
      </w:r>
      <w:r>
        <w:rPr>
          <w:spacing w:val="-11"/>
        </w:rPr>
        <w:t> </w:t>
      </w:r>
      <w:r>
        <w:rPr/>
        <w:t>επιτοκίων κατά</w:t>
      </w:r>
      <w:r>
        <w:rPr>
          <w:spacing w:val="-9"/>
        </w:rPr>
        <w:t> </w:t>
      </w:r>
      <w:r>
        <w:rPr/>
        <w:t>1</w:t>
      </w:r>
      <w:r>
        <w:rPr>
          <w:spacing w:val="-8"/>
        </w:rPr>
        <w:t> </w:t>
      </w:r>
      <w:r>
        <w:rPr/>
        <w:t>μ.β.</w:t>
      </w:r>
      <w:r>
        <w:rPr>
          <w:spacing w:val="-8"/>
        </w:rPr>
        <w:t> </w:t>
      </w:r>
      <w:r>
        <w:rPr/>
        <w:t>δύναται</w:t>
      </w:r>
      <w:r>
        <w:rPr>
          <w:spacing w:val="-10"/>
        </w:rPr>
        <w:t> </w:t>
      </w:r>
      <w:r>
        <w:rPr/>
        <w:t>να</w:t>
      </w:r>
      <w:r>
        <w:rPr>
          <w:spacing w:val="-9"/>
        </w:rPr>
        <w:t> </w:t>
      </w:r>
      <w:r>
        <w:rPr/>
        <w:t>προκαλέσει</w:t>
      </w:r>
      <w:r>
        <w:rPr>
          <w:spacing w:val="-8"/>
        </w:rPr>
        <w:t> </w:t>
      </w:r>
      <w:r>
        <w:rPr/>
        <w:t>ζημία</w:t>
      </w:r>
      <w:r>
        <w:rPr>
          <w:spacing w:val="-11"/>
        </w:rPr>
        <w:t> </w:t>
      </w:r>
      <w:r>
        <w:rPr/>
        <w:t>ύψους</w:t>
      </w:r>
      <w:r>
        <w:rPr>
          <w:spacing w:val="-10"/>
        </w:rPr>
        <w:t> </w:t>
      </w:r>
      <w:r>
        <w:rPr/>
        <w:t>35,7</w:t>
      </w:r>
      <w:r>
        <w:rPr>
          <w:spacing w:val="-11"/>
        </w:rPr>
        <w:t> </w:t>
      </w:r>
      <w:r>
        <w:rPr/>
        <w:t>εκατ.</w:t>
      </w:r>
      <w:r>
        <w:rPr>
          <w:spacing w:val="-9"/>
        </w:rPr>
        <w:t> </w:t>
      </w:r>
      <w:r>
        <w:rPr/>
        <w:t>ευρώ,</w:t>
      </w:r>
      <w:r>
        <w:rPr>
          <w:spacing w:val="-9"/>
        </w:rPr>
        <w:t> </w:t>
      </w:r>
      <w:r>
        <w:rPr/>
        <w:t>με</w:t>
      </w:r>
      <w:r>
        <w:rPr>
          <w:spacing w:val="-8"/>
        </w:rPr>
        <w:t> </w:t>
      </w:r>
      <w:r>
        <w:rPr/>
        <w:t>στοιχεία</w:t>
      </w:r>
      <w:r>
        <w:rPr>
          <w:spacing w:val="-8"/>
        </w:rPr>
        <w:t> </w:t>
      </w:r>
      <w:r>
        <w:rPr/>
        <w:t>Δεκεμβρίου</w:t>
      </w:r>
      <w:r>
        <w:rPr>
          <w:spacing w:val="-8"/>
        </w:rPr>
        <w:t> </w:t>
      </w:r>
      <w:r>
        <w:rPr/>
        <w:t>2025. Αντίστοιχα,</w:t>
      </w:r>
      <w:r>
        <w:rPr>
          <w:spacing w:val="-5"/>
        </w:rPr>
        <w:t> </w:t>
      </w:r>
      <w:r>
        <w:rPr/>
        <w:t>η</w:t>
      </w:r>
      <w:r>
        <w:rPr>
          <w:spacing w:val="-5"/>
        </w:rPr>
        <w:t> </w:t>
      </w:r>
      <w:r>
        <w:rPr/>
        <w:t>επίδραση</w:t>
      </w:r>
      <w:r>
        <w:rPr>
          <w:spacing w:val="-5"/>
        </w:rPr>
        <w:t> </w:t>
      </w:r>
      <w:r>
        <w:rPr/>
        <w:t>της</w:t>
      </w:r>
      <w:r>
        <w:rPr>
          <w:spacing w:val="-4"/>
        </w:rPr>
        <w:t> </w:t>
      </w:r>
      <w:r>
        <w:rPr/>
        <w:t>αύξησης</w:t>
      </w:r>
      <w:r>
        <w:rPr>
          <w:spacing w:val="-4"/>
        </w:rPr>
        <w:t> </w:t>
      </w:r>
      <w:r>
        <w:rPr/>
        <w:t>των</w:t>
      </w:r>
      <w:r>
        <w:rPr>
          <w:spacing w:val="-1"/>
        </w:rPr>
        <w:t> </w:t>
      </w:r>
      <w:r>
        <w:rPr/>
        <w:t>πιστωτικών</w:t>
      </w:r>
      <w:r>
        <w:rPr>
          <w:spacing w:val="-4"/>
        </w:rPr>
        <w:t> </w:t>
      </w:r>
      <w:r>
        <w:rPr/>
        <w:t>περιθωρίων</w:t>
      </w:r>
      <w:r>
        <w:rPr>
          <w:spacing w:val="-1"/>
        </w:rPr>
        <w:t> </w:t>
      </w:r>
      <w:r>
        <w:rPr/>
        <w:t>κατά</w:t>
      </w:r>
      <w:r>
        <w:rPr>
          <w:spacing w:val="-6"/>
        </w:rPr>
        <w:t> </w:t>
      </w:r>
      <w:r>
        <w:rPr/>
        <w:t>1</w:t>
      </w:r>
      <w:r>
        <w:rPr>
          <w:spacing w:val="-2"/>
        </w:rPr>
        <w:t> </w:t>
      </w:r>
      <w:r>
        <w:rPr/>
        <w:t>μ.β.</w:t>
      </w:r>
      <w:r>
        <w:rPr>
          <w:spacing w:val="-4"/>
        </w:rPr>
        <w:t> </w:t>
      </w:r>
      <w:r>
        <w:rPr/>
        <w:t>(CS01)</w:t>
      </w:r>
      <w:r>
        <w:rPr>
          <w:spacing w:val="-2"/>
        </w:rPr>
        <w:t> </w:t>
      </w:r>
      <w:r>
        <w:rPr/>
        <w:t>αναμένε-ται</w:t>
      </w:r>
      <w:r>
        <w:rPr>
          <w:spacing w:val="-7"/>
        </w:rPr>
        <w:t> </w:t>
      </w:r>
      <w:r>
        <w:rPr/>
        <w:t>να</w:t>
      </w:r>
      <w:r>
        <w:rPr>
          <w:spacing w:val="-10"/>
        </w:rPr>
        <w:t> </w:t>
      </w:r>
      <w:r>
        <w:rPr/>
        <w:t>επιφέρει</w:t>
      </w:r>
      <w:r>
        <w:rPr>
          <w:spacing w:val="-6"/>
        </w:rPr>
        <w:t> </w:t>
      </w:r>
      <w:r>
        <w:rPr/>
        <w:t>ζημία</w:t>
      </w:r>
      <w:r>
        <w:rPr>
          <w:spacing w:val="-6"/>
        </w:rPr>
        <w:t> </w:t>
      </w:r>
      <w:r>
        <w:rPr/>
        <w:t>ύψους</w:t>
      </w:r>
      <w:r>
        <w:rPr>
          <w:spacing w:val="-7"/>
        </w:rPr>
        <w:t> </w:t>
      </w:r>
      <w:r>
        <w:rPr/>
        <w:t>5,9</w:t>
      </w:r>
      <w:r>
        <w:rPr>
          <w:spacing w:val="-7"/>
        </w:rPr>
        <w:t> </w:t>
      </w:r>
      <w:r>
        <w:rPr/>
        <w:t>εκατ.</w:t>
      </w:r>
      <w:r>
        <w:rPr>
          <w:spacing w:val="-7"/>
        </w:rPr>
        <w:t> </w:t>
      </w:r>
      <w:r>
        <w:rPr/>
        <w:t>ευρώ</w:t>
      </w:r>
      <w:r>
        <w:rPr>
          <w:spacing w:val="-6"/>
        </w:rPr>
        <w:t> </w:t>
      </w:r>
      <w:r>
        <w:rPr/>
        <w:t>για</w:t>
      </w:r>
      <w:r>
        <w:rPr>
          <w:spacing w:val="-7"/>
        </w:rPr>
        <w:t> </w:t>
      </w:r>
      <w:r>
        <w:rPr/>
        <w:t>τα</w:t>
      </w:r>
      <w:r>
        <w:rPr>
          <w:spacing w:val="-8"/>
        </w:rPr>
        <w:t> </w:t>
      </w:r>
      <w:r>
        <w:rPr/>
        <w:t>χαρτοφυλάκια</w:t>
      </w:r>
      <w:r>
        <w:rPr>
          <w:spacing w:val="-6"/>
        </w:rPr>
        <w:t> </w:t>
      </w:r>
      <w:r>
        <w:rPr/>
        <w:t>που</w:t>
      </w:r>
      <w:r>
        <w:rPr>
          <w:spacing w:val="-6"/>
        </w:rPr>
        <w:t> </w:t>
      </w:r>
      <w:r>
        <w:rPr/>
        <w:t>αποτιμώνται</w:t>
      </w:r>
      <w:r>
        <w:rPr>
          <w:spacing w:val="-6"/>
        </w:rPr>
        <w:t> </w:t>
      </w:r>
      <w:r>
        <w:rPr/>
        <w:t>στην</w:t>
      </w:r>
      <w:r>
        <w:rPr>
          <w:spacing w:val="-6"/>
        </w:rPr>
        <w:t> </w:t>
      </w:r>
      <w:r>
        <w:rPr/>
        <w:t>εύλογη αξία, ενώ συνολικά για όλα τα χαρτοφυλάκια η ενδεχόμενη ζημία ανέρχεται σε περίπου 54,9 εκατ. ευρώ. Οι τράπεζες διατηρούν ένα χαρτοφυλάκιο από επιτοκιακά παράγωγα προϊόντα για σκοπούς οικονομικής αντιστάθμισης, απλής κυρίως δομής, τα οποία εκκαθαρίζονται κατά κα-νόνα μέσω κεντρικών αντισυμβαλλομένων ή αφορούν διμερείς συναλλαγές που διέπονται από τυποποιημένες</w:t>
      </w:r>
      <w:r>
        <w:rPr>
          <w:spacing w:val="-10"/>
        </w:rPr>
        <w:t> </w:t>
      </w:r>
      <w:r>
        <w:rPr/>
        <w:t>συμβάσεις</w:t>
      </w:r>
      <w:r>
        <w:rPr>
          <w:spacing w:val="-10"/>
        </w:rPr>
        <w:t> </w:t>
      </w:r>
      <w:r>
        <w:rPr/>
        <w:t>κάλυψης</w:t>
      </w:r>
      <w:r>
        <w:rPr>
          <w:spacing w:val="-7"/>
        </w:rPr>
        <w:t> </w:t>
      </w:r>
      <w:r>
        <w:rPr/>
        <w:t>πιστωτικού</w:t>
      </w:r>
      <w:r>
        <w:rPr>
          <w:spacing w:val="-5"/>
        </w:rPr>
        <w:t> </w:t>
      </w:r>
      <w:r>
        <w:rPr/>
        <w:t>κινδύνου</w:t>
      </w:r>
      <w:r>
        <w:rPr>
          <w:spacing w:val="-5"/>
        </w:rPr>
        <w:t> </w:t>
      </w:r>
      <w:r>
        <w:rPr/>
        <w:t>αντισυμβαλλομένου,</w:t>
      </w:r>
      <w:r>
        <w:rPr>
          <w:spacing w:val="-6"/>
        </w:rPr>
        <w:t> </w:t>
      </w:r>
      <w:r>
        <w:rPr/>
        <w:t>και</w:t>
      </w:r>
      <w:r>
        <w:rPr>
          <w:spacing w:val="-9"/>
        </w:rPr>
        <w:t> </w:t>
      </w:r>
      <w:r>
        <w:rPr/>
        <w:t>τα</w:t>
      </w:r>
      <w:r>
        <w:rPr>
          <w:spacing w:val="-7"/>
        </w:rPr>
        <w:t> </w:t>
      </w:r>
      <w:r>
        <w:rPr/>
        <w:t>οποία</w:t>
      </w:r>
      <w:r>
        <w:rPr>
          <w:spacing w:val="-6"/>
        </w:rPr>
        <w:t> </w:t>
      </w:r>
      <w:r>
        <w:rPr/>
        <w:t>με-τριάζουν το μέγεθος της προαναφερθείσας επιτοκιακής ευαισθησίας.</w:t>
      </w:r>
    </w:p>
    <w:p>
      <w:pPr>
        <w:pStyle w:val="Heading4"/>
        <w:spacing w:before="83"/>
      </w:pPr>
      <w:r>
        <w:rPr>
          <w:color w:val="1F487C"/>
        </w:rPr>
        <w:t>Κεφαλα</w:t>
      </w:r>
      <w:r>
        <w:rPr>
          <w:smallCaps/>
          <w:color w:val="1F487C"/>
        </w:rPr>
        <w:t>ι</w:t>
      </w:r>
      <w:r>
        <w:rPr>
          <w:smallCaps w:val="0"/>
          <w:color w:val="1F487C"/>
        </w:rPr>
        <w:t>ακές</w:t>
      </w:r>
      <w:r>
        <w:rPr>
          <w:smallCaps w:val="0"/>
          <w:color w:val="1F487C"/>
          <w:spacing w:val="-12"/>
        </w:rPr>
        <w:t> </w:t>
      </w:r>
      <w:r>
        <w:rPr>
          <w:smallCaps w:val="0"/>
          <w:color w:val="1F487C"/>
        </w:rPr>
        <w:t>απα</w:t>
      </w:r>
      <w:r>
        <w:rPr>
          <w:smallCaps/>
          <w:color w:val="1F487C"/>
        </w:rPr>
        <w:t>ι</w:t>
      </w:r>
      <w:r>
        <w:rPr>
          <w:smallCaps w:val="0"/>
          <w:color w:val="1F487C"/>
        </w:rPr>
        <w:t>τήσε</w:t>
      </w:r>
      <w:r>
        <w:rPr>
          <w:smallCaps/>
          <w:color w:val="1F487C"/>
        </w:rPr>
        <w:t>ι</w:t>
      </w:r>
      <w:r>
        <w:rPr>
          <w:smallCaps w:val="0"/>
          <w:color w:val="1F487C"/>
        </w:rPr>
        <w:t>ς</w:t>
      </w:r>
      <w:r>
        <w:rPr>
          <w:smallCaps w:val="0"/>
          <w:color w:val="1F487C"/>
          <w:spacing w:val="-11"/>
        </w:rPr>
        <w:t> </w:t>
      </w:r>
      <w:r>
        <w:rPr>
          <w:smallCaps w:val="0"/>
          <w:color w:val="1F487C"/>
        </w:rPr>
        <w:t>των</w:t>
      </w:r>
      <w:r>
        <w:rPr>
          <w:smallCaps w:val="0"/>
          <w:color w:val="1F487C"/>
          <w:spacing w:val="-11"/>
        </w:rPr>
        <w:t> </w:t>
      </w:r>
      <w:r>
        <w:rPr>
          <w:smallCaps w:val="0"/>
          <w:color w:val="1F487C"/>
        </w:rPr>
        <w:t>τραπεζών</w:t>
      </w:r>
      <w:r>
        <w:rPr>
          <w:smallCaps w:val="0"/>
          <w:color w:val="1F487C"/>
          <w:spacing w:val="-11"/>
        </w:rPr>
        <w:t> </w:t>
      </w:r>
      <w:r>
        <w:rPr>
          <w:smallCaps w:val="0"/>
          <w:color w:val="1F487C"/>
        </w:rPr>
        <w:t>γ</w:t>
      </w:r>
      <w:r>
        <w:rPr>
          <w:smallCaps/>
          <w:color w:val="1F487C"/>
        </w:rPr>
        <w:t>ι</w:t>
      </w:r>
      <w:r>
        <w:rPr>
          <w:smallCaps w:val="0"/>
          <w:color w:val="1F487C"/>
        </w:rPr>
        <w:t>α</w:t>
      </w:r>
      <w:r>
        <w:rPr>
          <w:smallCaps w:val="0"/>
          <w:color w:val="1F487C"/>
          <w:spacing w:val="-11"/>
        </w:rPr>
        <w:t> </w:t>
      </w:r>
      <w:r>
        <w:rPr>
          <w:smallCaps w:val="0"/>
          <w:color w:val="1F487C"/>
        </w:rPr>
        <w:t>τον</w:t>
      </w:r>
      <w:r>
        <w:rPr>
          <w:smallCaps w:val="0"/>
          <w:color w:val="1F487C"/>
          <w:spacing w:val="-10"/>
        </w:rPr>
        <w:t> </w:t>
      </w:r>
      <w:r>
        <w:rPr>
          <w:smallCaps w:val="0"/>
          <w:color w:val="1F487C"/>
        </w:rPr>
        <w:t>κίνδυνο</w:t>
      </w:r>
      <w:r>
        <w:rPr>
          <w:smallCaps w:val="0"/>
          <w:color w:val="1F487C"/>
          <w:spacing w:val="-8"/>
        </w:rPr>
        <w:t> </w:t>
      </w:r>
      <w:r>
        <w:rPr>
          <w:smallCaps w:val="0"/>
          <w:color w:val="1F487C"/>
          <w:spacing w:val="-2"/>
        </w:rPr>
        <w:t>αγοράς</w:t>
      </w:r>
    </w:p>
    <w:p>
      <w:pPr>
        <w:pStyle w:val="BodyText"/>
        <w:spacing w:line="285" w:lineRule="auto" w:before="119"/>
        <w:ind w:left="172" w:right="1060"/>
        <w:jc w:val="both"/>
      </w:pPr>
      <w:r>
        <w:rPr/>
        <w:t>Οι συνολικές</w:t>
      </w:r>
      <w:r>
        <w:rPr>
          <w:spacing w:val="-1"/>
        </w:rPr>
        <w:t> </w:t>
      </w:r>
      <w:r>
        <w:rPr/>
        <w:t>κεφαλαιακές</w:t>
      </w:r>
      <w:r>
        <w:rPr>
          <w:spacing w:val="-3"/>
        </w:rPr>
        <w:t> </w:t>
      </w:r>
      <w:r>
        <w:rPr/>
        <w:t>απαιτήσεις</w:t>
      </w:r>
      <w:r>
        <w:rPr>
          <w:spacing w:val="-1"/>
        </w:rPr>
        <w:t> </w:t>
      </w:r>
      <w:r>
        <w:rPr/>
        <w:t>για τον κίνδυνο</w:t>
      </w:r>
      <w:r>
        <w:rPr>
          <w:spacing w:val="-2"/>
        </w:rPr>
        <w:t> </w:t>
      </w:r>
      <w:r>
        <w:rPr/>
        <w:t>αγοράς</w:t>
      </w:r>
      <w:r>
        <w:rPr>
          <w:spacing w:val="-1"/>
        </w:rPr>
        <w:t> </w:t>
      </w:r>
      <w:r>
        <w:rPr/>
        <w:t>αυξήθηκαν σε 307,5 εκατ.</w:t>
      </w:r>
      <w:r>
        <w:rPr>
          <w:spacing w:val="-1"/>
        </w:rPr>
        <w:t> </w:t>
      </w:r>
      <w:r>
        <w:rPr/>
        <w:t>ευρώ τον Δεκέμβριο του 2025 (2,2% των συνολικών κεφαλαιακών απαιτήσεων), από 252,2 εκατ. ευρώ τον Δεκέμβριο του 2024. Η</w:t>
      </w:r>
      <w:r>
        <w:rPr>
          <w:spacing w:val="-1"/>
        </w:rPr>
        <w:t> </w:t>
      </w:r>
      <w:r>
        <w:rPr/>
        <w:t>άνοδος</w:t>
      </w:r>
      <w:r>
        <w:rPr>
          <w:spacing w:val="-1"/>
        </w:rPr>
        <w:t> </w:t>
      </w:r>
      <w:r>
        <w:rPr/>
        <w:t>αυτή προκύπτει κυρίως</w:t>
      </w:r>
      <w:r>
        <w:rPr>
          <w:spacing w:val="-3"/>
        </w:rPr>
        <w:t> </w:t>
      </w:r>
      <w:r>
        <w:rPr/>
        <w:t>λόγω της</w:t>
      </w:r>
      <w:r>
        <w:rPr>
          <w:spacing w:val="-1"/>
        </w:rPr>
        <w:t> </w:t>
      </w:r>
      <w:r>
        <w:rPr/>
        <w:t>αύξησης</w:t>
      </w:r>
      <w:r>
        <w:rPr>
          <w:spacing w:val="-1"/>
        </w:rPr>
        <w:t> </w:t>
      </w:r>
      <w:r>
        <w:rPr/>
        <w:t>των κεφα-λαιακών απαιτήσεων για τον κίνδυνο επιτοκίων και τον κίνδυνο συναλλάγματος, ως αποτέλε-σμα</w:t>
      </w:r>
      <w:r>
        <w:rPr>
          <w:spacing w:val="-2"/>
        </w:rPr>
        <w:t> </w:t>
      </w:r>
      <w:r>
        <w:rPr/>
        <w:t>της</w:t>
      </w:r>
      <w:r>
        <w:rPr>
          <w:spacing w:val="-3"/>
        </w:rPr>
        <w:t> </w:t>
      </w:r>
      <w:r>
        <w:rPr/>
        <w:t>αύξησης</w:t>
      </w:r>
      <w:r>
        <w:rPr>
          <w:spacing w:val="-4"/>
        </w:rPr>
        <w:t> </w:t>
      </w:r>
      <w:r>
        <w:rPr/>
        <w:t>των</w:t>
      </w:r>
      <w:r>
        <w:rPr>
          <w:spacing w:val="-1"/>
        </w:rPr>
        <w:t> </w:t>
      </w:r>
      <w:r>
        <w:rPr/>
        <w:t>αντίστοιχων</w:t>
      </w:r>
      <w:r>
        <w:rPr>
          <w:spacing w:val="-1"/>
        </w:rPr>
        <w:t> </w:t>
      </w:r>
      <w:r>
        <w:rPr/>
        <w:t>θέσεων.</w:t>
      </w:r>
      <w:r>
        <w:rPr>
          <w:spacing w:val="-2"/>
        </w:rPr>
        <w:t> </w:t>
      </w:r>
      <w:r>
        <w:rPr/>
        <w:t>Οι</w:t>
      </w:r>
      <w:r>
        <w:rPr>
          <w:spacing w:val="-2"/>
        </w:rPr>
        <w:t> </w:t>
      </w:r>
      <w:r>
        <w:rPr/>
        <w:t>κεφαλαιακές</w:t>
      </w:r>
      <w:r>
        <w:rPr>
          <w:spacing w:val="-3"/>
        </w:rPr>
        <w:t> </w:t>
      </w:r>
      <w:r>
        <w:rPr/>
        <w:t>απαιτήσεις</w:t>
      </w:r>
      <w:r>
        <w:rPr>
          <w:spacing w:val="-2"/>
        </w:rPr>
        <w:t> </w:t>
      </w:r>
      <w:r>
        <w:rPr/>
        <w:t>για</w:t>
      </w:r>
      <w:r>
        <w:rPr>
          <w:spacing w:val="-2"/>
        </w:rPr>
        <w:t> </w:t>
      </w:r>
      <w:r>
        <w:rPr/>
        <w:t>τον</w:t>
      </w:r>
      <w:r>
        <w:rPr>
          <w:spacing w:val="-1"/>
        </w:rPr>
        <w:t> </w:t>
      </w:r>
      <w:r>
        <w:rPr/>
        <w:t>κίνδυνο</w:t>
      </w:r>
      <w:r>
        <w:rPr>
          <w:spacing w:val="-2"/>
        </w:rPr>
        <w:t> </w:t>
      </w:r>
      <w:r>
        <w:rPr/>
        <w:t>αγοράς αφορούν κατά 55% χρεόγραφα, 14% μετοχικούς τίτλους, 23% συνάλλαγμα και 8% εμπορεύ-ματα.</w:t>
      </w:r>
      <w:r>
        <w:rPr>
          <w:spacing w:val="-1"/>
        </w:rPr>
        <w:t> </w:t>
      </w:r>
      <w:r>
        <w:rPr/>
        <w:t>Οι κεφαλαιακές</w:t>
      </w:r>
      <w:r>
        <w:rPr>
          <w:spacing w:val="-2"/>
        </w:rPr>
        <w:t> </w:t>
      </w:r>
      <w:r>
        <w:rPr/>
        <w:t>απαιτήσεις</w:t>
      </w:r>
      <w:r>
        <w:rPr>
          <w:spacing w:val="-2"/>
        </w:rPr>
        <w:t> </w:t>
      </w:r>
      <w:r>
        <w:rPr/>
        <w:t>για</w:t>
      </w:r>
      <w:r>
        <w:rPr>
          <w:spacing w:val="-1"/>
        </w:rPr>
        <w:t> </w:t>
      </w:r>
      <w:r>
        <w:rPr/>
        <w:t>την κάλυψη</w:t>
      </w:r>
      <w:r>
        <w:rPr>
          <w:spacing w:val="-1"/>
        </w:rPr>
        <w:t> </w:t>
      </w:r>
      <w:r>
        <w:rPr/>
        <w:t>του</w:t>
      </w:r>
      <w:r>
        <w:rPr>
          <w:spacing w:val="-2"/>
        </w:rPr>
        <w:t> </w:t>
      </w:r>
      <w:r>
        <w:rPr/>
        <w:t>κινδύνου</w:t>
      </w:r>
      <w:r>
        <w:rPr>
          <w:spacing w:val="-2"/>
        </w:rPr>
        <w:t> </w:t>
      </w:r>
      <w:r>
        <w:rPr/>
        <w:t>προσαρμογής</w:t>
      </w:r>
      <w:r>
        <w:rPr>
          <w:spacing w:val="-2"/>
        </w:rPr>
        <w:t> </w:t>
      </w:r>
      <w:r>
        <w:rPr/>
        <w:t>πιστωτικής</w:t>
      </w:r>
      <w:r>
        <w:rPr>
          <w:spacing w:val="-3"/>
        </w:rPr>
        <w:t> </w:t>
      </w:r>
      <w:r>
        <w:rPr/>
        <w:t>απο-τίμησης (credit valuation adjustment ‒ CVA) για το σύνολο του τραπεζικού τομέα ανήλθαν σε 34,7 εκατ.</w:t>
      </w:r>
      <w:r>
        <w:rPr>
          <w:spacing w:val="-3"/>
        </w:rPr>
        <w:t> </w:t>
      </w:r>
      <w:r>
        <w:rPr/>
        <w:t>ευρώ τον Δεκέμβριο</w:t>
      </w:r>
      <w:r>
        <w:rPr>
          <w:spacing w:val="-2"/>
        </w:rPr>
        <w:t> </w:t>
      </w:r>
      <w:r>
        <w:rPr/>
        <w:t>του</w:t>
      </w:r>
      <w:r>
        <w:rPr>
          <w:spacing w:val="-1"/>
        </w:rPr>
        <w:t> </w:t>
      </w:r>
      <w:r>
        <w:rPr/>
        <w:t>2025,</w:t>
      </w:r>
      <w:r>
        <w:rPr>
          <w:spacing w:val="-3"/>
        </w:rPr>
        <w:t> </w:t>
      </w:r>
      <w:r>
        <w:rPr/>
        <w:t>έναντι 43,2</w:t>
      </w:r>
      <w:r>
        <w:rPr>
          <w:spacing w:val="-2"/>
        </w:rPr>
        <w:t> </w:t>
      </w:r>
      <w:r>
        <w:rPr/>
        <w:t>εκατ.</w:t>
      </w:r>
      <w:r>
        <w:rPr>
          <w:spacing w:val="-1"/>
        </w:rPr>
        <w:t> </w:t>
      </w:r>
      <w:r>
        <w:rPr/>
        <w:t>ευρώ τον Δεκέμβριο</w:t>
      </w:r>
      <w:r>
        <w:rPr>
          <w:spacing w:val="-5"/>
        </w:rPr>
        <w:t> </w:t>
      </w:r>
      <w:r>
        <w:rPr/>
        <w:t>του 2024</w:t>
      </w:r>
      <w:r>
        <w:rPr>
          <w:spacing w:val="-2"/>
        </w:rPr>
        <w:t> </w:t>
      </w:r>
      <w:r>
        <w:rPr/>
        <w:t>(πε-ρίπου 0,2% των συνολικών κεφαλαιακών απαιτήσεων).</w:t>
      </w:r>
    </w:p>
    <w:p>
      <w:pPr>
        <w:pStyle w:val="BodyText"/>
        <w:spacing w:after="0" w:line="285" w:lineRule="auto"/>
        <w:jc w:val="both"/>
        <w:sectPr>
          <w:pgSz w:w="11910" w:h="16850"/>
          <w:pgMar w:header="0" w:footer="1108" w:top="1840" w:bottom="1300" w:left="1417" w:right="850"/>
        </w:sectPr>
      </w:pPr>
    </w:p>
    <w:p>
      <w:pPr>
        <w:pStyle w:val="Heading3"/>
        <w:numPr>
          <w:ilvl w:val="2"/>
          <w:numId w:val="2"/>
        </w:numPr>
        <w:tabs>
          <w:tab w:pos="738" w:val="left" w:leader="none"/>
        </w:tabs>
        <w:spacing w:line="240" w:lineRule="auto" w:before="72" w:after="0"/>
        <w:ind w:left="738" w:right="0" w:hanging="566"/>
        <w:jc w:val="left"/>
        <w:rPr>
          <w:color w:val="1F487C"/>
        </w:rPr>
      </w:pPr>
      <w:bookmarkStart w:name="_bookmark66" w:id="67"/>
      <w:bookmarkEnd w:id="67"/>
      <w:r>
        <w:rPr>
          <w:b w:val="0"/>
        </w:rPr>
      </w:r>
      <w:r>
        <w:rPr>
          <w:color w:val="1F487C"/>
        </w:rPr>
        <w:t>ΛΕΙΤΟΥΡΓΙΚΟΣ</w:t>
      </w:r>
      <w:r>
        <w:rPr>
          <w:color w:val="1F487C"/>
          <w:spacing w:val="-10"/>
        </w:rPr>
        <w:t> </w:t>
      </w:r>
      <w:r>
        <w:rPr>
          <w:color w:val="1F487C"/>
          <w:spacing w:val="-2"/>
        </w:rPr>
        <w:t>ΚΙΝΔΥΝΟΣ</w:t>
      </w:r>
    </w:p>
    <w:p>
      <w:pPr>
        <w:pStyle w:val="BodyText"/>
        <w:spacing w:line="276" w:lineRule="auto" w:before="59"/>
        <w:ind w:left="172" w:right="955"/>
        <w:jc w:val="both"/>
      </w:pPr>
      <w:r>
        <w:rPr/>
        <w:t>Ο</w:t>
      </w:r>
      <w:r>
        <w:rPr>
          <w:spacing w:val="-3"/>
        </w:rPr>
        <w:t> </w:t>
      </w:r>
      <w:r>
        <w:rPr/>
        <w:t>λειτουργικός</w:t>
      </w:r>
      <w:r>
        <w:rPr>
          <w:spacing w:val="-4"/>
        </w:rPr>
        <w:t> </w:t>
      </w:r>
      <w:r>
        <w:rPr/>
        <w:t>κίνδυνος</w:t>
      </w:r>
      <w:r>
        <w:rPr>
          <w:spacing w:val="-3"/>
        </w:rPr>
        <w:t> </w:t>
      </w:r>
      <w:r>
        <w:rPr/>
        <w:t>αποτελεί</w:t>
      </w:r>
      <w:r>
        <w:rPr>
          <w:spacing w:val="-4"/>
        </w:rPr>
        <w:t> </w:t>
      </w:r>
      <w:r>
        <w:rPr/>
        <w:t>μία</w:t>
      </w:r>
      <w:r>
        <w:rPr>
          <w:spacing w:val="-2"/>
        </w:rPr>
        <w:t> </w:t>
      </w:r>
      <w:r>
        <w:rPr/>
        <w:t>από</w:t>
      </w:r>
      <w:r>
        <w:rPr>
          <w:spacing w:val="-5"/>
        </w:rPr>
        <w:t> </w:t>
      </w:r>
      <w:r>
        <w:rPr/>
        <w:t>τις</w:t>
      </w:r>
      <w:r>
        <w:rPr>
          <w:spacing w:val="-5"/>
        </w:rPr>
        <w:t> </w:t>
      </w:r>
      <w:r>
        <w:rPr/>
        <w:t>βασικές</w:t>
      </w:r>
      <w:r>
        <w:rPr>
          <w:spacing w:val="-5"/>
        </w:rPr>
        <w:t> </w:t>
      </w:r>
      <w:r>
        <w:rPr/>
        <w:t>κατηγορίες</w:t>
      </w:r>
      <w:r>
        <w:rPr>
          <w:spacing w:val="-6"/>
        </w:rPr>
        <w:t> </w:t>
      </w:r>
      <w:r>
        <w:rPr/>
        <w:t>κινδύνου</w:t>
      </w:r>
      <w:r>
        <w:rPr>
          <w:spacing w:val="-4"/>
        </w:rPr>
        <w:t> </w:t>
      </w:r>
      <w:r>
        <w:rPr/>
        <w:t>που</w:t>
      </w:r>
      <w:r>
        <w:rPr>
          <w:spacing w:val="-4"/>
        </w:rPr>
        <w:t> </w:t>
      </w:r>
      <w:r>
        <w:rPr/>
        <w:t>αντιμετωπίζουν τα χρηματοπιστωτικά ιδρύματα στην Ελλάδα και επηρεάζεται τόσο από εσωτερικούς όσο και εξωτερικούς παράγοντες. Ειδικότερα, σύμφωνα με τον Κανονισμό (ΕΕ) 2024/1623, ο οποίος τροποποιεί τον Κανονισμό</w:t>
      </w:r>
      <w:r>
        <w:rPr>
          <w:spacing w:val="-1"/>
        </w:rPr>
        <w:t> </w:t>
      </w:r>
      <w:r>
        <w:rPr/>
        <w:t>(ΕΕ) αριθ. 575/2013,</w:t>
      </w:r>
      <w:r>
        <w:rPr>
          <w:spacing w:val="-1"/>
        </w:rPr>
        <w:t> </w:t>
      </w:r>
      <w:r>
        <w:rPr/>
        <w:t>ως “λειτουργικός κίνδυνος” νοείται ο κίνδυνος ζημιών</w:t>
      </w:r>
      <w:r>
        <w:rPr>
          <w:spacing w:val="-4"/>
        </w:rPr>
        <w:t> </w:t>
      </w:r>
      <w:r>
        <w:rPr/>
        <w:t>οφειλόμενων</w:t>
      </w:r>
      <w:r>
        <w:rPr>
          <w:spacing w:val="-5"/>
        </w:rPr>
        <w:t> </w:t>
      </w:r>
      <w:r>
        <w:rPr/>
        <w:t>στην</w:t>
      </w:r>
      <w:r>
        <w:rPr>
          <w:spacing w:val="-6"/>
        </w:rPr>
        <w:t> </w:t>
      </w:r>
      <w:r>
        <w:rPr/>
        <w:t>ανεπάρκεια</w:t>
      </w:r>
      <w:r>
        <w:rPr>
          <w:spacing w:val="-4"/>
        </w:rPr>
        <w:t> </w:t>
      </w:r>
      <w:r>
        <w:rPr/>
        <w:t>ή</w:t>
      </w:r>
      <w:r>
        <w:rPr>
          <w:spacing w:val="-5"/>
        </w:rPr>
        <w:t> </w:t>
      </w:r>
      <w:r>
        <w:rPr/>
        <w:t>την</w:t>
      </w:r>
      <w:r>
        <w:rPr>
          <w:spacing w:val="-4"/>
        </w:rPr>
        <w:t> </w:t>
      </w:r>
      <w:r>
        <w:rPr/>
        <w:t>αποτυχία</w:t>
      </w:r>
      <w:r>
        <w:rPr>
          <w:spacing w:val="-7"/>
        </w:rPr>
        <w:t> </w:t>
      </w:r>
      <w:r>
        <w:rPr/>
        <w:t>εσωτερικών</w:t>
      </w:r>
      <w:r>
        <w:rPr>
          <w:spacing w:val="-4"/>
        </w:rPr>
        <w:t> </w:t>
      </w:r>
      <w:r>
        <w:rPr/>
        <w:t>διαδικασιών,</w:t>
      </w:r>
      <w:r>
        <w:rPr>
          <w:spacing w:val="-6"/>
        </w:rPr>
        <w:t> </w:t>
      </w:r>
      <w:r>
        <w:rPr/>
        <w:t>ατόμων</w:t>
      </w:r>
      <w:r>
        <w:rPr>
          <w:spacing w:val="-4"/>
        </w:rPr>
        <w:t> </w:t>
      </w:r>
      <w:r>
        <w:rPr/>
        <w:t>και</w:t>
      </w:r>
      <w:r>
        <w:rPr>
          <w:spacing w:val="-6"/>
        </w:rPr>
        <w:t> </w:t>
      </w:r>
      <w:r>
        <w:rPr/>
        <w:t>συ-στημάτων ή σε εξωτερικά γεγονότα, και περιλαμβάνει ενδεικτικά τον νομικό κίνδυνο, τον κίν-δυνο υποδείγματος ή τον κίνδυνο τεχνολογιών πληροφοριών και επικοινωνιών, αλλά δεν περι-λαμβάνει</w:t>
      </w:r>
      <w:r>
        <w:rPr>
          <w:spacing w:val="-14"/>
        </w:rPr>
        <w:t> </w:t>
      </w:r>
      <w:r>
        <w:rPr/>
        <w:t>τον</w:t>
      </w:r>
      <w:r>
        <w:rPr>
          <w:spacing w:val="-14"/>
        </w:rPr>
        <w:t> </w:t>
      </w:r>
      <w:r>
        <w:rPr/>
        <w:t>στρατηγικό</w:t>
      </w:r>
      <w:r>
        <w:rPr>
          <w:spacing w:val="-14"/>
        </w:rPr>
        <w:t> </w:t>
      </w:r>
      <w:r>
        <w:rPr/>
        <w:t>κίνδυνο</w:t>
      </w:r>
      <w:r>
        <w:rPr>
          <w:spacing w:val="-13"/>
        </w:rPr>
        <w:t> </w:t>
      </w:r>
      <w:r>
        <w:rPr/>
        <w:t>και</w:t>
      </w:r>
      <w:r>
        <w:rPr>
          <w:spacing w:val="-13"/>
        </w:rPr>
        <w:t> </w:t>
      </w:r>
      <w:r>
        <w:rPr/>
        <w:t>τον</w:t>
      </w:r>
      <w:r>
        <w:rPr>
          <w:spacing w:val="-12"/>
        </w:rPr>
        <w:t> </w:t>
      </w:r>
      <w:r>
        <w:rPr/>
        <w:t>κίνδυνο</w:t>
      </w:r>
      <w:r>
        <w:rPr>
          <w:spacing w:val="-13"/>
        </w:rPr>
        <w:t> </w:t>
      </w:r>
      <w:r>
        <w:rPr/>
        <w:t>φήμης.</w:t>
      </w:r>
      <w:r>
        <w:rPr>
          <w:spacing w:val="-10"/>
        </w:rPr>
        <w:t> </w:t>
      </w:r>
      <w:r>
        <w:rPr/>
        <w:t>Αιτίες</w:t>
      </w:r>
      <w:r>
        <w:rPr>
          <w:spacing w:val="-14"/>
        </w:rPr>
        <w:t> </w:t>
      </w:r>
      <w:r>
        <w:rPr/>
        <w:t>λειτουργικού</w:t>
      </w:r>
      <w:r>
        <w:rPr>
          <w:spacing w:val="-12"/>
        </w:rPr>
        <w:t> </w:t>
      </w:r>
      <w:r>
        <w:rPr/>
        <w:t>κινδύνου</w:t>
      </w:r>
      <w:r>
        <w:rPr>
          <w:spacing w:val="-12"/>
        </w:rPr>
        <w:t> </w:t>
      </w:r>
      <w:r>
        <w:rPr/>
        <w:t>δύνανται να</w:t>
      </w:r>
      <w:r>
        <w:rPr>
          <w:spacing w:val="-2"/>
        </w:rPr>
        <w:t> </w:t>
      </w:r>
      <w:r>
        <w:rPr/>
        <w:t>αποτελούν</w:t>
      </w:r>
      <w:r>
        <w:rPr>
          <w:spacing w:val="-1"/>
        </w:rPr>
        <w:t> </w:t>
      </w:r>
      <w:r>
        <w:rPr/>
        <w:t>οι</w:t>
      </w:r>
      <w:r>
        <w:rPr>
          <w:spacing w:val="-4"/>
        </w:rPr>
        <w:t> </w:t>
      </w:r>
      <w:r>
        <w:rPr/>
        <w:t>ελλιπείς</w:t>
      </w:r>
      <w:r>
        <w:rPr>
          <w:spacing w:val="-2"/>
        </w:rPr>
        <w:t> </w:t>
      </w:r>
      <w:r>
        <w:rPr/>
        <w:t>εσωτερικές</w:t>
      </w:r>
      <w:r>
        <w:rPr>
          <w:spacing w:val="-3"/>
        </w:rPr>
        <w:t> </w:t>
      </w:r>
      <w:r>
        <w:rPr/>
        <w:t>διαδικασίες</w:t>
      </w:r>
      <w:r>
        <w:rPr>
          <w:spacing w:val="-3"/>
        </w:rPr>
        <w:t> </w:t>
      </w:r>
      <w:r>
        <w:rPr/>
        <w:t>και</w:t>
      </w:r>
      <w:r>
        <w:rPr>
          <w:spacing w:val="-5"/>
        </w:rPr>
        <w:t> </w:t>
      </w:r>
      <w:r>
        <w:rPr/>
        <w:t>η ανεπαρκής</w:t>
      </w:r>
      <w:r>
        <w:rPr>
          <w:spacing w:val="-4"/>
        </w:rPr>
        <w:t> </w:t>
      </w:r>
      <w:r>
        <w:rPr/>
        <w:t>διακυβέρνηση,</w:t>
      </w:r>
      <w:r>
        <w:rPr>
          <w:spacing w:val="-2"/>
        </w:rPr>
        <w:t> </w:t>
      </w:r>
      <w:r>
        <w:rPr/>
        <w:t>τα</w:t>
      </w:r>
      <w:r>
        <w:rPr>
          <w:spacing w:val="-2"/>
        </w:rPr>
        <w:t> </w:t>
      </w:r>
      <w:r>
        <w:rPr/>
        <w:t>ανθρώπινα λάθη,</w:t>
      </w:r>
      <w:r>
        <w:rPr>
          <w:spacing w:val="-10"/>
        </w:rPr>
        <w:t> </w:t>
      </w:r>
      <w:r>
        <w:rPr/>
        <w:t>οι</w:t>
      </w:r>
      <w:r>
        <w:rPr>
          <w:spacing w:val="-9"/>
        </w:rPr>
        <w:t> </w:t>
      </w:r>
      <w:r>
        <w:rPr/>
        <w:t>απάτες</w:t>
      </w:r>
      <w:r>
        <w:rPr>
          <w:spacing w:val="-13"/>
        </w:rPr>
        <w:t> </w:t>
      </w:r>
      <w:r>
        <w:rPr/>
        <w:t>και</w:t>
      </w:r>
      <w:r>
        <w:rPr>
          <w:spacing w:val="-9"/>
        </w:rPr>
        <w:t> </w:t>
      </w:r>
      <w:r>
        <w:rPr/>
        <w:t>η</w:t>
      </w:r>
      <w:r>
        <w:rPr>
          <w:spacing w:val="-12"/>
        </w:rPr>
        <w:t> </w:t>
      </w:r>
      <w:r>
        <w:rPr/>
        <w:t>ανεπαρκής</w:t>
      </w:r>
      <w:r>
        <w:rPr>
          <w:spacing w:val="-11"/>
        </w:rPr>
        <w:t> </w:t>
      </w:r>
      <w:r>
        <w:rPr/>
        <w:t>εκπαίδευση</w:t>
      </w:r>
      <w:r>
        <w:rPr>
          <w:spacing w:val="-12"/>
        </w:rPr>
        <w:t> </w:t>
      </w:r>
      <w:r>
        <w:rPr/>
        <w:t>προσωπικού,</w:t>
      </w:r>
      <w:r>
        <w:rPr>
          <w:spacing w:val="-10"/>
        </w:rPr>
        <w:t> </w:t>
      </w:r>
      <w:r>
        <w:rPr/>
        <w:t>οι</w:t>
      </w:r>
      <w:r>
        <w:rPr>
          <w:spacing w:val="-11"/>
        </w:rPr>
        <w:t> </w:t>
      </w:r>
      <w:r>
        <w:rPr/>
        <w:t>βλάβες</w:t>
      </w:r>
      <w:r>
        <w:rPr>
          <w:spacing w:val="-11"/>
        </w:rPr>
        <w:t> </w:t>
      </w:r>
      <w:r>
        <w:rPr/>
        <w:t>τεχνολογίας</w:t>
      </w:r>
      <w:r>
        <w:rPr>
          <w:spacing w:val="-10"/>
        </w:rPr>
        <w:t> </w:t>
      </w:r>
      <w:r>
        <w:rPr/>
        <w:t>και</w:t>
      </w:r>
      <w:r>
        <w:rPr>
          <w:spacing w:val="-9"/>
        </w:rPr>
        <w:t> </w:t>
      </w:r>
      <w:r>
        <w:rPr/>
        <w:t>τα</w:t>
      </w:r>
      <w:r>
        <w:rPr>
          <w:spacing w:val="-10"/>
        </w:rPr>
        <w:t> </w:t>
      </w:r>
      <w:r>
        <w:rPr/>
        <w:t>προβλή-ματα</w:t>
      </w:r>
      <w:r>
        <w:rPr>
          <w:spacing w:val="-6"/>
        </w:rPr>
        <w:t> </w:t>
      </w:r>
      <w:r>
        <w:rPr/>
        <w:t>πληροφοριακών</w:t>
      </w:r>
      <w:r>
        <w:rPr>
          <w:spacing w:val="-6"/>
        </w:rPr>
        <w:t> </w:t>
      </w:r>
      <w:r>
        <w:rPr/>
        <w:t>συστημάτων</w:t>
      </w:r>
      <w:r>
        <w:rPr>
          <w:spacing w:val="-3"/>
        </w:rPr>
        <w:t> </w:t>
      </w:r>
      <w:r>
        <w:rPr/>
        <w:t>και</w:t>
      </w:r>
      <w:r>
        <w:rPr>
          <w:spacing w:val="-5"/>
        </w:rPr>
        <w:t> </w:t>
      </w:r>
      <w:r>
        <w:rPr/>
        <w:t>οι</w:t>
      </w:r>
      <w:r>
        <w:rPr>
          <w:spacing w:val="-4"/>
        </w:rPr>
        <w:t> </w:t>
      </w:r>
      <w:r>
        <w:rPr/>
        <w:t>φυσικές</w:t>
      </w:r>
      <w:r>
        <w:rPr>
          <w:spacing w:val="-5"/>
        </w:rPr>
        <w:t> </w:t>
      </w:r>
      <w:r>
        <w:rPr/>
        <w:t>καταστροφές,</w:t>
      </w:r>
      <w:r>
        <w:rPr>
          <w:spacing w:val="-5"/>
        </w:rPr>
        <w:t> </w:t>
      </w:r>
      <w:r>
        <w:rPr/>
        <w:t>οι</w:t>
      </w:r>
      <w:r>
        <w:rPr>
          <w:spacing w:val="-4"/>
        </w:rPr>
        <w:t> </w:t>
      </w:r>
      <w:r>
        <w:rPr/>
        <w:t>πανδημίες</w:t>
      </w:r>
      <w:r>
        <w:rPr>
          <w:spacing w:val="-6"/>
        </w:rPr>
        <w:t> </w:t>
      </w:r>
      <w:r>
        <w:rPr/>
        <w:t>ή</w:t>
      </w:r>
      <w:r>
        <w:rPr>
          <w:spacing w:val="-5"/>
        </w:rPr>
        <w:t> </w:t>
      </w:r>
      <w:r>
        <w:rPr/>
        <w:t>οι</w:t>
      </w:r>
      <w:r>
        <w:rPr>
          <w:spacing w:val="-4"/>
        </w:rPr>
        <w:t> </w:t>
      </w:r>
      <w:r>
        <w:rPr/>
        <w:t>επιθέσεις</w:t>
      </w:r>
      <w:r>
        <w:rPr>
          <w:spacing w:val="-5"/>
        </w:rPr>
        <w:t> </w:t>
      </w:r>
      <w:r>
        <w:rPr/>
        <w:t>από </w:t>
      </w:r>
      <w:r>
        <w:rPr>
          <w:spacing w:val="-2"/>
        </w:rPr>
        <w:t>τρίτους.</w:t>
      </w:r>
    </w:p>
    <w:p>
      <w:pPr>
        <w:pStyle w:val="BodyText"/>
        <w:spacing w:line="276" w:lineRule="auto" w:before="62"/>
        <w:ind w:left="172" w:right="954"/>
        <w:jc w:val="both"/>
      </w:pPr>
      <w:r>
        <w:rPr/>
        <w:t>Σημαντικό παράγοντα λειτουργικού κινδύνου αποτελούν οι κίνδυνοι που σχετίζονται με τις Τε-χνολογίες</w:t>
      </w:r>
      <w:r>
        <w:rPr>
          <w:spacing w:val="-13"/>
        </w:rPr>
        <w:t> </w:t>
      </w:r>
      <w:r>
        <w:rPr/>
        <w:t>Πληροφοριών</w:t>
      </w:r>
      <w:r>
        <w:rPr>
          <w:spacing w:val="-11"/>
        </w:rPr>
        <w:t> </w:t>
      </w:r>
      <w:r>
        <w:rPr/>
        <w:t>και</w:t>
      </w:r>
      <w:r>
        <w:rPr>
          <w:spacing w:val="-11"/>
        </w:rPr>
        <w:t> </w:t>
      </w:r>
      <w:r>
        <w:rPr/>
        <w:t>Επικοινωνιών</w:t>
      </w:r>
      <w:r>
        <w:rPr>
          <w:spacing w:val="-11"/>
        </w:rPr>
        <w:t> </w:t>
      </w:r>
      <w:r>
        <w:rPr/>
        <w:t>(ΤΠΕ),</w:t>
      </w:r>
      <w:r>
        <w:rPr>
          <w:spacing w:val="-11"/>
        </w:rPr>
        <w:t> </w:t>
      </w:r>
      <w:r>
        <w:rPr/>
        <w:t>συμπεριλαμβανομένων</w:t>
      </w:r>
      <w:r>
        <w:rPr>
          <w:spacing w:val="-11"/>
        </w:rPr>
        <w:t> </w:t>
      </w:r>
      <w:r>
        <w:rPr/>
        <w:t>των</w:t>
      </w:r>
      <w:r>
        <w:rPr>
          <w:spacing w:val="-11"/>
        </w:rPr>
        <w:t> </w:t>
      </w:r>
      <w:r>
        <w:rPr/>
        <w:t>κυβερνοαπειλών. Ως</w:t>
      </w:r>
      <w:r>
        <w:rPr>
          <w:spacing w:val="-11"/>
        </w:rPr>
        <w:t> </w:t>
      </w:r>
      <w:r>
        <w:rPr/>
        <w:t>κίνδυνος</w:t>
      </w:r>
      <w:r>
        <w:rPr>
          <w:spacing w:val="-11"/>
        </w:rPr>
        <w:t> </w:t>
      </w:r>
      <w:r>
        <w:rPr/>
        <w:t>ΤΠΕ</w:t>
      </w:r>
      <w:r>
        <w:rPr>
          <w:spacing w:val="-12"/>
        </w:rPr>
        <w:t> </w:t>
      </w:r>
      <w:r>
        <w:rPr/>
        <w:t>ορίζεται,</w:t>
      </w:r>
      <w:r>
        <w:rPr>
          <w:spacing w:val="-12"/>
        </w:rPr>
        <w:t> </w:t>
      </w:r>
      <w:r>
        <w:rPr/>
        <w:t>σύμφωνα</w:t>
      </w:r>
      <w:r>
        <w:rPr>
          <w:spacing w:val="-12"/>
        </w:rPr>
        <w:t> </w:t>
      </w:r>
      <w:r>
        <w:rPr/>
        <w:t>με</w:t>
      </w:r>
      <w:r>
        <w:rPr>
          <w:spacing w:val="-11"/>
        </w:rPr>
        <w:t> </w:t>
      </w:r>
      <w:r>
        <w:rPr/>
        <w:t>τον</w:t>
      </w:r>
      <w:r>
        <w:rPr>
          <w:spacing w:val="-10"/>
        </w:rPr>
        <w:t> </w:t>
      </w:r>
      <w:r>
        <w:rPr/>
        <w:t>Κανονισμό</w:t>
      </w:r>
      <w:r>
        <w:rPr>
          <w:spacing w:val="-9"/>
        </w:rPr>
        <w:t> </w:t>
      </w:r>
      <w:r>
        <w:rPr/>
        <w:t>(EE)</w:t>
      </w:r>
      <w:r>
        <w:rPr>
          <w:spacing w:val="-10"/>
        </w:rPr>
        <w:t> </w:t>
      </w:r>
      <w:r>
        <w:rPr/>
        <w:t>2022/2554</w:t>
      </w:r>
      <w:r>
        <w:rPr>
          <w:spacing w:val="-12"/>
        </w:rPr>
        <w:t> </w:t>
      </w:r>
      <w:r>
        <w:rPr/>
        <w:t>σχετικά</w:t>
      </w:r>
      <w:r>
        <w:rPr>
          <w:spacing w:val="-10"/>
        </w:rPr>
        <w:t> </w:t>
      </w:r>
      <w:r>
        <w:rPr/>
        <w:t>με</w:t>
      </w:r>
      <w:r>
        <w:rPr>
          <w:spacing w:val="-10"/>
        </w:rPr>
        <w:t> </w:t>
      </w:r>
      <w:r>
        <w:rPr/>
        <w:t>την</w:t>
      </w:r>
      <w:r>
        <w:rPr>
          <w:spacing w:val="-11"/>
        </w:rPr>
        <w:t> </w:t>
      </w:r>
      <w:r>
        <w:rPr/>
        <w:t>ψηφιακή επιχειρησιακή ανθεκτικότητα (Κανονισμός DORA)</w:t>
      </w:r>
      <w:hyperlink w:history="true" w:anchor="_bookmark67">
        <w:r>
          <w:rPr/>
          <w:t>,</w:t>
        </w:r>
        <w:r>
          <w:rPr>
            <w:position w:val="6"/>
            <w:sz w:val="10"/>
          </w:rPr>
          <w:t>46</w:t>
        </w:r>
      </w:hyperlink>
      <w:r>
        <w:rPr>
          <w:spacing w:val="40"/>
          <w:position w:val="6"/>
          <w:sz w:val="10"/>
        </w:rPr>
        <w:t> </w:t>
      </w:r>
      <w:r>
        <w:rPr/>
        <w:t>κάθε ευλόγως προσδιορίσιμη περίσταση σε</w:t>
      </w:r>
      <w:r>
        <w:rPr>
          <w:spacing w:val="-6"/>
        </w:rPr>
        <w:t> </w:t>
      </w:r>
      <w:r>
        <w:rPr/>
        <w:t>σχέση</w:t>
      </w:r>
      <w:r>
        <w:rPr>
          <w:spacing w:val="-5"/>
        </w:rPr>
        <w:t> </w:t>
      </w:r>
      <w:r>
        <w:rPr/>
        <w:t>με</w:t>
      </w:r>
      <w:r>
        <w:rPr>
          <w:spacing w:val="-4"/>
        </w:rPr>
        <w:t> </w:t>
      </w:r>
      <w:r>
        <w:rPr/>
        <w:t>τη</w:t>
      </w:r>
      <w:r>
        <w:rPr>
          <w:spacing w:val="-5"/>
        </w:rPr>
        <w:t> </w:t>
      </w:r>
      <w:r>
        <w:rPr/>
        <w:t>χρήση</w:t>
      </w:r>
      <w:r>
        <w:rPr>
          <w:spacing w:val="-7"/>
        </w:rPr>
        <w:t> </w:t>
      </w:r>
      <w:r>
        <w:rPr/>
        <w:t>συστημάτων</w:t>
      </w:r>
      <w:r>
        <w:rPr>
          <w:spacing w:val="-3"/>
        </w:rPr>
        <w:t> </w:t>
      </w:r>
      <w:r>
        <w:rPr/>
        <w:t>δικτύου</w:t>
      </w:r>
      <w:r>
        <w:rPr>
          <w:spacing w:val="-4"/>
        </w:rPr>
        <w:t> </w:t>
      </w:r>
      <w:r>
        <w:rPr/>
        <w:t>και</w:t>
      </w:r>
      <w:r>
        <w:rPr>
          <w:spacing w:val="-5"/>
        </w:rPr>
        <w:t> </w:t>
      </w:r>
      <w:r>
        <w:rPr/>
        <w:t>πληροφοριών</w:t>
      </w:r>
      <w:r>
        <w:rPr>
          <w:spacing w:val="-4"/>
        </w:rPr>
        <w:t> </w:t>
      </w:r>
      <w:r>
        <w:rPr/>
        <w:t>η</w:t>
      </w:r>
      <w:r>
        <w:rPr>
          <w:spacing w:val="-5"/>
        </w:rPr>
        <w:t> </w:t>
      </w:r>
      <w:r>
        <w:rPr/>
        <w:t>οποία,</w:t>
      </w:r>
      <w:r>
        <w:rPr>
          <w:spacing w:val="-4"/>
        </w:rPr>
        <w:t> </w:t>
      </w:r>
      <w:r>
        <w:rPr/>
        <w:t>εάν</w:t>
      </w:r>
      <w:r>
        <w:rPr>
          <w:spacing w:val="-4"/>
        </w:rPr>
        <w:t> </w:t>
      </w:r>
      <w:r>
        <w:rPr/>
        <w:t>επέλθει,</w:t>
      </w:r>
      <w:r>
        <w:rPr>
          <w:spacing w:val="-4"/>
        </w:rPr>
        <w:t> </w:t>
      </w:r>
      <w:r>
        <w:rPr/>
        <w:t>ενδέχεται</w:t>
      </w:r>
      <w:r>
        <w:rPr>
          <w:spacing w:val="-7"/>
        </w:rPr>
        <w:t> </w:t>
      </w:r>
      <w:r>
        <w:rPr/>
        <w:t>να θέσει σε κίνδυνο την ασφάλεια των συστημάτων δικτύου και πληροφοριών, κάθε εργαλείου ή διαδικασίας που εξαρτάται από την τεχνολογία, λειτουργιών και διαδικασιών ή της παροχής υ-πηρεσιών, προκαλώντας δυσμενείς επιπτώσεις στο ψηφιακό ή υλικό περιβάλλον.</w:t>
      </w:r>
    </w:p>
    <w:p>
      <w:pPr>
        <w:pStyle w:val="Heading4"/>
        <w:spacing w:before="92"/>
      </w:pPr>
      <w:r>
        <w:rPr>
          <w:color w:val="1F487C"/>
        </w:rPr>
        <w:t>Κύρ</w:t>
      </w:r>
      <w:r>
        <w:rPr>
          <w:smallCaps/>
          <w:color w:val="1F487C"/>
        </w:rPr>
        <w:t>ι</w:t>
      </w:r>
      <w:r>
        <w:rPr>
          <w:smallCaps w:val="0"/>
          <w:color w:val="1F487C"/>
        </w:rPr>
        <w:t>ες</w:t>
      </w:r>
      <w:r>
        <w:rPr>
          <w:smallCaps w:val="0"/>
          <w:color w:val="1F487C"/>
          <w:spacing w:val="-11"/>
        </w:rPr>
        <w:t> </w:t>
      </w:r>
      <w:r>
        <w:rPr>
          <w:smallCaps w:val="0"/>
          <w:color w:val="1F487C"/>
        </w:rPr>
        <w:t>πηγές</w:t>
      </w:r>
      <w:r>
        <w:rPr>
          <w:smallCaps w:val="0"/>
          <w:color w:val="1F487C"/>
          <w:spacing w:val="-10"/>
        </w:rPr>
        <w:t> </w:t>
      </w:r>
      <w:r>
        <w:rPr>
          <w:smallCaps w:val="0"/>
          <w:color w:val="1F487C"/>
        </w:rPr>
        <w:t>λε</w:t>
      </w:r>
      <w:r>
        <w:rPr>
          <w:smallCaps/>
          <w:color w:val="1F487C"/>
        </w:rPr>
        <w:t>ι</w:t>
      </w:r>
      <w:r>
        <w:rPr>
          <w:smallCaps w:val="0"/>
          <w:color w:val="1F487C"/>
        </w:rPr>
        <w:t>τουργ</w:t>
      </w:r>
      <w:r>
        <w:rPr>
          <w:smallCaps/>
          <w:color w:val="1F487C"/>
        </w:rPr>
        <w:t>ι</w:t>
      </w:r>
      <w:r>
        <w:rPr>
          <w:smallCaps w:val="0"/>
          <w:color w:val="1F487C"/>
        </w:rPr>
        <w:t>κού</w:t>
      </w:r>
      <w:r>
        <w:rPr>
          <w:smallCaps w:val="0"/>
          <w:color w:val="1F487C"/>
          <w:spacing w:val="-10"/>
        </w:rPr>
        <w:t> </w:t>
      </w:r>
      <w:r>
        <w:rPr>
          <w:smallCaps w:val="0"/>
          <w:color w:val="1F487C"/>
          <w:spacing w:val="-2"/>
        </w:rPr>
        <w:t>κ</w:t>
      </w:r>
      <w:r>
        <w:rPr>
          <w:smallCaps/>
          <w:color w:val="1F487C"/>
          <w:spacing w:val="-2"/>
        </w:rPr>
        <w:t>ιν</w:t>
      </w:r>
      <w:r>
        <w:rPr>
          <w:smallCaps w:val="0"/>
          <w:color w:val="1F487C"/>
          <w:spacing w:val="-2"/>
        </w:rPr>
        <w:t>δύνου</w:t>
      </w:r>
    </w:p>
    <w:p>
      <w:pPr>
        <w:pStyle w:val="BodyText"/>
        <w:spacing w:line="276" w:lineRule="auto" w:before="73"/>
        <w:ind w:left="172" w:right="953"/>
        <w:jc w:val="both"/>
      </w:pPr>
      <w:r>
        <w:rPr/>
        <w:t>Ο ψηφιακός μετασχηματισμός στον χρηματοπιστωτικό τομέα προσφέρει οφέλη, αλλά ταυτό-χρονα αυξάνει την έκθεση σε κινδύνους από τη χρήση νέων τεχνολογιών και την</w:t>
      </w:r>
      <w:r>
        <w:rPr>
          <w:spacing w:val="-1"/>
        </w:rPr>
        <w:t> </w:t>
      </w:r>
      <w:r>
        <w:rPr/>
        <w:t>εξάρτηση από τεχνολογικούς παρόχους, καθιστώντας τους οργανισμούς πιο ευάλωτους σε κυβερνοεπιθέσεις και σε πιθανές λειτουργικές διαταραχές. Η πολυπλοκότητα και οι αλληλεξαρτήσεις από τη δια-σύνδεση</w:t>
      </w:r>
      <w:r>
        <w:rPr>
          <w:spacing w:val="-16"/>
        </w:rPr>
        <w:t> </w:t>
      </w:r>
      <w:r>
        <w:rPr/>
        <w:t>των</w:t>
      </w:r>
      <w:r>
        <w:rPr>
          <w:spacing w:val="-14"/>
        </w:rPr>
        <w:t> </w:t>
      </w:r>
      <w:r>
        <w:rPr/>
        <w:t>συστημάτων,</w:t>
      </w:r>
      <w:r>
        <w:rPr>
          <w:spacing w:val="-14"/>
        </w:rPr>
        <w:t> </w:t>
      </w:r>
      <w:r>
        <w:rPr/>
        <w:t>τόσο</w:t>
      </w:r>
      <w:r>
        <w:rPr>
          <w:spacing w:val="-13"/>
        </w:rPr>
        <w:t> </w:t>
      </w:r>
      <w:r>
        <w:rPr/>
        <w:t>εντός</w:t>
      </w:r>
      <w:r>
        <w:rPr>
          <w:spacing w:val="-14"/>
        </w:rPr>
        <w:t> </w:t>
      </w:r>
      <w:r>
        <w:rPr/>
        <w:t>του</w:t>
      </w:r>
      <w:r>
        <w:rPr>
          <w:spacing w:val="-14"/>
        </w:rPr>
        <w:t> </w:t>
      </w:r>
      <w:r>
        <w:rPr/>
        <w:t>οργανισμού</w:t>
      </w:r>
      <w:r>
        <w:rPr>
          <w:spacing w:val="-14"/>
        </w:rPr>
        <w:t> </w:t>
      </w:r>
      <w:r>
        <w:rPr/>
        <w:t>όσο</w:t>
      </w:r>
      <w:r>
        <w:rPr>
          <w:spacing w:val="-13"/>
        </w:rPr>
        <w:t> </w:t>
      </w:r>
      <w:r>
        <w:rPr/>
        <w:t>και</w:t>
      </w:r>
      <w:r>
        <w:rPr>
          <w:spacing w:val="-14"/>
        </w:rPr>
        <w:t> </w:t>
      </w:r>
      <w:r>
        <w:rPr/>
        <w:t>με</w:t>
      </w:r>
      <w:r>
        <w:rPr>
          <w:spacing w:val="-14"/>
        </w:rPr>
        <w:t> </w:t>
      </w:r>
      <w:r>
        <w:rPr/>
        <w:t>συστήματα</w:t>
      </w:r>
      <w:r>
        <w:rPr>
          <w:spacing w:val="-14"/>
        </w:rPr>
        <w:t> </w:t>
      </w:r>
      <w:r>
        <w:rPr/>
        <w:t>άλλων</w:t>
      </w:r>
      <w:r>
        <w:rPr>
          <w:spacing w:val="-13"/>
        </w:rPr>
        <w:t> </w:t>
      </w:r>
      <w:r>
        <w:rPr/>
        <w:t>οργανισμών του ίδιου ή και άλλων τομέων, αλλά και με υποδομές τρίτων παρόχων, αποτελούν παράγοντες που μπορεί να οδηγήσουν σε εξάπλωση των επιπτώσεων ενός μεμονωμένου συμβάντος προκα-λώντας</w:t>
      </w:r>
      <w:r>
        <w:rPr>
          <w:spacing w:val="-6"/>
        </w:rPr>
        <w:t> </w:t>
      </w:r>
      <w:r>
        <w:rPr/>
        <w:t>αλυσιδωτές</w:t>
      </w:r>
      <w:r>
        <w:rPr>
          <w:spacing w:val="-6"/>
        </w:rPr>
        <w:t> </w:t>
      </w:r>
      <w:r>
        <w:rPr/>
        <w:t>λειτουργικές</w:t>
      </w:r>
      <w:r>
        <w:rPr>
          <w:spacing w:val="-5"/>
        </w:rPr>
        <w:t> </w:t>
      </w:r>
      <w:r>
        <w:rPr/>
        <w:t>διαταραχές</w:t>
      </w:r>
      <w:r>
        <w:rPr>
          <w:spacing w:val="-3"/>
        </w:rPr>
        <w:t> </w:t>
      </w:r>
      <w:r>
        <w:rPr/>
        <w:t>και</w:t>
      </w:r>
      <w:r>
        <w:rPr>
          <w:spacing w:val="-5"/>
        </w:rPr>
        <w:t> </w:t>
      </w:r>
      <w:r>
        <w:rPr/>
        <w:t>προσδίδοντας</w:t>
      </w:r>
      <w:r>
        <w:rPr>
          <w:spacing w:val="-6"/>
        </w:rPr>
        <w:t> </w:t>
      </w:r>
      <w:r>
        <w:rPr/>
        <w:t>συστημικό</w:t>
      </w:r>
      <w:r>
        <w:rPr>
          <w:spacing w:val="-5"/>
        </w:rPr>
        <w:t> </w:t>
      </w:r>
      <w:r>
        <w:rPr/>
        <w:t>χαρακτήρα</w:t>
      </w:r>
      <w:r>
        <w:rPr>
          <w:spacing w:val="-5"/>
        </w:rPr>
        <w:t> </w:t>
      </w:r>
      <w:r>
        <w:rPr/>
        <w:t>σε</w:t>
      </w:r>
      <w:r>
        <w:rPr>
          <w:spacing w:val="-4"/>
        </w:rPr>
        <w:t> </w:t>
      </w:r>
      <w:r>
        <w:rPr/>
        <w:t>ένα</w:t>
      </w:r>
      <w:r>
        <w:rPr>
          <w:spacing w:val="-5"/>
        </w:rPr>
        <w:t> </w:t>
      </w:r>
      <w:r>
        <w:rPr/>
        <w:t>τέ-τοιο συμβάν. Τα μείζονα ή μεγάλης έκτασης συμβάντα ενδέχεται να επιφέρουν οικονομικές α-πώλειες,</w:t>
      </w:r>
      <w:r>
        <w:rPr>
          <w:spacing w:val="-4"/>
        </w:rPr>
        <w:t> </w:t>
      </w:r>
      <w:r>
        <w:rPr/>
        <w:t>ζημία</w:t>
      </w:r>
      <w:r>
        <w:rPr>
          <w:spacing w:val="-5"/>
        </w:rPr>
        <w:t> </w:t>
      </w:r>
      <w:r>
        <w:rPr/>
        <w:t>στη</w:t>
      </w:r>
      <w:r>
        <w:rPr>
          <w:spacing w:val="-5"/>
        </w:rPr>
        <w:t> </w:t>
      </w:r>
      <w:r>
        <w:rPr/>
        <w:t>φήμη</w:t>
      </w:r>
      <w:r>
        <w:rPr>
          <w:spacing w:val="-5"/>
        </w:rPr>
        <w:t> </w:t>
      </w:r>
      <w:r>
        <w:rPr/>
        <w:t>και</w:t>
      </w:r>
      <w:r>
        <w:rPr>
          <w:spacing w:val="-3"/>
        </w:rPr>
        <w:t> </w:t>
      </w:r>
      <w:r>
        <w:rPr/>
        <w:t>τη</w:t>
      </w:r>
      <w:r>
        <w:rPr>
          <w:spacing w:val="-5"/>
        </w:rPr>
        <w:t> </w:t>
      </w:r>
      <w:r>
        <w:rPr/>
        <w:t>συστημική</w:t>
      </w:r>
      <w:r>
        <w:rPr>
          <w:spacing w:val="-5"/>
        </w:rPr>
        <w:t> </w:t>
      </w:r>
      <w:r>
        <w:rPr/>
        <w:t>σταθερότητα.</w:t>
      </w:r>
      <w:r>
        <w:rPr>
          <w:spacing w:val="-5"/>
        </w:rPr>
        <w:t> </w:t>
      </w:r>
      <w:r>
        <w:rPr/>
        <w:t>Επιπρόσθετα,</w:t>
      </w:r>
      <w:r>
        <w:rPr>
          <w:spacing w:val="-5"/>
        </w:rPr>
        <w:t> </w:t>
      </w:r>
      <w:r>
        <w:rPr/>
        <w:t>οι</w:t>
      </w:r>
      <w:r>
        <w:rPr>
          <w:spacing w:val="-4"/>
        </w:rPr>
        <w:t> </w:t>
      </w:r>
      <w:r>
        <w:rPr/>
        <w:t>τρέχουσες</w:t>
      </w:r>
      <w:r>
        <w:rPr>
          <w:spacing w:val="-6"/>
        </w:rPr>
        <w:t> </w:t>
      </w:r>
      <w:r>
        <w:rPr/>
        <w:t>γεωπολιτι-κές εντάσεις αυξάνουν την</w:t>
      </w:r>
      <w:r>
        <w:rPr>
          <w:spacing w:val="-3"/>
        </w:rPr>
        <w:t> </w:t>
      </w:r>
      <w:r>
        <w:rPr/>
        <w:t>πιθανότητα</w:t>
      </w:r>
      <w:r>
        <w:rPr>
          <w:spacing w:val="-2"/>
        </w:rPr>
        <w:t> </w:t>
      </w:r>
      <w:r>
        <w:rPr/>
        <w:t>κυβερνοεπιθέσεων που στοχεύουν το χρηματοπιστωτικό σύστημα. Παράλληλα, το εξελισσόμενο κανονιστικό πλαίσιο (π.χ. Κανονισμός DORA, Γενικός Κανονισμός</w:t>
      </w:r>
      <w:r>
        <w:rPr>
          <w:spacing w:val="-14"/>
        </w:rPr>
        <w:t> </w:t>
      </w:r>
      <w:r>
        <w:rPr/>
        <w:t>για</w:t>
      </w:r>
      <w:r>
        <w:rPr>
          <w:spacing w:val="-13"/>
        </w:rPr>
        <w:t> </w:t>
      </w:r>
      <w:r>
        <w:rPr/>
        <w:t>την</w:t>
      </w:r>
      <w:r>
        <w:rPr>
          <w:spacing w:val="-12"/>
        </w:rPr>
        <w:t> </w:t>
      </w:r>
      <w:r>
        <w:rPr/>
        <w:t>Προστασία</w:t>
      </w:r>
      <w:r>
        <w:rPr>
          <w:spacing w:val="-13"/>
        </w:rPr>
        <w:t> </w:t>
      </w:r>
      <w:r>
        <w:rPr/>
        <w:t>Δεδομένων</w:t>
      </w:r>
      <w:hyperlink w:history="true" w:anchor="_bookmark68">
        <w:r>
          <w:rPr>
            <w:position w:val="6"/>
            <w:sz w:val="10"/>
          </w:rPr>
          <w:t>47</w:t>
        </w:r>
      </w:hyperlink>
      <w:r>
        <w:rPr/>
        <w:t>)</w:t>
      </w:r>
      <w:r>
        <w:rPr>
          <w:spacing w:val="-12"/>
        </w:rPr>
        <w:t> </w:t>
      </w:r>
      <w:r>
        <w:rPr/>
        <w:t>συνεπάγεται</w:t>
      </w:r>
      <w:r>
        <w:rPr>
          <w:spacing w:val="-13"/>
        </w:rPr>
        <w:t> </w:t>
      </w:r>
      <w:r>
        <w:rPr/>
        <w:t>αυξημένες</w:t>
      </w:r>
      <w:r>
        <w:rPr>
          <w:spacing w:val="-14"/>
        </w:rPr>
        <w:t> </w:t>
      </w:r>
      <w:r>
        <w:rPr/>
        <w:t>απαιτήσεις</w:t>
      </w:r>
      <w:r>
        <w:rPr>
          <w:spacing w:val="-12"/>
        </w:rPr>
        <w:t> </w:t>
      </w:r>
      <w:r>
        <w:rPr/>
        <w:t>συμμόρφωσης. Τέλος,</w:t>
      </w:r>
      <w:r>
        <w:rPr>
          <w:spacing w:val="-3"/>
        </w:rPr>
        <w:t> </w:t>
      </w:r>
      <w:r>
        <w:rPr/>
        <w:t>ο</w:t>
      </w:r>
      <w:r>
        <w:rPr>
          <w:spacing w:val="-2"/>
        </w:rPr>
        <w:t> </w:t>
      </w:r>
      <w:r>
        <w:rPr/>
        <w:t>νομικός</w:t>
      </w:r>
      <w:r>
        <w:rPr>
          <w:spacing w:val="-1"/>
        </w:rPr>
        <w:t> </w:t>
      </w:r>
      <w:r>
        <w:rPr/>
        <w:t>κίνδυνος</w:t>
      </w:r>
      <w:r>
        <w:rPr>
          <w:spacing w:val="-6"/>
        </w:rPr>
        <w:t> </w:t>
      </w:r>
      <w:r>
        <w:rPr/>
        <w:t>είναι αυξημένος, αντανακλώντας</w:t>
      </w:r>
      <w:r>
        <w:rPr>
          <w:spacing w:val="-4"/>
        </w:rPr>
        <w:t> </w:t>
      </w:r>
      <w:r>
        <w:rPr/>
        <w:t>μεταξύ άλλων την</w:t>
      </w:r>
      <w:r>
        <w:rPr>
          <w:spacing w:val="-1"/>
        </w:rPr>
        <w:t> </w:t>
      </w:r>
      <w:r>
        <w:rPr/>
        <w:t>έκθεση</w:t>
      </w:r>
      <w:r>
        <w:rPr>
          <w:spacing w:val="-3"/>
        </w:rPr>
        <w:t> </w:t>
      </w:r>
      <w:r>
        <w:rPr/>
        <w:t>των</w:t>
      </w:r>
      <w:r>
        <w:rPr>
          <w:spacing w:val="-1"/>
        </w:rPr>
        <w:t> </w:t>
      </w:r>
      <w:r>
        <w:rPr/>
        <w:t>τρα-πεζών σε δικαστικές υποθέσεις (π.χ. υποθέσεις δανείων, προστασίας καταναλωτών).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2"/>
        <w:rPr>
          <w:sz w:val="20"/>
        </w:rPr>
      </w:pPr>
      <w:r>
        <w:rPr>
          <w:sz w:val="20"/>
        </w:rPr>
        <mc:AlternateContent>
          <mc:Choice Requires="wps">
            <w:drawing>
              <wp:anchor distT="0" distB="0" distL="0" distR="0" allowOverlap="1" layoutInCell="1" locked="0" behindDoc="1" simplePos="0" relativeHeight="487630336">
                <wp:simplePos x="0" y="0"/>
                <wp:positionH relativeFrom="page">
                  <wp:posOffset>1009192</wp:posOffset>
                </wp:positionH>
                <wp:positionV relativeFrom="paragraph">
                  <wp:posOffset>264766</wp:posOffset>
                </wp:positionV>
                <wp:extent cx="1829435" cy="7620"/>
                <wp:effectExtent l="0" t="0" r="0" b="0"/>
                <wp:wrapTopAndBottom/>
                <wp:docPr id="455" name="Graphic 455"/>
                <wp:cNvGraphicFramePr>
                  <a:graphicFrameLocks/>
                </wp:cNvGraphicFramePr>
                <a:graphic>
                  <a:graphicData uri="http://schemas.microsoft.com/office/word/2010/wordprocessingShape">
                    <wps:wsp>
                      <wps:cNvPr id="455" name="Graphic 45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0.847729pt;width:144.020pt;height:.60004pt;mso-position-horizontal-relative:page;mso-position-vertical-relative:paragraph;z-index:-15686144;mso-wrap-distance-left:0;mso-wrap-distance-right:0" id="docshape427" filled="true" fillcolor="#000000" stroked="false">
                <v:fill type="solid"/>
                <w10:wrap type="topAndBottom"/>
              </v:rect>
            </w:pict>
          </mc:Fallback>
        </mc:AlternateContent>
      </w:r>
    </w:p>
    <w:p>
      <w:pPr>
        <w:spacing w:before="167"/>
        <w:ind w:left="172" w:right="953" w:firstLine="0"/>
        <w:jc w:val="both"/>
        <w:rPr>
          <w:sz w:val="16"/>
        </w:rPr>
      </w:pPr>
      <w:bookmarkStart w:name="_bookmark67" w:id="68"/>
      <w:bookmarkEnd w:id="68"/>
      <w:r>
        <w:rPr/>
      </w:r>
      <w:r>
        <w:rPr>
          <w:sz w:val="16"/>
          <w:vertAlign w:val="superscript"/>
        </w:rPr>
        <w:t>46</w:t>
      </w:r>
      <w:r>
        <w:rPr>
          <w:sz w:val="16"/>
          <w:vertAlign w:val="baseline"/>
        </w:rPr>
        <w:t> Κανονισμός (EE) 2022/2554 του Ευρωπαϊκού Κοινοβουλίου και του Συμβουλίου της 14ης Δεκεμβρίου 2022 σχετικά με την ψη-φιακή επιχειρησιακή ανθεκτικότητα του χρηματοοικονομικού τομέα και την τροποποίηση των κανονισμών (ΕΚ) αριθ. 1060/2009,</w:t>
      </w:r>
      <w:r>
        <w:rPr>
          <w:spacing w:val="40"/>
          <w:sz w:val="16"/>
          <w:vertAlign w:val="baseline"/>
        </w:rPr>
        <w:t> </w:t>
      </w:r>
      <w:r>
        <w:rPr>
          <w:sz w:val="16"/>
          <w:vertAlign w:val="baseline"/>
        </w:rPr>
        <w:t>(ΕΕ) αριθ. 648/2012, (ΕΕ) αριθ. 600/2014, (ΕΕ) αριθ. 909/2014 και (ΕΕ) 2016/1011.</w:t>
      </w:r>
    </w:p>
    <w:p>
      <w:pPr>
        <w:spacing w:before="22"/>
        <w:ind w:left="172" w:right="0" w:firstLine="0"/>
        <w:jc w:val="both"/>
        <w:rPr>
          <w:sz w:val="16"/>
        </w:rPr>
      </w:pPr>
      <w:bookmarkStart w:name="_bookmark68" w:id="69"/>
      <w:bookmarkEnd w:id="69"/>
      <w:r>
        <w:rPr/>
      </w:r>
      <w:r>
        <w:rPr>
          <w:sz w:val="16"/>
          <w:vertAlign w:val="superscript"/>
        </w:rPr>
        <w:t>47</w:t>
      </w:r>
      <w:r>
        <w:rPr>
          <w:spacing w:val="-5"/>
          <w:sz w:val="16"/>
          <w:vertAlign w:val="baseline"/>
        </w:rPr>
        <w:t> </w:t>
      </w:r>
      <w:r>
        <w:rPr>
          <w:sz w:val="16"/>
          <w:vertAlign w:val="baseline"/>
        </w:rPr>
        <w:t>General</w:t>
      </w:r>
      <w:r>
        <w:rPr>
          <w:spacing w:val="-5"/>
          <w:sz w:val="16"/>
          <w:vertAlign w:val="baseline"/>
        </w:rPr>
        <w:t> </w:t>
      </w:r>
      <w:r>
        <w:rPr>
          <w:sz w:val="16"/>
          <w:vertAlign w:val="baseline"/>
        </w:rPr>
        <w:t>Data</w:t>
      </w:r>
      <w:r>
        <w:rPr>
          <w:spacing w:val="-4"/>
          <w:sz w:val="16"/>
          <w:vertAlign w:val="baseline"/>
        </w:rPr>
        <w:t> </w:t>
      </w:r>
      <w:r>
        <w:rPr>
          <w:sz w:val="16"/>
          <w:vertAlign w:val="baseline"/>
        </w:rPr>
        <w:t>Protection</w:t>
      </w:r>
      <w:r>
        <w:rPr>
          <w:spacing w:val="-5"/>
          <w:sz w:val="16"/>
          <w:vertAlign w:val="baseline"/>
        </w:rPr>
        <w:t> </w:t>
      </w:r>
      <w:r>
        <w:rPr>
          <w:sz w:val="16"/>
          <w:vertAlign w:val="baseline"/>
        </w:rPr>
        <w:t>Regulation</w:t>
      </w:r>
      <w:r>
        <w:rPr>
          <w:spacing w:val="-4"/>
          <w:sz w:val="16"/>
          <w:vertAlign w:val="baseline"/>
        </w:rPr>
        <w:t> </w:t>
      </w:r>
      <w:r>
        <w:rPr>
          <w:sz w:val="16"/>
          <w:vertAlign w:val="baseline"/>
        </w:rPr>
        <w:t>–</w:t>
      </w:r>
      <w:r>
        <w:rPr>
          <w:spacing w:val="-5"/>
          <w:sz w:val="16"/>
          <w:vertAlign w:val="baseline"/>
        </w:rPr>
        <w:t> </w:t>
      </w:r>
      <w:r>
        <w:rPr>
          <w:spacing w:val="-2"/>
          <w:sz w:val="16"/>
          <w:vertAlign w:val="baseline"/>
        </w:rPr>
        <w:t>GDPR.</w:t>
      </w:r>
    </w:p>
    <w:p>
      <w:pPr>
        <w:spacing w:after="0"/>
        <w:jc w:val="both"/>
        <w:rPr>
          <w:sz w:val="16"/>
        </w:rPr>
        <w:sectPr>
          <w:pgSz w:w="11910" w:h="16850"/>
          <w:pgMar w:header="0" w:footer="1108" w:top="1800" w:bottom="1300" w:left="1417" w:right="850"/>
        </w:sectPr>
      </w:pPr>
    </w:p>
    <w:p>
      <w:pPr>
        <w:pStyle w:val="Heading4"/>
        <w:spacing w:before="66"/>
      </w:pPr>
      <w:r>
        <w:rPr>
          <w:color w:val="1F487C"/>
        </w:rPr>
        <w:t>Τάσε</w:t>
      </w:r>
      <w:r>
        <w:rPr>
          <w:smallCaps/>
          <w:color w:val="1F487C"/>
        </w:rPr>
        <w:t>ι</w:t>
      </w:r>
      <w:r>
        <w:rPr>
          <w:smallCaps w:val="0"/>
          <w:color w:val="1F487C"/>
        </w:rPr>
        <w:t>ς</w:t>
      </w:r>
      <w:r>
        <w:rPr>
          <w:smallCaps w:val="0"/>
          <w:color w:val="1F487C"/>
          <w:spacing w:val="-13"/>
        </w:rPr>
        <w:t> </w:t>
      </w:r>
      <w:r>
        <w:rPr>
          <w:smallCaps w:val="0"/>
          <w:color w:val="1F487C"/>
        </w:rPr>
        <w:t>κα</w:t>
      </w:r>
      <w:r>
        <w:rPr>
          <w:smallCaps/>
          <w:color w:val="1F487C"/>
        </w:rPr>
        <w:t>ι</w:t>
      </w:r>
      <w:r>
        <w:rPr>
          <w:smallCaps w:val="0"/>
          <w:color w:val="1F487C"/>
          <w:spacing w:val="-11"/>
        </w:rPr>
        <w:t> </w:t>
      </w:r>
      <w:r>
        <w:rPr>
          <w:smallCaps w:val="0"/>
          <w:color w:val="1F487C"/>
        </w:rPr>
        <w:t>προκλήσε</w:t>
      </w:r>
      <w:r>
        <w:rPr>
          <w:smallCaps/>
          <w:color w:val="1F487C"/>
        </w:rPr>
        <w:t>ι</w:t>
      </w:r>
      <w:r>
        <w:rPr>
          <w:smallCaps w:val="0"/>
          <w:color w:val="1F487C"/>
        </w:rPr>
        <w:t>ς</w:t>
      </w:r>
      <w:r>
        <w:rPr>
          <w:smallCaps w:val="0"/>
          <w:color w:val="1F487C"/>
          <w:spacing w:val="-11"/>
        </w:rPr>
        <w:t> </w:t>
      </w:r>
      <w:r>
        <w:rPr>
          <w:smallCaps w:val="0"/>
          <w:color w:val="1F487C"/>
        </w:rPr>
        <w:t>που</w:t>
      </w:r>
      <w:r>
        <w:rPr>
          <w:smallCaps w:val="0"/>
          <w:color w:val="1F487C"/>
          <w:spacing w:val="-10"/>
        </w:rPr>
        <w:t> </w:t>
      </w:r>
      <w:r>
        <w:rPr>
          <w:smallCaps w:val="0"/>
          <w:color w:val="1F487C"/>
        </w:rPr>
        <w:t>σχετίζοντα</w:t>
      </w:r>
      <w:r>
        <w:rPr>
          <w:smallCaps/>
          <w:color w:val="1F487C"/>
        </w:rPr>
        <w:t>ι</w:t>
      </w:r>
      <w:r>
        <w:rPr>
          <w:smallCaps w:val="0"/>
          <w:color w:val="1F487C"/>
          <w:spacing w:val="-10"/>
        </w:rPr>
        <w:t> </w:t>
      </w:r>
      <w:r>
        <w:rPr>
          <w:smallCaps w:val="0"/>
          <w:color w:val="1F487C"/>
        </w:rPr>
        <w:t>με</w:t>
      </w:r>
      <w:r>
        <w:rPr>
          <w:smallCaps w:val="0"/>
          <w:color w:val="1F487C"/>
          <w:spacing w:val="-12"/>
        </w:rPr>
        <w:t> </w:t>
      </w:r>
      <w:r>
        <w:rPr>
          <w:smallCaps w:val="0"/>
          <w:color w:val="1F487C"/>
        </w:rPr>
        <w:t>κ</w:t>
      </w:r>
      <w:r>
        <w:rPr>
          <w:smallCaps/>
          <w:color w:val="1F487C"/>
        </w:rPr>
        <w:t>ιν</w:t>
      </w:r>
      <w:r>
        <w:rPr>
          <w:smallCaps w:val="0"/>
          <w:color w:val="1F487C"/>
        </w:rPr>
        <w:t>δύνους</w:t>
      </w:r>
      <w:r>
        <w:rPr>
          <w:smallCaps w:val="0"/>
          <w:color w:val="1F487C"/>
          <w:spacing w:val="-10"/>
        </w:rPr>
        <w:t> </w:t>
      </w:r>
      <w:r>
        <w:rPr>
          <w:smallCaps w:val="0"/>
          <w:color w:val="1F487C"/>
          <w:spacing w:val="-5"/>
        </w:rPr>
        <w:t>ΤΠΕ</w:t>
      </w:r>
    </w:p>
    <w:p>
      <w:pPr>
        <w:pStyle w:val="BodyText"/>
        <w:spacing w:line="285" w:lineRule="auto" w:before="107"/>
        <w:ind w:left="172" w:right="954"/>
        <w:jc w:val="both"/>
      </w:pPr>
      <w:r>
        <w:rPr/>
        <w:t>Για τον προσδιορισμό της συνολικής έκθεσης μιας τράπεζας σε κινδύνους ΤΠΕ, λαμβάνονται υπόψη</w:t>
      </w:r>
      <w:r>
        <w:rPr>
          <w:spacing w:val="-10"/>
        </w:rPr>
        <w:t> </w:t>
      </w:r>
      <w:r>
        <w:rPr/>
        <w:t>κυρίως</w:t>
      </w:r>
      <w:r>
        <w:rPr>
          <w:spacing w:val="-11"/>
        </w:rPr>
        <w:t> </w:t>
      </w:r>
      <w:r>
        <w:rPr/>
        <w:t>πέντε</w:t>
      </w:r>
      <w:r>
        <w:rPr>
          <w:spacing w:val="-11"/>
        </w:rPr>
        <w:t> </w:t>
      </w:r>
      <w:r>
        <w:rPr/>
        <w:t>(5)</w:t>
      </w:r>
      <w:r>
        <w:rPr>
          <w:spacing w:val="-9"/>
        </w:rPr>
        <w:t> </w:t>
      </w:r>
      <w:r>
        <w:rPr/>
        <w:t>κατηγορίες</w:t>
      </w:r>
      <w:r>
        <w:rPr>
          <w:spacing w:val="-10"/>
        </w:rPr>
        <w:t> </w:t>
      </w:r>
      <w:r>
        <w:rPr/>
        <w:t>εγγενούς</w:t>
      </w:r>
      <w:r>
        <w:rPr>
          <w:spacing w:val="-11"/>
        </w:rPr>
        <w:t> </w:t>
      </w:r>
      <w:r>
        <w:rPr/>
        <w:t>κινδύνου</w:t>
      </w:r>
      <w:hyperlink w:history="true" w:anchor="_bookmark69">
        <w:r>
          <w:rPr/>
          <w:t>:</w:t>
        </w:r>
        <w:r>
          <w:rPr>
            <w:position w:val="6"/>
            <w:sz w:val="10"/>
          </w:rPr>
          <w:t>48</w:t>
        </w:r>
      </w:hyperlink>
      <w:r>
        <w:rPr>
          <w:spacing w:val="20"/>
          <w:position w:val="6"/>
          <w:sz w:val="10"/>
        </w:rPr>
        <w:t> </w:t>
      </w:r>
      <w:r>
        <w:rPr/>
        <w:t>κίνδυνος</w:t>
      </w:r>
      <w:r>
        <w:rPr>
          <w:spacing w:val="-11"/>
        </w:rPr>
        <w:t> </w:t>
      </w:r>
      <w:r>
        <w:rPr/>
        <w:t>ασφάλειας</w:t>
      </w:r>
      <w:r>
        <w:rPr>
          <w:spacing w:val="-11"/>
        </w:rPr>
        <w:t> </w:t>
      </w:r>
      <w:r>
        <w:rPr/>
        <w:t>ΤΠΕ</w:t>
      </w:r>
      <w:r>
        <w:rPr>
          <w:spacing w:val="-10"/>
        </w:rPr>
        <w:t> </w:t>
      </w:r>
      <w:r>
        <w:rPr/>
        <w:t>(ICT</w:t>
      </w:r>
      <w:r>
        <w:rPr>
          <w:spacing w:val="-11"/>
        </w:rPr>
        <w:t> </w:t>
      </w:r>
      <w:r>
        <w:rPr/>
        <w:t>Security Risk),</w:t>
      </w:r>
      <w:r>
        <w:rPr>
          <w:spacing w:val="-2"/>
        </w:rPr>
        <w:t> </w:t>
      </w:r>
      <w:r>
        <w:rPr/>
        <w:t>κίνδυνος</w:t>
      </w:r>
      <w:r>
        <w:rPr>
          <w:spacing w:val="-1"/>
        </w:rPr>
        <w:t> </w:t>
      </w:r>
      <w:r>
        <w:rPr/>
        <w:t>διαθεσιμότητας</w:t>
      </w:r>
      <w:r>
        <w:rPr>
          <w:spacing w:val="-1"/>
        </w:rPr>
        <w:t> </w:t>
      </w:r>
      <w:r>
        <w:rPr/>
        <w:t>και συνέχειας ΤΠΕ</w:t>
      </w:r>
      <w:r>
        <w:rPr>
          <w:spacing w:val="-3"/>
        </w:rPr>
        <w:t> </w:t>
      </w:r>
      <w:r>
        <w:rPr/>
        <w:t>(ICT Availability</w:t>
      </w:r>
      <w:r>
        <w:rPr>
          <w:spacing w:val="-3"/>
        </w:rPr>
        <w:t> </w:t>
      </w:r>
      <w:r>
        <w:rPr/>
        <w:t>and</w:t>
      </w:r>
      <w:r>
        <w:rPr>
          <w:spacing w:val="-2"/>
        </w:rPr>
        <w:t> </w:t>
      </w:r>
      <w:r>
        <w:rPr/>
        <w:t>Continuity</w:t>
      </w:r>
      <w:r>
        <w:rPr>
          <w:spacing w:val="-3"/>
        </w:rPr>
        <w:t> </w:t>
      </w:r>
      <w:r>
        <w:rPr/>
        <w:t>Risk),</w:t>
      </w:r>
      <w:r>
        <w:rPr>
          <w:spacing w:val="-2"/>
        </w:rPr>
        <w:t> </w:t>
      </w:r>
      <w:r>
        <w:rPr/>
        <w:t>κίν-δυνος</w:t>
      </w:r>
      <w:r>
        <w:rPr>
          <w:spacing w:val="-4"/>
        </w:rPr>
        <w:t> </w:t>
      </w:r>
      <w:r>
        <w:rPr/>
        <w:t>αλλαγών</w:t>
      </w:r>
      <w:r>
        <w:rPr>
          <w:spacing w:val="-2"/>
        </w:rPr>
        <w:t> </w:t>
      </w:r>
      <w:r>
        <w:rPr/>
        <w:t>ΤΠΕ</w:t>
      </w:r>
      <w:r>
        <w:rPr>
          <w:spacing w:val="-6"/>
        </w:rPr>
        <w:t> </w:t>
      </w:r>
      <w:r>
        <w:rPr/>
        <w:t>(ICT</w:t>
      </w:r>
      <w:r>
        <w:rPr>
          <w:spacing w:val="-3"/>
        </w:rPr>
        <w:t> </w:t>
      </w:r>
      <w:r>
        <w:rPr/>
        <w:t>Change</w:t>
      </w:r>
      <w:r>
        <w:rPr>
          <w:spacing w:val="-3"/>
        </w:rPr>
        <w:t> </w:t>
      </w:r>
      <w:r>
        <w:rPr/>
        <w:t>Risk),</w:t>
      </w:r>
      <w:r>
        <w:rPr>
          <w:spacing w:val="-3"/>
        </w:rPr>
        <w:t> </w:t>
      </w:r>
      <w:r>
        <w:rPr/>
        <w:t>κίνδυνος</w:t>
      </w:r>
      <w:r>
        <w:rPr>
          <w:spacing w:val="-4"/>
        </w:rPr>
        <w:t> </w:t>
      </w:r>
      <w:r>
        <w:rPr/>
        <w:t>ακεραιότητας</w:t>
      </w:r>
      <w:r>
        <w:rPr>
          <w:spacing w:val="-4"/>
        </w:rPr>
        <w:t> </w:t>
      </w:r>
      <w:r>
        <w:rPr/>
        <w:t>δεδομένων</w:t>
      </w:r>
      <w:r>
        <w:rPr>
          <w:spacing w:val="-2"/>
        </w:rPr>
        <w:t> </w:t>
      </w:r>
      <w:r>
        <w:rPr/>
        <w:t>ΤΠΕ</w:t>
      </w:r>
      <w:r>
        <w:rPr>
          <w:spacing w:val="-4"/>
        </w:rPr>
        <w:t> </w:t>
      </w:r>
      <w:r>
        <w:rPr/>
        <w:t>(ICT</w:t>
      </w:r>
      <w:r>
        <w:rPr>
          <w:spacing w:val="-3"/>
        </w:rPr>
        <w:t> </w:t>
      </w:r>
      <w:r>
        <w:rPr/>
        <w:t>integrity risk) και κίνδυνος από εξωτερικές αναθέσεις και τρίτους ΤΠΕ (ICT Outsourcing/Third-party </w:t>
      </w:r>
      <w:r>
        <w:rPr>
          <w:spacing w:val="-2"/>
        </w:rPr>
        <w:t>Risk).</w:t>
      </w:r>
    </w:p>
    <w:p>
      <w:pPr>
        <w:pStyle w:val="BodyText"/>
        <w:spacing w:line="276" w:lineRule="auto" w:before="20"/>
        <w:ind w:left="172" w:right="955"/>
        <w:jc w:val="both"/>
      </w:pPr>
      <w:r>
        <w:rPr/>
        <w:t>Το πλήθος και η ένταση των συμβάντων ΤΠΕ, καθώς και οι τρέχουσες τάσεις των κυβερνοεπι-θέσεων αποτελούν βασικές παραμέτρους για τον προσδιορισμό του εγγενούς κινδύνου ΤΠΕ. Παρά το γεγονός ότι, ο ακριβής αριθμός των κυβερνοεπιθέσεων στον χρηματοπιστωτικό τομέα της</w:t>
      </w:r>
      <w:r>
        <w:rPr>
          <w:spacing w:val="-4"/>
        </w:rPr>
        <w:t> </w:t>
      </w:r>
      <w:r>
        <w:rPr/>
        <w:t>Ευρωπαϊκής</w:t>
      </w:r>
      <w:r>
        <w:rPr>
          <w:spacing w:val="-4"/>
        </w:rPr>
        <w:t> </w:t>
      </w:r>
      <w:r>
        <w:rPr/>
        <w:t>Ένωσης</w:t>
      </w:r>
      <w:r>
        <w:rPr>
          <w:spacing w:val="-6"/>
        </w:rPr>
        <w:t> </w:t>
      </w:r>
      <w:r>
        <w:rPr/>
        <w:t>(ΕΕ)</w:t>
      </w:r>
      <w:r>
        <w:rPr>
          <w:spacing w:val="-2"/>
        </w:rPr>
        <w:t> </w:t>
      </w:r>
      <w:r>
        <w:rPr/>
        <w:t>παραμένει</w:t>
      </w:r>
      <w:r>
        <w:rPr>
          <w:spacing w:val="-2"/>
        </w:rPr>
        <w:t> </w:t>
      </w:r>
      <w:r>
        <w:rPr/>
        <w:t>άγνωστος,</w:t>
      </w:r>
      <w:r>
        <w:rPr>
          <w:spacing w:val="-2"/>
        </w:rPr>
        <w:t> </w:t>
      </w:r>
      <w:r>
        <w:rPr/>
        <w:t>τα</w:t>
      </w:r>
      <w:r>
        <w:rPr>
          <w:spacing w:val="-2"/>
        </w:rPr>
        <w:t> </w:t>
      </w:r>
      <w:r>
        <w:rPr/>
        <w:t>δημοσιοποιημένα</w:t>
      </w:r>
      <w:r>
        <w:rPr>
          <w:spacing w:val="-5"/>
        </w:rPr>
        <w:t> </w:t>
      </w:r>
      <w:r>
        <w:rPr/>
        <w:t>στοιχεία</w:t>
      </w:r>
      <w:r>
        <w:rPr>
          <w:spacing w:val="-2"/>
        </w:rPr>
        <w:t> </w:t>
      </w:r>
      <w:r>
        <w:rPr/>
        <w:t>καθώς</w:t>
      </w:r>
      <w:r>
        <w:rPr>
          <w:spacing w:val="-3"/>
        </w:rPr>
        <w:t> </w:t>
      </w:r>
      <w:r>
        <w:rPr/>
        <w:t>και</w:t>
      </w:r>
      <w:r>
        <w:rPr>
          <w:spacing w:val="-2"/>
        </w:rPr>
        <w:t> </w:t>
      </w:r>
      <w:r>
        <w:rPr/>
        <w:t>τα στοιχεία</w:t>
      </w:r>
      <w:r>
        <w:rPr>
          <w:spacing w:val="-12"/>
        </w:rPr>
        <w:t> </w:t>
      </w:r>
      <w:r>
        <w:rPr/>
        <w:t>που</w:t>
      </w:r>
      <w:r>
        <w:rPr>
          <w:spacing w:val="-11"/>
        </w:rPr>
        <w:t> </w:t>
      </w:r>
      <w:r>
        <w:rPr/>
        <w:t>συλλέγονται</w:t>
      </w:r>
      <w:r>
        <w:rPr>
          <w:spacing w:val="-11"/>
        </w:rPr>
        <w:t> </w:t>
      </w:r>
      <w:r>
        <w:rPr/>
        <w:t>στο</w:t>
      </w:r>
      <w:r>
        <w:rPr>
          <w:spacing w:val="-9"/>
        </w:rPr>
        <w:t> </w:t>
      </w:r>
      <w:r>
        <w:rPr/>
        <w:t>πλαίσιο</w:t>
      </w:r>
      <w:r>
        <w:rPr>
          <w:spacing w:val="-11"/>
        </w:rPr>
        <w:t> </w:t>
      </w:r>
      <w:r>
        <w:rPr/>
        <w:t>της</w:t>
      </w:r>
      <w:r>
        <w:rPr>
          <w:spacing w:val="-11"/>
        </w:rPr>
        <w:t> </w:t>
      </w:r>
      <w:r>
        <w:rPr/>
        <w:t>αναφοράς</w:t>
      </w:r>
      <w:r>
        <w:rPr>
          <w:spacing w:val="-11"/>
        </w:rPr>
        <w:t> </w:t>
      </w:r>
      <w:r>
        <w:rPr/>
        <w:t>μειζόνων</w:t>
      </w:r>
      <w:r>
        <w:rPr>
          <w:spacing w:val="-11"/>
        </w:rPr>
        <w:t> </w:t>
      </w:r>
      <w:r>
        <w:rPr/>
        <w:t>συμβάντων</w:t>
      </w:r>
      <w:r>
        <w:rPr>
          <w:spacing w:val="-9"/>
        </w:rPr>
        <w:t> </w:t>
      </w:r>
      <w:r>
        <w:rPr/>
        <w:t>από</w:t>
      </w:r>
      <w:r>
        <w:rPr>
          <w:spacing w:val="-10"/>
        </w:rPr>
        <w:t> </w:t>
      </w:r>
      <w:r>
        <w:rPr/>
        <w:t>τις</w:t>
      </w:r>
      <w:r>
        <w:rPr>
          <w:spacing w:val="-12"/>
        </w:rPr>
        <w:t> </w:t>
      </w:r>
      <w:r>
        <w:rPr/>
        <w:t>τράπεζες</w:t>
      </w:r>
      <w:r>
        <w:rPr>
          <w:spacing w:val="-10"/>
        </w:rPr>
        <w:t> </w:t>
      </w:r>
      <w:r>
        <w:rPr/>
        <w:t>προς στις</w:t>
      </w:r>
      <w:r>
        <w:rPr>
          <w:spacing w:val="-8"/>
        </w:rPr>
        <w:t> </w:t>
      </w:r>
      <w:r>
        <w:rPr/>
        <w:t>εποπτικές</w:t>
      </w:r>
      <w:r>
        <w:rPr>
          <w:spacing w:val="-8"/>
        </w:rPr>
        <w:t> </w:t>
      </w:r>
      <w:r>
        <w:rPr/>
        <w:t>αρχές,</w:t>
      </w:r>
      <w:r>
        <w:rPr>
          <w:spacing w:val="-7"/>
        </w:rPr>
        <w:t> </w:t>
      </w:r>
      <w:r>
        <w:rPr/>
        <w:t>δείχνουν</w:t>
      </w:r>
      <w:r>
        <w:rPr>
          <w:spacing w:val="-9"/>
        </w:rPr>
        <w:t> </w:t>
      </w:r>
      <w:r>
        <w:rPr/>
        <w:t>ότι</w:t>
      </w:r>
      <w:r>
        <w:rPr>
          <w:spacing w:val="-6"/>
        </w:rPr>
        <w:t> </w:t>
      </w:r>
      <w:r>
        <w:rPr/>
        <w:t>ο</w:t>
      </w:r>
      <w:r>
        <w:rPr>
          <w:spacing w:val="-10"/>
        </w:rPr>
        <w:t> </w:t>
      </w:r>
      <w:r>
        <w:rPr/>
        <w:t>όγκος</w:t>
      </w:r>
      <w:r>
        <w:rPr>
          <w:spacing w:val="-8"/>
        </w:rPr>
        <w:t> </w:t>
      </w:r>
      <w:r>
        <w:rPr/>
        <w:t>και</w:t>
      </w:r>
      <w:r>
        <w:rPr>
          <w:spacing w:val="-7"/>
        </w:rPr>
        <w:t> </w:t>
      </w:r>
      <w:r>
        <w:rPr/>
        <w:t>η</w:t>
      </w:r>
      <w:r>
        <w:rPr>
          <w:spacing w:val="-7"/>
        </w:rPr>
        <w:t> </w:t>
      </w:r>
      <w:r>
        <w:rPr/>
        <w:t>πολυπλοκότητα</w:t>
      </w:r>
      <w:r>
        <w:rPr>
          <w:spacing w:val="-8"/>
        </w:rPr>
        <w:t> </w:t>
      </w:r>
      <w:r>
        <w:rPr/>
        <w:t>τέτοιων</w:t>
      </w:r>
      <w:r>
        <w:rPr>
          <w:spacing w:val="-6"/>
        </w:rPr>
        <w:t> </w:t>
      </w:r>
      <w:r>
        <w:rPr/>
        <w:t>επιθέσεων</w:t>
      </w:r>
      <w:r>
        <w:rPr>
          <w:spacing w:val="-6"/>
        </w:rPr>
        <w:t> </w:t>
      </w:r>
      <w:r>
        <w:rPr/>
        <w:t>έχει</w:t>
      </w:r>
      <w:r>
        <w:rPr>
          <w:spacing w:val="-6"/>
        </w:rPr>
        <w:t> </w:t>
      </w:r>
      <w:r>
        <w:rPr/>
        <w:t>αυξηθεί σημαντικά τα τελευταία έτη. Οι επιπτώσεις από επιτυχημένες επιθέσεις, πέρα από την απώλεια χρημάτων, επηρεάζουν τη φήμη, τη λειτουργία και την εμπιστοσύνη των πελατών προς το χρη-ματοπιστωτικό</w:t>
      </w:r>
      <w:r>
        <w:rPr>
          <w:spacing w:val="-14"/>
        </w:rPr>
        <w:t> </w:t>
      </w:r>
      <w:r>
        <w:rPr/>
        <w:t>σύστημα.</w:t>
      </w:r>
      <w:r>
        <w:rPr>
          <w:spacing w:val="-12"/>
        </w:rPr>
        <w:t> </w:t>
      </w:r>
      <w:r>
        <w:rPr/>
        <w:t>Τα</w:t>
      </w:r>
      <w:r>
        <w:rPr>
          <w:spacing w:val="-12"/>
        </w:rPr>
        <w:t> </w:t>
      </w:r>
      <w:r>
        <w:rPr/>
        <w:t>διαθέσιμα</w:t>
      </w:r>
      <w:r>
        <w:rPr>
          <w:spacing w:val="-12"/>
        </w:rPr>
        <w:t> </w:t>
      </w:r>
      <w:r>
        <w:rPr/>
        <w:t>στοιχεία</w:t>
      </w:r>
      <w:r>
        <w:rPr>
          <w:spacing w:val="-12"/>
        </w:rPr>
        <w:t> </w:t>
      </w:r>
      <w:r>
        <w:rPr/>
        <w:t>από</w:t>
      </w:r>
      <w:r>
        <w:rPr>
          <w:spacing w:val="-12"/>
        </w:rPr>
        <w:t> </w:t>
      </w:r>
      <w:r>
        <w:rPr/>
        <w:t>τις</w:t>
      </w:r>
      <w:r>
        <w:rPr>
          <w:spacing w:val="-13"/>
        </w:rPr>
        <w:t> </w:t>
      </w:r>
      <w:r>
        <w:rPr/>
        <w:t>αναφορές</w:t>
      </w:r>
      <w:r>
        <w:rPr>
          <w:spacing w:val="-13"/>
        </w:rPr>
        <w:t> </w:t>
      </w:r>
      <w:r>
        <w:rPr/>
        <w:t>μειζόνων</w:t>
      </w:r>
      <w:r>
        <w:rPr>
          <w:spacing w:val="-11"/>
        </w:rPr>
        <w:t> </w:t>
      </w:r>
      <w:r>
        <w:rPr/>
        <w:t>συμβάντων</w:t>
      </w:r>
      <w:r>
        <w:rPr>
          <w:spacing w:val="-11"/>
        </w:rPr>
        <w:t> </w:t>
      </w:r>
      <w:r>
        <w:rPr/>
        <w:t>προς</w:t>
      </w:r>
      <w:r>
        <w:rPr>
          <w:spacing w:val="-13"/>
        </w:rPr>
        <w:t> </w:t>
      </w:r>
      <w:r>
        <w:rPr/>
        <w:t>την Τράπεζα της Ελλάδος, δείχνουν ότι οι επιθέσεις που έλαβαν χώρα το 2025 αντιμετωπίστηκαν μέχρι τώρα ικανοποιητικά από τις υποδομές ασφάλειας των ελληνικών τραπεζών, χωρίς σημα-ντικές επιπτώσεις στη λειτουργία των συστημάτων που υποστηρίζουν τις κρίσιμες λειτουργίες τους. Επίσης, η άσκηση προσομοίωσης ακραίων καταστάσεων σχετικά με την ανθεκτικότητα έναντι κυβερνοαπειλών (Cyber Resilience Stress Test) που διεξήγαγε η ΕΚΤ το 2024 έδειξε ότι οι</w:t>
      </w:r>
      <w:r>
        <w:rPr>
          <w:spacing w:val="-4"/>
        </w:rPr>
        <w:t> </w:t>
      </w:r>
      <w:r>
        <w:rPr/>
        <w:t>ευρωπαϊκές</w:t>
      </w:r>
      <w:r>
        <w:rPr>
          <w:spacing w:val="-6"/>
        </w:rPr>
        <w:t> </w:t>
      </w:r>
      <w:r>
        <w:rPr/>
        <w:t>τράπεζες</w:t>
      </w:r>
      <w:r>
        <w:rPr>
          <w:spacing w:val="-5"/>
        </w:rPr>
        <w:t> </w:t>
      </w:r>
      <w:r>
        <w:rPr/>
        <w:t>διαθέτουν</w:t>
      </w:r>
      <w:r>
        <w:rPr>
          <w:spacing w:val="-4"/>
        </w:rPr>
        <w:t> </w:t>
      </w:r>
      <w:r>
        <w:rPr/>
        <w:t>πλαίσιο</w:t>
      </w:r>
      <w:r>
        <w:rPr>
          <w:spacing w:val="-5"/>
        </w:rPr>
        <w:t> </w:t>
      </w:r>
      <w:r>
        <w:rPr/>
        <w:t>για</w:t>
      </w:r>
      <w:r>
        <w:rPr>
          <w:spacing w:val="-4"/>
        </w:rPr>
        <w:t> </w:t>
      </w:r>
      <w:r>
        <w:rPr/>
        <w:t>την</w:t>
      </w:r>
      <w:r>
        <w:rPr>
          <w:spacing w:val="-4"/>
        </w:rPr>
        <w:t> </w:t>
      </w:r>
      <w:r>
        <w:rPr/>
        <w:t>αντιμετώπιση</w:t>
      </w:r>
      <w:r>
        <w:rPr>
          <w:spacing w:val="-5"/>
        </w:rPr>
        <w:t> </w:t>
      </w:r>
      <w:r>
        <w:rPr/>
        <w:t>και</w:t>
      </w:r>
      <w:r>
        <w:rPr>
          <w:spacing w:val="-5"/>
        </w:rPr>
        <w:t> </w:t>
      </w:r>
      <w:r>
        <w:rPr/>
        <w:t>την</w:t>
      </w:r>
      <w:r>
        <w:rPr>
          <w:spacing w:val="-4"/>
        </w:rPr>
        <w:t> </w:t>
      </w:r>
      <w:r>
        <w:rPr/>
        <w:t>ανάκαμψη</w:t>
      </w:r>
      <w:r>
        <w:rPr>
          <w:spacing w:val="-5"/>
        </w:rPr>
        <w:t> </w:t>
      </w:r>
      <w:r>
        <w:rPr/>
        <w:t>από</w:t>
      </w:r>
      <w:r>
        <w:rPr>
          <w:spacing w:val="-5"/>
        </w:rPr>
        <w:t> </w:t>
      </w:r>
      <w:r>
        <w:rPr/>
        <w:t>σοβαρά συμβάντα κυβερνοασφάλειας, ενώ υπάρχει πάντα περιθώριο βελτίωσης.</w:t>
      </w:r>
    </w:p>
    <w:p>
      <w:pPr>
        <w:pStyle w:val="BodyText"/>
        <w:spacing w:line="276" w:lineRule="auto" w:before="60"/>
        <w:ind w:left="172" w:right="954"/>
        <w:jc w:val="both"/>
      </w:pPr>
      <w:r>
        <w:rPr/>
        <w:t>Η</w:t>
      </w:r>
      <w:r>
        <w:rPr>
          <w:spacing w:val="-11"/>
        </w:rPr>
        <w:t> </w:t>
      </w:r>
      <w:r>
        <w:rPr/>
        <w:t>χρήση</w:t>
      </w:r>
      <w:r>
        <w:rPr>
          <w:spacing w:val="-9"/>
        </w:rPr>
        <w:t> </w:t>
      </w:r>
      <w:r>
        <w:rPr>
          <w:color w:val="090909"/>
        </w:rPr>
        <w:t>προηγμένων</w:t>
      </w:r>
      <w:r>
        <w:rPr>
          <w:color w:val="090909"/>
          <w:spacing w:val="-9"/>
        </w:rPr>
        <w:t> </w:t>
      </w:r>
      <w:r>
        <w:rPr>
          <w:color w:val="090909"/>
        </w:rPr>
        <w:t>μοντέλων</w:t>
      </w:r>
      <w:r>
        <w:rPr>
          <w:color w:val="090909"/>
          <w:spacing w:val="-9"/>
        </w:rPr>
        <w:t> </w:t>
      </w:r>
      <w:r>
        <w:rPr/>
        <w:t>τεχνητής</w:t>
      </w:r>
      <w:r>
        <w:rPr>
          <w:spacing w:val="-13"/>
        </w:rPr>
        <w:t> </w:t>
      </w:r>
      <w:r>
        <w:rPr/>
        <w:t>νοημοσύνης</w:t>
      </w:r>
      <w:r>
        <w:rPr>
          <w:spacing w:val="-13"/>
        </w:rPr>
        <w:t> </w:t>
      </w:r>
      <w:r>
        <w:rPr/>
        <w:t>(ΤΝ)</w:t>
      </w:r>
      <w:r>
        <w:rPr>
          <w:spacing w:val="-11"/>
        </w:rPr>
        <w:t> </w:t>
      </w:r>
      <w:r>
        <w:rPr/>
        <w:t>σε</w:t>
      </w:r>
      <w:r>
        <w:rPr>
          <w:spacing w:val="-9"/>
        </w:rPr>
        <w:t> </w:t>
      </w:r>
      <w:r>
        <w:rPr/>
        <w:t>κυβερνοεπιθέσεις</w:t>
      </w:r>
      <w:r>
        <w:rPr>
          <w:spacing w:val="-12"/>
        </w:rPr>
        <w:t> </w:t>
      </w:r>
      <w:r>
        <w:rPr/>
        <w:t>και</w:t>
      </w:r>
      <w:r>
        <w:rPr>
          <w:spacing w:val="-9"/>
        </w:rPr>
        <w:t> </w:t>
      </w:r>
      <w:r>
        <w:rPr/>
        <w:t>εσωτερικές λειτουργίες αποτελεί μια ακόμη πρόκληση για τον χρηματοπιστωτικό κλάδο, καθώς έχει διττή επίδραση: από τη μια πλευρά ενισχύει την εσωτερική αποδοτικότητα των οργανισμών, τον ψη-φιακό μετασχηματισμό και την ανθεκτικότητά τους, ενώ από την άλλη, διευρύνει το πεδίο των εξελιγμένων κυβερνοαπειλών και τη</w:t>
      </w:r>
      <w:r>
        <w:rPr>
          <w:spacing w:val="-1"/>
        </w:rPr>
        <w:t> </w:t>
      </w:r>
      <w:r>
        <w:rPr/>
        <w:t>δυνατότητα</w:t>
      </w:r>
      <w:r>
        <w:rPr>
          <w:spacing w:val="-1"/>
        </w:rPr>
        <w:t> </w:t>
      </w:r>
      <w:r>
        <w:rPr/>
        <w:t>κλιμάκωσης</w:t>
      </w:r>
      <w:r>
        <w:rPr>
          <w:spacing w:val="-2"/>
        </w:rPr>
        <w:t> </w:t>
      </w:r>
      <w:r>
        <w:rPr/>
        <w:t>κακόβουλων</w:t>
      </w:r>
      <w:r>
        <w:rPr>
          <w:spacing w:val="-2"/>
        </w:rPr>
        <w:t> </w:t>
      </w:r>
      <w:r>
        <w:rPr/>
        <w:t>επιθέσεων. Η</w:t>
      </w:r>
      <w:r>
        <w:rPr>
          <w:spacing w:val="-2"/>
        </w:rPr>
        <w:t> </w:t>
      </w:r>
      <w:r>
        <w:rPr/>
        <w:t>θωρά-κιση απέναντι σε αυτές τις απειλές απαιτεί συνεχή επαγρύπνηση μέσω της υιοθέτησης των κα-τάλληλων μέτρων προστασίας και δικλείδων ασφαλείας, καθώς και της έγκαιρης εφαρμογής διορθωτικών ενημερώσεων.</w:t>
      </w:r>
    </w:p>
    <w:p>
      <w:pPr>
        <w:pStyle w:val="BodyText"/>
        <w:spacing w:line="276" w:lineRule="auto" w:before="60"/>
        <w:ind w:left="172" w:right="955"/>
        <w:jc w:val="both"/>
      </w:pPr>
      <w:r>
        <w:rPr/>
        <w:t>Αναφορικά</w:t>
      </w:r>
      <w:r>
        <w:rPr>
          <w:spacing w:val="-10"/>
        </w:rPr>
        <w:t> </w:t>
      </w:r>
      <w:r>
        <w:rPr/>
        <w:t>με</w:t>
      </w:r>
      <w:r>
        <w:rPr>
          <w:spacing w:val="-9"/>
        </w:rPr>
        <w:t> </w:t>
      </w:r>
      <w:r>
        <w:rPr/>
        <w:t>την</w:t>
      </w:r>
      <w:r>
        <w:rPr>
          <w:spacing w:val="-9"/>
        </w:rPr>
        <w:t> </w:t>
      </w:r>
      <w:r>
        <w:rPr/>
        <w:t>έκθεση</w:t>
      </w:r>
      <w:r>
        <w:rPr>
          <w:spacing w:val="-12"/>
        </w:rPr>
        <w:t> </w:t>
      </w:r>
      <w:r>
        <w:rPr/>
        <w:t>σε</w:t>
      </w:r>
      <w:r>
        <w:rPr>
          <w:spacing w:val="-6"/>
        </w:rPr>
        <w:t> </w:t>
      </w:r>
      <w:r>
        <w:rPr/>
        <w:t>κινδύνους</w:t>
      </w:r>
      <w:r>
        <w:rPr>
          <w:spacing w:val="-11"/>
        </w:rPr>
        <w:t> </w:t>
      </w:r>
      <w:r>
        <w:rPr/>
        <w:t>αλλαγών</w:t>
      </w:r>
      <w:r>
        <w:rPr>
          <w:spacing w:val="-9"/>
        </w:rPr>
        <w:t> </w:t>
      </w:r>
      <w:r>
        <w:rPr/>
        <w:t>ΤΠΕ,</w:t>
      </w:r>
      <w:r>
        <w:rPr>
          <w:spacing w:val="-10"/>
        </w:rPr>
        <w:t> </w:t>
      </w:r>
      <w:r>
        <w:rPr/>
        <w:t>σημαντική</w:t>
      </w:r>
      <w:r>
        <w:rPr>
          <w:spacing w:val="-10"/>
        </w:rPr>
        <w:t> </w:t>
      </w:r>
      <w:r>
        <w:rPr/>
        <w:t>πρόκληση</w:t>
      </w:r>
      <w:r>
        <w:rPr>
          <w:spacing w:val="-10"/>
        </w:rPr>
        <w:t> </w:t>
      </w:r>
      <w:r>
        <w:rPr/>
        <w:t>αποτελεί</w:t>
      </w:r>
      <w:r>
        <w:rPr>
          <w:spacing w:val="-9"/>
        </w:rPr>
        <w:t> </w:t>
      </w:r>
      <w:r>
        <w:rPr/>
        <w:t>η</w:t>
      </w:r>
      <w:r>
        <w:rPr>
          <w:spacing w:val="-12"/>
        </w:rPr>
        <w:t> </w:t>
      </w:r>
      <w:r>
        <w:rPr/>
        <w:t>υλοποί-ηση αλλαγών σε συστήματα και υποδομές που υποστηρίζουν κρίσιμες λειτουργίες, στο πλαίσιο της υλοποίησης σημαντικών έργων ΤΠΕ για την υιοθέτηση καινοτόμων προϊόντων και υπηρε-σιών,</w:t>
      </w:r>
      <w:r>
        <w:rPr>
          <w:spacing w:val="-2"/>
        </w:rPr>
        <w:t> </w:t>
      </w:r>
      <w:r>
        <w:rPr/>
        <w:t>την</w:t>
      </w:r>
      <w:r>
        <w:rPr>
          <w:spacing w:val="-1"/>
        </w:rPr>
        <w:t> </w:t>
      </w:r>
      <w:r>
        <w:rPr/>
        <w:t>αντικατάσταση</w:t>
      </w:r>
      <w:r>
        <w:rPr>
          <w:spacing w:val="-2"/>
        </w:rPr>
        <w:t> </w:t>
      </w:r>
      <w:r>
        <w:rPr/>
        <w:t>παρωχημένων</w:t>
      </w:r>
      <w:r>
        <w:rPr>
          <w:spacing w:val="-4"/>
        </w:rPr>
        <w:t> </w:t>
      </w:r>
      <w:r>
        <w:rPr/>
        <w:t>συστημάτων,</w:t>
      </w:r>
      <w:r>
        <w:rPr>
          <w:spacing w:val="-5"/>
        </w:rPr>
        <w:t> </w:t>
      </w:r>
      <w:r>
        <w:rPr/>
        <w:t>την</w:t>
      </w:r>
      <w:r>
        <w:rPr>
          <w:spacing w:val="-2"/>
        </w:rPr>
        <w:t> </w:t>
      </w:r>
      <w:r>
        <w:rPr/>
        <w:t>μετάπτωση</w:t>
      </w:r>
      <w:r>
        <w:rPr>
          <w:spacing w:val="-5"/>
        </w:rPr>
        <w:t> </w:t>
      </w:r>
      <w:r>
        <w:rPr/>
        <w:t>σε</w:t>
      </w:r>
      <w:r>
        <w:rPr>
          <w:spacing w:val="-4"/>
        </w:rPr>
        <w:t> </w:t>
      </w:r>
      <w:r>
        <w:rPr/>
        <w:t>νέες</w:t>
      </w:r>
      <w:r>
        <w:rPr>
          <w:spacing w:val="-3"/>
        </w:rPr>
        <w:t> </w:t>
      </w:r>
      <w:r>
        <w:rPr/>
        <w:t>κύριες τραπεζικές εφαρμογές,</w:t>
      </w:r>
      <w:r>
        <w:rPr>
          <w:spacing w:val="-2"/>
        </w:rPr>
        <w:t> </w:t>
      </w:r>
      <w:r>
        <w:rPr/>
        <w:t>την</w:t>
      </w:r>
      <w:r>
        <w:rPr>
          <w:spacing w:val="-3"/>
        </w:rPr>
        <w:t> </w:t>
      </w:r>
      <w:r>
        <w:rPr/>
        <w:t>ενοποίηση</w:t>
      </w:r>
      <w:r>
        <w:rPr>
          <w:spacing w:val="-6"/>
        </w:rPr>
        <w:t> </w:t>
      </w:r>
      <w:r>
        <w:rPr/>
        <w:t>συστημάτων</w:t>
      </w:r>
      <w:r>
        <w:rPr>
          <w:spacing w:val="-3"/>
        </w:rPr>
        <w:t> </w:t>
      </w:r>
      <w:r>
        <w:rPr/>
        <w:t>στο</w:t>
      </w:r>
      <w:r>
        <w:rPr>
          <w:spacing w:val="-2"/>
        </w:rPr>
        <w:t> </w:t>
      </w:r>
      <w:r>
        <w:rPr/>
        <w:t>πλαίσιο</w:t>
      </w:r>
      <w:r>
        <w:rPr>
          <w:spacing w:val="-1"/>
        </w:rPr>
        <w:t> </w:t>
      </w:r>
      <w:r>
        <w:rPr/>
        <w:t>της</w:t>
      </w:r>
      <w:r>
        <w:rPr>
          <w:spacing w:val="-3"/>
        </w:rPr>
        <w:t> </w:t>
      </w:r>
      <w:r>
        <w:rPr/>
        <w:t>λειτουργικής συγχώνευσης</w:t>
      </w:r>
      <w:r>
        <w:rPr>
          <w:spacing w:val="-3"/>
        </w:rPr>
        <w:t> </w:t>
      </w:r>
      <w:r>
        <w:rPr/>
        <w:t>τραπεζικών οργανισμών, κ.ά.</w:t>
      </w:r>
    </w:p>
    <w:p>
      <w:pPr>
        <w:pStyle w:val="Heading4"/>
        <w:spacing w:before="94"/>
      </w:pPr>
      <w:r>
        <w:rPr>
          <w:color w:val="1F487C"/>
        </w:rPr>
        <w:t>Παρακολούθηση</w:t>
      </w:r>
      <w:r>
        <w:rPr>
          <w:color w:val="1F487C"/>
          <w:spacing w:val="-10"/>
        </w:rPr>
        <w:t> </w:t>
      </w:r>
      <w:r>
        <w:rPr>
          <w:color w:val="1F487C"/>
        </w:rPr>
        <w:t>κα</w:t>
      </w:r>
      <w:r>
        <w:rPr>
          <w:smallCaps/>
          <w:color w:val="1F487C"/>
        </w:rPr>
        <w:t>ι</w:t>
      </w:r>
      <w:r>
        <w:rPr>
          <w:smallCaps w:val="0"/>
          <w:color w:val="1F487C"/>
          <w:spacing w:val="-9"/>
        </w:rPr>
        <w:t> </w:t>
      </w:r>
      <w:r>
        <w:rPr>
          <w:smallCaps w:val="0"/>
          <w:color w:val="1F487C"/>
        </w:rPr>
        <w:t>επ</w:t>
      </w:r>
      <w:r>
        <w:rPr>
          <w:smallCaps/>
          <w:color w:val="1F487C"/>
        </w:rPr>
        <w:t>ι</w:t>
      </w:r>
      <w:r>
        <w:rPr>
          <w:smallCaps w:val="0"/>
          <w:color w:val="1F487C"/>
        </w:rPr>
        <w:t>μέτρηση</w:t>
      </w:r>
      <w:r>
        <w:rPr>
          <w:smallCaps w:val="0"/>
          <w:color w:val="1F487C"/>
          <w:spacing w:val="-11"/>
        </w:rPr>
        <w:t> </w:t>
      </w:r>
      <w:r>
        <w:rPr>
          <w:smallCaps w:val="0"/>
          <w:color w:val="1F487C"/>
        </w:rPr>
        <w:t>λε</w:t>
      </w:r>
      <w:r>
        <w:rPr>
          <w:smallCaps/>
          <w:color w:val="1F487C"/>
        </w:rPr>
        <w:t>ι</w:t>
      </w:r>
      <w:r>
        <w:rPr>
          <w:smallCaps w:val="0"/>
          <w:color w:val="1F487C"/>
        </w:rPr>
        <w:t>τουργ</w:t>
      </w:r>
      <w:r>
        <w:rPr>
          <w:smallCaps/>
          <w:color w:val="1F487C"/>
        </w:rPr>
        <w:t>ι</w:t>
      </w:r>
      <w:r>
        <w:rPr>
          <w:smallCaps w:val="0"/>
          <w:color w:val="1F487C"/>
        </w:rPr>
        <w:t>κού</w:t>
      </w:r>
      <w:r>
        <w:rPr>
          <w:smallCaps w:val="0"/>
          <w:color w:val="1F487C"/>
          <w:spacing w:val="-10"/>
        </w:rPr>
        <w:t> </w:t>
      </w:r>
      <w:r>
        <w:rPr>
          <w:smallCaps w:val="0"/>
          <w:color w:val="1F487C"/>
          <w:spacing w:val="-2"/>
        </w:rPr>
        <w:t>κ</w:t>
      </w:r>
      <w:r>
        <w:rPr>
          <w:smallCaps/>
          <w:color w:val="1F487C"/>
          <w:spacing w:val="-2"/>
        </w:rPr>
        <w:t>ιν</w:t>
      </w:r>
      <w:r>
        <w:rPr>
          <w:smallCaps w:val="0"/>
          <w:color w:val="1F487C"/>
          <w:spacing w:val="-2"/>
        </w:rPr>
        <w:t>δύνου</w:t>
      </w:r>
    </w:p>
    <w:p>
      <w:pPr>
        <w:pStyle w:val="BodyText"/>
        <w:spacing w:line="276" w:lineRule="auto" w:before="73"/>
        <w:ind w:left="172" w:right="960"/>
        <w:jc w:val="both"/>
      </w:pPr>
      <w:r>
        <w:rPr>
          <w:spacing w:val="-2"/>
        </w:rPr>
        <w:t>Οι κατηγορίες</w:t>
      </w:r>
      <w:r>
        <w:rPr>
          <w:spacing w:val="-4"/>
        </w:rPr>
        <w:t> </w:t>
      </w:r>
      <w:r>
        <w:rPr>
          <w:spacing w:val="-2"/>
        </w:rPr>
        <w:t>λειτουργικού</w:t>
      </w:r>
      <w:r>
        <w:rPr>
          <w:spacing w:val="-4"/>
        </w:rPr>
        <w:t> </w:t>
      </w:r>
      <w:r>
        <w:rPr>
          <w:spacing w:val="-2"/>
        </w:rPr>
        <w:t>κινδύνου για τις οποίες</w:t>
      </w:r>
      <w:r>
        <w:rPr>
          <w:spacing w:val="-4"/>
        </w:rPr>
        <w:t> </w:t>
      </w:r>
      <w:r>
        <w:rPr>
          <w:spacing w:val="-2"/>
        </w:rPr>
        <w:t>γίνεται καταγραφή των λειτουργικών ζημιών, </w:t>
      </w:r>
      <w:r>
        <w:rPr/>
        <w:t>ακολουθούν την ταξινόμηση της Επιτροπής της Βασιλείας για την Τραπεζική Εποπτεία (Basel Committee on Banking Supervision) και περιλαμβάνουν:</w:t>
      </w:r>
    </w:p>
    <w:p>
      <w:pPr>
        <w:pStyle w:val="BodyText"/>
        <w:rPr>
          <w:sz w:val="20"/>
        </w:rPr>
      </w:pPr>
    </w:p>
    <w:p>
      <w:pPr>
        <w:pStyle w:val="BodyText"/>
        <w:spacing w:before="85"/>
        <w:rPr>
          <w:sz w:val="20"/>
        </w:rPr>
      </w:pPr>
      <w:r>
        <w:rPr>
          <w:sz w:val="20"/>
        </w:rPr>
        <mc:AlternateContent>
          <mc:Choice Requires="wps">
            <w:drawing>
              <wp:anchor distT="0" distB="0" distL="0" distR="0" allowOverlap="1" layoutInCell="1" locked="0" behindDoc="1" simplePos="0" relativeHeight="487630848">
                <wp:simplePos x="0" y="0"/>
                <wp:positionH relativeFrom="page">
                  <wp:posOffset>1009192</wp:posOffset>
                </wp:positionH>
                <wp:positionV relativeFrom="paragraph">
                  <wp:posOffset>215430</wp:posOffset>
                </wp:positionV>
                <wp:extent cx="1829435" cy="7620"/>
                <wp:effectExtent l="0" t="0" r="0" b="0"/>
                <wp:wrapTopAndBottom/>
                <wp:docPr id="456" name="Graphic 456"/>
                <wp:cNvGraphicFramePr>
                  <a:graphicFrameLocks/>
                </wp:cNvGraphicFramePr>
                <a:graphic>
                  <a:graphicData uri="http://schemas.microsoft.com/office/word/2010/wordprocessingShape">
                    <wps:wsp>
                      <wps:cNvPr id="456" name="Graphic 45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6.963022pt;width:144.020pt;height:.60004pt;mso-position-horizontal-relative:page;mso-position-vertical-relative:paragraph;z-index:-15685632;mso-wrap-distance-left:0;mso-wrap-distance-right:0" id="docshape428" filled="true" fillcolor="#000000" stroked="false">
                <v:fill type="solid"/>
                <w10:wrap type="topAndBottom"/>
              </v:rect>
            </w:pict>
          </mc:Fallback>
        </mc:AlternateContent>
      </w:r>
    </w:p>
    <w:p>
      <w:pPr>
        <w:spacing w:before="167"/>
        <w:ind w:left="172" w:right="958" w:firstLine="0"/>
        <w:jc w:val="left"/>
        <w:rPr>
          <w:sz w:val="16"/>
        </w:rPr>
      </w:pPr>
      <w:bookmarkStart w:name="_bookmark69" w:id="70"/>
      <w:bookmarkEnd w:id="70"/>
      <w:r>
        <w:rPr/>
      </w:r>
      <w:r>
        <w:rPr>
          <w:sz w:val="16"/>
          <w:vertAlign w:val="superscript"/>
        </w:rPr>
        <w:t>48</w:t>
      </w:r>
      <w:r>
        <w:rPr>
          <w:spacing w:val="-6"/>
          <w:sz w:val="16"/>
          <w:vertAlign w:val="baseline"/>
        </w:rPr>
        <w:t> </w:t>
      </w:r>
      <w:r>
        <w:rPr>
          <w:sz w:val="16"/>
          <w:vertAlign w:val="baseline"/>
        </w:rPr>
        <w:t>Κατευθυντήριες</w:t>
      </w:r>
      <w:r>
        <w:rPr>
          <w:spacing w:val="-6"/>
          <w:sz w:val="16"/>
          <w:vertAlign w:val="baseline"/>
        </w:rPr>
        <w:t> </w:t>
      </w:r>
      <w:r>
        <w:rPr>
          <w:sz w:val="16"/>
          <w:vertAlign w:val="baseline"/>
        </w:rPr>
        <w:t>γραμμές</w:t>
      </w:r>
      <w:r>
        <w:rPr>
          <w:spacing w:val="-5"/>
          <w:sz w:val="16"/>
          <w:vertAlign w:val="baseline"/>
        </w:rPr>
        <w:t> </w:t>
      </w:r>
      <w:r>
        <w:rPr>
          <w:sz w:val="16"/>
          <w:vertAlign w:val="baseline"/>
        </w:rPr>
        <w:t>EBA/GL/2017/05</w:t>
      </w:r>
      <w:r>
        <w:rPr>
          <w:spacing w:val="-5"/>
          <w:sz w:val="16"/>
          <w:vertAlign w:val="baseline"/>
        </w:rPr>
        <w:t> </w:t>
      </w:r>
      <w:r>
        <w:rPr>
          <w:sz w:val="16"/>
          <w:vertAlign w:val="baseline"/>
        </w:rPr>
        <w:t>σχετικά</w:t>
      </w:r>
      <w:r>
        <w:rPr>
          <w:spacing w:val="-7"/>
          <w:sz w:val="16"/>
          <w:vertAlign w:val="baseline"/>
        </w:rPr>
        <w:t> </w:t>
      </w:r>
      <w:r>
        <w:rPr>
          <w:sz w:val="16"/>
          <w:vertAlign w:val="baseline"/>
        </w:rPr>
        <w:t>με</w:t>
      </w:r>
      <w:r>
        <w:rPr>
          <w:spacing w:val="-7"/>
          <w:sz w:val="16"/>
          <w:vertAlign w:val="baseline"/>
        </w:rPr>
        <w:t> </w:t>
      </w:r>
      <w:r>
        <w:rPr>
          <w:sz w:val="16"/>
          <w:vertAlign w:val="baseline"/>
        </w:rPr>
        <w:t>την</w:t>
      </w:r>
      <w:r>
        <w:rPr>
          <w:spacing w:val="-7"/>
          <w:sz w:val="16"/>
          <w:vertAlign w:val="baseline"/>
        </w:rPr>
        <w:t> </w:t>
      </w:r>
      <w:r>
        <w:rPr>
          <w:sz w:val="16"/>
          <w:vertAlign w:val="baseline"/>
        </w:rPr>
        <w:t>αξιολόγηση</w:t>
      </w:r>
      <w:r>
        <w:rPr>
          <w:spacing w:val="-7"/>
          <w:sz w:val="16"/>
          <w:vertAlign w:val="baseline"/>
        </w:rPr>
        <w:t> </w:t>
      </w:r>
      <w:r>
        <w:rPr>
          <w:sz w:val="16"/>
          <w:vertAlign w:val="baseline"/>
        </w:rPr>
        <w:t>κινδύνων</w:t>
      </w:r>
      <w:r>
        <w:rPr>
          <w:spacing w:val="-7"/>
          <w:sz w:val="16"/>
          <w:vertAlign w:val="baseline"/>
        </w:rPr>
        <w:t> </w:t>
      </w:r>
      <w:r>
        <w:rPr>
          <w:sz w:val="16"/>
          <w:vertAlign w:val="baseline"/>
        </w:rPr>
        <w:t>ΤΠΕ</w:t>
      </w:r>
      <w:r>
        <w:rPr>
          <w:spacing w:val="-6"/>
          <w:sz w:val="16"/>
          <w:vertAlign w:val="baseline"/>
        </w:rPr>
        <w:t> </w:t>
      </w:r>
      <w:r>
        <w:rPr>
          <w:sz w:val="16"/>
          <w:vertAlign w:val="baseline"/>
        </w:rPr>
        <w:t>σύμφωνα</w:t>
      </w:r>
      <w:r>
        <w:rPr>
          <w:spacing w:val="-9"/>
          <w:sz w:val="16"/>
          <w:vertAlign w:val="baseline"/>
        </w:rPr>
        <w:t> </w:t>
      </w:r>
      <w:r>
        <w:rPr>
          <w:sz w:val="16"/>
          <w:vertAlign w:val="baseline"/>
        </w:rPr>
        <w:t>με</w:t>
      </w:r>
      <w:r>
        <w:rPr>
          <w:spacing w:val="-7"/>
          <w:sz w:val="16"/>
          <w:vertAlign w:val="baseline"/>
        </w:rPr>
        <w:t> </w:t>
      </w:r>
      <w:r>
        <w:rPr>
          <w:sz w:val="16"/>
          <w:vertAlign w:val="baseline"/>
        </w:rPr>
        <w:t>τη</w:t>
      </w:r>
      <w:r>
        <w:rPr>
          <w:spacing w:val="-6"/>
          <w:sz w:val="16"/>
          <w:vertAlign w:val="baseline"/>
        </w:rPr>
        <w:t> </w:t>
      </w:r>
      <w:r>
        <w:rPr>
          <w:sz w:val="16"/>
          <w:vertAlign w:val="baseline"/>
        </w:rPr>
        <w:t>διαδικασία</w:t>
      </w:r>
      <w:r>
        <w:rPr>
          <w:spacing w:val="-7"/>
          <w:sz w:val="16"/>
          <w:vertAlign w:val="baseline"/>
        </w:rPr>
        <w:t> </w:t>
      </w:r>
      <w:r>
        <w:rPr>
          <w:sz w:val="16"/>
          <w:vertAlign w:val="baseline"/>
        </w:rPr>
        <w:t>εποπτικού</w:t>
      </w:r>
      <w:r>
        <w:rPr>
          <w:spacing w:val="-7"/>
          <w:sz w:val="16"/>
          <w:vertAlign w:val="baseline"/>
        </w:rPr>
        <w:t> </w:t>
      </w:r>
      <w:r>
        <w:rPr>
          <w:sz w:val="16"/>
          <w:vertAlign w:val="baseline"/>
        </w:rPr>
        <w:t>ελέγ-χου και αξιολόγησης (ΔΕΕΑ). Τίτλος 3 Αξιολόγηση της έκθεσης των ιδρυμάτων σε κινδύνους ΤΠΕ και των σχετικών ελέγχων.</w:t>
      </w:r>
    </w:p>
    <w:p>
      <w:pPr>
        <w:spacing w:after="0"/>
        <w:jc w:val="left"/>
        <w:rPr>
          <w:sz w:val="16"/>
        </w:rPr>
        <w:sectPr>
          <w:pgSz w:w="11910" w:h="16850"/>
          <w:pgMar w:header="0" w:footer="1108" w:top="1840" w:bottom="1300" w:left="1417" w:right="850"/>
        </w:sectPr>
      </w:pPr>
    </w:p>
    <w:p>
      <w:pPr>
        <w:pStyle w:val="ListParagraph"/>
        <w:numPr>
          <w:ilvl w:val="0"/>
          <w:numId w:val="5"/>
        </w:numPr>
        <w:tabs>
          <w:tab w:pos="599" w:val="left" w:leader="none"/>
        </w:tabs>
        <w:spacing w:line="240" w:lineRule="auto" w:before="71" w:after="0"/>
        <w:ind w:left="599" w:right="0" w:hanging="427"/>
        <w:jc w:val="left"/>
        <w:rPr>
          <w:sz w:val="22"/>
        </w:rPr>
      </w:pPr>
      <w:r>
        <w:rPr>
          <w:sz w:val="22"/>
        </w:rPr>
        <w:t>Εσωτερική</w:t>
      </w:r>
      <w:r>
        <w:rPr>
          <w:spacing w:val="-5"/>
          <w:sz w:val="22"/>
        </w:rPr>
        <w:t> </w:t>
      </w:r>
      <w:r>
        <w:rPr>
          <w:sz w:val="22"/>
        </w:rPr>
        <w:t>απάτη</w:t>
      </w:r>
      <w:r>
        <w:rPr>
          <w:spacing w:val="-7"/>
          <w:sz w:val="22"/>
        </w:rPr>
        <w:t> </w:t>
      </w:r>
      <w:r>
        <w:rPr>
          <w:sz w:val="22"/>
        </w:rPr>
        <w:t>(internal</w:t>
      </w:r>
      <w:r>
        <w:rPr>
          <w:spacing w:val="-6"/>
          <w:sz w:val="22"/>
        </w:rPr>
        <w:t> </w:t>
      </w:r>
      <w:r>
        <w:rPr>
          <w:spacing w:val="-2"/>
          <w:sz w:val="22"/>
        </w:rPr>
        <w:t>fraud)</w:t>
      </w:r>
    </w:p>
    <w:p>
      <w:pPr>
        <w:pStyle w:val="ListParagraph"/>
        <w:numPr>
          <w:ilvl w:val="0"/>
          <w:numId w:val="5"/>
        </w:numPr>
        <w:tabs>
          <w:tab w:pos="599" w:val="left" w:leader="none"/>
        </w:tabs>
        <w:spacing w:line="240" w:lineRule="auto" w:before="35" w:after="0"/>
        <w:ind w:left="599" w:right="0" w:hanging="427"/>
        <w:jc w:val="left"/>
        <w:rPr>
          <w:sz w:val="22"/>
        </w:rPr>
      </w:pPr>
      <w:r>
        <w:rPr>
          <w:sz w:val="22"/>
        </w:rPr>
        <w:t>Εξωτερική</w:t>
      </w:r>
      <w:r>
        <w:rPr>
          <w:spacing w:val="-4"/>
          <w:sz w:val="22"/>
        </w:rPr>
        <w:t> </w:t>
      </w:r>
      <w:r>
        <w:rPr>
          <w:sz w:val="22"/>
        </w:rPr>
        <w:t>απάτη</w:t>
      </w:r>
      <w:r>
        <w:rPr>
          <w:spacing w:val="-5"/>
          <w:sz w:val="22"/>
        </w:rPr>
        <w:t> </w:t>
      </w:r>
      <w:r>
        <w:rPr>
          <w:sz w:val="22"/>
        </w:rPr>
        <w:t>(external</w:t>
      </w:r>
      <w:r>
        <w:rPr>
          <w:spacing w:val="-5"/>
          <w:sz w:val="22"/>
        </w:rPr>
        <w:t> </w:t>
      </w:r>
      <w:r>
        <w:rPr>
          <w:spacing w:val="-2"/>
          <w:sz w:val="22"/>
        </w:rPr>
        <w:t>fraud)</w:t>
      </w:r>
    </w:p>
    <w:p>
      <w:pPr>
        <w:pStyle w:val="ListParagraph"/>
        <w:numPr>
          <w:ilvl w:val="0"/>
          <w:numId w:val="5"/>
        </w:numPr>
        <w:tabs>
          <w:tab w:pos="599" w:val="left" w:leader="none"/>
        </w:tabs>
        <w:spacing w:line="273" w:lineRule="auto" w:before="38" w:after="0"/>
        <w:ind w:left="599" w:right="958" w:hanging="428"/>
        <w:jc w:val="left"/>
        <w:rPr>
          <w:sz w:val="22"/>
        </w:rPr>
      </w:pPr>
      <w:r>
        <w:rPr>
          <w:sz w:val="22"/>
        </w:rPr>
        <w:t>Πρακτικές</w:t>
      </w:r>
      <w:r>
        <w:rPr>
          <w:spacing w:val="40"/>
          <w:sz w:val="22"/>
        </w:rPr>
        <w:t> </w:t>
      </w:r>
      <w:r>
        <w:rPr>
          <w:sz w:val="22"/>
        </w:rPr>
        <w:t>απασχόλησης</w:t>
      </w:r>
      <w:r>
        <w:rPr>
          <w:spacing w:val="40"/>
          <w:sz w:val="22"/>
        </w:rPr>
        <w:t> </w:t>
      </w:r>
      <w:r>
        <w:rPr>
          <w:sz w:val="22"/>
        </w:rPr>
        <w:t>και</w:t>
      </w:r>
      <w:r>
        <w:rPr>
          <w:spacing w:val="40"/>
          <w:sz w:val="22"/>
        </w:rPr>
        <w:t> </w:t>
      </w:r>
      <w:r>
        <w:rPr>
          <w:sz w:val="22"/>
        </w:rPr>
        <w:t>ασφάλεια</w:t>
      </w:r>
      <w:r>
        <w:rPr>
          <w:spacing w:val="40"/>
          <w:sz w:val="22"/>
        </w:rPr>
        <w:t> </w:t>
      </w:r>
      <w:r>
        <w:rPr>
          <w:sz w:val="22"/>
        </w:rPr>
        <w:t>στο</w:t>
      </w:r>
      <w:r>
        <w:rPr>
          <w:spacing w:val="40"/>
          <w:sz w:val="22"/>
        </w:rPr>
        <w:t> </w:t>
      </w:r>
      <w:r>
        <w:rPr>
          <w:sz w:val="22"/>
        </w:rPr>
        <w:t>χώρο</w:t>
      </w:r>
      <w:r>
        <w:rPr>
          <w:spacing w:val="40"/>
          <w:sz w:val="22"/>
        </w:rPr>
        <w:t> </w:t>
      </w:r>
      <w:r>
        <w:rPr>
          <w:sz w:val="22"/>
        </w:rPr>
        <w:t>εργασίας</w:t>
      </w:r>
      <w:r>
        <w:rPr>
          <w:spacing w:val="40"/>
          <w:sz w:val="22"/>
        </w:rPr>
        <w:t> </w:t>
      </w:r>
      <w:r>
        <w:rPr>
          <w:sz w:val="22"/>
        </w:rPr>
        <w:t>(employment</w:t>
      </w:r>
      <w:r>
        <w:rPr>
          <w:spacing w:val="40"/>
          <w:sz w:val="22"/>
        </w:rPr>
        <w:t> </w:t>
      </w:r>
      <w:r>
        <w:rPr>
          <w:sz w:val="22"/>
        </w:rPr>
        <w:t>practices</w:t>
      </w:r>
      <w:r>
        <w:rPr>
          <w:spacing w:val="40"/>
          <w:sz w:val="22"/>
        </w:rPr>
        <w:t> </w:t>
      </w:r>
      <w:r>
        <w:rPr>
          <w:sz w:val="22"/>
        </w:rPr>
        <w:t>and workplace safety)</w:t>
      </w:r>
    </w:p>
    <w:p>
      <w:pPr>
        <w:pStyle w:val="ListParagraph"/>
        <w:numPr>
          <w:ilvl w:val="0"/>
          <w:numId w:val="5"/>
        </w:numPr>
        <w:tabs>
          <w:tab w:pos="599" w:val="left" w:leader="none"/>
        </w:tabs>
        <w:spacing w:line="240" w:lineRule="auto" w:before="2" w:after="0"/>
        <w:ind w:left="599" w:right="0" w:hanging="427"/>
        <w:jc w:val="left"/>
        <w:rPr>
          <w:sz w:val="22"/>
        </w:rPr>
      </w:pPr>
      <w:r>
        <w:rPr>
          <w:sz w:val="22"/>
        </w:rPr>
        <w:t>Πελάτες,</w:t>
      </w:r>
      <w:r>
        <w:rPr>
          <w:spacing w:val="-8"/>
          <w:sz w:val="22"/>
        </w:rPr>
        <w:t> </w:t>
      </w:r>
      <w:r>
        <w:rPr>
          <w:sz w:val="22"/>
        </w:rPr>
        <w:t>προϊόντα</w:t>
      </w:r>
      <w:r>
        <w:rPr>
          <w:spacing w:val="-6"/>
          <w:sz w:val="22"/>
        </w:rPr>
        <w:t> </w:t>
      </w:r>
      <w:r>
        <w:rPr>
          <w:sz w:val="22"/>
        </w:rPr>
        <w:t>και</w:t>
      </w:r>
      <w:r>
        <w:rPr>
          <w:spacing w:val="-5"/>
          <w:sz w:val="22"/>
        </w:rPr>
        <w:t> </w:t>
      </w:r>
      <w:r>
        <w:rPr>
          <w:sz w:val="22"/>
        </w:rPr>
        <w:t>επιχειρηματικές</w:t>
      </w:r>
      <w:r>
        <w:rPr>
          <w:spacing w:val="-7"/>
          <w:sz w:val="22"/>
        </w:rPr>
        <w:t> </w:t>
      </w:r>
      <w:r>
        <w:rPr>
          <w:sz w:val="22"/>
        </w:rPr>
        <w:t>πρακτικές</w:t>
      </w:r>
      <w:r>
        <w:rPr>
          <w:spacing w:val="-6"/>
          <w:sz w:val="22"/>
        </w:rPr>
        <w:t> </w:t>
      </w:r>
      <w:r>
        <w:rPr>
          <w:sz w:val="22"/>
        </w:rPr>
        <w:t>(clients,</w:t>
      </w:r>
      <w:r>
        <w:rPr>
          <w:spacing w:val="-6"/>
          <w:sz w:val="22"/>
        </w:rPr>
        <w:t> </w:t>
      </w:r>
      <w:r>
        <w:rPr>
          <w:sz w:val="22"/>
        </w:rPr>
        <w:t>products,</w:t>
      </w:r>
      <w:r>
        <w:rPr>
          <w:spacing w:val="-6"/>
          <w:sz w:val="22"/>
        </w:rPr>
        <w:t> </w:t>
      </w:r>
      <w:r>
        <w:rPr>
          <w:sz w:val="22"/>
        </w:rPr>
        <w:t>business</w:t>
      </w:r>
      <w:r>
        <w:rPr>
          <w:spacing w:val="-4"/>
          <w:sz w:val="22"/>
        </w:rPr>
        <w:t> </w:t>
      </w:r>
      <w:r>
        <w:rPr>
          <w:spacing w:val="-2"/>
          <w:sz w:val="22"/>
        </w:rPr>
        <w:t>practices)</w:t>
      </w:r>
    </w:p>
    <w:p>
      <w:pPr>
        <w:pStyle w:val="ListParagraph"/>
        <w:numPr>
          <w:ilvl w:val="0"/>
          <w:numId w:val="5"/>
        </w:numPr>
        <w:tabs>
          <w:tab w:pos="599" w:val="left" w:leader="none"/>
        </w:tabs>
        <w:spacing w:line="240" w:lineRule="auto" w:before="38" w:after="0"/>
        <w:ind w:left="599" w:right="0" w:hanging="427"/>
        <w:jc w:val="left"/>
        <w:rPr>
          <w:sz w:val="22"/>
        </w:rPr>
      </w:pPr>
      <w:r>
        <w:rPr>
          <w:sz w:val="22"/>
        </w:rPr>
        <w:t>Ζημίες</w:t>
      </w:r>
      <w:r>
        <w:rPr>
          <w:spacing w:val="-7"/>
          <w:sz w:val="22"/>
        </w:rPr>
        <w:t> </w:t>
      </w:r>
      <w:r>
        <w:rPr>
          <w:sz w:val="22"/>
        </w:rPr>
        <w:t>σε</w:t>
      </w:r>
      <w:r>
        <w:rPr>
          <w:spacing w:val="-3"/>
          <w:sz w:val="22"/>
        </w:rPr>
        <w:t> </w:t>
      </w:r>
      <w:r>
        <w:rPr>
          <w:sz w:val="22"/>
        </w:rPr>
        <w:t>φυσικά</w:t>
      </w:r>
      <w:r>
        <w:rPr>
          <w:spacing w:val="-5"/>
          <w:sz w:val="22"/>
        </w:rPr>
        <w:t> </w:t>
      </w:r>
      <w:r>
        <w:rPr>
          <w:sz w:val="22"/>
        </w:rPr>
        <w:t>περιουσιακά</w:t>
      </w:r>
      <w:r>
        <w:rPr>
          <w:spacing w:val="-3"/>
          <w:sz w:val="22"/>
        </w:rPr>
        <w:t> </w:t>
      </w:r>
      <w:r>
        <w:rPr>
          <w:sz w:val="22"/>
        </w:rPr>
        <w:t>στοιχεία</w:t>
      </w:r>
      <w:r>
        <w:rPr>
          <w:spacing w:val="-7"/>
          <w:sz w:val="22"/>
        </w:rPr>
        <w:t> </w:t>
      </w:r>
      <w:r>
        <w:rPr>
          <w:sz w:val="22"/>
        </w:rPr>
        <w:t>(damage</w:t>
      </w:r>
      <w:r>
        <w:rPr>
          <w:spacing w:val="-3"/>
          <w:sz w:val="22"/>
        </w:rPr>
        <w:t> </w:t>
      </w:r>
      <w:r>
        <w:rPr>
          <w:sz w:val="22"/>
        </w:rPr>
        <w:t>to</w:t>
      </w:r>
      <w:r>
        <w:rPr>
          <w:spacing w:val="-7"/>
          <w:sz w:val="22"/>
        </w:rPr>
        <w:t> </w:t>
      </w:r>
      <w:r>
        <w:rPr>
          <w:sz w:val="22"/>
        </w:rPr>
        <w:t>physical</w:t>
      </w:r>
      <w:r>
        <w:rPr>
          <w:spacing w:val="-5"/>
          <w:sz w:val="22"/>
        </w:rPr>
        <w:t> </w:t>
      </w:r>
      <w:r>
        <w:rPr>
          <w:spacing w:val="-2"/>
          <w:sz w:val="22"/>
        </w:rPr>
        <w:t>assets)</w:t>
      </w:r>
    </w:p>
    <w:p>
      <w:pPr>
        <w:pStyle w:val="ListParagraph"/>
        <w:numPr>
          <w:ilvl w:val="0"/>
          <w:numId w:val="5"/>
        </w:numPr>
        <w:tabs>
          <w:tab w:pos="599" w:val="left" w:leader="none"/>
        </w:tabs>
        <w:spacing w:line="273" w:lineRule="auto" w:before="37" w:after="0"/>
        <w:ind w:left="599" w:right="958" w:hanging="428"/>
        <w:jc w:val="left"/>
        <w:rPr>
          <w:sz w:val="22"/>
        </w:rPr>
      </w:pPr>
      <w:r>
        <w:rPr>
          <w:sz w:val="22"/>
        </w:rPr>
        <w:t>Διακοπή επιχειρηματικών δραστηριοτήτων και αστοχίες συστημάτων (business disruption and system failures)</w:t>
      </w:r>
    </w:p>
    <w:p>
      <w:pPr>
        <w:pStyle w:val="ListParagraph"/>
        <w:numPr>
          <w:ilvl w:val="0"/>
          <w:numId w:val="5"/>
        </w:numPr>
        <w:tabs>
          <w:tab w:pos="599" w:val="left" w:leader="none"/>
        </w:tabs>
        <w:spacing w:line="273" w:lineRule="auto" w:before="2" w:after="0"/>
        <w:ind w:left="599" w:right="954" w:hanging="428"/>
        <w:jc w:val="left"/>
        <w:rPr>
          <w:sz w:val="22"/>
        </w:rPr>
      </w:pPr>
      <w:r>
        <w:rPr>
          <w:sz w:val="22"/>
        </w:rPr>
        <w:t>Εκτέλεση,</w:t>
      </w:r>
      <w:r>
        <w:rPr>
          <w:spacing w:val="-1"/>
          <w:sz w:val="22"/>
        </w:rPr>
        <w:t> </w:t>
      </w:r>
      <w:r>
        <w:rPr>
          <w:sz w:val="22"/>
        </w:rPr>
        <w:t>παράδοση και</w:t>
      </w:r>
      <w:r>
        <w:rPr>
          <w:spacing w:val="-1"/>
          <w:sz w:val="22"/>
        </w:rPr>
        <w:t> </w:t>
      </w:r>
      <w:r>
        <w:rPr>
          <w:sz w:val="22"/>
        </w:rPr>
        <w:t>διαχείριση</w:t>
      </w:r>
      <w:r>
        <w:rPr>
          <w:spacing w:val="-1"/>
          <w:sz w:val="22"/>
        </w:rPr>
        <w:t> </w:t>
      </w:r>
      <w:r>
        <w:rPr>
          <w:sz w:val="22"/>
        </w:rPr>
        <w:t>διαδικασιών</w:t>
      </w:r>
      <w:r>
        <w:rPr>
          <w:spacing w:val="-2"/>
          <w:sz w:val="22"/>
        </w:rPr>
        <w:t> </w:t>
      </w:r>
      <w:r>
        <w:rPr>
          <w:sz w:val="22"/>
        </w:rPr>
        <w:t>(execution,</w:t>
      </w:r>
      <w:r>
        <w:rPr>
          <w:spacing w:val="-1"/>
          <w:sz w:val="22"/>
        </w:rPr>
        <w:t> </w:t>
      </w:r>
      <w:r>
        <w:rPr>
          <w:sz w:val="22"/>
        </w:rPr>
        <w:t>delivery</w:t>
      </w:r>
      <w:r>
        <w:rPr>
          <w:spacing w:val="-1"/>
          <w:sz w:val="22"/>
        </w:rPr>
        <w:t> </w:t>
      </w:r>
      <w:r>
        <w:rPr>
          <w:sz w:val="22"/>
        </w:rPr>
        <w:t>and process</w:t>
      </w:r>
      <w:r>
        <w:rPr>
          <w:spacing w:val="-2"/>
          <w:sz w:val="22"/>
        </w:rPr>
        <w:t> </w:t>
      </w:r>
      <w:r>
        <w:rPr>
          <w:sz w:val="22"/>
        </w:rPr>
        <w:t>manage-</w:t>
      </w:r>
      <w:r>
        <w:rPr>
          <w:spacing w:val="-2"/>
          <w:sz w:val="22"/>
        </w:rPr>
        <w:t>ment)</w:t>
      </w:r>
    </w:p>
    <w:p>
      <w:pPr>
        <w:pStyle w:val="BodyText"/>
        <w:spacing w:line="276" w:lineRule="auto" w:before="165"/>
        <w:ind w:left="172" w:right="955"/>
        <w:jc w:val="both"/>
      </w:pPr>
      <w:r>
        <w:rPr/>
        <w:t>Η ανάλυση των λειτουργικών ζημιών παρέχει ενδείξεις για τη διάρθρωση και τους βασικούς προσδιοριστικούς παράγοντες του λειτουργικού κινδύνου. Σε επίπεδο κατηγοριών κινδύνου, οι ζημίες</w:t>
      </w:r>
      <w:r>
        <w:rPr>
          <w:spacing w:val="-4"/>
        </w:rPr>
        <w:t> </w:t>
      </w:r>
      <w:r>
        <w:rPr/>
        <w:t>συγκεντρώνονται</w:t>
      </w:r>
      <w:r>
        <w:rPr>
          <w:spacing w:val="-3"/>
        </w:rPr>
        <w:t> </w:t>
      </w:r>
      <w:r>
        <w:rPr/>
        <w:t>κυρίως</w:t>
      </w:r>
      <w:r>
        <w:rPr>
          <w:spacing w:val="-4"/>
        </w:rPr>
        <w:t> </w:t>
      </w:r>
      <w:r>
        <w:rPr/>
        <w:t>στην</w:t>
      </w:r>
      <w:r>
        <w:rPr>
          <w:spacing w:val="-3"/>
        </w:rPr>
        <w:t> </w:t>
      </w:r>
      <w:r>
        <w:rPr/>
        <w:t>κατηγορία</w:t>
      </w:r>
      <w:r>
        <w:rPr>
          <w:spacing w:val="-1"/>
        </w:rPr>
        <w:t> </w:t>
      </w:r>
      <w:r>
        <w:rPr/>
        <w:t>“Πελάτες,</w:t>
      </w:r>
      <w:r>
        <w:rPr>
          <w:spacing w:val="-3"/>
        </w:rPr>
        <w:t> </w:t>
      </w:r>
      <w:r>
        <w:rPr/>
        <w:t>Προϊόντα</w:t>
      </w:r>
      <w:r>
        <w:rPr>
          <w:spacing w:val="-3"/>
        </w:rPr>
        <w:t> </w:t>
      </w:r>
      <w:r>
        <w:rPr/>
        <w:t>και</w:t>
      </w:r>
      <w:r>
        <w:rPr>
          <w:spacing w:val="-3"/>
        </w:rPr>
        <w:t> </w:t>
      </w:r>
      <w:r>
        <w:rPr/>
        <w:t>Επιχειρηματικές</w:t>
      </w:r>
      <w:r>
        <w:rPr>
          <w:spacing w:val="-4"/>
        </w:rPr>
        <w:t> </w:t>
      </w:r>
      <w:r>
        <w:rPr/>
        <w:t>Πρα-κτικές”,</w:t>
      </w:r>
      <w:r>
        <w:rPr>
          <w:spacing w:val="-14"/>
        </w:rPr>
        <w:t> </w:t>
      </w:r>
      <w:r>
        <w:rPr/>
        <w:t>γεγονός</w:t>
      </w:r>
      <w:r>
        <w:rPr>
          <w:spacing w:val="-14"/>
        </w:rPr>
        <w:t> </w:t>
      </w:r>
      <w:r>
        <w:rPr/>
        <w:t>που</w:t>
      </w:r>
      <w:r>
        <w:rPr>
          <w:spacing w:val="-14"/>
        </w:rPr>
        <w:t> </w:t>
      </w:r>
      <w:r>
        <w:rPr/>
        <w:t>αναδεικνύει</w:t>
      </w:r>
      <w:r>
        <w:rPr>
          <w:spacing w:val="-13"/>
        </w:rPr>
        <w:t> </w:t>
      </w:r>
      <w:r>
        <w:rPr/>
        <w:t>τη</w:t>
      </w:r>
      <w:r>
        <w:rPr>
          <w:spacing w:val="-14"/>
        </w:rPr>
        <w:t> </w:t>
      </w:r>
      <w:r>
        <w:rPr/>
        <w:t>σημασία</w:t>
      </w:r>
      <w:r>
        <w:rPr>
          <w:spacing w:val="-14"/>
        </w:rPr>
        <w:t> </w:t>
      </w:r>
      <w:r>
        <w:rPr/>
        <w:t>των</w:t>
      </w:r>
      <w:r>
        <w:rPr>
          <w:spacing w:val="-14"/>
        </w:rPr>
        <w:t> </w:t>
      </w:r>
      <w:r>
        <w:rPr/>
        <w:t>κινδύνων</w:t>
      </w:r>
      <w:r>
        <w:rPr>
          <w:spacing w:val="-13"/>
        </w:rPr>
        <w:t> </w:t>
      </w:r>
      <w:r>
        <w:rPr/>
        <w:t>συμπεριφοράς</w:t>
      </w:r>
      <w:r>
        <w:rPr>
          <w:spacing w:val="-14"/>
        </w:rPr>
        <w:t> </w:t>
      </w:r>
      <w:r>
        <w:rPr/>
        <w:t>και</w:t>
      </w:r>
      <w:r>
        <w:rPr>
          <w:spacing w:val="-14"/>
        </w:rPr>
        <w:t> </w:t>
      </w:r>
      <w:r>
        <w:rPr/>
        <w:t>κανονιστικής</w:t>
      </w:r>
      <w:r>
        <w:rPr>
          <w:spacing w:val="-14"/>
        </w:rPr>
        <w:t> </w:t>
      </w:r>
      <w:r>
        <w:rPr/>
        <w:t>συμ-μόρφωσης</w:t>
      </w:r>
      <w:r>
        <w:rPr>
          <w:spacing w:val="-8"/>
        </w:rPr>
        <w:t> </w:t>
      </w:r>
      <w:r>
        <w:rPr/>
        <w:t>(περιλαμβάνεται</w:t>
      </w:r>
      <w:r>
        <w:rPr>
          <w:spacing w:val="-9"/>
        </w:rPr>
        <w:t> </w:t>
      </w:r>
      <w:r>
        <w:rPr/>
        <w:t>και</w:t>
      </w:r>
      <w:r>
        <w:rPr>
          <w:spacing w:val="-7"/>
        </w:rPr>
        <w:t> </w:t>
      </w:r>
      <w:r>
        <w:rPr/>
        <w:t>ο</w:t>
      </w:r>
      <w:r>
        <w:rPr>
          <w:spacing w:val="-7"/>
        </w:rPr>
        <w:t> </w:t>
      </w:r>
      <w:r>
        <w:rPr/>
        <w:t>νομικός</w:t>
      </w:r>
      <w:r>
        <w:rPr>
          <w:spacing w:val="-8"/>
        </w:rPr>
        <w:t> </w:t>
      </w:r>
      <w:r>
        <w:rPr/>
        <w:t>κίνδυνος).</w:t>
      </w:r>
      <w:r>
        <w:rPr>
          <w:spacing w:val="-7"/>
        </w:rPr>
        <w:t> </w:t>
      </w:r>
      <w:r>
        <w:rPr/>
        <w:t>Η</w:t>
      </w:r>
      <w:r>
        <w:rPr>
          <w:spacing w:val="-10"/>
        </w:rPr>
        <w:t> </w:t>
      </w:r>
      <w:r>
        <w:rPr/>
        <w:t>αύξηση</w:t>
      </w:r>
      <w:r>
        <w:rPr>
          <w:spacing w:val="-4"/>
        </w:rPr>
        <w:t> </w:t>
      </w:r>
      <w:r>
        <w:rPr/>
        <w:t>αυτών</w:t>
      </w:r>
      <w:r>
        <w:rPr>
          <w:spacing w:val="-6"/>
        </w:rPr>
        <w:t> </w:t>
      </w:r>
      <w:r>
        <w:rPr/>
        <w:t>των</w:t>
      </w:r>
      <w:r>
        <w:rPr>
          <w:spacing w:val="-6"/>
        </w:rPr>
        <w:t> </w:t>
      </w:r>
      <w:r>
        <w:rPr/>
        <w:t>ζημιών</w:t>
      </w:r>
      <w:r>
        <w:rPr>
          <w:spacing w:val="-7"/>
        </w:rPr>
        <w:t> </w:t>
      </w:r>
      <w:r>
        <w:rPr/>
        <w:t>που</w:t>
      </w:r>
      <w:r>
        <w:rPr>
          <w:spacing w:val="-6"/>
        </w:rPr>
        <w:t> </w:t>
      </w:r>
      <w:r>
        <w:rPr/>
        <w:t>καταγρά-φηκε</w:t>
      </w:r>
      <w:r>
        <w:rPr>
          <w:spacing w:val="-2"/>
        </w:rPr>
        <w:t> </w:t>
      </w:r>
      <w:r>
        <w:rPr/>
        <w:t>το</w:t>
      </w:r>
      <w:r>
        <w:rPr>
          <w:spacing w:val="-5"/>
        </w:rPr>
        <w:t> </w:t>
      </w:r>
      <w:r>
        <w:rPr/>
        <w:t>2023</w:t>
      </w:r>
      <w:r>
        <w:rPr>
          <w:spacing w:val="-2"/>
        </w:rPr>
        <w:t> </w:t>
      </w:r>
      <w:r>
        <w:rPr/>
        <w:t>αποδίδεται</w:t>
      </w:r>
      <w:r>
        <w:rPr>
          <w:spacing w:val="-5"/>
        </w:rPr>
        <w:t> </w:t>
      </w:r>
      <w:r>
        <w:rPr/>
        <w:t>σε</w:t>
      </w:r>
      <w:r>
        <w:rPr>
          <w:spacing w:val="-2"/>
        </w:rPr>
        <w:t> </w:t>
      </w:r>
      <w:r>
        <w:rPr/>
        <w:t>μεγάλο</w:t>
      </w:r>
      <w:r>
        <w:rPr>
          <w:spacing w:val="-4"/>
        </w:rPr>
        <w:t> </w:t>
      </w:r>
      <w:r>
        <w:rPr/>
        <w:t>βαθμό</w:t>
      </w:r>
      <w:r>
        <w:rPr>
          <w:spacing w:val="-5"/>
        </w:rPr>
        <w:t> </w:t>
      </w:r>
      <w:r>
        <w:rPr/>
        <w:t>σε</w:t>
      </w:r>
      <w:r>
        <w:rPr>
          <w:spacing w:val="-4"/>
        </w:rPr>
        <w:t> </w:t>
      </w:r>
      <w:r>
        <w:rPr/>
        <w:t>πρόστιμα.</w:t>
      </w:r>
      <w:r>
        <w:rPr>
          <w:spacing w:val="-2"/>
        </w:rPr>
        <w:t> </w:t>
      </w:r>
      <w:r>
        <w:rPr/>
        <w:t>Παράλληλα,</w:t>
      </w:r>
      <w:r>
        <w:rPr>
          <w:spacing w:val="-2"/>
        </w:rPr>
        <w:t> </w:t>
      </w:r>
      <w:r>
        <w:rPr/>
        <w:t>κατηγορίες</w:t>
      </w:r>
      <w:r>
        <w:rPr>
          <w:spacing w:val="-6"/>
        </w:rPr>
        <w:t> </w:t>
      </w:r>
      <w:r>
        <w:rPr/>
        <w:t>όπως</w:t>
      </w:r>
      <w:r>
        <w:rPr>
          <w:spacing w:val="-3"/>
        </w:rPr>
        <w:t> </w:t>
      </w:r>
      <w:r>
        <w:rPr/>
        <w:t>η</w:t>
      </w:r>
      <w:r>
        <w:rPr>
          <w:spacing w:val="-2"/>
        </w:rPr>
        <w:t> </w:t>
      </w:r>
      <w:r>
        <w:rPr/>
        <w:t>εξωτε-ρική απάτη και τα σφάλματα εκτέλεσης και διαχείρισης διαδικασιών εμφανίζουν σχετικά στα-θερή</w:t>
      </w:r>
      <w:r>
        <w:rPr>
          <w:spacing w:val="-1"/>
        </w:rPr>
        <w:t> </w:t>
      </w:r>
      <w:r>
        <w:rPr/>
        <w:t>συμβολή, αντανακλώντας την ύπαρξη επαναλαμβανόμενων γεγονότων μέσης συχνότητας, ενώ</w:t>
      </w:r>
      <w:r>
        <w:rPr>
          <w:spacing w:val="-4"/>
        </w:rPr>
        <w:t> </w:t>
      </w:r>
      <w:r>
        <w:rPr/>
        <w:t>κατηγορίες</w:t>
      </w:r>
      <w:r>
        <w:rPr>
          <w:spacing w:val="-6"/>
        </w:rPr>
        <w:t> </w:t>
      </w:r>
      <w:r>
        <w:rPr/>
        <w:t>όπως</w:t>
      </w:r>
      <w:r>
        <w:rPr>
          <w:spacing w:val="-6"/>
        </w:rPr>
        <w:t> </w:t>
      </w:r>
      <w:r>
        <w:rPr/>
        <w:t>η</w:t>
      </w:r>
      <w:r>
        <w:rPr>
          <w:spacing w:val="-5"/>
        </w:rPr>
        <w:t> </w:t>
      </w:r>
      <w:r>
        <w:rPr/>
        <w:t>εσωτερική</w:t>
      </w:r>
      <w:r>
        <w:rPr>
          <w:spacing w:val="-5"/>
        </w:rPr>
        <w:t> </w:t>
      </w:r>
      <w:r>
        <w:rPr/>
        <w:t>απάτη</w:t>
      </w:r>
      <w:r>
        <w:rPr>
          <w:spacing w:val="-5"/>
        </w:rPr>
        <w:t> </w:t>
      </w:r>
      <w:r>
        <w:rPr/>
        <w:t>και</w:t>
      </w:r>
      <w:r>
        <w:rPr>
          <w:spacing w:val="-5"/>
        </w:rPr>
        <w:t> </w:t>
      </w:r>
      <w:r>
        <w:rPr/>
        <w:t>οι</w:t>
      </w:r>
      <w:r>
        <w:rPr>
          <w:spacing w:val="-6"/>
        </w:rPr>
        <w:t> </w:t>
      </w:r>
      <w:r>
        <w:rPr/>
        <w:t>ζημίες</w:t>
      </w:r>
      <w:r>
        <w:rPr>
          <w:spacing w:val="-6"/>
        </w:rPr>
        <w:t> </w:t>
      </w:r>
      <w:r>
        <w:rPr/>
        <w:t>σε</w:t>
      </w:r>
      <w:r>
        <w:rPr>
          <w:spacing w:val="-4"/>
        </w:rPr>
        <w:t> </w:t>
      </w:r>
      <w:r>
        <w:rPr/>
        <w:t>φυσικά</w:t>
      </w:r>
      <w:r>
        <w:rPr>
          <w:spacing w:val="-6"/>
        </w:rPr>
        <w:t> </w:t>
      </w:r>
      <w:r>
        <w:rPr/>
        <w:t>περιουσιακά</w:t>
      </w:r>
      <w:r>
        <w:rPr>
          <w:spacing w:val="-5"/>
        </w:rPr>
        <w:t> </w:t>
      </w:r>
      <w:r>
        <w:rPr/>
        <w:t>στοιχεία</w:t>
      </w:r>
      <w:r>
        <w:rPr>
          <w:spacing w:val="-4"/>
        </w:rPr>
        <w:t> </w:t>
      </w:r>
      <w:r>
        <w:rPr/>
        <w:t>παραμέ-νουν περιορισμένης σημασίας.</w:t>
      </w:r>
    </w:p>
    <w:p>
      <w:pPr>
        <w:pStyle w:val="BodyText"/>
        <w:spacing w:line="276" w:lineRule="auto" w:before="59"/>
        <w:ind w:left="172" w:right="957"/>
        <w:jc w:val="both"/>
      </w:pPr>
      <w:r>
        <w:rPr/>
        <w:t>Οι περισσότερες ζημίες που προέρχονται από κινδύνους ΤΠΕ εμπίπτουν στην κατηγορία λει-τουργικού κινδύνου της Βασιλείας “Διακοπή Επιχειρηματικών Δραστηριοτήτων και Αποτυχία Συστημάτων”</w:t>
      </w:r>
      <w:r>
        <w:rPr>
          <w:spacing w:val="-14"/>
        </w:rPr>
        <w:t> </w:t>
      </w:r>
      <w:r>
        <w:rPr/>
        <w:t>(Business</w:t>
      </w:r>
      <w:r>
        <w:rPr>
          <w:spacing w:val="-14"/>
        </w:rPr>
        <w:t> </w:t>
      </w:r>
      <w:r>
        <w:rPr/>
        <w:t>Disruption</w:t>
      </w:r>
      <w:r>
        <w:rPr>
          <w:spacing w:val="-14"/>
        </w:rPr>
        <w:t> </w:t>
      </w:r>
      <w:r>
        <w:rPr/>
        <w:t>and</w:t>
      </w:r>
      <w:r>
        <w:rPr>
          <w:spacing w:val="-13"/>
        </w:rPr>
        <w:t> </w:t>
      </w:r>
      <w:r>
        <w:rPr/>
        <w:t>System</w:t>
      </w:r>
      <w:r>
        <w:rPr>
          <w:spacing w:val="-14"/>
        </w:rPr>
        <w:t> </w:t>
      </w:r>
      <w:r>
        <w:rPr/>
        <w:t>Failures),</w:t>
      </w:r>
      <w:r>
        <w:rPr>
          <w:spacing w:val="-14"/>
        </w:rPr>
        <w:t> </w:t>
      </w:r>
      <w:r>
        <w:rPr/>
        <w:t>ωστόσο</w:t>
      </w:r>
      <w:r>
        <w:rPr>
          <w:spacing w:val="-14"/>
        </w:rPr>
        <w:t> </w:t>
      </w:r>
      <w:r>
        <w:rPr/>
        <w:t>οι</w:t>
      </w:r>
      <w:r>
        <w:rPr>
          <w:spacing w:val="-13"/>
        </w:rPr>
        <w:t> </w:t>
      </w:r>
      <w:r>
        <w:rPr/>
        <w:t>πιθανές</w:t>
      </w:r>
      <w:r>
        <w:rPr>
          <w:spacing w:val="-14"/>
        </w:rPr>
        <w:t> </w:t>
      </w:r>
      <w:r>
        <w:rPr/>
        <w:t>ζημίες</w:t>
      </w:r>
      <w:r>
        <w:rPr>
          <w:spacing w:val="-14"/>
        </w:rPr>
        <w:t> </w:t>
      </w:r>
      <w:r>
        <w:rPr/>
        <w:t>ΤΠΕ</w:t>
      </w:r>
      <w:r>
        <w:rPr>
          <w:spacing w:val="-14"/>
        </w:rPr>
        <w:t> </w:t>
      </w:r>
      <w:r>
        <w:rPr/>
        <w:t>δύναται να</w:t>
      </w:r>
      <w:r>
        <w:rPr>
          <w:spacing w:val="-8"/>
        </w:rPr>
        <w:t> </w:t>
      </w:r>
      <w:r>
        <w:rPr/>
        <w:t>αφορούν</w:t>
      </w:r>
      <w:r>
        <w:rPr>
          <w:spacing w:val="-9"/>
        </w:rPr>
        <w:t> </w:t>
      </w:r>
      <w:r>
        <w:rPr/>
        <w:t>οριζόντια</w:t>
      </w:r>
      <w:r>
        <w:rPr>
          <w:spacing w:val="-7"/>
        </w:rPr>
        <w:t> </w:t>
      </w:r>
      <w:r>
        <w:rPr/>
        <w:t>πολλές</w:t>
      </w:r>
      <w:r>
        <w:rPr>
          <w:spacing w:val="-8"/>
        </w:rPr>
        <w:t> </w:t>
      </w:r>
      <w:r>
        <w:rPr/>
        <w:t>κατηγορίες,</w:t>
      </w:r>
      <w:r>
        <w:rPr>
          <w:spacing w:val="-7"/>
        </w:rPr>
        <w:t> </w:t>
      </w:r>
      <w:r>
        <w:rPr/>
        <w:t>καθώς</w:t>
      </w:r>
      <w:r>
        <w:rPr>
          <w:spacing w:val="-8"/>
        </w:rPr>
        <w:t> </w:t>
      </w:r>
      <w:r>
        <w:rPr/>
        <w:t>η</w:t>
      </w:r>
      <w:r>
        <w:rPr>
          <w:spacing w:val="-7"/>
        </w:rPr>
        <w:t> </w:t>
      </w:r>
      <w:r>
        <w:rPr/>
        <w:t>τεχνολογία</w:t>
      </w:r>
      <w:r>
        <w:rPr>
          <w:spacing w:val="-7"/>
        </w:rPr>
        <w:t> </w:t>
      </w:r>
      <w:r>
        <w:rPr/>
        <w:t>αποτελεί</w:t>
      </w:r>
      <w:r>
        <w:rPr>
          <w:spacing w:val="-6"/>
        </w:rPr>
        <w:t> </w:t>
      </w:r>
      <w:r>
        <w:rPr/>
        <w:t>πλέον</w:t>
      </w:r>
      <w:r>
        <w:rPr>
          <w:spacing w:val="-6"/>
        </w:rPr>
        <w:t> </w:t>
      </w:r>
      <w:r>
        <w:rPr/>
        <w:t>το</w:t>
      </w:r>
      <w:r>
        <w:rPr>
          <w:spacing w:val="-9"/>
        </w:rPr>
        <w:t> </w:t>
      </w:r>
      <w:r>
        <w:rPr/>
        <w:t>υπόβαθρο</w:t>
      </w:r>
      <w:r>
        <w:rPr>
          <w:spacing w:val="-10"/>
        </w:rPr>
        <w:t> </w:t>
      </w:r>
      <w:r>
        <w:rPr/>
        <w:t>σχε-δόν</w:t>
      </w:r>
      <w:r>
        <w:rPr>
          <w:spacing w:val="-2"/>
        </w:rPr>
        <w:t> </w:t>
      </w:r>
      <w:r>
        <w:rPr/>
        <w:t>κάθε</w:t>
      </w:r>
      <w:r>
        <w:rPr>
          <w:spacing w:val="-3"/>
        </w:rPr>
        <w:t> </w:t>
      </w:r>
      <w:r>
        <w:rPr/>
        <w:t>τραπεζικής</w:t>
      </w:r>
      <w:r>
        <w:rPr>
          <w:spacing w:val="-4"/>
        </w:rPr>
        <w:t> </w:t>
      </w:r>
      <w:r>
        <w:rPr/>
        <w:t>λειτουργίας.</w:t>
      </w:r>
      <w:r>
        <w:rPr>
          <w:spacing w:val="-3"/>
        </w:rPr>
        <w:t> </w:t>
      </w:r>
      <w:r>
        <w:rPr/>
        <w:t>Έτσι,</w:t>
      </w:r>
      <w:r>
        <w:rPr>
          <w:spacing w:val="-3"/>
        </w:rPr>
        <w:t> </w:t>
      </w:r>
      <w:r>
        <w:rPr/>
        <w:t>μια</w:t>
      </w:r>
      <w:r>
        <w:rPr>
          <w:spacing w:val="-3"/>
        </w:rPr>
        <w:t> </w:t>
      </w:r>
      <w:r>
        <w:rPr/>
        <w:t>κυβερνοεπίθεση</w:t>
      </w:r>
      <w:r>
        <w:rPr>
          <w:spacing w:val="-3"/>
        </w:rPr>
        <w:t> </w:t>
      </w:r>
      <w:r>
        <w:rPr/>
        <w:t>μπορεί</w:t>
      </w:r>
      <w:r>
        <w:rPr>
          <w:spacing w:val="-3"/>
        </w:rPr>
        <w:t> </w:t>
      </w:r>
      <w:r>
        <w:rPr/>
        <w:t>να</w:t>
      </w:r>
      <w:r>
        <w:rPr>
          <w:spacing w:val="-3"/>
        </w:rPr>
        <w:t> </w:t>
      </w:r>
      <w:r>
        <w:rPr/>
        <w:t>ταξινομείται</w:t>
      </w:r>
      <w:r>
        <w:rPr>
          <w:spacing w:val="-3"/>
        </w:rPr>
        <w:t> </w:t>
      </w:r>
      <w:r>
        <w:rPr/>
        <w:t>ως “Εξωτε-ρική Απάτη”, ενώ σφάλματα στη διαμόρφωση συστημάτων μπορεί να θεωρηθούν “Σφάλματα Εκτέλεσης και Διαχείρισης Διαδικασιών”. Η αποτελεσματική πρόληψη των ζημιών από κινδύ-νους ΤΠΕ απαιτεί τον εντοπισμό της αιτίας τους και της πηγής του κινδύνου.</w:t>
      </w:r>
    </w:p>
    <w:p>
      <w:pPr>
        <w:pStyle w:val="Heading4"/>
        <w:spacing w:before="93"/>
      </w:pPr>
      <w:r>
        <w:rPr>
          <w:color w:val="1F487C"/>
        </w:rPr>
        <w:t>Ενέργε</w:t>
      </w:r>
      <w:r>
        <w:rPr>
          <w:smallCaps/>
          <w:color w:val="1F487C"/>
        </w:rPr>
        <w:t>ι</w:t>
      </w:r>
      <w:r>
        <w:rPr>
          <w:smallCaps w:val="0"/>
          <w:color w:val="1F487C"/>
        </w:rPr>
        <w:t>ες</w:t>
      </w:r>
      <w:r>
        <w:rPr>
          <w:smallCaps w:val="0"/>
          <w:color w:val="1F487C"/>
          <w:spacing w:val="-6"/>
        </w:rPr>
        <w:t> </w:t>
      </w:r>
      <w:r>
        <w:rPr>
          <w:smallCaps w:val="0"/>
          <w:color w:val="1F487C"/>
        </w:rPr>
        <w:t>γ</w:t>
      </w:r>
      <w:r>
        <w:rPr>
          <w:smallCaps/>
          <w:color w:val="1F487C"/>
        </w:rPr>
        <w:t>ι</w:t>
      </w:r>
      <w:r>
        <w:rPr>
          <w:smallCaps w:val="0"/>
          <w:color w:val="1F487C"/>
        </w:rPr>
        <w:t>α</w:t>
      </w:r>
      <w:r>
        <w:rPr>
          <w:smallCaps w:val="0"/>
          <w:color w:val="1F487C"/>
          <w:spacing w:val="-7"/>
        </w:rPr>
        <w:t> </w:t>
      </w:r>
      <w:r>
        <w:rPr>
          <w:smallCaps w:val="0"/>
          <w:color w:val="1F487C"/>
        </w:rPr>
        <w:t>τη</w:t>
      </w:r>
      <w:r>
        <w:rPr>
          <w:smallCaps w:val="0"/>
          <w:color w:val="1F487C"/>
          <w:spacing w:val="-6"/>
        </w:rPr>
        <w:t> </w:t>
      </w:r>
      <w:r>
        <w:rPr>
          <w:smallCaps w:val="0"/>
          <w:color w:val="1F487C"/>
        </w:rPr>
        <w:t>μείωση</w:t>
      </w:r>
      <w:r>
        <w:rPr>
          <w:smallCaps w:val="0"/>
          <w:color w:val="1F487C"/>
          <w:spacing w:val="-6"/>
        </w:rPr>
        <w:t> </w:t>
      </w:r>
      <w:r>
        <w:rPr>
          <w:smallCaps w:val="0"/>
          <w:color w:val="1F487C"/>
        </w:rPr>
        <w:t>των</w:t>
      </w:r>
      <w:r>
        <w:rPr>
          <w:smallCaps w:val="0"/>
          <w:color w:val="1F487C"/>
          <w:spacing w:val="-7"/>
        </w:rPr>
        <w:t> </w:t>
      </w:r>
      <w:r>
        <w:rPr>
          <w:smallCaps w:val="0"/>
          <w:color w:val="1F487C"/>
        </w:rPr>
        <w:t>επ</w:t>
      </w:r>
      <w:r>
        <w:rPr>
          <w:smallCaps/>
          <w:color w:val="1F487C"/>
        </w:rPr>
        <w:t>ι</w:t>
      </w:r>
      <w:r>
        <w:rPr>
          <w:smallCaps w:val="0"/>
          <w:color w:val="1F487C"/>
        </w:rPr>
        <w:t>πτώσεων</w:t>
      </w:r>
      <w:r>
        <w:rPr>
          <w:smallCaps w:val="0"/>
          <w:color w:val="1F487C"/>
          <w:spacing w:val="-6"/>
        </w:rPr>
        <w:t> </w:t>
      </w:r>
      <w:r>
        <w:rPr>
          <w:smallCaps w:val="0"/>
          <w:color w:val="1F487C"/>
        </w:rPr>
        <w:t>του</w:t>
      </w:r>
      <w:r>
        <w:rPr>
          <w:smallCaps w:val="0"/>
          <w:color w:val="1F487C"/>
          <w:spacing w:val="-6"/>
        </w:rPr>
        <w:t> </w:t>
      </w:r>
      <w:r>
        <w:rPr>
          <w:smallCaps w:val="0"/>
          <w:color w:val="1F487C"/>
        </w:rPr>
        <w:t>λε</w:t>
      </w:r>
      <w:r>
        <w:rPr>
          <w:smallCaps/>
          <w:color w:val="1F487C"/>
        </w:rPr>
        <w:t>ι</w:t>
      </w:r>
      <w:r>
        <w:rPr>
          <w:smallCaps w:val="0"/>
          <w:color w:val="1F487C"/>
        </w:rPr>
        <w:t>τουργ</w:t>
      </w:r>
      <w:r>
        <w:rPr>
          <w:smallCaps/>
          <w:color w:val="1F487C"/>
        </w:rPr>
        <w:t>ι</w:t>
      </w:r>
      <w:r>
        <w:rPr>
          <w:smallCaps w:val="0"/>
          <w:color w:val="1F487C"/>
        </w:rPr>
        <w:t>κού</w:t>
      </w:r>
      <w:r>
        <w:rPr>
          <w:smallCaps w:val="0"/>
          <w:color w:val="1F487C"/>
          <w:spacing w:val="-6"/>
        </w:rPr>
        <w:t> </w:t>
      </w:r>
      <w:r>
        <w:rPr>
          <w:smallCaps w:val="0"/>
          <w:color w:val="1F487C"/>
          <w:spacing w:val="-2"/>
        </w:rPr>
        <w:t>κ</w:t>
      </w:r>
      <w:r>
        <w:rPr>
          <w:smallCaps/>
          <w:color w:val="1F487C"/>
          <w:spacing w:val="-2"/>
        </w:rPr>
        <w:t>ιν</w:t>
      </w:r>
      <w:r>
        <w:rPr>
          <w:smallCaps w:val="0"/>
          <w:color w:val="1F487C"/>
          <w:spacing w:val="-2"/>
        </w:rPr>
        <w:t>δύνου</w:t>
      </w:r>
    </w:p>
    <w:p>
      <w:pPr>
        <w:pStyle w:val="BodyText"/>
        <w:spacing w:line="276" w:lineRule="auto" w:before="73"/>
        <w:ind w:left="172" w:right="956"/>
        <w:jc w:val="both"/>
      </w:pPr>
      <w:r>
        <w:rPr/>
        <w:t>Συνεπώς, στο σύγχρονο χρηματοπιστωτικό περιβάλλον, η αποτελεσματική διαχείριση του λει-τουργικού κινδύνου είναι κρίσιμη για τη</w:t>
      </w:r>
      <w:r>
        <w:rPr>
          <w:spacing w:val="-1"/>
        </w:rPr>
        <w:t> </w:t>
      </w:r>
      <w:r>
        <w:rPr/>
        <w:t>διασφάλιση</w:t>
      </w:r>
      <w:r>
        <w:rPr>
          <w:spacing w:val="-1"/>
        </w:rPr>
        <w:t> </w:t>
      </w:r>
      <w:r>
        <w:rPr/>
        <w:t>της επιχειρησιακής</w:t>
      </w:r>
      <w:r>
        <w:rPr>
          <w:spacing w:val="-2"/>
        </w:rPr>
        <w:t> </w:t>
      </w:r>
      <w:r>
        <w:rPr/>
        <w:t>συνέχειας των ιδρυμά-των, την προστασία των πελατών και τη διατήρηση της σταθερότητας του χρηματοπιστωτικού συστήματος. Στο πλαίσιο αυτό, τα χρηματοπιστωτικά ιδρύματα οφείλουν να ενισχύουν τα συ-στήματα διαχείρισης λειτουργικού κινδύνου, υιοθετώντας ολοκληρωμένο πλαίσιο διακυβέρνη-σης κινδύνων, μηχανισμούς εσωτερικού ελέγχου και διαδικασίες έγκαιρης αναγνώρισης και α-ξιολόγησης</w:t>
      </w:r>
      <w:r>
        <w:rPr>
          <w:spacing w:val="-11"/>
        </w:rPr>
        <w:t> </w:t>
      </w:r>
      <w:r>
        <w:rPr/>
        <w:t>των</w:t>
      </w:r>
      <w:r>
        <w:rPr>
          <w:spacing w:val="-8"/>
        </w:rPr>
        <w:t> </w:t>
      </w:r>
      <w:r>
        <w:rPr/>
        <w:t>λειτουργικών</w:t>
      </w:r>
      <w:r>
        <w:rPr>
          <w:spacing w:val="-9"/>
        </w:rPr>
        <w:t> </w:t>
      </w:r>
      <w:r>
        <w:rPr/>
        <w:t>κινδύνων.</w:t>
      </w:r>
      <w:r>
        <w:rPr>
          <w:spacing w:val="-10"/>
        </w:rPr>
        <w:t> </w:t>
      </w:r>
      <w:r>
        <w:rPr/>
        <w:t>Παράλληλα,</w:t>
      </w:r>
      <w:r>
        <w:rPr>
          <w:spacing w:val="-12"/>
        </w:rPr>
        <w:t> </w:t>
      </w:r>
      <w:r>
        <w:rPr/>
        <w:t>η</w:t>
      </w:r>
      <w:r>
        <w:rPr>
          <w:spacing w:val="-10"/>
        </w:rPr>
        <w:t> </w:t>
      </w:r>
      <w:r>
        <w:rPr/>
        <w:t>εφαρμογή</w:t>
      </w:r>
      <w:r>
        <w:rPr>
          <w:spacing w:val="-12"/>
        </w:rPr>
        <w:t> </w:t>
      </w:r>
      <w:r>
        <w:rPr/>
        <w:t>σχεδίων</w:t>
      </w:r>
      <w:r>
        <w:rPr>
          <w:spacing w:val="-11"/>
        </w:rPr>
        <w:t> </w:t>
      </w:r>
      <w:r>
        <w:rPr/>
        <w:t>επιχειρησιακής</w:t>
      </w:r>
      <w:r>
        <w:rPr>
          <w:spacing w:val="-11"/>
        </w:rPr>
        <w:t> </w:t>
      </w:r>
      <w:r>
        <w:rPr/>
        <w:t>συνέ-χειας και ανάκαμψης, καθώς και η ενίσχυση των μηχανισμών κυβερνοασφάλειας, συμβάλλουν στη μείωση της πιθανότητας αλλά και της έντασης ενδεχόμενων διαταραχών και αυξάνουν τη λειτουργική ανθεκτικότητα των χρηματοπιστωτικών ιδρυμάτων.</w:t>
      </w:r>
    </w:p>
    <w:p>
      <w:pPr>
        <w:pStyle w:val="BodyText"/>
        <w:spacing w:line="276" w:lineRule="auto" w:before="63"/>
        <w:ind w:left="172" w:right="957"/>
        <w:jc w:val="both"/>
      </w:pPr>
      <w:r>
        <w:rPr/>
        <w:t>Όσον αφορά στους κινδύνους ΤΠΕ, που δύναται να επηρεάσουν την εύρυθμη και απρόσκοπτη λειτουργία των υπηρεσιών στον χρηματοπιστωτικό τομέα, οι τράπεζες καλούνται να διασφαλί-σουν την επιχειρησιακή ανθεκτικότητα</w:t>
      </w:r>
      <w:r>
        <w:rPr>
          <w:spacing w:val="-1"/>
        </w:rPr>
        <w:t> </w:t>
      </w:r>
      <w:r>
        <w:rPr/>
        <w:t>για την προστασία των συστημάτων και των δεδομένων τους.</w:t>
      </w:r>
      <w:r>
        <w:rPr>
          <w:spacing w:val="-4"/>
        </w:rPr>
        <w:t> </w:t>
      </w:r>
      <w:r>
        <w:rPr/>
        <w:t>H</w:t>
      </w:r>
      <w:r>
        <w:rPr>
          <w:spacing w:val="-4"/>
        </w:rPr>
        <w:t> </w:t>
      </w:r>
      <w:r>
        <w:rPr/>
        <w:t>αύξηση</w:t>
      </w:r>
      <w:r>
        <w:rPr>
          <w:spacing w:val="-5"/>
        </w:rPr>
        <w:t> </w:t>
      </w:r>
      <w:r>
        <w:rPr/>
        <w:t>των</w:t>
      </w:r>
      <w:r>
        <w:rPr>
          <w:spacing w:val="-2"/>
        </w:rPr>
        <w:t> </w:t>
      </w:r>
      <w:r>
        <w:rPr/>
        <w:t>απειλών</w:t>
      </w:r>
      <w:r>
        <w:rPr>
          <w:spacing w:val="-5"/>
        </w:rPr>
        <w:t> </w:t>
      </w:r>
      <w:r>
        <w:rPr/>
        <w:t>τα</w:t>
      </w:r>
      <w:r>
        <w:rPr>
          <w:spacing w:val="-3"/>
        </w:rPr>
        <w:t> </w:t>
      </w:r>
      <w:r>
        <w:rPr/>
        <w:t>τελευταία</w:t>
      </w:r>
      <w:r>
        <w:rPr>
          <w:spacing w:val="-3"/>
        </w:rPr>
        <w:t> </w:t>
      </w:r>
      <w:r>
        <w:rPr/>
        <w:t>χρόνια</w:t>
      </w:r>
      <w:r>
        <w:rPr>
          <w:spacing w:val="-3"/>
        </w:rPr>
        <w:t> </w:t>
      </w:r>
      <w:r>
        <w:rPr/>
        <w:t>οδήγησε</w:t>
      </w:r>
      <w:r>
        <w:rPr>
          <w:spacing w:val="-3"/>
        </w:rPr>
        <w:t> </w:t>
      </w:r>
      <w:r>
        <w:rPr/>
        <w:t>τις αρχές</w:t>
      </w:r>
      <w:r>
        <w:rPr>
          <w:spacing w:val="-7"/>
        </w:rPr>
        <w:t> </w:t>
      </w:r>
      <w:r>
        <w:rPr/>
        <w:t>της</w:t>
      </w:r>
      <w:r>
        <w:rPr>
          <w:spacing w:val="-5"/>
        </w:rPr>
        <w:t> </w:t>
      </w:r>
      <w:r>
        <w:rPr/>
        <w:t>ΕΕ</w:t>
      </w:r>
      <w:r>
        <w:rPr>
          <w:spacing w:val="-4"/>
        </w:rPr>
        <w:t> </w:t>
      </w:r>
      <w:r>
        <w:rPr/>
        <w:t>να</w:t>
      </w:r>
      <w:r>
        <w:rPr>
          <w:spacing w:val="-6"/>
        </w:rPr>
        <w:t> </w:t>
      </w:r>
      <w:r>
        <w:rPr/>
        <w:t>αναλάβουν</w:t>
      </w:r>
      <w:r>
        <w:rPr>
          <w:spacing w:val="-2"/>
        </w:rPr>
        <w:t> </w:t>
      </w:r>
      <w:r>
        <w:rPr>
          <w:spacing w:val="-4"/>
        </w:rPr>
        <w:t>πρω-</w:t>
      </w:r>
    </w:p>
    <w:p>
      <w:pPr>
        <w:pStyle w:val="BodyText"/>
        <w:spacing w:after="0" w:line="276" w:lineRule="auto"/>
        <w:jc w:val="both"/>
        <w:sectPr>
          <w:pgSz w:w="11910" w:h="16850"/>
          <w:pgMar w:header="0" w:footer="1108" w:top="1800" w:bottom="1300" w:left="1417" w:right="850"/>
        </w:sectPr>
      </w:pPr>
    </w:p>
    <w:p>
      <w:pPr>
        <w:pStyle w:val="BodyText"/>
        <w:spacing w:line="276" w:lineRule="auto" w:before="72"/>
        <w:ind w:left="172" w:right="957"/>
        <w:jc w:val="both"/>
      </w:pPr>
      <w:r>
        <w:rPr/>
        <w:t>τοβουλίες για να διατηρήσουν τους εν λόγω κινδύνους υπό έλεγχο. Η κύρια κανονιστική καινο-τομία σε αυτό το πλαίσιο, ήταν ο Κανονισμός DORA, που τέθηκε σε ισχύ στις 17 Ιανουαρίου 2025 με στόχο την ενίσχυση της ψηφιακής</w:t>
      </w:r>
      <w:r>
        <w:rPr>
          <w:spacing w:val="-1"/>
        </w:rPr>
        <w:t> </w:t>
      </w:r>
      <w:r>
        <w:rPr/>
        <w:t>επιχειρησιακής ανθεκτικότητας του χρηματοοικονο-μικού</w:t>
      </w:r>
      <w:r>
        <w:rPr>
          <w:spacing w:val="-2"/>
        </w:rPr>
        <w:t> </w:t>
      </w:r>
      <w:r>
        <w:rPr/>
        <w:t>τομέα</w:t>
      </w:r>
      <w:r>
        <w:rPr>
          <w:spacing w:val="-5"/>
        </w:rPr>
        <w:t> </w:t>
      </w:r>
      <w:r>
        <w:rPr/>
        <w:t>στην</w:t>
      </w:r>
      <w:r>
        <w:rPr>
          <w:spacing w:val="-1"/>
        </w:rPr>
        <w:t> </w:t>
      </w:r>
      <w:r>
        <w:rPr/>
        <w:t>ΕΕ.</w:t>
      </w:r>
      <w:r>
        <w:rPr>
          <w:spacing w:val="-2"/>
        </w:rPr>
        <w:t> </w:t>
      </w:r>
      <w:r>
        <w:rPr/>
        <w:t>Ο</w:t>
      </w:r>
      <w:r>
        <w:rPr>
          <w:spacing w:val="-2"/>
        </w:rPr>
        <w:t> </w:t>
      </w:r>
      <w:r>
        <w:rPr/>
        <w:t>ν.</w:t>
      </w:r>
      <w:r>
        <w:rPr>
          <w:spacing w:val="-2"/>
        </w:rPr>
        <w:t> </w:t>
      </w:r>
      <w:r>
        <w:rPr/>
        <w:t>5193/2025</w:t>
      </w:r>
      <w:r>
        <w:rPr>
          <w:spacing w:val="-2"/>
        </w:rPr>
        <w:t> </w:t>
      </w:r>
      <w:r>
        <w:rPr/>
        <w:t>ορίζει</w:t>
      </w:r>
      <w:r>
        <w:rPr>
          <w:spacing w:val="-2"/>
        </w:rPr>
        <w:t> </w:t>
      </w:r>
      <w:r>
        <w:rPr/>
        <w:t>την</w:t>
      </w:r>
      <w:r>
        <w:rPr>
          <w:spacing w:val="-1"/>
        </w:rPr>
        <w:t> </w:t>
      </w:r>
      <w:r>
        <w:rPr/>
        <w:t>Τράπεζα</w:t>
      </w:r>
      <w:r>
        <w:rPr>
          <w:spacing w:val="-3"/>
        </w:rPr>
        <w:t> </w:t>
      </w:r>
      <w:r>
        <w:rPr/>
        <w:t>της</w:t>
      </w:r>
      <w:r>
        <w:rPr>
          <w:spacing w:val="-4"/>
        </w:rPr>
        <w:t> </w:t>
      </w:r>
      <w:r>
        <w:rPr/>
        <w:t>Ελλάδος</w:t>
      </w:r>
      <w:r>
        <w:rPr>
          <w:spacing w:val="-3"/>
        </w:rPr>
        <w:t> </w:t>
      </w:r>
      <w:r>
        <w:rPr/>
        <w:t>και</w:t>
      </w:r>
      <w:r>
        <w:rPr>
          <w:spacing w:val="-2"/>
        </w:rPr>
        <w:t> </w:t>
      </w:r>
      <w:r>
        <w:rPr/>
        <w:t>την Επιτροπή</w:t>
      </w:r>
      <w:r>
        <w:rPr>
          <w:spacing w:val="-2"/>
        </w:rPr>
        <w:t> </w:t>
      </w:r>
      <w:r>
        <w:rPr/>
        <w:t>Κεφα-λαιαγοράς</w:t>
      </w:r>
      <w:r>
        <w:rPr>
          <w:spacing w:val="-3"/>
        </w:rPr>
        <w:t> </w:t>
      </w:r>
      <w:r>
        <w:rPr/>
        <w:t>ως</w:t>
      </w:r>
      <w:r>
        <w:rPr>
          <w:spacing w:val="-3"/>
        </w:rPr>
        <w:t> </w:t>
      </w:r>
      <w:r>
        <w:rPr/>
        <w:t>τις</w:t>
      </w:r>
      <w:r>
        <w:rPr>
          <w:spacing w:val="-2"/>
        </w:rPr>
        <w:t> </w:t>
      </w:r>
      <w:r>
        <w:rPr/>
        <w:t>κατά</w:t>
      </w:r>
      <w:r>
        <w:rPr>
          <w:spacing w:val="-3"/>
        </w:rPr>
        <w:t> </w:t>
      </w:r>
      <w:r>
        <w:rPr/>
        <w:t>περίπτωση</w:t>
      </w:r>
      <w:r>
        <w:rPr>
          <w:spacing w:val="-2"/>
        </w:rPr>
        <w:t> </w:t>
      </w:r>
      <w:r>
        <w:rPr/>
        <w:t>αρμόδιες</w:t>
      </w:r>
      <w:r>
        <w:rPr>
          <w:spacing w:val="-3"/>
        </w:rPr>
        <w:t> </w:t>
      </w:r>
      <w:r>
        <w:rPr/>
        <w:t>αρχές</w:t>
      </w:r>
      <w:r>
        <w:rPr>
          <w:spacing w:val="-6"/>
        </w:rPr>
        <w:t> </w:t>
      </w:r>
      <w:r>
        <w:rPr/>
        <w:t>για</w:t>
      </w:r>
      <w:r>
        <w:rPr>
          <w:spacing w:val="-4"/>
        </w:rPr>
        <w:t> </w:t>
      </w:r>
      <w:r>
        <w:rPr/>
        <w:t>την</w:t>
      </w:r>
      <w:r>
        <w:rPr>
          <w:spacing w:val="-2"/>
        </w:rPr>
        <w:t> </w:t>
      </w:r>
      <w:r>
        <w:rPr/>
        <w:t>εποπτεία</w:t>
      </w:r>
      <w:r>
        <w:rPr>
          <w:spacing w:val="-4"/>
        </w:rPr>
        <w:t> </w:t>
      </w:r>
      <w:r>
        <w:rPr/>
        <w:t>συμμόρφωσης</w:t>
      </w:r>
      <w:r>
        <w:rPr>
          <w:spacing w:val="-6"/>
        </w:rPr>
        <w:t> </w:t>
      </w:r>
      <w:r>
        <w:rPr/>
        <w:t>των</w:t>
      </w:r>
      <w:r>
        <w:rPr>
          <w:spacing w:val="-4"/>
        </w:rPr>
        <w:t> </w:t>
      </w:r>
      <w:r>
        <w:rPr/>
        <w:t>χρηματο-πιστωτικών</w:t>
      </w:r>
      <w:r>
        <w:rPr>
          <w:spacing w:val="-5"/>
        </w:rPr>
        <w:t> </w:t>
      </w:r>
      <w:r>
        <w:rPr/>
        <w:t>οντοτήτων.</w:t>
      </w:r>
      <w:r>
        <w:rPr>
          <w:spacing w:val="-5"/>
        </w:rPr>
        <w:t> </w:t>
      </w:r>
      <w:r>
        <w:rPr/>
        <w:t>Οι</w:t>
      </w:r>
      <w:r>
        <w:rPr>
          <w:spacing w:val="-6"/>
        </w:rPr>
        <w:t> </w:t>
      </w:r>
      <w:r>
        <w:rPr/>
        <w:t>βασικοί</w:t>
      </w:r>
      <w:r>
        <w:rPr>
          <w:spacing w:val="-5"/>
        </w:rPr>
        <w:t> </w:t>
      </w:r>
      <w:r>
        <w:rPr/>
        <w:t>πυλώνες</w:t>
      </w:r>
      <w:r>
        <w:rPr>
          <w:spacing w:val="-6"/>
        </w:rPr>
        <w:t> </w:t>
      </w:r>
      <w:r>
        <w:rPr/>
        <w:t>του</w:t>
      </w:r>
      <w:r>
        <w:rPr>
          <w:spacing w:val="-5"/>
        </w:rPr>
        <w:t> </w:t>
      </w:r>
      <w:r>
        <w:rPr/>
        <w:t>Κανονισμού</w:t>
      </w:r>
      <w:r>
        <w:rPr>
          <w:spacing w:val="-6"/>
        </w:rPr>
        <w:t> </w:t>
      </w:r>
      <w:r>
        <w:rPr/>
        <w:t>είναι:</w:t>
      </w:r>
      <w:r>
        <w:rPr>
          <w:spacing w:val="-4"/>
        </w:rPr>
        <w:t> </w:t>
      </w:r>
      <w:r>
        <w:rPr/>
        <w:t>η</w:t>
      </w:r>
      <w:r>
        <w:rPr>
          <w:spacing w:val="-5"/>
        </w:rPr>
        <w:t> </w:t>
      </w:r>
      <w:r>
        <w:rPr/>
        <w:t>διαχείριση</w:t>
      </w:r>
      <w:r>
        <w:rPr>
          <w:spacing w:val="-7"/>
        </w:rPr>
        <w:t> </w:t>
      </w:r>
      <w:r>
        <w:rPr/>
        <w:t>κινδύνων</w:t>
      </w:r>
      <w:r>
        <w:rPr>
          <w:spacing w:val="-5"/>
        </w:rPr>
        <w:t> </w:t>
      </w:r>
      <w:r>
        <w:rPr/>
        <w:t>ΤΠΕ, η</w:t>
      </w:r>
      <w:r>
        <w:rPr>
          <w:spacing w:val="-11"/>
        </w:rPr>
        <w:t> </w:t>
      </w:r>
      <w:r>
        <w:rPr/>
        <w:t>διαχείριση</w:t>
      </w:r>
      <w:r>
        <w:rPr>
          <w:spacing w:val="-10"/>
        </w:rPr>
        <w:t> </w:t>
      </w:r>
      <w:r>
        <w:rPr/>
        <w:t>και</w:t>
      </w:r>
      <w:r>
        <w:rPr>
          <w:spacing w:val="-10"/>
        </w:rPr>
        <w:t> </w:t>
      </w:r>
      <w:r>
        <w:rPr/>
        <w:t>αναφορά</w:t>
      </w:r>
      <w:r>
        <w:rPr>
          <w:spacing w:val="-13"/>
        </w:rPr>
        <w:t> </w:t>
      </w:r>
      <w:r>
        <w:rPr/>
        <w:t>μειζόνων</w:t>
      </w:r>
      <w:r>
        <w:rPr>
          <w:spacing w:val="-12"/>
        </w:rPr>
        <w:t> </w:t>
      </w:r>
      <w:r>
        <w:rPr/>
        <w:t>συμβάντων,</w:t>
      </w:r>
      <w:r>
        <w:rPr>
          <w:spacing w:val="-13"/>
        </w:rPr>
        <w:t> </w:t>
      </w:r>
      <w:r>
        <w:rPr/>
        <w:t>η</w:t>
      </w:r>
      <w:r>
        <w:rPr>
          <w:spacing w:val="-11"/>
        </w:rPr>
        <w:t> </w:t>
      </w:r>
      <w:r>
        <w:rPr/>
        <w:t>διενέργεια</w:t>
      </w:r>
      <w:r>
        <w:rPr>
          <w:spacing w:val="-10"/>
        </w:rPr>
        <w:t> </w:t>
      </w:r>
      <w:r>
        <w:rPr/>
        <w:t>δοκιμών</w:t>
      </w:r>
      <w:r>
        <w:rPr>
          <w:spacing w:val="-10"/>
        </w:rPr>
        <w:t> </w:t>
      </w:r>
      <w:r>
        <w:rPr/>
        <w:t>ψηφιακής</w:t>
      </w:r>
      <w:r>
        <w:rPr>
          <w:spacing w:val="-12"/>
        </w:rPr>
        <w:t> </w:t>
      </w:r>
      <w:r>
        <w:rPr/>
        <w:t>ανθεκτικότητας και η διαχείριση κινδύνων από τρίτους παρόχους υπηρεσιών ΤΠΕ. Επίσης, ενθαρρύνεται η σε εθελοντική βάση ανταλλαγή πληροφοριών μεταξύ των τραπεζών για νέες κυβερνοαπειλές και τεχνικές επιθέσεων, ώστε να ενισχυθεί η συλλογική άμυνα του τομέα.</w:t>
      </w:r>
    </w:p>
    <w:p>
      <w:pPr>
        <w:pStyle w:val="BodyText"/>
        <w:spacing w:line="276" w:lineRule="auto" w:before="60"/>
        <w:ind w:left="172" w:right="956"/>
        <w:jc w:val="both"/>
      </w:pPr>
      <w:r>
        <w:rPr/>
        <w:t>Όπως</w:t>
      </w:r>
      <w:r>
        <w:rPr>
          <w:spacing w:val="-6"/>
        </w:rPr>
        <w:t> </w:t>
      </w:r>
      <w:r>
        <w:rPr/>
        <w:t>και</w:t>
      </w:r>
      <w:r>
        <w:rPr>
          <w:spacing w:val="-5"/>
        </w:rPr>
        <w:t> </w:t>
      </w:r>
      <w:r>
        <w:rPr/>
        <w:t>με</w:t>
      </w:r>
      <w:r>
        <w:rPr>
          <w:spacing w:val="-6"/>
        </w:rPr>
        <w:t> </w:t>
      </w:r>
      <w:r>
        <w:rPr/>
        <w:t>άλλους</w:t>
      </w:r>
      <w:r>
        <w:rPr>
          <w:spacing w:val="-6"/>
        </w:rPr>
        <w:t> </w:t>
      </w:r>
      <w:r>
        <w:rPr/>
        <w:t>τομείς</w:t>
      </w:r>
      <w:r>
        <w:rPr>
          <w:spacing w:val="-8"/>
        </w:rPr>
        <w:t> </w:t>
      </w:r>
      <w:r>
        <w:rPr/>
        <w:t>πολιτικής</w:t>
      </w:r>
      <w:r>
        <w:rPr>
          <w:spacing w:val="-8"/>
        </w:rPr>
        <w:t> </w:t>
      </w:r>
      <w:r>
        <w:rPr/>
        <w:t>στην</w:t>
      </w:r>
      <w:r>
        <w:rPr>
          <w:spacing w:val="-4"/>
        </w:rPr>
        <w:t> </w:t>
      </w:r>
      <w:r>
        <w:rPr/>
        <w:t>ΕΕ,</w:t>
      </w:r>
      <w:r>
        <w:rPr>
          <w:spacing w:val="-7"/>
        </w:rPr>
        <w:t> </w:t>
      </w:r>
      <w:r>
        <w:rPr/>
        <w:t>η</w:t>
      </w:r>
      <w:r>
        <w:rPr>
          <w:spacing w:val="-7"/>
        </w:rPr>
        <w:t> </w:t>
      </w:r>
      <w:r>
        <w:rPr/>
        <w:t>κυβερνοασφάλεια</w:t>
      </w:r>
      <w:r>
        <w:rPr>
          <w:spacing w:val="-7"/>
        </w:rPr>
        <w:t> </w:t>
      </w:r>
      <w:r>
        <w:rPr/>
        <w:t>λόγω</w:t>
      </w:r>
      <w:r>
        <w:rPr>
          <w:spacing w:val="-6"/>
        </w:rPr>
        <w:t> </w:t>
      </w:r>
      <w:r>
        <w:rPr/>
        <w:t>της</w:t>
      </w:r>
      <w:r>
        <w:rPr>
          <w:spacing w:val="-4"/>
        </w:rPr>
        <w:t> </w:t>
      </w:r>
      <w:r>
        <w:rPr/>
        <w:t>σημασίας</w:t>
      </w:r>
      <w:r>
        <w:rPr>
          <w:spacing w:val="-4"/>
        </w:rPr>
        <w:t> </w:t>
      </w:r>
      <w:r>
        <w:rPr/>
        <w:t>της</w:t>
      </w:r>
      <w:r>
        <w:rPr>
          <w:spacing w:val="-8"/>
        </w:rPr>
        <w:t> </w:t>
      </w:r>
      <w:r>
        <w:rPr/>
        <w:t>απο-τελεί</w:t>
      </w:r>
      <w:r>
        <w:rPr>
          <w:spacing w:val="-12"/>
        </w:rPr>
        <w:t> </w:t>
      </w:r>
      <w:r>
        <w:rPr/>
        <w:t>κοινή</w:t>
      </w:r>
      <w:r>
        <w:rPr>
          <w:spacing w:val="-13"/>
        </w:rPr>
        <w:t> </w:t>
      </w:r>
      <w:r>
        <w:rPr/>
        <w:t>ευθύνη</w:t>
      </w:r>
      <w:r>
        <w:rPr>
          <w:spacing w:val="-13"/>
        </w:rPr>
        <w:t> </w:t>
      </w:r>
      <w:r>
        <w:rPr/>
        <w:t>μεταξύ</w:t>
      </w:r>
      <w:r>
        <w:rPr>
          <w:spacing w:val="-14"/>
        </w:rPr>
        <w:t> </w:t>
      </w:r>
      <w:r>
        <w:rPr/>
        <w:t>πολλών</w:t>
      </w:r>
      <w:r>
        <w:rPr>
          <w:spacing w:val="-14"/>
        </w:rPr>
        <w:t> </w:t>
      </w:r>
      <w:r>
        <w:rPr/>
        <w:t>εθνικών</w:t>
      </w:r>
      <w:r>
        <w:rPr>
          <w:spacing w:val="-12"/>
        </w:rPr>
        <w:t> </w:t>
      </w:r>
      <w:r>
        <w:rPr/>
        <w:t>και</w:t>
      </w:r>
      <w:r>
        <w:rPr>
          <w:spacing w:val="-13"/>
        </w:rPr>
        <w:t> </w:t>
      </w:r>
      <w:r>
        <w:rPr/>
        <w:t>πανευρωπαϊκών</w:t>
      </w:r>
      <w:r>
        <w:rPr>
          <w:spacing w:val="-12"/>
        </w:rPr>
        <w:t> </w:t>
      </w:r>
      <w:r>
        <w:rPr/>
        <w:t>ενδιαφερόμενων</w:t>
      </w:r>
      <w:r>
        <w:rPr>
          <w:spacing w:val="-14"/>
        </w:rPr>
        <w:t> </w:t>
      </w:r>
      <w:r>
        <w:rPr/>
        <w:t>μερών.</w:t>
      </w:r>
      <w:r>
        <w:rPr>
          <w:spacing w:val="-8"/>
        </w:rPr>
        <w:t> </w:t>
      </w:r>
      <w:r>
        <w:rPr/>
        <w:t>Εν</w:t>
      </w:r>
      <w:r>
        <w:rPr>
          <w:spacing w:val="-12"/>
        </w:rPr>
        <w:t> </w:t>
      </w:r>
      <w:r>
        <w:rPr/>
        <w:t>προ-κειμένω, η Τράπεζα της Ελλάδος συνεργάζεται και με άλλους φορείς και αρχές σε εθνικό και ευρωπαϊκό</w:t>
      </w:r>
      <w:r>
        <w:rPr>
          <w:spacing w:val="-2"/>
        </w:rPr>
        <w:t> </w:t>
      </w:r>
      <w:r>
        <w:rPr/>
        <w:t>επίπεδο,</w:t>
      </w:r>
      <w:r>
        <w:rPr>
          <w:spacing w:val="-1"/>
        </w:rPr>
        <w:t> </w:t>
      </w:r>
      <w:r>
        <w:rPr/>
        <w:t>όπως η Εθνική</w:t>
      </w:r>
      <w:r>
        <w:rPr>
          <w:spacing w:val="-1"/>
        </w:rPr>
        <w:t> </w:t>
      </w:r>
      <w:r>
        <w:rPr/>
        <w:t>Αρχή</w:t>
      </w:r>
      <w:r>
        <w:rPr>
          <w:spacing w:val="-2"/>
        </w:rPr>
        <w:t> </w:t>
      </w:r>
      <w:r>
        <w:rPr/>
        <w:t>Κυβερνοασφάλειας</w:t>
      </w:r>
      <w:r>
        <w:rPr>
          <w:spacing w:val="-1"/>
        </w:rPr>
        <w:t> </w:t>
      </w:r>
      <w:r>
        <w:rPr/>
        <w:t>και οι Ευρωπαϊκές</w:t>
      </w:r>
      <w:r>
        <w:rPr>
          <w:spacing w:val="-3"/>
        </w:rPr>
        <w:t> </w:t>
      </w:r>
      <w:r>
        <w:rPr/>
        <w:t>Εποπτικές</w:t>
      </w:r>
      <w:r>
        <w:rPr>
          <w:spacing w:val="-1"/>
        </w:rPr>
        <w:t> </w:t>
      </w:r>
      <w:r>
        <w:rPr/>
        <w:t>Αρ-χές</w:t>
      </w:r>
      <w:r>
        <w:rPr>
          <w:spacing w:val="-3"/>
        </w:rPr>
        <w:t> </w:t>
      </w:r>
      <w:r>
        <w:rPr/>
        <w:t>στο</w:t>
      </w:r>
      <w:r>
        <w:rPr>
          <w:spacing w:val="-2"/>
        </w:rPr>
        <w:t> </w:t>
      </w:r>
      <w:r>
        <w:rPr/>
        <w:t>πλαίσιο</w:t>
      </w:r>
      <w:r>
        <w:rPr>
          <w:spacing w:val="-2"/>
        </w:rPr>
        <w:t> </w:t>
      </w:r>
      <w:r>
        <w:rPr/>
        <w:t>ανταλλαγής</w:t>
      </w:r>
      <w:r>
        <w:rPr>
          <w:spacing w:val="-3"/>
        </w:rPr>
        <w:t> </w:t>
      </w:r>
      <w:r>
        <w:rPr/>
        <w:t>πληροφοριών,</w:t>
      </w:r>
      <w:r>
        <w:rPr>
          <w:spacing w:val="-2"/>
        </w:rPr>
        <w:t> </w:t>
      </w:r>
      <w:r>
        <w:rPr/>
        <w:t>καθώς</w:t>
      </w:r>
      <w:r>
        <w:rPr>
          <w:spacing w:val="-3"/>
        </w:rPr>
        <w:t> </w:t>
      </w:r>
      <w:r>
        <w:rPr/>
        <w:t>και</w:t>
      </w:r>
      <w:r>
        <w:rPr>
          <w:spacing w:val="-5"/>
        </w:rPr>
        <w:t> </w:t>
      </w:r>
      <w:r>
        <w:rPr/>
        <w:t>στο</w:t>
      </w:r>
      <w:r>
        <w:rPr>
          <w:spacing w:val="-2"/>
        </w:rPr>
        <w:t> </w:t>
      </w:r>
      <w:r>
        <w:rPr/>
        <w:t>Ευρωπαϊκό</w:t>
      </w:r>
      <w:r>
        <w:rPr>
          <w:spacing w:val="-2"/>
        </w:rPr>
        <w:t> </w:t>
      </w:r>
      <w:r>
        <w:rPr/>
        <w:t>Πλαίσιο</w:t>
      </w:r>
      <w:r>
        <w:rPr>
          <w:spacing w:val="-4"/>
        </w:rPr>
        <w:t> </w:t>
      </w:r>
      <w:r>
        <w:rPr/>
        <w:t>Συντονισμού</w:t>
      </w:r>
      <w:r>
        <w:rPr>
          <w:spacing w:val="-1"/>
        </w:rPr>
        <w:t> </w:t>
      </w:r>
      <w:r>
        <w:rPr/>
        <w:t>για Συστημικά Κυβερνοπεριστατικά (EU-SCICF) που στοχεύει στο συντονισμό μεταξύ των διαφό-ρων</w:t>
      </w:r>
      <w:r>
        <w:rPr>
          <w:spacing w:val="-9"/>
        </w:rPr>
        <w:t> </w:t>
      </w:r>
      <w:r>
        <w:rPr/>
        <w:t>φορέων,</w:t>
      </w:r>
      <w:r>
        <w:rPr>
          <w:spacing w:val="-7"/>
        </w:rPr>
        <w:t> </w:t>
      </w:r>
      <w:r>
        <w:rPr/>
        <w:t>ώστε</w:t>
      </w:r>
      <w:r>
        <w:rPr>
          <w:spacing w:val="-6"/>
        </w:rPr>
        <w:t> </w:t>
      </w:r>
      <w:r>
        <w:rPr/>
        <w:t>να</w:t>
      </w:r>
      <w:r>
        <w:rPr>
          <w:spacing w:val="-8"/>
        </w:rPr>
        <w:t> </w:t>
      </w:r>
      <w:r>
        <w:rPr/>
        <w:t>διασφαλιστεί</w:t>
      </w:r>
      <w:r>
        <w:rPr>
          <w:spacing w:val="-6"/>
        </w:rPr>
        <w:t> </w:t>
      </w:r>
      <w:r>
        <w:rPr/>
        <w:t>η</w:t>
      </w:r>
      <w:r>
        <w:rPr>
          <w:spacing w:val="-7"/>
        </w:rPr>
        <w:t> </w:t>
      </w:r>
      <w:r>
        <w:rPr/>
        <w:t>ομαλή</w:t>
      </w:r>
      <w:r>
        <w:rPr>
          <w:spacing w:val="-9"/>
        </w:rPr>
        <w:t> </w:t>
      </w:r>
      <w:r>
        <w:rPr/>
        <w:t>λειτουργία</w:t>
      </w:r>
      <w:r>
        <w:rPr>
          <w:spacing w:val="-8"/>
        </w:rPr>
        <w:t> </w:t>
      </w:r>
      <w:r>
        <w:rPr/>
        <w:t>του</w:t>
      </w:r>
      <w:r>
        <w:rPr>
          <w:spacing w:val="-6"/>
        </w:rPr>
        <w:t> </w:t>
      </w:r>
      <w:r>
        <w:rPr/>
        <w:t>πλαισίου</w:t>
      </w:r>
      <w:r>
        <w:rPr>
          <w:spacing w:val="-6"/>
        </w:rPr>
        <w:t> </w:t>
      </w:r>
      <w:r>
        <w:rPr/>
        <w:t>διαχείρισης</w:t>
      </w:r>
      <w:r>
        <w:rPr>
          <w:spacing w:val="-8"/>
        </w:rPr>
        <w:t> </w:t>
      </w:r>
      <w:r>
        <w:rPr/>
        <w:t>κρίσεων,</w:t>
      </w:r>
      <w:r>
        <w:rPr>
          <w:spacing w:val="-7"/>
        </w:rPr>
        <w:t> </w:t>
      </w:r>
      <w:r>
        <w:rPr/>
        <w:t>ιδίως σε διασυνοριακό επίπεδο και όταν υπάρχουν συστημικά συμβάντα κυβερνοεπιθέσεων.</w:t>
      </w:r>
    </w:p>
    <w:p>
      <w:pPr>
        <w:pStyle w:val="BodyText"/>
        <w:spacing w:line="276" w:lineRule="auto" w:before="61"/>
        <w:ind w:left="172" w:right="958"/>
        <w:jc w:val="both"/>
        <w:rPr>
          <w:position w:val="6"/>
          <w:sz w:val="10"/>
        </w:rPr>
      </w:pPr>
      <w:r>
        <w:rPr/>
        <w:t>Βάσει του DORA, οι τράπεζες υποχρεούνται να κοινοποιούν στην Εθνική Εποπτική τους Αρχή κάθε μείζον συμβάν, ενώ εισάγεται η απαίτηση διενέργειας, από τα μεγάλα (βάσει συγκεκριμέ-νων</w:t>
      </w:r>
      <w:r>
        <w:rPr>
          <w:spacing w:val="-2"/>
        </w:rPr>
        <w:t> </w:t>
      </w:r>
      <w:r>
        <w:rPr/>
        <w:t>κριτηρίων)</w:t>
      </w:r>
      <w:r>
        <w:rPr>
          <w:spacing w:val="-2"/>
        </w:rPr>
        <w:t> </w:t>
      </w:r>
      <w:r>
        <w:rPr/>
        <w:t>χρηματοπιστωτικά</w:t>
      </w:r>
      <w:r>
        <w:rPr>
          <w:spacing w:val="-4"/>
        </w:rPr>
        <w:t> </w:t>
      </w:r>
      <w:r>
        <w:rPr/>
        <w:t>ιδρύματα,</w:t>
      </w:r>
      <w:r>
        <w:rPr>
          <w:spacing w:val="-3"/>
        </w:rPr>
        <w:t> </w:t>
      </w:r>
      <w:r>
        <w:rPr/>
        <w:t>προηγμένων</w:t>
      </w:r>
      <w:r>
        <w:rPr>
          <w:spacing w:val="-2"/>
        </w:rPr>
        <w:t> </w:t>
      </w:r>
      <w:r>
        <w:rPr/>
        <w:t>δοκιμών παρείσδυσης</w:t>
      </w:r>
      <w:r>
        <w:rPr>
          <w:spacing w:val="-5"/>
        </w:rPr>
        <w:t> </w:t>
      </w:r>
      <w:r>
        <w:rPr/>
        <w:t>βάσει</w:t>
      </w:r>
      <w:r>
        <w:rPr>
          <w:spacing w:val="-2"/>
        </w:rPr>
        <w:t> </w:t>
      </w:r>
      <w:r>
        <w:rPr/>
        <w:t>απειλών (Threat-Led Penetration Testing-TLPTs) κάθε 3 χρόνια.</w:t>
      </w:r>
      <w:hyperlink w:history="true" w:anchor="_bookmark70">
        <w:r>
          <w:rPr>
            <w:position w:val="6"/>
            <w:sz w:val="10"/>
          </w:rPr>
          <w:t>49</w:t>
        </w:r>
      </w:hyperlink>
    </w:p>
    <w:p>
      <w:pPr>
        <w:pStyle w:val="BodyText"/>
        <w:spacing w:line="276" w:lineRule="auto" w:before="58"/>
        <w:ind w:left="172" w:right="954"/>
        <w:jc w:val="both"/>
      </w:pPr>
      <w:r>
        <w:rPr/>
        <w:t>Τα τελευταία έτη, οι ελληνικές τράπεζες έχουν σημειώσει πρόοδο στην ενίσχυση του πλαισίου διαχείρισης</w:t>
      </w:r>
      <w:r>
        <w:rPr>
          <w:spacing w:val="-5"/>
        </w:rPr>
        <w:t> </w:t>
      </w:r>
      <w:r>
        <w:rPr/>
        <w:t>λειτουργικού</w:t>
      </w:r>
      <w:r>
        <w:rPr>
          <w:spacing w:val="-2"/>
        </w:rPr>
        <w:t> </w:t>
      </w:r>
      <w:r>
        <w:rPr/>
        <w:t>κινδύνου</w:t>
      </w:r>
      <w:r>
        <w:rPr>
          <w:spacing w:val="-2"/>
        </w:rPr>
        <w:t> </w:t>
      </w:r>
      <w:r>
        <w:rPr/>
        <w:t>μέσω</w:t>
      </w:r>
      <w:r>
        <w:rPr>
          <w:spacing w:val="-2"/>
        </w:rPr>
        <w:t> </w:t>
      </w:r>
      <w:r>
        <w:rPr/>
        <w:t>επενδύσεων</w:t>
      </w:r>
      <w:r>
        <w:rPr>
          <w:spacing w:val="-5"/>
        </w:rPr>
        <w:t> </w:t>
      </w:r>
      <w:r>
        <w:rPr/>
        <w:t>σε</w:t>
      </w:r>
      <w:r>
        <w:rPr>
          <w:spacing w:val="-3"/>
        </w:rPr>
        <w:t> </w:t>
      </w:r>
      <w:r>
        <w:rPr/>
        <w:t>υποδομές</w:t>
      </w:r>
      <w:r>
        <w:rPr>
          <w:spacing w:val="-4"/>
        </w:rPr>
        <w:t> </w:t>
      </w:r>
      <w:r>
        <w:rPr/>
        <w:t>κυβερνοασφάλειας,</w:t>
      </w:r>
      <w:r>
        <w:rPr>
          <w:spacing w:val="-3"/>
        </w:rPr>
        <w:t> </w:t>
      </w:r>
      <w:r>
        <w:rPr/>
        <w:t>υιοθέτη-σης προηγμένων εργαλείων παρακολούθησης κινδύνων και ενίσχυσης των μηχανισμών εσωτε-ρικού ελέγχου. Ωστόσο, παρά τη βελτίωση που καταγράφεται σε επιμέρους τομείς, η σημασία των λειτουργικών κινδύνων, ιδίως υπό το πρίσμα της εντατικοποίησης του ψηφιακού μετασχη-ματισμού, της αυξανόμενης πολυπλοκότητας του κανονιστικού και επιχειρησιακού περιβάλλο-ντος</w:t>
      </w:r>
      <w:r>
        <w:rPr>
          <w:spacing w:val="-14"/>
        </w:rPr>
        <w:t> </w:t>
      </w:r>
      <w:r>
        <w:rPr/>
        <w:t>και</w:t>
      </w:r>
      <w:r>
        <w:rPr>
          <w:spacing w:val="-14"/>
        </w:rPr>
        <w:t> </w:t>
      </w:r>
      <w:r>
        <w:rPr/>
        <w:t>της</w:t>
      </w:r>
      <w:r>
        <w:rPr>
          <w:spacing w:val="-14"/>
        </w:rPr>
        <w:t> </w:t>
      </w:r>
      <w:r>
        <w:rPr/>
        <w:t>ραγδαίας</w:t>
      </w:r>
      <w:r>
        <w:rPr>
          <w:spacing w:val="-13"/>
        </w:rPr>
        <w:t> </w:t>
      </w:r>
      <w:r>
        <w:rPr/>
        <w:t>τεχνολογικής</w:t>
      </w:r>
      <w:r>
        <w:rPr>
          <w:spacing w:val="-14"/>
        </w:rPr>
        <w:t> </w:t>
      </w:r>
      <w:r>
        <w:rPr/>
        <w:t>προόδου,</w:t>
      </w:r>
      <w:r>
        <w:rPr>
          <w:spacing w:val="-14"/>
        </w:rPr>
        <w:t> </w:t>
      </w:r>
      <w:r>
        <w:rPr/>
        <w:t>καθιστά</w:t>
      </w:r>
      <w:r>
        <w:rPr>
          <w:spacing w:val="-14"/>
        </w:rPr>
        <w:t> </w:t>
      </w:r>
      <w:r>
        <w:rPr/>
        <w:t>αναγκαία</w:t>
      </w:r>
      <w:r>
        <w:rPr>
          <w:spacing w:val="-13"/>
        </w:rPr>
        <w:t> </w:t>
      </w:r>
      <w:r>
        <w:rPr/>
        <w:t>τη</w:t>
      </w:r>
      <w:r>
        <w:rPr>
          <w:spacing w:val="-14"/>
        </w:rPr>
        <w:t> </w:t>
      </w:r>
      <w:r>
        <w:rPr/>
        <w:t>συνεχή</w:t>
      </w:r>
      <w:r>
        <w:rPr>
          <w:spacing w:val="-14"/>
        </w:rPr>
        <w:t> </w:t>
      </w:r>
      <w:r>
        <w:rPr/>
        <w:t>ενίσχυση</w:t>
      </w:r>
      <w:r>
        <w:rPr>
          <w:spacing w:val="-13"/>
        </w:rPr>
        <w:t> </w:t>
      </w:r>
      <w:r>
        <w:rPr/>
        <w:t>της</w:t>
      </w:r>
      <w:r>
        <w:rPr>
          <w:spacing w:val="-14"/>
        </w:rPr>
        <w:t> </w:t>
      </w:r>
      <w:r>
        <w:rPr/>
        <w:t>λειτουρ-γικής ανθεκτικότητας των πιστωτικών ιδρυμάτων.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4"/>
        <w:rPr>
          <w:sz w:val="20"/>
        </w:rPr>
      </w:pPr>
      <w:r>
        <w:rPr>
          <w:sz w:val="20"/>
        </w:rPr>
        <mc:AlternateContent>
          <mc:Choice Requires="wps">
            <w:drawing>
              <wp:anchor distT="0" distB="0" distL="0" distR="0" allowOverlap="1" layoutInCell="1" locked="0" behindDoc="1" simplePos="0" relativeHeight="487631360">
                <wp:simplePos x="0" y="0"/>
                <wp:positionH relativeFrom="page">
                  <wp:posOffset>1009192</wp:posOffset>
                </wp:positionH>
                <wp:positionV relativeFrom="paragraph">
                  <wp:posOffset>246845</wp:posOffset>
                </wp:positionV>
                <wp:extent cx="1829435" cy="7620"/>
                <wp:effectExtent l="0" t="0" r="0" b="0"/>
                <wp:wrapTopAndBottom/>
                <wp:docPr id="457" name="Graphic 457"/>
                <wp:cNvGraphicFramePr>
                  <a:graphicFrameLocks/>
                </wp:cNvGraphicFramePr>
                <a:graphic>
                  <a:graphicData uri="http://schemas.microsoft.com/office/word/2010/wordprocessingShape">
                    <wps:wsp>
                      <wps:cNvPr id="457" name="Graphic 45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9.436668pt;width:144.020pt;height:.60004pt;mso-position-horizontal-relative:page;mso-position-vertical-relative:paragraph;z-index:-15685120;mso-wrap-distance-left:0;mso-wrap-distance-right:0" id="docshape429" filled="true" fillcolor="#000000" stroked="false">
                <v:fill type="solid"/>
                <w10:wrap type="topAndBottom"/>
              </v:rect>
            </w:pict>
          </mc:Fallback>
        </mc:AlternateContent>
      </w:r>
    </w:p>
    <w:p>
      <w:pPr>
        <w:spacing w:before="167"/>
        <w:ind w:left="172" w:right="955" w:firstLine="0"/>
        <w:jc w:val="both"/>
        <w:rPr>
          <w:sz w:val="16"/>
        </w:rPr>
      </w:pPr>
      <w:bookmarkStart w:name="_bookmark70" w:id="71"/>
      <w:bookmarkEnd w:id="71"/>
      <w:r>
        <w:rPr/>
      </w:r>
      <w:r>
        <w:rPr>
          <w:sz w:val="16"/>
          <w:vertAlign w:val="superscript"/>
        </w:rPr>
        <w:t>49</w:t>
      </w:r>
      <w:r>
        <w:rPr>
          <w:sz w:val="16"/>
          <w:vertAlign w:val="baseline"/>
        </w:rPr>
        <w:t> Για τις ενέργειες αναφορικά με τη διαχείριση κινδύνων τρίτων παρόχων υπηρεσιών ΤΠΕ, που αποτελεί ίσως τον πιο απαιτητικό</w:t>
      </w:r>
      <w:r>
        <w:rPr>
          <w:spacing w:val="40"/>
          <w:sz w:val="16"/>
          <w:vertAlign w:val="baseline"/>
        </w:rPr>
        <w:t> </w:t>
      </w:r>
      <w:r>
        <w:rPr>
          <w:sz w:val="16"/>
          <w:vertAlign w:val="baseline"/>
        </w:rPr>
        <w:t>πυλώνα,</w:t>
      </w:r>
      <w:r>
        <w:rPr>
          <w:spacing w:val="-1"/>
          <w:sz w:val="16"/>
          <w:vertAlign w:val="baseline"/>
        </w:rPr>
        <w:t> </w:t>
      </w:r>
      <w:r>
        <w:rPr>
          <w:sz w:val="16"/>
          <w:vertAlign w:val="baseline"/>
        </w:rPr>
        <w:t>βλ.</w:t>
      </w:r>
      <w:r>
        <w:rPr>
          <w:spacing w:val="-1"/>
          <w:sz w:val="16"/>
          <w:vertAlign w:val="baseline"/>
        </w:rPr>
        <w:t> </w:t>
      </w:r>
      <w:hyperlink w:history="true" w:anchor="_bookmark196">
        <w:r>
          <w:rPr>
            <w:color w:val="0000FF"/>
            <w:sz w:val="16"/>
            <w:u w:val="single" w:color="0000FF"/>
            <w:vertAlign w:val="baseline"/>
          </w:rPr>
          <w:t>Ειδικό</w:t>
        </w:r>
        <w:r>
          <w:rPr>
            <w:color w:val="0000FF"/>
            <w:spacing w:val="-1"/>
            <w:sz w:val="16"/>
            <w:u w:val="single" w:color="0000FF"/>
            <w:vertAlign w:val="baseline"/>
          </w:rPr>
          <w:t> </w:t>
        </w:r>
        <w:r>
          <w:rPr>
            <w:color w:val="0000FF"/>
            <w:sz w:val="16"/>
            <w:u w:val="single" w:color="0000FF"/>
            <w:vertAlign w:val="baseline"/>
          </w:rPr>
          <w:t>Θέμα III: Διαχείριση κινδύνου τρίτων</w:t>
        </w:r>
        <w:r>
          <w:rPr>
            <w:color w:val="0000FF"/>
            <w:spacing w:val="-3"/>
            <w:sz w:val="16"/>
            <w:u w:val="single" w:color="0000FF"/>
            <w:vertAlign w:val="baseline"/>
          </w:rPr>
          <w:t> </w:t>
        </w:r>
        <w:r>
          <w:rPr>
            <w:color w:val="0000FF"/>
            <w:sz w:val="16"/>
            <w:u w:val="single" w:color="0000FF"/>
            <w:vertAlign w:val="baseline"/>
          </w:rPr>
          <w:t>παρόχων</w:t>
        </w:r>
        <w:r>
          <w:rPr>
            <w:color w:val="0000FF"/>
            <w:spacing w:val="-3"/>
            <w:sz w:val="16"/>
            <w:u w:val="single" w:color="0000FF"/>
            <w:vertAlign w:val="baseline"/>
          </w:rPr>
          <w:t> </w:t>
        </w:r>
        <w:r>
          <w:rPr>
            <w:color w:val="0000FF"/>
            <w:sz w:val="16"/>
            <w:u w:val="single" w:color="0000FF"/>
            <w:vertAlign w:val="baseline"/>
          </w:rPr>
          <w:t>υπηρεσιών τεχνολογιών</w:t>
        </w:r>
        <w:r>
          <w:rPr>
            <w:color w:val="0000FF"/>
            <w:spacing w:val="-3"/>
            <w:sz w:val="16"/>
            <w:u w:val="single" w:color="0000FF"/>
            <w:vertAlign w:val="baseline"/>
          </w:rPr>
          <w:t> </w:t>
        </w:r>
        <w:r>
          <w:rPr>
            <w:color w:val="0000FF"/>
            <w:sz w:val="16"/>
            <w:u w:val="single" w:color="0000FF"/>
            <w:vertAlign w:val="baseline"/>
          </w:rPr>
          <w:t>πληροφοριών</w:t>
        </w:r>
        <w:r>
          <w:rPr>
            <w:color w:val="0000FF"/>
            <w:spacing w:val="-3"/>
            <w:sz w:val="16"/>
            <w:u w:val="single" w:color="0000FF"/>
            <w:vertAlign w:val="baseline"/>
          </w:rPr>
          <w:t> </w:t>
        </w:r>
        <w:r>
          <w:rPr>
            <w:color w:val="0000FF"/>
            <w:sz w:val="16"/>
            <w:u w:val="single" w:color="0000FF"/>
            <w:vertAlign w:val="baseline"/>
          </w:rPr>
          <w:t>και</w:t>
        </w:r>
        <w:r>
          <w:rPr>
            <w:color w:val="0000FF"/>
            <w:spacing w:val="-2"/>
            <w:sz w:val="16"/>
            <w:u w:val="single" w:color="0000FF"/>
            <w:vertAlign w:val="baseline"/>
          </w:rPr>
          <w:t> </w:t>
        </w:r>
        <w:r>
          <w:rPr>
            <w:color w:val="0000FF"/>
            <w:sz w:val="16"/>
            <w:u w:val="single" w:color="0000FF"/>
            <w:vertAlign w:val="baseline"/>
          </w:rPr>
          <w:t>επικοινωνιών</w:t>
        </w:r>
      </w:hyperlink>
      <w:r>
        <w:rPr>
          <w:color w:val="0000FF"/>
          <w:sz w:val="16"/>
          <w:vertAlign w:val="baseline"/>
        </w:rPr>
        <w:t> </w:t>
      </w:r>
      <w:r>
        <w:rPr>
          <w:sz w:val="16"/>
          <w:vertAlign w:val="baseline"/>
        </w:rPr>
        <w:t>της</w:t>
      </w:r>
      <w:r>
        <w:rPr>
          <w:spacing w:val="-1"/>
          <w:sz w:val="16"/>
          <w:vertAlign w:val="baseline"/>
        </w:rPr>
        <w:t> </w:t>
      </w:r>
      <w:r>
        <w:rPr>
          <w:sz w:val="16"/>
          <w:vertAlign w:val="baseline"/>
        </w:rPr>
        <w:t>πα-ρούσας</w:t>
      </w:r>
      <w:r>
        <w:rPr>
          <w:spacing w:val="-3"/>
          <w:sz w:val="16"/>
          <w:vertAlign w:val="baseline"/>
        </w:rPr>
        <w:t> </w:t>
      </w:r>
      <w:r>
        <w:rPr>
          <w:sz w:val="16"/>
          <w:vertAlign w:val="baseline"/>
        </w:rPr>
        <w:t>Έκθεσης.</w:t>
      </w:r>
    </w:p>
    <w:p>
      <w:pPr>
        <w:spacing w:after="0"/>
        <w:jc w:val="both"/>
        <w:rPr>
          <w:sz w:val="16"/>
        </w:rPr>
        <w:sectPr>
          <w:pgSz w:w="11910" w:h="16850"/>
          <w:pgMar w:header="0" w:footer="1108" w:top="1800" w:bottom="1300" w:left="1417" w:right="850"/>
        </w:sectPr>
      </w:pPr>
    </w:p>
    <w:p>
      <w:pPr>
        <w:pStyle w:val="Heading3"/>
        <w:numPr>
          <w:ilvl w:val="2"/>
          <w:numId w:val="2"/>
        </w:numPr>
        <w:tabs>
          <w:tab w:pos="738" w:val="left" w:leader="none"/>
        </w:tabs>
        <w:spacing w:line="240" w:lineRule="auto" w:before="72" w:after="0"/>
        <w:ind w:left="738" w:right="0" w:hanging="566"/>
        <w:jc w:val="left"/>
        <w:rPr>
          <w:color w:val="1F487C"/>
        </w:rPr>
      </w:pPr>
      <w:bookmarkStart w:name="_bookmark71" w:id="72"/>
      <w:bookmarkEnd w:id="72"/>
      <w:r>
        <w:rPr>
          <w:b w:val="0"/>
        </w:rPr>
      </w:r>
      <w:r>
        <w:rPr>
          <w:color w:val="1F487C"/>
        </w:rPr>
        <w:t>ΚΙΝΔΥΝΟΙ</w:t>
      </w:r>
      <w:r>
        <w:rPr>
          <w:color w:val="1F487C"/>
          <w:spacing w:val="-6"/>
        </w:rPr>
        <w:t> </w:t>
      </w:r>
      <w:r>
        <w:rPr>
          <w:color w:val="1F487C"/>
        </w:rPr>
        <w:t>ΑΠΟ</w:t>
      </w:r>
      <w:r>
        <w:rPr>
          <w:color w:val="1F487C"/>
          <w:spacing w:val="-7"/>
        </w:rPr>
        <w:t> </w:t>
      </w:r>
      <w:r>
        <w:rPr>
          <w:color w:val="1F487C"/>
        </w:rPr>
        <w:t>ΔΙΕΘΝΕΙΣ</w:t>
      </w:r>
      <w:r>
        <w:rPr>
          <w:color w:val="1F487C"/>
          <w:spacing w:val="-5"/>
        </w:rPr>
        <w:t> </w:t>
      </w:r>
      <w:r>
        <w:rPr>
          <w:color w:val="1F487C"/>
          <w:spacing w:val="-2"/>
        </w:rPr>
        <w:t>ΔΡΑΣΤΗΡΙΟΤΗΤΕΣ</w:t>
      </w:r>
    </w:p>
    <w:p>
      <w:pPr>
        <w:pStyle w:val="BodyText"/>
        <w:spacing w:line="285" w:lineRule="auto" w:before="93"/>
        <w:ind w:left="172" w:right="956"/>
        <w:jc w:val="both"/>
        <w:rPr>
          <w:position w:val="6"/>
          <w:sz w:val="10"/>
        </w:rPr>
      </w:pPr>
      <w:r>
        <w:rPr/>
        <w:t>Το</w:t>
      </w:r>
      <w:r>
        <w:rPr>
          <w:spacing w:val="-11"/>
        </w:rPr>
        <w:t> </w:t>
      </w:r>
      <w:r>
        <w:rPr/>
        <w:t>2025</w:t>
      </w:r>
      <w:r>
        <w:rPr>
          <w:spacing w:val="-11"/>
        </w:rPr>
        <w:t> </w:t>
      </w:r>
      <w:r>
        <w:rPr/>
        <w:t>οι</w:t>
      </w:r>
      <w:r>
        <w:rPr>
          <w:spacing w:val="-10"/>
        </w:rPr>
        <w:t> </w:t>
      </w:r>
      <w:r>
        <w:rPr/>
        <w:t>ελληνικές</w:t>
      </w:r>
      <w:r>
        <w:rPr>
          <w:spacing w:val="-12"/>
        </w:rPr>
        <w:t> </w:t>
      </w:r>
      <w:r>
        <w:rPr/>
        <w:t>τράπεζες</w:t>
      </w:r>
      <w:r>
        <w:rPr>
          <w:spacing w:val="-9"/>
        </w:rPr>
        <w:t> </w:t>
      </w:r>
      <w:r>
        <w:rPr/>
        <w:t>διεύρυναν</w:t>
      </w:r>
      <w:r>
        <w:rPr>
          <w:spacing w:val="-9"/>
        </w:rPr>
        <w:t> </w:t>
      </w:r>
      <w:r>
        <w:rPr/>
        <w:t>τη</w:t>
      </w:r>
      <w:r>
        <w:rPr>
          <w:spacing w:val="-11"/>
        </w:rPr>
        <w:t> </w:t>
      </w:r>
      <w:r>
        <w:rPr/>
        <w:t>διεθνή</w:t>
      </w:r>
      <w:r>
        <w:rPr>
          <w:spacing w:val="-11"/>
        </w:rPr>
        <w:t> </w:t>
      </w:r>
      <w:r>
        <w:rPr/>
        <w:t>τους</w:t>
      </w:r>
      <w:r>
        <w:rPr>
          <w:spacing w:val="-12"/>
        </w:rPr>
        <w:t> </w:t>
      </w:r>
      <w:r>
        <w:rPr/>
        <w:t>παρουσία.</w:t>
      </w:r>
      <w:r>
        <w:rPr>
          <w:spacing w:val="-10"/>
        </w:rPr>
        <w:t> </w:t>
      </w:r>
      <w:r>
        <w:rPr/>
        <w:t>Ειδικότερα,</w:t>
      </w:r>
      <w:r>
        <w:rPr>
          <w:spacing w:val="-13"/>
        </w:rPr>
        <w:t> </w:t>
      </w:r>
      <w:r>
        <w:rPr/>
        <w:t>ολοκληρώθηκαν η</w:t>
      </w:r>
      <w:r>
        <w:rPr>
          <w:spacing w:val="-13"/>
        </w:rPr>
        <w:t> </w:t>
      </w:r>
      <w:r>
        <w:rPr/>
        <w:t>συγχώνευση</w:t>
      </w:r>
      <w:r>
        <w:rPr>
          <w:spacing w:val="-14"/>
        </w:rPr>
        <w:t> </w:t>
      </w:r>
      <w:r>
        <w:rPr/>
        <w:t>της</w:t>
      </w:r>
      <w:r>
        <w:rPr>
          <w:spacing w:val="-13"/>
        </w:rPr>
        <w:t> </w:t>
      </w:r>
      <w:r>
        <w:rPr/>
        <w:t>Ελληνικής</w:t>
      </w:r>
      <w:r>
        <w:rPr>
          <w:spacing w:val="-13"/>
        </w:rPr>
        <w:t> </w:t>
      </w:r>
      <w:r>
        <w:rPr/>
        <w:t>Τράπεζας</w:t>
      </w:r>
      <w:r>
        <w:rPr>
          <w:spacing w:val="-13"/>
        </w:rPr>
        <w:t> </w:t>
      </w:r>
      <w:r>
        <w:rPr/>
        <w:t>και</w:t>
      </w:r>
      <w:r>
        <w:rPr>
          <w:spacing w:val="-12"/>
        </w:rPr>
        <w:t> </w:t>
      </w:r>
      <w:r>
        <w:rPr/>
        <w:t>της</w:t>
      </w:r>
      <w:r>
        <w:rPr>
          <w:spacing w:val="-11"/>
        </w:rPr>
        <w:t> </w:t>
      </w:r>
      <w:r>
        <w:rPr/>
        <w:t>Eurobank</w:t>
      </w:r>
      <w:r>
        <w:rPr>
          <w:spacing w:val="-12"/>
        </w:rPr>
        <w:t> </w:t>
      </w:r>
      <w:r>
        <w:rPr/>
        <w:t>Κύπρου</w:t>
      </w:r>
      <w:hyperlink w:history="true" w:anchor="_bookmark72">
        <w:r>
          <w:rPr>
            <w:position w:val="6"/>
            <w:sz w:val="10"/>
          </w:rPr>
          <w:t>50</w:t>
        </w:r>
      </w:hyperlink>
      <w:r>
        <w:rPr>
          <w:spacing w:val="18"/>
          <w:position w:val="6"/>
          <w:sz w:val="10"/>
        </w:rPr>
        <w:t> </w:t>
      </w:r>
      <w:r>
        <w:rPr/>
        <w:t>και</w:t>
      </w:r>
      <w:r>
        <w:rPr>
          <w:spacing w:val="-12"/>
        </w:rPr>
        <w:t> </w:t>
      </w:r>
      <w:r>
        <w:rPr/>
        <w:t>η</w:t>
      </w:r>
      <w:r>
        <w:rPr>
          <w:spacing w:val="-12"/>
        </w:rPr>
        <w:t> </w:t>
      </w:r>
      <w:r>
        <w:rPr/>
        <w:t>εξαγορά</w:t>
      </w:r>
      <w:r>
        <w:rPr>
          <w:spacing w:val="-12"/>
        </w:rPr>
        <w:t> </w:t>
      </w:r>
      <w:r>
        <w:rPr/>
        <w:t>της</w:t>
      </w:r>
      <w:r>
        <w:rPr>
          <w:spacing w:val="-13"/>
        </w:rPr>
        <w:t> </w:t>
      </w:r>
      <w:r>
        <w:rPr/>
        <w:t>AstroBank από</w:t>
      </w:r>
      <w:r>
        <w:rPr>
          <w:spacing w:val="-5"/>
        </w:rPr>
        <w:t> </w:t>
      </w:r>
      <w:r>
        <w:rPr/>
        <w:t>την</w:t>
      </w:r>
      <w:r>
        <w:rPr>
          <w:spacing w:val="-4"/>
        </w:rPr>
        <w:t> </w:t>
      </w:r>
      <w:r>
        <w:rPr/>
        <w:t>Alpha</w:t>
      </w:r>
      <w:r>
        <w:rPr>
          <w:spacing w:val="-7"/>
        </w:rPr>
        <w:t> </w:t>
      </w:r>
      <w:r>
        <w:rPr/>
        <w:t>Bank</w:t>
      </w:r>
      <w:r>
        <w:rPr>
          <w:spacing w:val="-7"/>
        </w:rPr>
        <w:t> </w:t>
      </w:r>
      <w:r>
        <w:rPr/>
        <w:t>Κύπρου</w:t>
      </w:r>
      <w:hyperlink w:history="true" w:anchor="_bookmark73">
        <w:r>
          <w:rPr/>
          <w:t>.</w:t>
        </w:r>
        <w:r>
          <w:rPr>
            <w:position w:val="6"/>
            <w:sz w:val="10"/>
          </w:rPr>
          <w:t>51</w:t>
        </w:r>
      </w:hyperlink>
      <w:r>
        <w:rPr>
          <w:spacing w:val="25"/>
          <w:position w:val="6"/>
          <w:sz w:val="10"/>
        </w:rPr>
        <w:t> </w:t>
      </w:r>
      <w:r>
        <w:rPr/>
        <w:t>Τέλος,</w:t>
      </w:r>
      <w:r>
        <w:rPr>
          <w:spacing w:val="-7"/>
        </w:rPr>
        <w:t> </w:t>
      </w:r>
      <w:r>
        <w:rPr/>
        <w:t>η</w:t>
      </w:r>
      <w:r>
        <w:rPr>
          <w:spacing w:val="-5"/>
        </w:rPr>
        <w:t> </w:t>
      </w:r>
      <w:r>
        <w:rPr/>
        <w:t>CrediaBank</w:t>
      </w:r>
      <w:r>
        <w:rPr>
          <w:spacing w:val="-7"/>
        </w:rPr>
        <w:t> </w:t>
      </w:r>
      <w:r>
        <w:rPr/>
        <w:t>ανακοίνωσε</w:t>
      </w:r>
      <w:r>
        <w:rPr>
          <w:spacing w:val="-6"/>
        </w:rPr>
        <w:t> </w:t>
      </w:r>
      <w:r>
        <w:rPr/>
        <w:t>συμφωνία</w:t>
      </w:r>
      <w:r>
        <w:rPr>
          <w:spacing w:val="-7"/>
        </w:rPr>
        <w:t> </w:t>
      </w:r>
      <w:r>
        <w:rPr/>
        <w:t>για</w:t>
      </w:r>
      <w:r>
        <w:rPr>
          <w:spacing w:val="-4"/>
        </w:rPr>
        <w:t> </w:t>
      </w:r>
      <w:r>
        <w:rPr/>
        <w:t>την</w:t>
      </w:r>
      <w:r>
        <w:rPr>
          <w:spacing w:val="-7"/>
        </w:rPr>
        <w:t> </w:t>
      </w:r>
      <w:r>
        <w:rPr/>
        <w:t>εξαγορά</w:t>
      </w:r>
      <w:r>
        <w:rPr>
          <w:spacing w:val="-5"/>
        </w:rPr>
        <w:t> </w:t>
      </w:r>
      <w:r>
        <w:rPr/>
        <w:t>του 70,03% των μετοχών της HSBC Malta</w:t>
      </w:r>
      <w:hyperlink w:history="true" w:anchor="_bookmark74">
        <w:r>
          <w:rPr/>
          <w:t>.</w:t>
        </w:r>
        <w:r>
          <w:rPr>
            <w:position w:val="6"/>
            <w:sz w:val="10"/>
          </w:rPr>
          <w:t>52</w:t>
        </w:r>
      </w:hyperlink>
    </w:p>
    <w:p>
      <w:pPr>
        <w:pStyle w:val="BodyText"/>
        <w:spacing w:line="285" w:lineRule="auto" w:before="56"/>
        <w:ind w:left="172" w:right="956"/>
        <w:jc w:val="both"/>
        <w:rPr>
          <w:position w:val="6"/>
          <w:sz w:val="10"/>
        </w:rPr>
      </w:pPr>
      <w:r>
        <w:rPr/>
        <w:t>Το ενεργητικό</w:t>
      </w:r>
      <w:r>
        <w:rPr>
          <w:spacing w:val="-1"/>
        </w:rPr>
        <w:t> </w:t>
      </w:r>
      <w:r>
        <w:rPr/>
        <w:t>των ελληνικών θυγατρικών πιστωτικών ιδρυμάτων και</w:t>
      </w:r>
      <w:r>
        <w:rPr>
          <w:spacing w:val="-1"/>
        </w:rPr>
        <w:t> </w:t>
      </w:r>
      <w:r>
        <w:rPr/>
        <w:t>υποκαταστημάτων στο ε-ξωτερικό ανήλθε τον Δεκέμβριο του 2025</w:t>
      </w:r>
      <w:r>
        <w:rPr>
          <w:spacing w:val="-2"/>
        </w:rPr>
        <w:t> </w:t>
      </w:r>
      <w:r>
        <w:rPr/>
        <w:t>σε 65,1 δισεκ. ευρώ, αυξημένο κατά 18,9% σε σχέση με το τέλος του 2024. Το μερίδιο των διεθνών δραστηριοτήτων στο συνολικό ενεργητικό των τραπεζικών ομίλων σε ενοποιημένη βάση διαμορφώθηκε σε 14,4% τον Δεκέμβριο του 2025.</w:t>
      </w:r>
      <w:hyperlink w:history="true" w:anchor="_bookmark75">
        <w:r>
          <w:rPr>
            <w:position w:val="6"/>
            <w:sz w:val="10"/>
          </w:rPr>
          <w:t>53</w:t>
        </w:r>
      </w:hyperlink>
    </w:p>
    <w:p>
      <w:pPr>
        <w:pStyle w:val="BodyText"/>
        <w:spacing w:line="285" w:lineRule="auto" w:before="116"/>
        <w:ind w:left="172" w:right="957"/>
        <w:jc w:val="both"/>
      </w:pPr>
      <w:r>
        <w:rPr/>
        <mc:AlternateContent>
          <mc:Choice Requires="wps">
            <w:drawing>
              <wp:anchor distT="0" distB="0" distL="0" distR="0" allowOverlap="1" layoutInCell="1" locked="0" behindDoc="0" simplePos="0" relativeHeight="15773696">
                <wp:simplePos x="0" y="0"/>
                <wp:positionH relativeFrom="page">
                  <wp:posOffset>3624707</wp:posOffset>
                </wp:positionH>
                <wp:positionV relativeFrom="paragraph">
                  <wp:posOffset>375072</wp:posOffset>
                </wp:positionV>
                <wp:extent cx="2776220" cy="46990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2776220" cy="469900"/>
                        </a:xfrm>
                        <a:prstGeom prst="rect">
                          <a:avLst/>
                        </a:prstGeom>
                        <a:solidFill>
                          <a:srgbClr val="1F487C"/>
                        </a:solidFill>
                      </wps:spPr>
                      <wps:txbx>
                        <w:txbxContent>
                          <w:p>
                            <w:pPr>
                              <w:spacing w:before="60"/>
                              <w:ind w:left="112" w:right="17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III.13</w:t>
                            </w:r>
                            <w:r>
                              <w:rPr>
                                <w:b/>
                                <w:smallCaps w:val="0"/>
                                <w:color w:val="FFFFFF"/>
                                <w:spacing w:val="-5"/>
                                <w:sz w:val="18"/>
                              </w:rPr>
                              <w:t> </w:t>
                            </w:r>
                            <w:r>
                              <w:rPr>
                                <w:b/>
                                <w:smallCaps w:val="0"/>
                                <w:color w:val="FFFFFF"/>
                                <w:sz w:val="18"/>
                              </w:rPr>
                              <w:t>Κατανομή</w:t>
                            </w:r>
                            <w:r>
                              <w:rPr>
                                <w:b/>
                                <w:smallCaps w:val="0"/>
                                <w:color w:val="FFFFFF"/>
                                <w:spacing w:val="-7"/>
                                <w:sz w:val="18"/>
                              </w:rPr>
                              <w:t> </w:t>
                            </w:r>
                            <w:r>
                              <w:rPr>
                                <w:b/>
                                <w:smallCaps w:val="0"/>
                                <w:color w:val="FFFFFF"/>
                                <w:sz w:val="18"/>
                              </w:rPr>
                              <w:t>του</w:t>
                            </w:r>
                            <w:r>
                              <w:rPr>
                                <w:b/>
                                <w:smallCaps w:val="0"/>
                                <w:color w:val="FFFFFF"/>
                                <w:spacing w:val="-5"/>
                                <w:sz w:val="18"/>
                              </w:rPr>
                              <w:t> </w:t>
                            </w:r>
                            <w:r>
                              <w:rPr>
                                <w:b/>
                                <w:smallCaps w:val="0"/>
                                <w:color w:val="FFFFFF"/>
                                <w:sz w:val="18"/>
                              </w:rPr>
                              <w:t>ενεργητ</w:t>
                            </w:r>
                            <w:r>
                              <w:rPr>
                                <w:b/>
                                <w:smallCaps/>
                                <w:color w:val="FFFFFF"/>
                                <w:sz w:val="18"/>
                              </w:rPr>
                              <w:t>ι</w:t>
                            </w:r>
                            <w:r>
                              <w:rPr>
                                <w:b/>
                                <w:smallCaps w:val="0"/>
                                <w:color w:val="FFFFFF"/>
                                <w:sz w:val="18"/>
                              </w:rPr>
                              <w:t>κού</w:t>
                            </w:r>
                            <w:r>
                              <w:rPr>
                                <w:b/>
                                <w:smallCaps w:val="0"/>
                                <w:color w:val="FFFFFF"/>
                                <w:spacing w:val="-7"/>
                                <w:sz w:val="18"/>
                              </w:rPr>
                              <w:t> </w:t>
                            </w:r>
                            <w:r>
                              <w:rPr>
                                <w:b/>
                                <w:smallCaps w:val="0"/>
                                <w:color w:val="FFFFFF"/>
                                <w:sz w:val="18"/>
                              </w:rPr>
                              <w:t>των</w:t>
                            </w:r>
                            <w:r>
                              <w:rPr>
                                <w:b/>
                                <w:smallCaps w:val="0"/>
                                <w:color w:val="FFFFFF"/>
                                <w:spacing w:val="-6"/>
                                <w:sz w:val="18"/>
                              </w:rPr>
                              <w:t> </w:t>
                            </w:r>
                            <w:r>
                              <w:rPr>
                                <w:b/>
                                <w:smallCaps w:val="0"/>
                                <w:color w:val="FFFFFF"/>
                                <w:sz w:val="18"/>
                              </w:rPr>
                              <w:t>ελ-λην</w:t>
                            </w:r>
                            <w:r>
                              <w:rPr>
                                <w:b/>
                                <w:smallCaps/>
                                <w:color w:val="FFFFFF"/>
                                <w:sz w:val="18"/>
                              </w:rPr>
                              <w:t>ι</w:t>
                            </w:r>
                            <w:r>
                              <w:rPr>
                                <w:b/>
                                <w:smallCaps w:val="0"/>
                                <w:color w:val="FFFFFF"/>
                                <w:sz w:val="18"/>
                              </w:rPr>
                              <w:t>κών τραπεζ</w:t>
                            </w:r>
                            <w:r>
                              <w:rPr>
                                <w:b/>
                                <w:smallCaps/>
                                <w:color w:val="FFFFFF"/>
                                <w:sz w:val="18"/>
                              </w:rPr>
                              <w:t>ι</w:t>
                            </w:r>
                            <w:r>
                              <w:rPr>
                                <w:b/>
                                <w:smallCaps w:val="0"/>
                                <w:color w:val="FFFFFF"/>
                                <w:sz w:val="18"/>
                              </w:rPr>
                              <w:t>κών ομίλων στο εξωτερ</w:t>
                            </w:r>
                            <w:r>
                              <w:rPr>
                                <w:b/>
                                <w:smallCaps/>
                                <w:color w:val="FFFFFF"/>
                                <w:sz w:val="18"/>
                              </w:rPr>
                              <w:t>ι</w:t>
                            </w:r>
                            <w:r>
                              <w:rPr>
                                <w:b/>
                                <w:smallCaps w:val="0"/>
                                <w:color w:val="FFFFFF"/>
                                <w:sz w:val="18"/>
                              </w:rPr>
                              <w:t>κό (Δεκέμ-βρ</w:t>
                            </w:r>
                            <w:r>
                              <w:rPr>
                                <w:b/>
                                <w:smallCaps/>
                                <w:color w:val="FFFFFF"/>
                                <w:sz w:val="18"/>
                              </w:rPr>
                              <w:t>ιο</w:t>
                            </w:r>
                            <w:r>
                              <w:rPr>
                                <w:b/>
                                <w:smallCaps w:val="0"/>
                                <w:color w:val="FFFFFF"/>
                                <w:sz w:val="18"/>
                              </w:rPr>
                              <w:t>ς 2025)</w:t>
                            </w:r>
                          </w:p>
                        </w:txbxContent>
                      </wps:txbx>
                      <wps:bodyPr wrap="square" lIns="0" tIns="0" rIns="0" bIns="0" rtlCol="0">
                        <a:noAutofit/>
                      </wps:bodyPr>
                    </wps:wsp>
                  </a:graphicData>
                </a:graphic>
              </wp:anchor>
            </w:drawing>
          </mc:Choice>
          <mc:Fallback>
            <w:pict>
              <v:shape style="position:absolute;margin-left:285.410004pt;margin-top:29.5333pt;width:218.6pt;height:37pt;mso-position-horizontal-relative:page;mso-position-vertical-relative:paragraph;z-index:15773696" type="#_x0000_t202" id="docshape430" filled="true" fillcolor="#1f487c" stroked="false">
                <v:textbox inset="0,0,0,0">
                  <w:txbxContent>
                    <w:p>
                      <w:pPr>
                        <w:spacing w:before="60"/>
                        <w:ind w:left="112" w:right="17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III.13</w:t>
                      </w:r>
                      <w:r>
                        <w:rPr>
                          <w:b/>
                          <w:smallCaps w:val="0"/>
                          <w:color w:val="FFFFFF"/>
                          <w:spacing w:val="-5"/>
                          <w:sz w:val="18"/>
                        </w:rPr>
                        <w:t> </w:t>
                      </w:r>
                      <w:r>
                        <w:rPr>
                          <w:b/>
                          <w:smallCaps w:val="0"/>
                          <w:color w:val="FFFFFF"/>
                          <w:sz w:val="18"/>
                        </w:rPr>
                        <w:t>Κατανομή</w:t>
                      </w:r>
                      <w:r>
                        <w:rPr>
                          <w:b/>
                          <w:smallCaps w:val="0"/>
                          <w:color w:val="FFFFFF"/>
                          <w:spacing w:val="-7"/>
                          <w:sz w:val="18"/>
                        </w:rPr>
                        <w:t> </w:t>
                      </w:r>
                      <w:r>
                        <w:rPr>
                          <w:b/>
                          <w:smallCaps w:val="0"/>
                          <w:color w:val="FFFFFF"/>
                          <w:sz w:val="18"/>
                        </w:rPr>
                        <w:t>του</w:t>
                      </w:r>
                      <w:r>
                        <w:rPr>
                          <w:b/>
                          <w:smallCaps w:val="0"/>
                          <w:color w:val="FFFFFF"/>
                          <w:spacing w:val="-5"/>
                          <w:sz w:val="18"/>
                        </w:rPr>
                        <w:t> </w:t>
                      </w:r>
                      <w:r>
                        <w:rPr>
                          <w:b/>
                          <w:smallCaps w:val="0"/>
                          <w:color w:val="FFFFFF"/>
                          <w:sz w:val="18"/>
                        </w:rPr>
                        <w:t>ενεργητ</w:t>
                      </w:r>
                      <w:r>
                        <w:rPr>
                          <w:b/>
                          <w:smallCaps/>
                          <w:color w:val="FFFFFF"/>
                          <w:sz w:val="18"/>
                        </w:rPr>
                        <w:t>ι</w:t>
                      </w:r>
                      <w:r>
                        <w:rPr>
                          <w:b/>
                          <w:smallCaps w:val="0"/>
                          <w:color w:val="FFFFFF"/>
                          <w:sz w:val="18"/>
                        </w:rPr>
                        <w:t>κού</w:t>
                      </w:r>
                      <w:r>
                        <w:rPr>
                          <w:b/>
                          <w:smallCaps w:val="0"/>
                          <w:color w:val="FFFFFF"/>
                          <w:spacing w:val="-7"/>
                          <w:sz w:val="18"/>
                        </w:rPr>
                        <w:t> </w:t>
                      </w:r>
                      <w:r>
                        <w:rPr>
                          <w:b/>
                          <w:smallCaps w:val="0"/>
                          <w:color w:val="FFFFFF"/>
                          <w:sz w:val="18"/>
                        </w:rPr>
                        <w:t>των</w:t>
                      </w:r>
                      <w:r>
                        <w:rPr>
                          <w:b/>
                          <w:smallCaps w:val="0"/>
                          <w:color w:val="FFFFFF"/>
                          <w:spacing w:val="-6"/>
                          <w:sz w:val="18"/>
                        </w:rPr>
                        <w:t> </w:t>
                      </w:r>
                      <w:r>
                        <w:rPr>
                          <w:b/>
                          <w:smallCaps w:val="0"/>
                          <w:color w:val="FFFFFF"/>
                          <w:sz w:val="18"/>
                        </w:rPr>
                        <w:t>ελ-λην</w:t>
                      </w:r>
                      <w:r>
                        <w:rPr>
                          <w:b/>
                          <w:smallCaps/>
                          <w:color w:val="FFFFFF"/>
                          <w:sz w:val="18"/>
                        </w:rPr>
                        <w:t>ι</w:t>
                      </w:r>
                      <w:r>
                        <w:rPr>
                          <w:b/>
                          <w:smallCaps w:val="0"/>
                          <w:color w:val="FFFFFF"/>
                          <w:sz w:val="18"/>
                        </w:rPr>
                        <w:t>κών τραπεζ</w:t>
                      </w:r>
                      <w:r>
                        <w:rPr>
                          <w:b/>
                          <w:smallCaps/>
                          <w:color w:val="FFFFFF"/>
                          <w:sz w:val="18"/>
                        </w:rPr>
                        <w:t>ι</w:t>
                      </w:r>
                      <w:r>
                        <w:rPr>
                          <w:b/>
                          <w:smallCaps w:val="0"/>
                          <w:color w:val="FFFFFF"/>
                          <w:sz w:val="18"/>
                        </w:rPr>
                        <w:t>κών ομίλων στο εξωτερ</w:t>
                      </w:r>
                      <w:r>
                        <w:rPr>
                          <w:b/>
                          <w:smallCaps/>
                          <w:color w:val="FFFFFF"/>
                          <w:sz w:val="18"/>
                        </w:rPr>
                        <w:t>ι</w:t>
                      </w:r>
                      <w:r>
                        <w:rPr>
                          <w:b/>
                          <w:smallCaps w:val="0"/>
                          <w:color w:val="FFFFFF"/>
                          <w:sz w:val="18"/>
                        </w:rPr>
                        <w:t>κό (Δεκέμ-βρ</w:t>
                      </w:r>
                      <w:r>
                        <w:rPr>
                          <w:b/>
                          <w:smallCaps/>
                          <w:color w:val="FFFFFF"/>
                          <w:sz w:val="18"/>
                        </w:rPr>
                        <w:t>ιο</w:t>
                      </w:r>
                      <w:r>
                        <w:rPr>
                          <w:b/>
                          <w:smallCaps w:val="0"/>
                          <w:color w:val="FFFFFF"/>
                          <w:sz w:val="18"/>
                        </w:rPr>
                        <w:t>ς 2025)</w:t>
                      </w:r>
                    </w:p>
                  </w:txbxContent>
                </v:textbox>
                <v:fill type="solid"/>
                <w10:wrap type="none"/>
              </v:shape>
            </w:pict>
          </mc:Fallback>
        </mc:AlternateContent>
      </w:r>
      <w:r>
        <w:rPr/>
        <w:t>Ως προς τη γεωγραφική κατανομή, η Νοτιοανατολική Ευρώπη (ΝΑ Ευρώπη)</w:t>
      </w:r>
      <w:hyperlink w:history="true" w:anchor="_bookmark76">
        <w:r>
          <w:rPr>
            <w:position w:val="6"/>
            <w:sz w:val="10"/>
          </w:rPr>
          <w:t>54</w:t>
        </w:r>
      </w:hyperlink>
      <w:r>
        <w:rPr>
          <w:spacing w:val="36"/>
          <w:position w:val="6"/>
          <w:sz w:val="10"/>
        </w:rPr>
        <w:t> </w:t>
      </w:r>
      <w:r>
        <w:rPr/>
        <w:t>αντιπροσωπεύει το 83% του συνολικού ενεργητικού των διε-</w:t>
      </w:r>
    </w:p>
    <w:p>
      <w:pPr>
        <w:pStyle w:val="BodyText"/>
        <w:spacing w:line="285" w:lineRule="auto"/>
        <w:ind w:left="172" w:right="5524"/>
        <w:jc w:val="both"/>
      </w:pPr>
      <w:r>
        <w:rPr>
          <w:spacing w:val="-2"/>
        </w:rPr>
        <w:t>θνών</w:t>
      </w:r>
      <w:r>
        <w:rPr>
          <w:spacing w:val="-4"/>
        </w:rPr>
        <w:t> </w:t>
      </w:r>
      <w:r>
        <w:rPr>
          <w:spacing w:val="-2"/>
        </w:rPr>
        <w:t>δραστηριοτήτων</w:t>
      </w:r>
      <w:r>
        <w:rPr>
          <w:spacing w:val="-4"/>
        </w:rPr>
        <w:t> </w:t>
      </w:r>
      <w:r>
        <w:rPr>
          <w:spacing w:val="-2"/>
        </w:rPr>
        <w:t>των</w:t>
      </w:r>
      <w:r>
        <w:rPr>
          <w:spacing w:val="-4"/>
        </w:rPr>
        <w:t> </w:t>
      </w:r>
      <w:r>
        <w:rPr>
          <w:spacing w:val="-2"/>
        </w:rPr>
        <w:t>ελληνικών</w:t>
      </w:r>
      <w:r>
        <w:rPr>
          <w:spacing w:val="-4"/>
        </w:rPr>
        <w:t> </w:t>
      </w:r>
      <w:r>
        <w:rPr>
          <w:spacing w:val="-2"/>
        </w:rPr>
        <w:t>τραπε-</w:t>
      </w:r>
      <w:r>
        <w:rPr/>
        <w:t>ζικών</w:t>
      </w:r>
      <w:r>
        <w:rPr>
          <w:spacing w:val="28"/>
        </w:rPr>
        <w:t> </w:t>
      </w:r>
      <w:r>
        <w:rPr/>
        <w:t>ομίλων</w:t>
      </w:r>
      <w:r>
        <w:rPr>
          <w:spacing w:val="30"/>
        </w:rPr>
        <w:t> </w:t>
      </w:r>
      <w:r>
        <w:rPr/>
        <w:t>τον</w:t>
      </w:r>
      <w:r>
        <w:rPr>
          <w:spacing w:val="32"/>
        </w:rPr>
        <w:t> </w:t>
      </w:r>
      <w:r>
        <w:rPr/>
        <w:t>Δεκέμβριο</w:t>
      </w:r>
      <w:r>
        <w:rPr>
          <w:spacing w:val="31"/>
        </w:rPr>
        <w:t> </w:t>
      </w:r>
      <w:r>
        <w:rPr/>
        <w:t>του</w:t>
      </w:r>
      <w:r>
        <w:rPr>
          <w:spacing w:val="30"/>
        </w:rPr>
        <w:t> </w:t>
      </w:r>
      <w:r>
        <w:rPr/>
        <w:t>2025,</w:t>
      </w:r>
      <w:r>
        <w:rPr>
          <w:spacing w:val="31"/>
        </w:rPr>
        <w:t> </w:t>
      </w:r>
      <w:r>
        <w:rPr>
          <w:spacing w:val="-5"/>
        </w:rPr>
        <w:t>με</w:t>
      </w:r>
    </w:p>
    <w:p>
      <w:pPr>
        <w:pStyle w:val="BodyText"/>
        <w:spacing w:after="0" w:line="285" w:lineRule="auto"/>
        <w:jc w:val="both"/>
        <w:sectPr>
          <w:pgSz w:w="11910" w:h="16850"/>
          <w:pgMar w:header="0" w:footer="1108" w:top="1800" w:bottom="1300" w:left="1417" w:right="850"/>
        </w:sectPr>
      </w:pPr>
    </w:p>
    <w:p>
      <w:pPr>
        <w:pStyle w:val="BodyText"/>
        <w:spacing w:line="285" w:lineRule="auto"/>
        <w:ind w:left="172"/>
        <w:jc w:val="both"/>
      </w:pPr>
      <w:r>
        <w:rPr/>
        <w:t>κυριότερη παρουσία στην Κύπρο και τη Βουλγαρία (βλ. Διάγραμμα ΙΙΙ.13). Τα χρη-ματοοικονομικά</w:t>
      </w:r>
      <w:r>
        <w:rPr>
          <w:spacing w:val="-10"/>
        </w:rPr>
        <w:t> </w:t>
      </w:r>
      <w:r>
        <w:rPr/>
        <w:t>κέντρα,</w:t>
      </w:r>
      <w:r>
        <w:rPr>
          <w:spacing w:val="-12"/>
        </w:rPr>
        <w:t> </w:t>
      </w:r>
      <w:r>
        <w:rPr/>
        <w:t>δηλαδή</w:t>
      </w:r>
      <w:r>
        <w:rPr>
          <w:spacing w:val="-9"/>
        </w:rPr>
        <w:t> </w:t>
      </w:r>
      <w:r>
        <w:rPr/>
        <w:t>το</w:t>
      </w:r>
      <w:r>
        <w:rPr>
          <w:spacing w:val="-12"/>
        </w:rPr>
        <w:t> </w:t>
      </w:r>
      <w:r>
        <w:rPr/>
        <w:t>Λουξεμ-βούργο, η Γερμανία και το Ηνωμένο Βασί-λειο, αντιπροσωπεύουν ποσοστό 16,7%, με τη</w:t>
      </w:r>
      <w:r>
        <w:rPr>
          <w:spacing w:val="-11"/>
        </w:rPr>
        <w:t> </w:t>
      </w:r>
      <w:r>
        <w:rPr/>
        <w:t>μεγαλύτερη</w:t>
      </w:r>
      <w:r>
        <w:rPr>
          <w:spacing w:val="-11"/>
        </w:rPr>
        <w:t> </w:t>
      </w:r>
      <w:r>
        <w:rPr/>
        <w:t>παρουσία</w:t>
      </w:r>
      <w:r>
        <w:rPr>
          <w:spacing w:val="-13"/>
        </w:rPr>
        <w:t> </w:t>
      </w:r>
      <w:r>
        <w:rPr/>
        <w:t>να</w:t>
      </w:r>
      <w:r>
        <w:rPr>
          <w:spacing w:val="-12"/>
        </w:rPr>
        <w:t> </w:t>
      </w:r>
      <w:r>
        <w:rPr/>
        <w:t>εμφανίζεται</w:t>
      </w:r>
      <w:r>
        <w:rPr>
          <w:spacing w:val="-13"/>
        </w:rPr>
        <w:t> </w:t>
      </w:r>
      <w:r>
        <w:rPr/>
        <w:t>στο Λουξεμβούργο.</w:t>
      </w:r>
      <w:r>
        <w:rPr>
          <w:spacing w:val="-12"/>
        </w:rPr>
        <w:t> </w:t>
      </w:r>
      <w:r>
        <w:rPr/>
        <w:t>Ως</w:t>
      </w:r>
      <w:r>
        <w:rPr>
          <w:spacing w:val="-12"/>
        </w:rPr>
        <w:t> </w:t>
      </w:r>
      <w:r>
        <w:rPr/>
        <w:t>προς</w:t>
      </w:r>
      <w:r>
        <w:rPr>
          <w:spacing w:val="-12"/>
        </w:rPr>
        <w:t> </w:t>
      </w:r>
      <w:r>
        <w:rPr/>
        <w:t>τις</w:t>
      </w:r>
      <w:r>
        <w:rPr>
          <w:spacing w:val="-12"/>
        </w:rPr>
        <w:t> </w:t>
      </w:r>
      <w:r>
        <w:rPr/>
        <w:t>καταθέσεις</w:t>
      </w:r>
      <w:r>
        <w:rPr>
          <w:spacing w:val="-12"/>
        </w:rPr>
        <w:t> </w:t>
      </w:r>
      <w:r>
        <w:rPr/>
        <w:t>εξω-τερικού,</w:t>
      </w:r>
      <w:r>
        <w:rPr>
          <w:spacing w:val="-14"/>
        </w:rPr>
        <w:t> </w:t>
      </w:r>
      <w:r>
        <w:rPr/>
        <w:t>το</w:t>
      </w:r>
      <w:r>
        <w:rPr>
          <w:spacing w:val="-14"/>
        </w:rPr>
        <w:t> </w:t>
      </w:r>
      <w:r>
        <w:rPr/>
        <w:t>μερίδιο</w:t>
      </w:r>
      <w:r>
        <w:rPr>
          <w:spacing w:val="-14"/>
        </w:rPr>
        <w:t> </w:t>
      </w:r>
      <w:r>
        <w:rPr/>
        <w:t>της</w:t>
      </w:r>
      <w:r>
        <w:rPr>
          <w:spacing w:val="-13"/>
        </w:rPr>
        <w:t> </w:t>
      </w:r>
      <w:r>
        <w:rPr/>
        <w:t>ΝΑ</w:t>
      </w:r>
      <w:r>
        <w:rPr>
          <w:spacing w:val="-14"/>
        </w:rPr>
        <w:t> </w:t>
      </w:r>
      <w:r>
        <w:rPr/>
        <w:t>Ευρώπης</w:t>
      </w:r>
      <w:r>
        <w:rPr>
          <w:spacing w:val="-14"/>
        </w:rPr>
        <w:t> </w:t>
      </w:r>
      <w:r>
        <w:rPr/>
        <w:t>είναι</w:t>
      </w:r>
      <w:r>
        <w:rPr>
          <w:spacing w:val="-14"/>
        </w:rPr>
        <w:t> </w:t>
      </w:r>
      <w:r>
        <w:rPr/>
        <w:t>α-κόμη</w:t>
      </w:r>
      <w:r>
        <w:rPr>
          <w:spacing w:val="-2"/>
        </w:rPr>
        <w:t> </w:t>
      </w:r>
      <w:r>
        <w:rPr/>
        <w:t>μεγαλύτερο</w:t>
      </w:r>
      <w:r>
        <w:rPr>
          <w:spacing w:val="-2"/>
        </w:rPr>
        <w:t> </w:t>
      </w:r>
      <w:r>
        <w:rPr/>
        <w:t>(92,8%,</w:t>
      </w:r>
      <w:r>
        <w:rPr>
          <w:spacing w:val="-3"/>
        </w:rPr>
        <w:t> </w:t>
      </w:r>
      <w:r>
        <w:rPr/>
        <w:t>βλ.</w:t>
      </w:r>
      <w:r>
        <w:rPr>
          <w:spacing w:val="-2"/>
        </w:rPr>
        <w:t> </w:t>
      </w:r>
      <w:r>
        <w:rPr/>
        <w:t>Πίνακα</w:t>
      </w:r>
      <w:r>
        <w:rPr>
          <w:spacing w:val="-2"/>
        </w:rPr>
        <w:t> </w:t>
      </w:r>
      <w:r>
        <w:rPr/>
        <w:t>ΙΙΙ.5), καθώς</w:t>
      </w:r>
      <w:r>
        <w:rPr>
          <w:spacing w:val="-2"/>
        </w:rPr>
        <w:t> </w:t>
      </w:r>
      <w:r>
        <w:rPr/>
        <w:t>εκεί</w:t>
      </w:r>
      <w:r>
        <w:rPr>
          <w:spacing w:val="-3"/>
        </w:rPr>
        <w:t> </w:t>
      </w:r>
      <w:r>
        <w:rPr/>
        <w:t>συγκεντρώνεται</w:t>
      </w:r>
      <w:r>
        <w:rPr>
          <w:spacing w:val="-1"/>
        </w:rPr>
        <w:t> </w:t>
      </w:r>
      <w:r>
        <w:rPr/>
        <w:t>και</w:t>
      </w:r>
      <w:r>
        <w:rPr>
          <w:spacing w:val="-1"/>
        </w:rPr>
        <w:t> </w:t>
      </w:r>
      <w:r>
        <w:rPr/>
        <w:t>ο μεγαλύτε-ρος</w:t>
      </w:r>
      <w:r>
        <w:rPr>
          <w:spacing w:val="-11"/>
        </w:rPr>
        <w:t> </w:t>
      </w:r>
      <w:r>
        <w:rPr/>
        <w:t>αριθμός</w:t>
      </w:r>
      <w:r>
        <w:rPr>
          <w:spacing w:val="-11"/>
        </w:rPr>
        <w:t> </w:t>
      </w:r>
      <w:r>
        <w:rPr/>
        <w:t>υπηρεσιακών</w:t>
      </w:r>
      <w:r>
        <w:rPr>
          <w:spacing w:val="-11"/>
        </w:rPr>
        <w:t> </w:t>
      </w:r>
      <w:r>
        <w:rPr/>
        <w:t>μονάδων</w:t>
      </w:r>
      <w:r>
        <w:rPr>
          <w:spacing w:val="-9"/>
        </w:rPr>
        <w:t> </w:t>
      </w:r>
      <w:r>
        <w:rPr/>
        <w:t>και</w:t>
      </w:r>
      <w:r>
        <w:rPr>
          <w:spacing w:val="-10"/>
        </w:rPr>
        <w:t> </w:t>
      </w:r>
      <w:r>
        <w:rPr/>
        <w:t>προ-</w:t>
      </w:r>
      <w:r>
        <w:rPr>
          <w:spacing w:val="-2"/>
        </w:rPr>
        <w:t>σωπικού.</w:t>
      </w:r>
    </w:p>
    <w:p>
      <w:pPr>
        <w:pStyle w:val="BodyText"/>
        <w:spacing w:before="44"/>
        <w:ind w:left="172"/>
        <w:jc w:val="both"/>
      </w:pPr>
      <w:r>
        <w:rPr/>
        <w:t>Η</w:t>
      </w:r>
      <w:r>
        <w:rPr>
          <w:spacing w:val="22"/>
        </w:rPr>
        <w:t> </w:t>
      </w:r>
      <w:r>
        <w:rPr/>
        <w:t>κερδοφορία</w:t>
      </w:r>
      <w:r>
        <w:rPr>
          <w:spacing w:val="24"/>
        </w:rPr>
        <w:t> </w:t>
      </w:r>
      <w:r>
        <w:rPr/>
        <w:t>των</w:t>
      </w:r>
      <w:r>
        <w:rPr>
          <w:spacing w:val="24"/>
        </w:rPr>
        <w:t> </w:t>
      </w:r>
      <w:r>
        <w:rPr/>
        <w:t>θυγατρικών</w:t>
      </w:r>
      <w:r>
        <w:rPr>
          <w:spacing w:val="25"/>
        </w:rPr>
        <w:t> </w:t>
      </w:r>
      <w:r>
        <w:rPr>
          <w:spacing w:val="-2"/>
        </w:rPr>
        <w:t>πιστωτικών</w:t>
      </w:r>
    </w:p>
    <w:p>
      <w:pPr>
        <w:spacing w:before="128"/>
        <w:ind w:left="172" w:right="0" w:firstLine="0"/>
        <w:jc w:val="left"/>
        <w:rPr>
          <w:sz w:val="14"/>
        </w:rPr>
      </w:pPr>
      <w:r>
        <w:rPr/>
        <w:br w:type="column"/>
      </w:r>
      <w:r>
        <w:rPr>
          <w:color w:val="1F487C"/>
          <w:sz w:val="14"/>
        </w:rPr>
        <w:t>(ποσοστό</w:t>
      </w:r>
      <w:r>
        <w:rPr>
          <w:color w:val="1F487C"/>
          <w:spacing w:val="-7"/>
          <w:sz w:val="14"/>
        </w:rPr>
        <w:t> </w:t>
      </w:r>
      <w:r>
        <w:rPr>
          <w:color w:val="1F487C"/>
          <w:spacing w:val="-5"/>
          <w:sz w:val="14"/>
        </w:rPr>
        <w:t>%)</w:t>
      </w:r>
    </w:p>
    <w:p>
      <w:pPr>
        <w:pStyle w:val="BodyText"/>
        <w:spacing w:before="4"/>
        <w:rPr>
          <w:sz w:val="5"/>
        </w:rPr>
      </w:pPr>
    </w:p>
    <w:p>
      <w:pPr>
        <w:spacing w:line="240" w:lineRule="auto"/>
        <w:ind w:left="114" w:right="0" w:firstLine="0"/>
        <w:rPr>
          <w:sz w:val="20"/>
        </w:rPr>
      </w:pPr>
      <w:r>
        <w:rPr>
          <w:sz w:val="20"/>
        </w:rPr>
        <mc:AlternateContent>
          <mc:Choice Requires="wps">
            <w:drawing>
              <wp:inline distT="0" distB="0" distL="0" distR="0">
                <wp:extent cx="2776220" cy="2237740"/>
                <wp:effectExtent l="0" t="0" r="0" b="635"/>
                <wp:docPr id="459" name="Group 459"/>
                <wp:cNvGraphicFramePr>
                  <a:graphicFrameLocks/>
                </wp:cNvGraphicFramePr>
                <a:graphic>
                  <a:graphicData uri="http://schemas.microsoft.com/office/word/2010/wordprocessingGroup">
                    <wpg:wgp>
                      <wpg:cNvPr id="459" name="Group 459"/>
                      <wpg:cNvGrpSpPr/>
                      <wpg:grpSpPr>
                        <a:xfrm>
                          <a:off x="0" y="0"/>
                          <a:ext cx="2776220" cy="2237740"/>
                          <a:chExt cx="2776220" cy="2237740"/>
                        </a:xfrm>
                      </wpg:grpSpPr>
                      <wps:wsp>
                        <wps:cNvPr id="460" name="Graphic 460"/>
                        <wps:cNvSpPr/>
                        <wps:spPr>
                          <a:xfrm>
                            <a:off x="0" y="0"/>
                            <a:ext cx="2776220" cy="2237740"/>
                          </a:xfrm>
                          <a:custGeom>
                            <a:avLst/>
                            <a:gdLst/>
                            <a:ahLst/>
                            <a:cxnLst/>
                            <a:rect l="l" t="t" r="r" b="b"/>
                            <a:pathLst>
                              <a:path w="2776220" h="2237740">
                                <a:moveTo>
                                  <a:pt x="2775839" y="0"/>
                                </a:moveTo>
                                <a:lnTo>
                                  <a:pt x="0" y="0"/>
                                </a:lnTo>
                                <a:lnTo>
                                  <a:pt x="0" y="2237486"/>
                                </a:lnTo>
                                <a:lnTo>
                                  <a:pt x="2775839" y="2237486"/>
                                </a:lnTo>
                                <a:lnTo>
                                  <a:pt x="2775839" y="0"/>
                                </a:lnTo>
                                <a:close/>
                              </a:path>
                            </a:pathLst>
                          </a:custGeom>
                          <a:solidFill>
                            <a:srgbClr val="D9D9D9"/>
                          </a:solidFill>
                        </wps:spPr>
                        <wps:bodyPr wrap="square" lIns="0" tIns="0" rIns="0" bIns="0" rtlCol="0">
                          <a:prstTxWarp prst="textNoShape">
                            <a:avLst/>
                          </a:prstTxWarp>
                          <a:noAutofit/>
                        </wps:bodyPr>
                      </wps:wsp>
                      <pic:pic>
                        <pic:nvPicPr>
                          <pic:cNvPr id="461" name="Image 461"/>
                          <pic:cNvPicPr/>
                        </pic:nvPicPr>
                        <pic:blipFill>
                          <a:blip r:embed="rId94" cstate="print"/>
                          <a:stretch>
                            <a:fillRect/>
                          </a:stretch>
                        </pic:blipFill>
                        <pic:spPr>
                          <a:xfrm>
                            <a:off x="38861" y="126"/>
                            <a:ext cx="2701417" cy="2016760"/>
                          </a:xfrm>
                          <a:prstGeom prst="rect">
                            <a:avLst/>
                          </a:prstGeom>
                        </pic:spPr>
                      </pic:pic>
                      <wps:wsp>
                        <wps:cNvPr id="462" name="Textbox 462"/>
                        <wps:cNvSpPr txBox="1"/>
                        <wps:spPr>
                          <a:xfrm>
                            <a:off x="0" y="0"/>
                            <a:ext cx="2776220" cy="223774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79"/>
                                <w:rPr>
                                  <w:sz w:val="14"/>
                                </w:rPr>
                              </w:pPr>
                            </w:p>
                            <w:p>
                              <w:pPr>
                                <w:spacing w:before="0"/>
                                <w:ind w:left="220"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18.6pt;height:176.2pt;mso-position-horizontal-relative:char;mso-position-vertical-relative:line" id="docshapegroup431" coordorigin="0,0" coordsize="4372,3524">
                <v:rect style="position:absolute;left:0;top:0;width:4372;height:3524" id="docshape432" filled="true" fillcolor="#d9d9d9" stroked="false">
                  <v:fill type="solid"/>
                </v:rect>
                <v:shape style="position:absolute;left:61;top:0;width:4255;height:3176" type="#_x0000_t75" id="docshape433" stroked="false">
                  <v:imagedata r:id="rId94" o:title=""/>
                </v:shape>
                <v:shape style="position:absolute;left:0;top:0;width:4372;height:3524" type="#_x0000_t202" id="docshape434"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79"/>
                          <w:rPr>
                            <w:sz w:val="14"/>
                          </w:rPr>
                        </w:pPr>
                      </w:p>
                      <w:p>
                        <w:pPr>
                          <w:spacing w:before="0"/>
                          <w:ind w:left="220"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115" w:space="62"/>
            <w:col w:w="5466"/>
          </w:cols>
        </w:sectPr>
      </w:pPr>
    </w:p>
    <w:p>
      <w:pPr>
        <w:pStyle w:val="BodyText"/>
        <w:spacing w:line="285" w:lineRule="auto" w:before="47"/>
        <w:ind w:left="172" w:right="955"/>
        <w:jc w:val="both"/>
      </w:pPr>
      <w:r>
        <w:rPr/>
        <w:t>ιδρυμάτων και των υποκαταστημάτων στο εξωτερικό ανήλθε σε 813 εκατ. ευρώ το 2025. Τη μεγαλύτερη συμβολή είχαν οι θυγατρικές στην Κύπρο και τη Βουλγαρία, τα κέρδη των οποίων αντιπροσωπεύουν περίπου το 49% και το 33% αντίστοιχα των κερδών από τις διεθνείς δραστη-ριότητες. Επισημαίνεται ότι τα κέρδη προ φόρων των θυγατρικών πιστωτικών ιδρυμάτων και υποκαταστημάτων στο εξωτερικό αναλογούν σε 18,7% των κερδών προ φόρων των ελληνικών τραπεζικών ομίλων.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
        <w:rPr>
          <w:sz w:val="20"/>
        </w:rPr>
      </w:pPr>
      <w:r>
        <w:rPr>
          <w:sz w:val="20"/>
        </w:rPr>
        <mc:AlternateContent>
          <mc:Choice Requires="wps">
            <w:drawing>
              <wp:anchor distT="0" distB="0" distL="0" distR="0" allowOverlap="1" layoutInCell="1" locked="0" behindDoc="1" simplePos="0" relativeHeight="487632384">
                <wp:simplePos x="0" y="0"/>
                <wp:positionH relativeFrom="page">
                  <wp:posOffset>1009192</wp:posOffset>
                </wp:positionH>
                <wp:positionV relativeFrom="paragraph">
                  <wp:posOffset>176318</wp:posOffset>
                </wp:positionV>
                <wp:extent cx="1829435" cy="7620"/>
                <wp:effectExtent l="0" t="0" r="0" b="0"/>
                <wp:wrapTopAndBottom/>
                <wp:docPr id="463" name="Graphic 463"/>
                <wp:cNvGraphicFramePr>
                  <a:graphicFrameLocks/>
                </wp:cNvGraphicFramePr>
                <a:graphic>
                  <a:graphicData uri="http://schemas.microsoft.com/office/word/2010/wordprocessingShape">
                    <wps:wsp>
                      <wps:cNvPr id="463" name="Graphic 46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3.88333pt;width:144.020pt;height:.599980pt;mso-position-horizontal-relative:page;mso-position-vertical-relative:paragraph;z-index:-15684096;mso-wrap-distance-left:0;mso-wrap-distance-right:0" id="docshape435" filled="true" fillcolor="#000000" stroked="false">
                <v:fill type="solid"/>
                <w10:wrap type="topAndBottom"/>
              </v:rect>
            </w:pict>
          </mc:Fallback>
        </mc:AlternateContent>
      </w:r>
    </w:p>
    <w:p>
      <w:pPr>
        <w:spacing w:before="167"/>
        <w:ind w:left="172" w:right="0" w:firstLine="0"/>
        <w:jc w:val="left"/>
        <w:rPr>
          <w:sz w:val="16"/>
        </w:rPr>
      </w:pPr>
      <w:bookmarkStart w:name="_bookmark72" w:id="73"/>
      <w:bookmarkEnd w:id="73"/>
      <w:r>
        <w:rPr/>
      </w:r>
      <w:r>
        <w:rPr>
          <w:sz w:val="16"/>
          <w:vertAlign w:val="superscript"/>
        </w:rPr>
        <w:t>50</w:t>
      </w:r>
      <w:r>
        <w:rPr>
          <w:spacing w:val="-4"/>
          <w:sz w:val="16"/>
          <w:vertAlign w:val="baseline"/>
        </w:rPr>
        <w:t> </w:t>
      </w:r>
      <w:hyperlink r:id="rId95">
        <w:r>
          <w:rPr>
            <w:color w:val="0000FF"/>
            <w:sz w:val="16"/>
            <w:u w:val="single" w:color="0000FF"/>
            <w:vertAlign w:val="baseline"/>
          </w:rPr>
          <w:t>Ανακοίνωση</w:t>
        </w:r>
        <w:r>
          <w:rPr>
            <w:color w:val="0000FF"/>
            <w:spacing w:val="-6"/>
            <w:sz w:val="16"/>
            <w:u w:val="single" w:color="0000FF"/>
            <w:vertAlign w:val="baseline"/>
          </w:rPr>
          <w:t> </w:t>
        </w:r>
        <w:r>
          <w:rPr>
            <w:color w:val="0000FF"/>
            <w:sz w:val="16"/>
            <w:u w:val="single" w:color="0000FF"/>
            <w:vertAlign w:val="baseline"/>
          </w:rPr>
          <w:t>συγχώνευσης</w:t>
        </w:r>
        <w:r>
          <w:rPr>
            <w:color w:val="0000FF"/>
            <w:spacing w:val="-5"/>
            <w:sz w:val="16"/>
            <w:u w:val="single" w:color="0000FF"/>
            <w:vertAlign w:val="baseline"/>
          </w:rPr>
          <w:t> </w:t>
        </w:r>
        <w:r>
          <w:rPr>
            <w:color w:val="0000FF"/>
            <w:sz w:val="16"/>
            <w:u w:val="single" w:color="0000FF"/>
            <w:vertAlign w:val="baseline"/>
          </w:rPr>
          <w:t>της</w:t>
        </w:r>
        <w:r>
          <w:rPr>
            <w:color w:val="0000FF"/>
            <w:spacing w:val="-3"/>
            <w:sz w:val="16"/>
            <w:u w:val="single" w:color="0000FF"/>
            <w:vertAlign w:val="baseline"/>
          </w:rPr>
          <w:t> </w:t>
        </w:r>
        <w:r>
          <w:rPr>
            <w:color w:val="0000FF"/>
            <w:sz w:val="16"/>
            <w:u w:val="single" w:color="0000FF"/>
            <w:vertAlign w:val="baseline"/>
          </w:rPr>
          <w:t>Ελληνικής</w:t>
        </w:r>
        <w:r>
          <w:rPr>
            <w:color w:val="0000FF"/>
            <w:spacing w:val="-4"/>
            <w:sz w:val="16"/>
            <w:u w:val="single" w:color="0000FF"/>
            <w:vertAlign w:val="baseline"/>
          </w:rPr>
          <w:t> </w:t>
        </w:r>
        <w:r>
          <w:rPr>
            <w:color w:val="0000FF"/>
            <w:sz w:val="16"/>
            <w:u w:val="single" w:color="0000FF"/>
            <w:vertAlign w:val="baseline"/>
          </w:rPr>
          <w:t>Τράπεζας</w:t>
        </w:r>
        <w:r>
          <w:rPr>
            <w:color w:val="0000FF"/>
            <w:spacing w:val="-3"/>
            <w:sz w:val="16"/>
            <w:u w:val="single" w:color="0000FF"/>
            <w:vertAlign w:val="baseline"/>
          </w:rPr>
          <w:t> </w:t>
        </w:r>
        <w:r>
          <w:rPr>
            <w:color w:val="0000FF"/>
            <w:sz w:val="16"/>
            <w:u w:val="single" w:color="0000FF"/>
            <w:vertAlign w:val="baseline"/>
          </w:rPr>
          <w:t>με</w:t>
        </w:r>
        <w:r>
          <w:rPr>
            <w:color w:val="0000FF"/>
            <w:spacing w:val="-5"/>
            <w:sz w:val="16"/>
            <w:u w:val="single" w:color="0000FF"/>
            <w:vertAlign w:val="baseline"/>
          </w:rPr>
          <w:t> </w:t>
        </w:r>
        <w:r>
          <w:rPr>
            <w:color w:val="0000FF"/>
            <w:sz w:val="16"/>
            <w:u w:val="single" w:color="0000FF"/>
            <w:vertAlign w:val="baseline"/>
          </w:rPr>
          <w:t>τη</w:t>
        </w:r>
        <w:r>
          <w:rPr>
            <w:color w:val="0000FF"/>
            <w:spacing w:val="-6"/>
            <w:sz w:val="16"/>
            <w:u w:val="single" w:color="0000FF"/>
            <w:vertAlign w:val="baseline"/>
          </w:rPr>
          <w:t> </w:t>
        </w:r>
        <w:r>
          <w:rPr>
            <w:color w:val="0000FF"/>
            <w:sz w:val="16"/>
            <w:u w:val="single" w:color="0000FF"/>
            <w:vertAlign w:val="baseline"/>
          </w:rPr>
          <w:t>Eurobank</w:t>
        </w:r>
        <w:r>
          <w:rPr>
            <w:color w:val="0000FF"/>
            <w:spacing w:val="-4"/>
            <w:sz w:val="16"/>
            <w:u w:val="single" w:color="0000FF"/>
            <w:vertAlign w:val="baseline"/>
          </w:rPr>
          <w:t> </w:t>
        </w:r>
        <w:r>
          <w:rPr>
            <w:color w:val="0000FF"/>
            <w:spacing w:val="-2"/>
            <w:sz w:val="16"/>
            <w:u w:val="single" w:color="0000FF"/>
            <w:vertAlign w:val="baseline"/>
          </w:rPr>
          <w:t>Κύπρου</w:t>
        </w:r>
        <w:r>
          <w:rPr>
            <w:spacing w:val="-2"/>
            <w:sz w:val="16"/>
            <w:vertAlign w:val="baseline"/>
          </w:rPr>
          <w:t>.</w:t>
        </w:r>
      </w:hyperlink>
    </w:p>
    <w:p>
      <w:pPr>
        <w:spacing w:before="18"/>
        <w:ind w:left="172" w:right="0" w:firstLine="0"/>
        <w:jc w:val="left"/>
        <w:rPr>
          <w:sz w:val="16"/>
        </w:rPr>
      </w:pPr>
      <w:bookmarkStart w:name="_bookmark73" w:id="74"/>
      <w:bookmarkEnd w:id="74"/>
      <w:r>
        <w:rPr/>
      </w:r>
      <w:r>
        <w:rPr>
          <w:sz w:val="16"/>
          <w:vertAlign w:val="superscript"/>
        </w:rPr>
        <w:t>51</w:t>
      </w:r>
      <w:r>
        <w:rPr>
          <w:spacing w:val="-4"/>
          <w:sz w:val="16"/>
          <w:vertAlign w:val="baseline"/>
        </w:rPr>
        <w:t> </w:t>
      </w:r>
      <w:hyperlink r:id="rId96">
        <w:r>
          <w:rPr>
            <w:color w:val="0000FF"/>
            <w:sz w:val="16"/>
            <w:u w:val="single" w:color="0000FF"/>
            <w:vertAlign w:val="baseline"/>
          </w:rPr>
          <w:t>Ανακοίνωση</w:t>
        </w:r>
        <w:r>
          <w:rPr>
            <w:color w:val="0000FF"/>
            <w:spacing w:val="-7"/>
            <w:sz w:val="16"/>
            <w:u w:val="single" w:color="0000FF"/>
            <w:vertAlign w:val="baseline"/>
          </w:rPr>
          <w:t> </w:t>
        </w:r>
        <w:r>
          <w:rPr>
            <w:color w:val="0000FF"/>
            <w:sz w:val="16"/>
            <w:u w:val="single" w:color="0000FF"/>
            <w:vertAlign w:val="baseline"/>
          </w:rPr>
          <w:t>ολοκλήρωσης</w:t>
        </w:r>
        <w:r>
          <w:rPr>
            <w:color w:val="0000FF"/>
            <w:spacing w:val="-2"/>
            <w:sz w:val="16"/>
            <w:u w:val="single" w:color="0000FF"/>
            <w:vertAlign w:val="baseline"/>
          </w:rPr>
          <w:t> </w:t>
        </w:r>
        <w:r>
          <w:rPr>
            <w:color w:val="0000FF"/>
            <w:sz w:val="16"/>
            <w:u w:val="single" w:color="0000FF"/>
            <w:vertAlign w:val="baseline"/>
          </w:rPr>
          <w:t>της</w:t>
        </w:r>
        <w:r>
          <w:rPr>
            <w:color w:val="0000FF"/>
            <w:spacing w:val="-3"/>
            <w:sz w:val="16"/>
            <w:u w:val="single" w:color="0000FF"/>
            <w:vertAlign w:val="baseline"/>
          </w:rPr>
          <w:t> </w:t>
        </w:r>
        <w:r>
          <w:rPr>
            <w:color w:val="0000FF"/>
            <w:sz w:val="16"/>
            <w:u w:val="single" w:color="0000FF"/>
            <w:vertAlign w:val="baseline"/>
          </w:rPr>
          <w:t>εξαγοράς</w:t>
        </w:r>
        <w:r>
          <w:rPr>
            <w:color w:val="0000FF"/>
            <w:spacing w:val="-5"/>
            <w:sz w:val="16"/>
            <w:u w:val="single" w:color="0000FF"/>
            <w:vertAlign w:val="baseline"/>
          </w:rPr>
          <w:t> </w:t>
        </w:r>
        <w:r>
          <w:rPr>
            <w:color w:val="0000FF"/>
            <w:sz w:val="16"/>
            <w:u w:val="single" w:color="0000FF"/>
            <w:vertAlign w:val="baseline"/>
          </w:rPr>
          <w:t>της</w:t>
        </w:r>
        <w:r>
          <w:rPr>
            <w:color w:val="0000FF"/>
            <w:spacing w:val="-4"/>
            <w:sz w:val="16"/>
            <w:u w:val="single" w:color="0000FF"/>
            <w:vertAlign w:val="baseline"/>
          </w:rPr>
          <w:t> </w:t>
        </w:r>
        <w:r>
          <w:rPr>
            <w:color w:val="0000FF"/>
            <w:spacing w:val="-2"/>
            <w:sz w:val="16"/>
            <w:u w:val="single" w:color="0000FF"/>
            <w:vertAlign w:val="baseline"/>
          </w:rPr>
          <w:t>AstroBank</w:t>
        </w:r>
        <w:r>
          <w:rPr>
            <w:spacing w:val="-2"/>
            <w:sz w:val="16"/>
            <w:vertAlign w:val="baseline"/>
          </w:rPr>
          <w:t>.</w:t>
        </w:r>
      </w:hyperlink>
    </w:p>
    <w:p>
      <w:pPr>
        <w:spacing w:before="1"/>
        <w:ind w:left="172" w:right="0" w:firstLine="0"/>
        <w:jc w:val="left"/>
        <w:rPr>
          <w:sz w:val="16"/>
        </w:rPr>
      </w:pPr>
      <w:bookmarkStart w:name="_bookmark74" w:id="75"/>
      <w:bookmarkEnd w:id="75"/>
      <w:r>
        <w:rPr/>
      </w:r>
      <w:r>
        <w:rPr>
          <w:sz w:val="16"/>
          <w:vertAlign w:val="superscript"/>
        </w:rPr>
        <w:t>52</w:t>
      </w:r>
      <w:r>
        <w:rPr>
          <w:spacing w:val="-5"/>
          <w:sz w:val="16"/>
          <w:vertAlign w:val="baseline"/>
        </w:rPr>
        <w:t> </w:t>
      </w:r>
      <w:hyperlink r:id="rId97">
        <w:r>
          <w:rPr>
            <w:color w:val="0000FF"/>
            <w:sz w:val="16"/>
            <w:u w:val="single" w:color="0000FF"/>
            <w:vertAlign w:val="baseline"/>
          </w:rPr>
          <w:t>Ανακοίνωση</w:t>
        </w:r>
        <w:r>
          <w:rPr>
            <w:color w:val="0000FF"/>
            <w:spacing w:val="-6"/>
            <w:sz w:val="16"/>
            <w:u w:val="single" w:color="0000FF"/>
            <w:vertAlign w:val="baseline"/>
          </w:rPr>
          <w:t> </w:t>
        </w:r>
        <w:r>
          <w:rPr>
            <w:color w:val="0000FF"/>
            <w:sz w:val="16"/>
            <w:u w:val="single" w:color="0000FF"/>
            <w:vertAlign w:val="baseline"/>
          </w:rPr>
          <w:t>συμφωνίας</w:t>
        </w:r>
        <w:r>
          <w:rPr>
            <w:color w:val="0000FF"/>
            <w:spacing w:val="-5"/>
            <w:sz w:val="16"/>
            <w:u w:val="single" w:color="0000FF"/>
            <w:vertAlign w:val="baseline"/>
          </w:rPr>
          <w:t> </w:t>
        </w:r>
        <w:r>
          <w:rPr>
            <w:color w:val="0000FF"/>
            <w:sz w:val="16"/>
            <w:u w:val="single" w:color="0000FF"/>
            <w:vertAlign w:val="baseline"/>
          </w:rPr>
          <w:t>για</w:t>
        </w:r>
        <w:r>
          <w:rPr>
            <w:color w:val="0000FF"/>
            <w:spacing w:val="-7"/>
            <w:sz w:val="16"/>
            <w:u w:val="single" w:color="0000FF"/>
            <w:vertAlign w:val="baseline"/>
          </w:rPr>
          <w:t> </w:t>
        </w:r>
        <w:r>
          <w:rPr>
            <w:color w:val="0000FF"/>
            <w:sz w:val="16"/>
            <w:u w:val="single" w:color="0000FF"/>
            <w:vertAlign w:val="baseline"/>
          </w:rPr>
          <w:t>την</w:t>
        </w:r>
        <w:r>
          <w:rPr>
            <w:color w:val="0000FF"/>
            <w:spacing w:val="-4"/>
            <w:sz w:val="16"/>
            <w:u w:val="single" w:color="0000FF"/>
            <w:vertAlign w:val="baseline"/>
          </w:rPr>
          <w:t> </w:t>
        </w:r>
        <w:r>
          <w:rPr>
            <w:color w:val="0000FF"/>
            <w:sz w:val="16"/>
            <w:u w:val="single" w:color="0000FF"/>
            <w:vertAlign w:val="baseline"/>
          </w:rPr>
          <w:t>εξαγορά</w:t>
        </w:r>
        <w:r>
          <w:rPr>
            <w:color w:val="0000FF"/>
            <w:spacing w:val="-5"/>
            <w:sz w:val="16"/>
            <w:u w:val="single" w:color="0000FF"/>
            <w:vertAlign w:val="baseline"/>
          </w:rPr>
          <w:t> </w:t>
        </w:r>
        <w:r>
          <w:rPr>
            <w:color w:val="0000FF"/>
            <w:sz w:val="16"/>
            <w:u w:val="single" w:color="0000FF"/>
            <w:vertAlign w:val="baseline"/>
          </w:rPr>
          <w:t>πλειοψηφικού</w:t>
        </w:r>
        <w:r>
          <w:rPr>
            <w:color w:val="0000FF"/>
            <w:spacing w:val="-4"/>
            <w:sz w:val="16"/>
            <w:u w:val="single" w:color="0000FF"/>
            <w:vertAlign w:val="baseline"/>
          </w:rPr>
          <w:t> </w:t>
        </w:r>
        <w:r>
          <w:rPr>
            <w:color w:val="0000FF"/>
            <w:sz w:val="16"/>
            <w:u w:val="single" w:color="0000FF"/>
            <w:vertAlign w:val="baseline"/>
          </w:rPr>
          <w:t>ποσοστού</w:t>
        </w:r>
        <w:r>
          <w:rPr>
            <w:color w:val="0000FF"/>
            <w:spacing w:val="-4"/>
            <w:sz w:val="16"/>
            <w:u w:val="single" w:color="0000FF"/>
            <w:vertAlign w:val="baseline"/>
          </w:rPr>
          <w:t> </w:t>
        </w:r>
        <w:r>
          <w:rPr>
            <w:color w:val="0000FF"/>
            <w:sz w:val="16"/>
            <w:u w:val="single" w:color="0000FF"/>
            <w:vertAlign w:val="baseline"/>
          </w:rPr>
          <w:t>της</w:t>
        </w:r>
        <w:r>
          <w:rPr>
            <w:color w:val="0000FF"/>
            <w:spacing w:val="1"/>
            <w:sz w:val="16"/>
            <w:u w:val="single" w:color="0000FF"/>
            <w:vertAlign w:val="baseline"/>
          </w:rPr>
          <w:t> </w:t>
        </w:r>
        <w:r>
          <w:rPr>
            <w:color w:val="0000FF"/>
            <w:sz w:val="16"/>
            <w:u w:val="single" w:color="0000FF"/>
            <w:vertAlign w:val="baseline"/>
          </w:rPr>
          <w:t>HSBC</w:t>
        </w:r>
        <w:r>
          <w:rPr>
            <w:color w:val="0000FF"/>
            <w:spacing w:val="-5"/>
            <w:sz w:val="16"/>
            <w:u w:val="single" w:color="0000FF"/>
            <w:vertAlign w:val="baseline"/>
          </w:rPr>
          <w:t> </w:t>
        </w:r>
        <w:r>
          <w:rPr>
            <w:color w:val="0000FF"/>
            <w:sz w:val="16"/>
            <w:u w:val="single" w:color="0000FF"/>
            <w:vertAlign w:val="baseline"/>
          </w:rPr>
          <w:t>Bank</w:t>
        </w:r>
        <w:r>
          <w:rPr>
            <w:color w:val="0000FF"/>
            <w:spacing w:val="-5"/>
            <w:sz w:val="16"/>
            <w:u w:val="single" w:color="0000FF"/>
            <w:vertAlign w:val="baseline"/>
          </w:rPr>
          <w:t> </w:t>
        </w:r>
        <w:r>
          <w:rPr>
            <w:color w:val="0000FF"/>
            <w:sz w:val="16"/>
            <w:u w:val="single" w:color="0000FF"/>
            <w:vertAlign w:val="baseline"/>
          </w:rPr>
          <w:t>Malta</w:t>
        </w:r>
        <w:r>
          <w:rPr>
            <w:color w:val="0000FF"/>
            <w:spacing w:val="-5"/>
            <w:sz w:val="16"/>
            <w:u w:val="single" w:color="0000FF"/>
            <w:vertAlign w:val="baseline"/>
          </w:rPr>
          <w:t> </w:t>
        </w:r>
        <w:r>
          <w:rPr>
            <w:color w:val="0000FF"/>
            <w:spacing w:val="-4"/>
            <w:sz w:val="16"/>
            <w:u w:val="single" w:color="0000FF"/>
            <w:vertAlign w:val="baseline"/>
          </w:rPr>
          <w:t>plc</w:t>
        </w:r>
        <w:r>
          <w:rPr>
            <w:color w:val="0000FF"/>
            <w:spacing w:val="-4"/>
            <w:sz w:val="16"/>
            <w:vertAlign w:val="baseline"/>
          </w:rPr>
          <w:t>.</w:t>
        </w:r>
      </w:hyperlink>
    </w:p>
    <w:p>
      <w:pPr>
        <w:spacing w:before="0"/>
        <w:ind w:left="172" w:right="953" w:firstLine="0"/>
        <w:jc w:val="left"/>
        <w:rPr>
          <w:sz w:val="16"/>
        </w:rPr>
      </w:pPr>
      <w:bookmarkStart w:name="_bookmark75" w:id="76"/>
      <w:bookmarkEnd w:id="76"/>
      <w:r>
        <w:rPr/>
      </w:r>
      <w:r>
        <w:rPr>
          <w:sz w:val="16"/>
          <w:vertAlign w:val="superscript"/>
        </w:rPr>
        <w:t>53</w:t>
      </w:r>
      <w:r>
        <w:rPr>
          <w:spacing w:val="-4"/>
          <w:sz w:val="16"/>
          <w:vertAlign w:val="baseline"/>
        </w:rPr>
        <w:t> </w:t>
      </w:r>
      <w:r>
        <w:rPr>
          <w:sz w:val="16"/>
          <w:vertAlign w:val="baseline"/>
        </w:rPr>
        <w:t>Σύμφωνα</w:t>
      </w:r>
      <w:r>
        <w:rPr>
          <w:spacing w:val="-7"/>
          <w:sz w:val="16"/>
          <w:vertAlign w:val="baseline"/>
        </w:rPr>
        <w:t> </w:t>
      </w:r>
      <w:r>
        <w:rPr>
          <w:sz w:val="16"/>
          <w:vertAlign w:val="baseline"/>
        </w:rPr>
        <w:t>με</w:t>
      </w:r>
      <w:r>
        <w:rPr>
          <w:spacing w:val="-4"/>
          <w:sz w:val="16"/>
          <w:vertAlign w:val="baseline"/>
        </w:rPr>
        <w:t> </w:t>
      </w:r>
      <w:r>
        <w:rPr>
          <w:sz w:val="16"/>
          <w:vertAlign w:val="baseline"/>
        </w:rPr>
        <w:t>εποπτικά</w:t>
      </w:r>
      <w:r>
        <w:rPr>
          <w:spacing w:val="-7"/>
          <w:sz w:val="16"/>
          <w:vertAlign w:val="baseline"/>
        </w:rPr>
        <w:t> </w:t>
      </w:r>
      <w:r>
        <w:rPr>
          <w:sz w:val="16"/>
          <w:vertAlign w:val="baseline"/>
        </w:rPr>
        <w:t>στοιχεία</w:t>
      </w:r>
      <w:r>
        <w:rPr>
          <w:spacing w:val="-7"/>
          <w:sz w:val="16"/>
          <w:vertAlign w:val="baseline"/>
        </w:rPr>
        <w:t> </w:t>
      </w:r>
      <w:r>
        <w:rPr>
          <w:sz w:val="16"/>
          <w:vertAlign w:val="baseline"/>
        </w:rPr>
        <w:t>που</w:t>
      </w:r>
      <w:r>
        <w:rPr>
          <w:spacing w:val="-7"/>
          <w:sz w:val="16"/>
          <w:vertAlign w:val="baseline"/>
        </w:rPr>
        <w:t> </w:t>
      </w:r>
      <w:r>
        <w:rPr>
          <w:sz w:val="16"/>
          <w:vertAlign w:val="baseline"/>
        </w:rPr>
        <w:t>υποβάλλονται</w:t>
      </w:r>
      <w:r>
        <w:rPr>
          <w:spacing w:val="-9"/>
          <w:sz w:val="16"/>
          <w:vertAlign w:val="baseline"/>
        </w:rPr>
        <w:t> </w:t>
      </w:r>
      <w:r>
        <w:rPr>
          <w:sz w:val="16"/>
          <w:vertAlign w:val="baseline"/>
        </w:rPr>
        <w:t>για</w:t>
      </w:r>
      <w:r>
        <w:rPr>
          <w:spacing w:val="-7"/>
          <w:sz w:val="16"/>
          <w:vertAlign w:val="baseline"/>
        </w:rPr>
        <w:t> </w:t>
      </w:r>
      <w:r>
        <w:rPr>
          <w:sz w:val="16"/>
          <w:vertAlign w:val="baseline"/>
        </w:rPr>
        <w:t>τη</w:t>
      </w:r>
      <w:r>
        <w:rPr>
          <w:spacing w:val="-6"/>
          <w:sz w:val="16"/>
          <w:vertAlign w:val="baseline"/>
        </w:rPr>
        <w:t> </w:t>
      </w:r>
      <w:r>
        <w:rPr>
          <w:sz w:val="16"/>
          <w:vertAlign w:val="baseline"/>
        </w:rPr>
        <w:t>δραστηριότητα</w:t>
      </w:r>
      <w:r>
        <w:rPr>
          <w:spacing w:val="-6"/>
          <w:sz w:val="16"/>
          <w:vertAlign w:val="baseline"/>
        </w:rPr>
        <w:t> </w:t>
      </w:r>
      <w:r>
        <w:rPr>
          <w:sz w:val="16"/>
          <w:vertAlign w:val="baseline"/>
        </w:rPr>
        <w:t>πιστωτικών</w:t>
      </w:r>
      <w:r>
        <w:rPr>
          <w:spacing w:val="-7"/>
          <w:sz w:val="16"/>
          <w:vertAlign w:val="baseline"/>
        </w:rPr>
        <w:t> </w:t>
      </w:r>
      <w:r>
        <w:rPr>
          <w:sz w:val="16"/>
          <w:vertAlign w:val="baseline"/>
        </w:rPr>
        <w:t>ιδρυμάτων</w:t>
      </w:r>
      <w:r>
        <w:rPr>
          <w:spacing w:val="-5"/>
          <w:sz w:val="16"/>
          <w:vertAlign w:val="baseline"/>
        </w:rPr>
        <w:t> </w:t>
      </w:r>
      <w:r>
        <w:rPr>
          <w:sz w:val="16"/>
          <w:vertAlign w:val="baseline"/>
        </w:rPr>
        <w:t>στο</w:t>
      </w:r>
      <w:r>
        <w:rPr>
          <w:spacing w:val="-5"/>
          <w:sz w:val="16"/>
          <w:vertAlign w:val="baseline"/>
        </w:rPr>
        <w:t> </w:t>
      </w:r>
      <w:r>
        <w:rPr>
          <w:sz w:val="16"/>
          <w:vertAlign w:val="baseline"/>
        </w:rPr>
        <w:t>εξωτερικό</w:t>
      </w:r>
      <w:r>
        <w:rPr>
          <w:spacing w:val="-2"/>
          <w:sz w:val="16"/>
          <w:vertAlign w:val="baseline"/>
        </w:rPr>
        <w:t> </w:t>
      </w:r>
      <w:r>
        <w:rPr>
          <w:sz w:val="16"/>
          <w:vertAlign w:val="baseline"/>
        </w:rPr>
        <w:t>μέσω</w:t>
      </w:r>
      <w:r>
        <w:rPr>
          <w:spacing w:val="-4"/>
          <w:sz w:val="16"/>
          <w:vertAlign w:val="baseline"/>
        </w:rPr>
        <w:t> </w:t>
      </w:r>
      <w:r>
        <w:rPr>
          <w:sz w:val="16"/>
          <w:vertAlign w:val="baseline"/>
        </w:rPr>
        <w:t>υποκαταστη-μάτων τους και θυγατρικών τους πιστωτικών ιδρυμάτων, βλ. </w:t>
      </w:r>
      <w:hyperlink r:id="rId98">
        <w:r>
          <w:rPr>
            <w:color w:val="0000FF"/>
            <w:sz w:val="16"/>
            <w:u w:val="single" w:color="0000FF"/>
            <w:vertAlign w:val="baseline"/>
          </w:rPr>
          <w:t>Πράξη Εκτελεστικής Επιτροπής (ΠΕΕ) 242/3/11.06.2025</w:t>
        </w:r>
        <w:r>
          <w:rPr>
            <w:sz w:val="16"/>
            <w:vertAlign w:val="baseline"/>
          </w:rPr>
          <w:t>.</w:t>
        </w:r>
      </w:hyperlink>
    </w:p>
    <w:p>
      <w:pPr>
        <w:spacing w:before="0"/>
        <w:ind w:left="172" w:right="962" w:firstLine="0"/>
        <w:jc w:val="left"/>
        <w:rPr>
          <w:sz w:val="16"/>
        </w:rPr>
      </w:pPr>
      <w:bookmarkStart w:name="_bookmark76" w:id="77"/>
      <w:bookmarkEnd w:id="77"/>
      <w:r>
        <w:rPr/>
      </w:r>
      <w:r>
        <w:rPr>
          <w:sz w:val="16"/>
          <w:vertAlign w:val="superscript"/>
        </w:rPr>
        <w:t>54</w:t>
      </w:r>
      <w:r>
        <w:rPr>
          <w:sz w:val="16"/>
          <w:vertAlign w:val="baseline"/>
        </w:rPr>
        <w:t> Η δραστηριότητα των ελληνικών τραπεζών στη Νοτιοανατολική Ευρώπη</w:t>
      </w:r>
      <w:r>
        <w:rPr>
          <w:spacing w:val="-1"/>
          <w:sz w:val="16"/>
          <w:vertAlign w:val="baseline"/>
        </w:rPr>
        <w:t> </w:t>
      </w:r>
      <w:r>
        <w:rPr>
          <w:sz w:val="16"/>
          <w:vertAlign w:val="baseline"/>
        </w:rPr>
        <w:t>αφορά</w:t>
      </w:r>
      <w:r>
        <w:rPr>
          <w:spacing w:val="-2"/>
          <w:sz w:val="16"/>
          <w:vertAlign w:val="baseline"/>
        </w:rPr>
        <w:t> </w:t>
      </w:r>
      <w:r>
        <w:rPr>
          <w:sz w:val="16"/>
          <w:vertAlign w:val="baseline"/>
        </w:rPr>
        <w:t>τις</w:t>
      </w:r>
      <w:r>
        <w:rPr>
          <w:spacing w:val="-1"/>
          <w:sz w:val="16"/>
          <w:vertAlign w:val="baseline"/>
        </w:rPr>
        <w:t> </w:t>
      </w:r>
      <w:r>
        <w:rPr>
          <w:sz w:val="16"/>
          <w:vertAlign w:val="baseline"/>
        </w:rPr>
        <w:t>εξής</w:t>
      </w:r>
      <w:r>
        <w:rPr>
          <w:spacing w:val="-1"/>
          <w:sz w:val="16"/>
          <w:vertAlign w:val="baseline"/>
        </w:rPr>
        <w:t> </w:t>
      </w:r>
      <w:r>
        <w:rPr>
          <w:sz w:val="16"/>
          <w:vertAlign w:val="baseline"/>
        </w:rPr>
        <w:t>χώρες:</w:t>
      </w:r>
      <w:r>
        <w:rPr>
          <w:spacing w:val="-1"/>
          <w:sz w:val="16"/>
          <w:vertAlign w:val="baseline"/>
        </w:rPr>
        <w:t> </w:t>
      </w:r>
      <w:r>
        <w:rPr>
          <w:sz w:val="16"/>
          <w:vertAlign w:val="baseline"/>
        </w:rPr>
        <w:t>Βουλγαρία,</w:t>
      </w:r>
      <w:r>
        <w:rPr>
          <w:spacing w:val="-1"/>
          <w:sz w:val="16"/>
          <w:vertAlign w:val="baseline"/>
        </w:rPr>
        <w:t> </w:t>
      </w:r>
      <w:r>
        <w:rPr>
          <w:sz w:val="16"/>
          <w:vertAlign w:val="baseline"/>
        </w:rPr>
        <w:t>Δημοκρατία</w:t>
      </w:r>
      <w:r>
        <w:rPr>
          <w:spacing w:val="-2"/>
          <w:sz w:val="16"/>
          <w:vertAlign w:val="baseline"/>
        </w:rPr>
        <w:t> </w:t>
      </w:r>
      <w:r>
        <w:rPr>
          <w:sz w:val="16"/>
          <w:vertAlign w:val="baseline"/>
        </w:rPr>
        <w:t>της</w:t>
      </w:r>
      <w:r>
        <w:rPr>
          <w:spacing w:val="-1"/>
          <w:sz w:val="16"/>
          <w:vertAlign w:val="baseline"/>
        </w:rPr>
        <w:t> </w:t>
      </w:r>
      <w:r>
        <w:rPr>
          <w:sz w:val="16"/>
          <w:vertAlign w:val="baseline"/>
        </w:rPr>
        <w:t>Βό-ρειας Μακεδονίας και Κύπρο.</w:t>
      </w:r>
    </w:p>
    <w:p>
      <w:pPr>
        <w:spacing w:after="0"/>
        <w:jc w:val="left"/>
        <w:rPr>
          <w:sz w:val="16"/>
        </w:rPr>
        <w:sectPr>
          <w:type w:val="continuous"/>
          <w:pgSz w:w="11910" w:h="16850"/>
          <w:pgMar w:header="0" w:footer="1108" w:top="1320" w:bottom="280" w:left="1417" w:right="850"/>
        </w:sectPr>
      </w:pPr>
    </w:p>
    <w:p>
      <w:pPr>
        <w:pStyle w:val="BodyText"/>
        <w:spacing w:before="6"/>
        <w:rPr>
          <w:sz w:val="15"/>
        </w:rPr>
      </w:pPr>
    </w:p>
    <w:p>
      <w:pPr>
        <w:spacing w:line="240" w:lineRule="auto"/>
        <w:ind w:left="172" w:right="0" w:firstLine="0"/>
        <w:rPr>
          <w:sz w:val="20"/>
        </w:rPr>
      </w:pPr>
      <w:r>
        <w:rPr>
          <w:sz w:val="20"/>
        </w:rPr>
        <mc:AlternateContent>
          <mc:Choice Requires="wps">
            <w:drawing>
              <wp:inline distT="0" distB="0" distL="0" distR="0">
                <wp:extent cx="5476875" cy="234950"/>
                <wp:effectExtent l="0" t="0" r="0" b="0"/>
                <wp:docPr id="464" name="Textbox 464"/>
                <wp:cNvGraphicFramePr>
                  <a:graphicFrameLocks/>
                </wp:cNvGraphicFramePr>
                <a:graphic>
                  <a:graphicData uri="http://schemas.microsoft.com/office/word/2010/wordprocessingShape">
                    <wps:wsp>
                      <wps:cNvPr id="464" name="Textbox 464"/>
                      <wps:cNvSpPr txBox="1"/>
                      <wps:spPr>
                        <a:xfrm>
                          <a:off x="0" y="0"/>
                          <a:ext cx="5476875" cy="234950"/>
                        </a:xfrm>
                        <a:prstGeom prst="rect">
                          <a:avLst/>
                        </a:prstGeom>
                        <a:solidFill>
                          <a:srgbClr val="1F487C"/>
                        </a:solidFill>
                      </wps:spPr>
                      <wps:txbx>
                        <w:txbxContent>
                          <w:p>
                            <w:pPr>
                              <w:spacing w:before="79"/>
                              <w:ind w:left="220" w:right="0" w:firstLine="0"/>
                              <w:jc w:val="left"/>
                              <w:rPr>
                                <w:b/>
                                <w:color w:val="000000"/>
                                <w:sz w:val="18"/>
                              </w:rPr>
                            </w:pPr>
                            <w:r>
                              <w:rPr>
                                <w:b/>
                                <w:color w:val="FFFFFF"/>
                                <w:sz w:val="18"/>
                              </w:rPr>
                              <w:t>Πίνακας</w:t>
                            </w:r>
                            <w:r>
                              <w:rPr>
                                <w:b/>
                                <w:color w:val="FFFFFF"/>
                                <w:spacing w:val="-4"/>
                                <w:sz w:val="18"/>
                              </w:rPr>
                              <w:t> </w:t>
                            </w:r>
                            <w:r>
                              <w:rPr>
                                <w:b/>
                                <w:color w:val="FFFFFF"/>
                                <w:sz w:val="18"/>
                              </w:rPr>
                              <w:t>III.5</w:t>
                            </w:r>
                            <w:r>
                              <w:rPr>
                                <w:b/>
                                <w:color w:val="FFFFFF"/>
                                <w:spacing w:val="-6"/>
                                <w:sz w:val="18"/>
                              </w:rPr>
                              <w:t> </w:t>
                            </w:r>
                            <w:r>
                              <w:rPr>
                                <w:b/>
                                <w:color w:val="FFFFFF"/>
                                <w:sz w:val="18"/>
                              </w:rPr>
                              <w:t>Βασ</w:t>
                            </w:r>
                            <w:r>
                              <w:rPr>
                                <w:b/>
                                <w:smallCaps/>
                                <w:color w:val="FFFFFF"/>
                                <w:sz w:val="18"/>
                              </w:rPr>
                              <w:t>ι</w:t>
                            </w:r>
                            <w:r>
                              <w:rPr>
                                <w:b/>
                                <w:smallCaps w:val="0"/>
                                <w:color w:val="FFFFFF"/>
                                <w:sz w:val="18"/>
                              </w:rPr>
                              <w:t>κά</w:t>
                            </w:r>
                            <w:r>
                              <w:rPr>
                                <w:b/>
                                <w:smallCaps w:val="0"/>
                                <w:color w:val="FFFFFF"/>
                                <w:spacing w:val="-7"/>
                                <w:sz w:val="18"/>
                              </w:rPr>
                              <w:t> </w:t>
                            </w:r>
                            <w:r>
                              <w:rPr>
                                <w:b/>
                                <w:smallCaps w:val="0"/>
                                <w:color w:val="FFFFFF"/>
                                <w:sz w:val="18"/>
                              </w:rPr>
                              <w:t>μεγέθη</w:t>
                            </w:r>
                            <w:r>
                              <w:rPr>
                                <w:b/>
                                <w:smallCaps w:val="0"/>
                                <w:color w:val="FFFFFF"/>
                                <w:spacing w:val="-4"/>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4"/>
                                <w:sz w:val="18"/>
                              </w:rPr>
                              <w:t> </w:t>
                            </w:r>
                            <w:r>
                              <w:rPr>
                                <w:b/>
                                <w:smallCaps w:val="0"/>
                                <w:color w:val="FFFFFF"/>
                                <w:sz w:val="18"/>
                              </w:rPr>
                              <w:t>τραπεζ</w:t>
                            </w:r>
                            <w:r>
                              <w:rPr>
                                <w:b/>
                                <w:smallCaps/>
                                <w:color w:val="FFFFFF"/>
                                <w:sz w:val="18"/>
                              </w:rPr>
                              <w:t>ι</w:t>
                            </w:r>
                            <w:r>
                              <w:rPr>
                                <w:b/>
                                <w:smallCaps w:val="0"/>
                                <w:color w:val="FFFFFF"/>
                                <w:sz w:val="18"/>
                              </w:rPr>
                              <w:t>κών</w:t>
                            </w:r>
                            <w:r>
                              <w:rPr>
                                <w:b/>
                                <w:smallCaps w:val="0"/>
                                <w:color w:val="FFFFFF"/>
                                <w:spacing w:val="-6"/>
                                <w:sz w:val="18"/>
                              </w:rPr>
                              <w:t> </w:t>
                            </w:r>
                            <w:r>
                              <w:rPr>
                                <w:b/>
                                <w:smallCaps w:val="0"/>
                                <w:color w:val="FFFFFF"/>
                                <w:sz w:val="18"/>
                              </w:rPr>
                              <w:t>ομίλων</w:t>
                            </w:r>
                            <w:r>
                              <w:rPr>
                                <w:b/>
                                <w:smallCaps w:val="0"/>
                                <w:color w:val="FFFFFF"/>
                                <w:spacing w:val="-4"/>
                                <w:sz w:val="18"/>
                              </w:rPr>
                              <w:t> </w:t>
                            </w:r>
                            <w:r>
                              <w:rPr>
                                <w:b/>
                                <w:smallCaps w:val="0"/>
                                <w:color w:val="FFFFFF"/>
                                <w:sz w:val="18"/>
                              </w:rPr>
                              <w:t>στο</w:t>
                            </w:r>
                            <w:r>
                              <w:rPr>
                                <w:b/>
                                <w:smallCaps w:val="0"/>
                                <w:color w:val="FFFFFF"/>
                                <w:spacing w:val="-5"/>
                                <w:sz w:val="18"/>
                              </w:rPr>
                              <w:t> </w:t>
                            </w:r>
                            <w:r>
                              <w:rPr>
                                <w:b/>
                                <w:smallCaps w:val="0"/>
                                <w:color w:val="FFFFFF"/>
                                <w:sz w:val="18"/>
                              </w:rPr>
                              <w:t>εξωτερ</w:t>
                            </w:r>
                            <w:r>
                              <w:rPr>
                                <w:b/>
                                <w:smallCaps/>
                                <w:color w:val="FFFFFF"/>
                                <w:sz w:val="18"/>
                              </w:rPr>
                              <w:t>ι</w:t>
                            </w:r>
                            <w:r>
                              <w:rPr>
                                <w:b/>
                                <w:smallCaps w:val="0"/>
                                <w:color w:val="FFFFFF"/>
                                <w:sz w:val="18"/>
                              </w:rPr>
                              <w:t>κό</w:t>
                            </w:r>
                            <w:r>
                              <w:rPr>
                                <w:b/>
                                <w:smallCaps w:val="0"/>
                                <w:color w:val="FFFFFF"/>
                                <w:spacing w:val="-6"/>
                                <w:sz w:val="18"/>
                              </w:rPr>
                              <w:t> </w:t>
                            </w:r>
                            <w:r>
                              <w:rPr>
                                <w:b/>
                                <w:smallCaps w:val="0"/>
                                <w:color w:val="FFFFFF"/>
                                <w:sz w:val="18"/>
                              </w:rPr>
                              <w:t>(Δεκέμβρ</w:t>
                            </w:r>
                            <w:r>
                              <w:rPr>
                                <w:b/>
                                <w:smallCaps/>
                                <w:color w:val="FFFFFF"/>
                                <w:sz w:val="18"/>
                              </w:rPr>
                              <w:t>ιο</w:t>
                            </w:r>
                            <w:r>
                              <w:rPr>
                                <w:b/>
                                <w:smallCaps w:val="0"/>
                                <w:color w:val="FFFFFF"/>
                                <w:sz w:val="18"/>
                              </w:rPr>
                              <w:t>ς</w:t>
                            </w:r>
                            <w:r>
                              <w:rPr>
                                <w:b/>
                                <w:smallCaps w:val="0"/>
                                <w:color w:val="FFFFFF"/>
                                <w:spacing w:val="-7"/>
                                <w:sz w:val="18"/>
                              </w:rPr>
                              <w:t> </w:t>
                            </w:r>
                            <w:r>
                              <w:rPr>
                                <w:b/>
                                <w:smallCaps w:val="0"/>
                                <w:color w:val="FFFFFF"/>
                                <w:spacing w:val="-2"/>
                                <w:sz w:val="18"/>
                              </w:rPr>
                              <w:t>2025)</w:t>
                            </w:r>
                          </w:p>
                        </w:txbxContent>
                      </wps:txbx>
                      <wps:bodyPr wrap="square" lIns="0" tIns="0" rIns="0" bIns="0" rtlCol="0">
                        <a:noAutofit/>
                      </wps:bodyPr>
                    </wps:wsp>
                  </a:graphicData>
                </a:graphic>
              </wp:inline>
            </w:drawing>
          </mc:Choice>
          <mc:Fallback>
            <w:pict>
              <v:shape style="width:431.25pt;height:18.5pt;mso-position-horizontal-relative:char;mso-position-vertical-relative:line" type="#_x0000_t202" id="docshape436" filled="true" fillcolor="#1f487c" stroked="false">
                <w10:anchorlock/>
                <v:textbox inset="0,0,0,0">
                  <w:txbxContent>
                    <w:p>
                      <w:pPr>
                        <w:spacing w:before="79"/>
                        <w:ind w:left="220" w:right="0" w:firstLine="0"/>
                        <w:jc w:val="left"/>
                        <w:rPr>
                          <w:b/>
                          <w:color w:val="000000"/>
                          <w:sz w:val="18"/>
                        </w:rPr>
                      </w:pPr>
                      <w:r>
                        <w:rPr>
                          <w:b/>
                          <w:color w:val="FFFFFF"/>
                          <w:sz w:val="18"/>
                        </w:rPr>
                        <w:t>Πίνακας</w:t>
                      </w:r>
                      <w:r>
                        <w:rPr>
                          <w:b/>
                          <w:color w:val="FFFFFF"/>
                          <w:spacing w:val="-4"/>
                          <w:sz w:val="18"/>
                        </w:rPr>
                        <w:t> </w:t>
                      </w:r>
                      <w:r>
                        <w:rPr>
                          <w:b/>
                          <w:color w:val="FFFFFF"/>
                          <w:sz w:val="18"/>
                        </w:rPr>
                        <w:t>III.5</w:t>
                      </w:r>
                      <w:r>
                        <w:rPr>
                          <w:b/>
                          <w:color w:val="FFFFFF"/>
                          <w:spacing w:val="-6"/>
                          <w:sz w:val="18"/>
                        </w:rPr>
                        <w:t> </w:t>
                      </w:r>
                      <w:r>
                        <w:rPr>
                          <w:b/>
                          <w:color w:val="FFFFFF"/>
                          <w:sz w:val="18"/>
                        </w:rPr>
                        <w:t>Βασ</w:t>
                      </w:r>
                      <w:r>
                        <w:rPr>
                          <w:b/>
                          <w:smallCaps/>
                          <w:color w:val="FFFFFF"/>
                          <w:sz w:val="18"/>
                        </w:rPr>
                        <w:t>ι</w:t>
                      </w:r>
                      <w:r>
                        <w:rPr>
                          <w:b/>
                          <w:smallCaps w:val="0"/>
                          <w:color w:val="FFFFFF"/>
                          <w:sz w:val="18"/>
                        </w:rPr>
                        <w:t>κά</w:t>
                      </w:r>
                      <w:r>
                        <w:rPr>
                          <w:b/>
                          <w:smallCaps w:val="0"/>
                          <w:color w:val="FFFFFF"/>
                          <w:spacing w:val="-7"/>
                          <w:sz w:val="18"/>
                        </w:rPr>
                        <w:t> </w:t>
                      </w:r>
                      <w:r>
                        <w:rPr>
                          <w:b/>
                          <w:smallCaps w:val="0"/>
                          <w:color w:val="FFFFFF"/>
                          <w:sz w:val="18"/>
                        </w:rPr>
                        <w:t>μεγέθη</w:t>
                      </w:r>
                      <w:r>
                        <w:rPr>
                          <w:b/>
                          <w:smallCaps w:val="0"/>
                          <w:color w:val="FFFFFF"/>
                          <w:spacing w:val="-4"/>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4"/>
                          <w:sz w:val="18"/>
                        </w:rPr>
                        <w:t> </w:t>
                      </w:r>
                      <w:r>
                        <w:rPr>
                          <w:b/>
                          <w:smallCaps w:val="0"/>
                          <w:color w:val="FFFFFF"/>
                          <w:sz w:val="18"/>
                        </w:rPr>
                        <w:t>τραπεζ</w:t>
                      </w:r>
                      <w:r>
                        <w:rPr>
                          <w:b/>
                          <w:smallCaps/>
                          <w:color w:val="FFFFFF"/>
                          <w:sz w:val="18"/>
                        </w:rPr>
                        <w:t>ι</w:t>
                      </w:r>
                      <w:r>
                        <w:rPr>
                          <w:b/>
                          <w:smallCaps w:val="0"/>
                          <w:color w:val="FFFFFF"/>
                          <w:sz w:val="18"/>
                        </w:rPr>
                        <w:t>κών</w:t>
                      </w:r>
                      <w:r>
                        <w:rPr>
                          <w:b/>
                          <w:smallCaps w:val="0"/>
                          <w:color w:val="FFFFFF"/>
                          <w:spacing w:val="-6"/>
                          <w:sz w:val="18"/>
                        </w:rPr>
                        <w:t> </w:t>
                      </w:r>
                      <w:r>
                        <w:rPr>
                          <w:b/>
                          <w:smallCaps w:val="0"/>
                          <w:color w:val="FFFFFF"/>
                          <w:sz w:val="18"/>
                        </w:rPr>
                        <w:t>ομίλων</w:t>
                      </w:r>
                      <w:r>
                        <w:rPr>
                          <w:b/>
                          <w:smallCaps w:val="0"/>
                          <w:color w:val="FFFFFF"/>
                          <w:spacing w:val="-4"/>
                          <w:sz w:val="18"/>
                        </w:rPr>
                        <w:t> </w:t>
                      </w:r>
                      <w:r>
                        <w:rPr>
                          <w:b/>
                          <w:smallCaps w:val="0"/>
                          <w:color w:val="FFFFFF"/>
                          <w:sz w:val="18"/>
                        </w:rPr>
                        <w:t>στο</w:t>
                      </w:r>
                      <w:r>
                        <w:rPr>
                          <w:b/>
                          <w:smallCaps w:val="0"/>
                          <w:color w:val="FFFFFF"/>
                          <w:spacing w:val="-5"/>
                          <w:sz w:val="18"/>
                        </w:rPr>
                        <w:t> </w:t>
                      </w:r>
                      <w:r>
                        <w:rPr>
                          <w:b/>
                          <w:smallCaps w:val="0"/>
                          <w:color w:val="FFFFFF"/>
                          <w:sz w:val="18"/>
                        </w:rPr>
                        <w:t>εξωτερ</w:t>
                      </w:r>
                      <w:r>
                        <w:rPr>
                          <w:b/>
                          <w:smallCaps/>
                          <w:color w:val="FFFFFF"/>
                          <w:sz w:val="18"/>
                        </w:rPr>
                        <w:t>ι</w:t>
                      </w:r>
                      <w:r>
                        <w:rPr>
                          <w:b/>
                          <w:smallCaps w:val="0"/>
                          <w:color w:val="FFFFFF"/>
                          <w:sz w:val="18"/>
                        </w:rPr>
                        <w:t>κό</w:t>
                      </w:r>
                      <w:r>
                        <w:rPr>
                          <w:b/>
                          <w:smallCaps w:val="0"/>
                          <w:color w:val="FFFFFF"/>
                          <w:spacing w:val="-6"/>
                          <w:sz w:val="18"/>
                        </w:rPr>
                        <w:t> </w:t>
                      </w:r>
                      <w:r>
                        <w:rPr>
                          <w:b/>
                          <w:smallCaps w:val="0"/>
                          <w:color w:val="FFFFFF"/>
                          <w:sz w:val="18"/>
                        </w:rPr>
                        <w:t>(Δεκέμβρ</w:t>
                      </w:r>
                      <w:r>
                        <w:rPr>
                          <w:b/>
                          <w:smallCaps/>
                          <w:color w:val="FFFFFF"/>
                          <w:sz w:val="18"/>
                        </w:rPr>
                        <w:t>ιο</w:t>
                      </w:r>
                      <w:r>
                        <w:rPr>
                          <w:b/>
                          <w:smallCaps w:val="0"/>
                          <w:color w:val="FFFFFF"/>
                          <w:sz w:val="18"/>
                        </w:rPr>
                        <w:t>ς</w:t>
                      </w:r>
                      <w:r>
                        <w:rPr>
                          <w:b/>
                          <w:smallCaps w:val="0"/>
                          <w:color w:val="FFFFFF"/>
                          <w:spacing w:val="-7"/>
                          <w:sz w:val="18"/>
                        </w:rPr>
                        <w:t> </w:t>
                      </w:r>
                      <w:r>
                        <w:rPr>
                          <w:b/>
                          <w:smallCaps w:val="0"/>
                          <w:color w:val="FFFFFF"/>
                          <w:spacing w:val="-2"/>
                          <w:sz w:val="18"/>
                        </w:rPr>
                        <w:t>2025)</w:t>
                      </w:r>
                    </w:p>
                  </w:txbxContent>
                </v:textbox>
                <v:fill type="solid"/>
              </v:shape>
            </w:pict>
          </mc:Fallback>
        </mc:AlternateContent>
      </w:r>
      <w:r>
        <w:rPr>
          <w:sz w:val="20"/>
        </w:rPr>
      </w:r>
    </w:p>
    <w:p>
      <w:pPr>
        <w:spacing w:before="98"/>
        <w:ind w:left="337" w:right="0" w:firstLine="0"/>
        <w:jc w:val="left"/>
        <w:rPr>
          <w:sz w:val="14"/>
        </w:rPr>
      </w:pPr>
      <w:r>
        <w:rPr>
          <w:sz w:val="14"/>
        </w:rPr>
        <mc:AlternateContent>
          <mc:Choice Requires="wps">
            <w:drawing>
              <wp:anchor distT="0" distB="0" distL="0" distR="0" allowOverlap="1" layoutInCell="1" locked="0" behindDoc="1" simplePos="0" relativeHeight="487633920">
                <wp:simplePos x="0" y="0"/>
                <wp:positionH relativeFrom="page">
                  <wp:posOffset>1009192</wp:posOffset>
                </wp:positionH>
                <wp:positionV relativeFrom="paragraph">
                  <wp:posOffset>203454</wp:posOffset>
                </wp:positionV>
                <wp:extent cx="5476875" cy="3138805"/>
                <wp:effectExtent l="0" t="0" r="0" b="0"/>
                <wp:wrapTopAndBottom/>
                <wp:docPr id="465" name="Group 465"/>
                <wp:cNvGraphicFramePr>
                  <a:graphicFrameLocks/>
                </wp:cNvGraphicFramePr>
                <a:graphic>
                  <a:graphicData uri="http://schemas.microsoft.com/office/word/2010/wordprocessingGroup">
                    <wpg:wgp>
                      <wpg:cNvPr id="465" name="Group 465"/>
                      <wpg:cNvGrpSpPr/>
                      <wpg:grpSpPr>
                        <a:xfrm>
                          <a:off x="0" y="0"/>
                          <a:ext cx="5476875" cy="3138805"/>
                          <a:chExt cx="5476875" cy="3138805"/>
                        </a:xfrm>
                      </wpg:grpSpPr>
                      <wps:wsp>
                        <wps:cNvPr id="466" name="Graphic 466"/>
                        <wps:cNvSpPr/>
                        <wps:spPr>
                          <a:xfrm>
                            <a:off x="0" y="0"/>
                            <a:ext cx="5476875" cy="2089785"/>
                          </a:xfrm>
                          <a:custGeom>
                            <a:avLst/>
                            <a:gdLst/>
                            <a:ahLst/>
                            <a:cxnLst/>
                            <a:rect l="l" t="t" r="r" b="b"/>
                            <a:pathLst>
                              <a:path w="5476875" h="2089785">
                                <a:moveTo>
                                  <a:pt x="2141474" y="1479880"/>
                                </a:moveTo>
                                <a:lnTo>
                                  <a:pt x="1420317" y="1479880"/>
                                </a:lnTo>
                                <a:lnTo>
                                  <a:pt x="900684" y="1479880"/>
                                </a:lnTo>
                                <a:lnTo>
                                  <a:pt x="0" y="1479880"/>
                                </a:lnTo>
                                <a:lnTo>
                                  <a:pt x="0" y="1746885"/>
                                </a:lnTo>
                                <a:lnTo>
                                  <a:pt x="0" y="1897761"/>
                                </a:lnTo>
                                <a:lnTo>
                                  <a:pt x="0" y="2089785"/>
                                </a:lnTo>
                                <a:lnTo>
                                  <a:pt x="900633" y="2089785"/>
                                </a:lnTo>
                                <a:lnTo>
                                  <a:pt x="1420317" y="2089785"/>
                                </a:lnTo>
                                <a:lnTo>
                                  <a:pt x="2141474" y="2089785"/>
                                </a:lnTo>
                                <a:lnTo>
                                  <a:pt x="2141474" y="1897761"/>
                                </a:lnTo>
                                <a:lnTo>
                                  <a:pt x="2141474" y="1746885"/>
                                </a:lnTo>
                                <a:lnTo>
                                  <a:pt x="2141474" y="1479880"/>
                                </a:lnTo>
                                <a:close/>
                              </a:path>
                              <a:path w="5476875" h="2089785">
                                <a:moveTo>
                                  <a:pt x="2141474" y="733056"/>
                                </a:moveTo>
                                <a:lnTo>
                                  <a:pt x="1420317" y="733056"/>
                                </a:lnTo>
                                <a:lnTo>
                                  <a:pt x="900684" y="733056"/>
                                </a:lnTo>
                                <a:lnTo>
                                  <a:pt x="0" y="733056"/>
                                </a:lnTo>
                                <a:lnTo>
                                  <a:pt x="0" y="946404"/>
                                </a:lnTo>
                                <a:lnTo>
                                  <a:pt x="0" y="1296924"/>
                                </a:lnTo>
                                <a:lnTo>
                                  <a:pt x="0" y="1479804"/>
                                </a:lnTo>
                                <a:lnTo>
                                  <a:pt x="900633" y="1479804"/>
                                </a:lnTo>
                                <a:lnTo>
                                  <a:pt x="1420317" y="1479804"/>
                                </a:lnTo>
                                <a:lnTo>
                                  <a:pt x="2141474" y="1479804"/>
                                </a:lnTo>
                                <a:lnTo>
                                  <a:pt x="2141474" y="1296924"/>
                                </a:lnTo>
                                <a:lnTo>
                                  <a:pt x="2141474" y="946404"/>
                                </a:lnTo>
                                <a:lnTo>
                                  <a:pt x="2141474" y="733056"/>
                                </a:lnTo>
                                <a:close/>
                              </a:path>
                              <a:path w="5476875" h="2089785">
                                <a:moveTo>
                                  <a:pt x="2141474" y="0"/>
                                </a:moveTo>
                                <a:lnTo>
                                  <a:pt x="1420317" y="0"/>
                                </a:lnTo>
                                <a:lnTo>
                                  <a:pt x="900684" y="0"/>
                                </a:lnTo>
                                <a:lnTo>
                                  <a:pt x="0" y="0"/>
                                </a:lnTo>
                                <a:lnTo>
                                  <a:pt x="0" y="466344"/>
                                </a:lnTo>
                                <a:lnTo>
                                  <a:pt x="0" y="733044"/>
                                </a:lnTo>
                                <a:lnTo>
                                  <a:pt x="900633" y="733044"/>
                                </a:lnTo>
                                <a:lnTo>
                                  <a:pt x="1420317" y="733044"/>
                                </a:lnTo>
                                <a:lnTo>
                                  <a:pt x="2141474" y="733044"/>
                                </a:lnTo>
                                <a:lnTo>
                                  <a:pt x="2141474" y="466344"/>
                                </a:lnTo>
                                <a:lnTo>
                                  <a:pt x="2141474" y="0"/>
                                </a:lnTo>
                                <a:close/>
                              </a:path>
                              <a:path w="5476875" h="2089785">
                                <a:moveTo>
                                  <a:pt x="5295265" y="1479880"/>
                                </a:moveTo>
                                <a:lnTo>
                                  <a:pt x="5295265" y="1479880"/>
                                </a:lnTo>
                                <a:lnTo>
                                  <a:pt x="2141550" y="1479880"/>
                                </a:lnTo>
                                <a:lnTo>
                                  <a:pt x="2141550" y="1746885"/>
                                </a:lnTo>
                                <a:lnTo>
                                  <a:pt x="2141550" y="1897761"/>
                                </a:lnTo>
                                <a:lnTo>
                                  <a:pt x="2141550" y="2089785"/>
                                </a:lnTo>
                                <a:lnTo>
                                  <a:pt x="2770962" y="2089785"/>
                                </a:lnTo>
                                <a:lnTo>
                                  <a:pt x="3492068" y="2089785"/>
                                </a:lnTo>
                                <a:lnTo>
                                  <a:pt x="4054424" y="2089785"/>
                                </a:lnTo>
                                <a:lnTo>
                                  <a:pt x="4685360" y="2089785"/>
                                </a:lnTo>
                                <a:lnTo>
                                  <a:pt x="4685360" y="1897761"/>
                                </a:lnTo>
                                <a:lnTo>
                                  <a:pt x="5295265" y="1897761"/>
                                </a:lnTo>
                                <a:lnTo>
                                  <a:pt x="5295265" y="1746885"/>
                                </a:lnTo>
                                <a:lnTo>
                                  <a:pt x="5295265" y="1479880"/>
                                </a:lnTo>
                                <a:close/>
                              </a:path>
                              <a:path w="5476875" h="2089785">
                                <a:moveTo>
                                  <a:pt x="5295265" y="733056"/>
                                </a:moveTo>
                                <a:lnTo>
                                  <a:pt x="5295265" y="733056"/>
                                </a:lnTo>
                                <a:lnTo>
                                  <a:pt x="2141550" y="733056"/>
                                </a:lnTo>
                                <a:lnTo>
                                  <a:pt x="2141550" y="946404"/>
                                </a:lnTo>
                                <a:lnTo>
                                  <a:pt x="2141550" y="1296924"/>
                                </a:lnTo>
                                <a:lnTo>
                                  <a:pt x="2141550" y="1479804"/>
                                </a:lnTo>
                                <a:lnTo>
                                  <a:pt x="2770962" y="1479804"/>
                                </a:lnTo>
                                <a:lnTo>
                                  <a:pt x="5295265" y="1479804"/>
                                </a:lnTo>
                                <a:lnTo>
                                  <a:pt x="5295265" y="1296924"/>
                                </a:lnTo>
                                <a:lnTo>
                                  <a:pt x="5295265" y="946404"/>
                                </a:lnTo>
                                <a:lnTo>
                                  <a:pt x="5295265" y="733056"/>
                                </a:lnTo>
                                <a:close/>
                              </a:path>
                              <a:path w="5476875" h="2089785">
                                <a:moveTo>
                                  <a:pt x="5295265" y="0"/>
                                </a:moveTo>
                                <a:lnTo>
                                  <a:pt x="5295265" y="0"/>
                                </a:lnTo>
                                <a:lnTo>
                                  <a:pt x="2141550" y="0"/>
                                </a:lnTo>
                                <a:lnTo>
                                  <a:pt x="2141550" y="466344"/>
                                </a:lnTo>
                                <a:lnTo>
                                  <a:pt x="2141550" y="733044"/>
                                </a:lnTo>
                                <a:lnTo>
                                  <a:pt x="2770962" y="733044"/>
                                </a:lnTo>
                                <a:lnTo>
                                  <a:pt x="3492068" y="733044"/>
                                </a:lnTo>
                                <a:lnTo>
                                  <a:pt x="4054424" y="733044"/>
                                </a:lnTo>
                                <a:lnTo>
                                  <a:pt x="4685360" y="733044"/>
                                </a:lnTo>
                                <a:lnTo>
                                  <a:pt x="5295265" y="733044"/>
                                </a:lnTo>
                                <a:lnTo>
                                  <a:pt x="5295265" y="466344"/>
                                </a:lnTo>
                                <a:lnTo>
                                  <a:pt x="5295265" y="0"/>
                                </a:lnTo>
                                <a:close/>
                              </a:path>
                              <a:path w="5476875" h="2089785">
                                <a:moveTo>
                                  <a:pt x="5476697" y="1479880"/>
                                </a:moveTo>
                                <a:lnTo>
                                  <a:pt x="5295341" y="1479880"/>
                                </a:lnTo>
                                <a:lnTo>
                                  <a:pt x="5295341" y="1746885"/>
                                </a:lnTo>
                                <a:lnTo>
                                  <a:pt x="5295341" y="1897761"/>
                                </a:lnTo>
                                <a:lnTo>
                                  <a:pt x="5476697" y="1897761"/>
                                </a:lnTo>
                                <a:lnTo>
                                  <a:pt x="5476697" y="1746885"/>
                                </a:lnTo>
                                <a:lnTo>
                                  <a:pt x="5476697" y="1479880"/>
                                </a:lnTo>
                                <a:close/>
                              </a:path>
                              <a:path w="5476875" h="2089785">
                                <a:moveTo>
                                  <a:pt x="5476697" y="0"/>
                                </a:moveTo>
                                <a:lnTo>
                                  <a:pt x="5295341" y="0"/>
                                </a:lnTo>
                                <a:lnTo>
                                  <a:pt x="5295341" y="466344"/>
                                </a:lnTo>
                                <a:lnTo>
                                  <a:pt x="5295341" y="733044"/>
                                </a:lnTo>
                                <a:lnTo>
                                  <a:pt x="5363921" y="733044"/>
                                </a:lnTo>
                                <a:lnTo>
                                  <a:pt x="5295341" y="733056"/>
                                </a:lnTo>
                                <a:lnTo>
                                  <a:pt x="5295341" y="946404"/>
                                </a:lnTo>
                                <a:lnTo>
                                  <a:pt x="5295341" y="1296924"/>
                                </a:lnTo>
                                <a:lnTo>
                                  <a:pt x="5295341" y="1479804"/>
                                </a:lnTo>
                                <a:lnTo>
                                  <a:pt x="5476697" y="1479804"/>
                                </a:lnTo>
                                <a:lnTo>
                                  <a:pt x="5476697" y="1296924"/>
                                </a:lnTo>
                                <a:lnTo>
                                  <a:pt x="5476697" y="946404"/>
                                </a:lnTo>
                                <a:lnTo>
                                  <a:pt x="5476697" y="733056"/>
                                </a:lnTo>
                                <a:lnTo>
                                  <a:pt x="5408117" y="733056"/>
                                </a:lnTo>
                                <a:lnTo>
                                  <a:pt x="5476697" y="733044"/>
                                </a:lnTo>
                                <a:lnTo>
                                  <a:pt x="5476697" y="466344"/>
                                </a:lnTo>
                                <a:lnTo>
                                  <a:pt x="5476697" y="0"/>
                                </a:lnTo>
                                <a:close/>
                              </a:path>
                            </a:pathLst>
                          </a:custGeom>
                          <a:solidFill>
                            <a:srgbClr val="BEBEBE"/>
                          </a:solidFill>
                        </wps:spPr>
                        <wps:bodyPr wrap="square" lIns="0" tIns="0" rIns="0" bIns="0" rtlCol="0">
                          <a:prstTxWarp prst="textNoShape">
                            <a:avLst/>
                          </a:prstTxWarp>
                          <a:noAutofit/>
                        </wps:bodyPr>
                      </wps:wsp>
                      <wps:wsp>
                        <wps:cNvPr id="467" name="Graphic 467"/>
                        <wps:cNvSpPr/>
                        <wps:spPr>
                          <a:xfrm>
                            <a:off x="0" y="1897760"/>
                            <a:ext cx="5476875" cy="1240790"/>
                          </a:xfrm>
                          <a:custGeom>
                            <a:avLst/>
                            <a:gdLst/>
                            <a:ahLst/>
                            <a:cxnLst/>
                            <a:rect l="l" t="t" r="r" b="b"/>
                            <a:pathLst>
                              <a:path w="5476875" h="1240790">
                                <a:moveTo>
                                  <a:pt x="5476697" y="0"/>
                                </a:moveTo>
                                <a:lnTo>
                                  <a:pt x="5295341" y="0"/>
                                </a:lnTo>
                                <a:lnTo>
                                  <a:pt x="5295341" y="192024"/>
                                </a:lnTo>
                                <a:lnTo>
                                  <a:pt x="5295341" y="355092"/>
                                </a:lnTo>
                                <a:lnTo>
                                  <a:pt x="5295341" y="579120"/>
                                </a:lnTo>
                                <a:lnTo>
                                  <a:pt x="5295341" y="845820"/>
                                </a:lnTo>
                                <a:lnTo>
                                  <a:pt x="5295265" y="579120"/>
                                </a:lnTo>
                                <a:lnTo>
                                  <a:pt x="5295265" y="355092"/>
                                </a:lnTo>
                                <a:lnTo>
                                  <a:pt x="5295265" y="192024"/>
                                </a:lnTo>
                                <a:lnTo>
                                  <a:pt x="5295265" y="0"/>
                                </a:lnTo>
                                <a:lnTo>
                                  <a:pt x="4685360" y="0"/>
                                </a:lnTo>
                                <a:lnTo>
                                  <a:pt x="4054424" y="0"/>
                                </a:lnTo>
                                <a:lnTo>
                                  <a:pt x="4054424" y="192024"/>
                                </a:lnTo>
                                <a:lnTo>
                                  <a:pt x="3492106" y="192024"/>
                                </a:lnTo>
                                <a:lnTo>
                                  <a:pt x="2770962" y="192024"/>
                                </a:lnTo>
                                <a:lnTo>
                                  <a:pt x="2141550" y="192024"/>
                                </a:lnTo>
                                <a:lnTo>
                                  <a:pt x="2141550" y="355092"/>
                                </a:lnTo>
                                <a:lnTo>
                                  <a:pt x="2141550" y="579120"/>
                                </a:lnTo>
                                <a:lnTo>
                                  <a:pt x="2141550" y="845820"/>
                                </a:lnTo>
                                <a:lnTo>
                                  <a:pt x="2141474" y="579120"/>
                                </a:lnTo>
                                <a:lnTo>
                                  <a:pt x="2141474" y="355092"/>
                                </a:lnTo>
                                <a:lnTo>
                                  <a:pt x="2141474" y="192024"/>
                                </a:lnTo>
                                <a:lnTo>
                                  <a:pt x="1420317" y="192024"/>
                                </a:lnTo>
                                <a:lnTo>
                                  <a:pt x="900684" y="192024"/>
                                </a:lnTo>
                                <a:lnTo>
                                  <a:pt x="0" y="192024"/>
                                </a:lnTo>
                                <a:lnTo>
                                  <a:pt x="0" y="355092"/>
                                </a:lnTo>
                                <a:lnTo>
                                  <a:pt x="0" y="579120"/>
                                </a:lnTo>
                                <a:lnTo>
                                  <a:pt x="0" y="845820"/>
                                </a:lnTo>
                                <a:lnTo>
                                  <a:pt x="0" y="1240536"/>
                                </a:lnTo>
                                <a:lnTo>
                                  <a:pt x="5476621" y="1240536"/>
                                </a:lnTo>
                                <a:lnTo>
                                  <a:pt x="5476621" y="845820"/>
                                </a:lnTo>
                                <a:lnTo>
                                  <a:pt x="5476697" y="579120"/>
                                </a:lnTo>
                                <a:lnTo>
                                  <a:pt x="5476697" y="355092"/>
                                </a:lnTo>
                                <a:lnTo>
                                  <a:pt x="5476697" y="192024"/>
                                </a:lnTo>
                                <a:lnTo>
                                  <a:pt x="5476697" y="0"/>
                                </a:lnTo>
                                <a:close/>
                              </a:path>
                            </a:pathLst>
                          </a:custGeom>
                          <a:solidFill>
                            <a:srgbClr val="BEBEBE"/>
                          </a:solidFill>
                        </wps:spPr>
                        <wps:bodyPr wrap="square" lIns="0" tIns="0" rIns="0" bIns="0" rtlCol="0">
                          <a:prstTxWarp prst="textNoShape">
                            <a:avLst/>
                          </a:prstTxWarp>
                          <a:noAutofit/>
                        </wps:bodyPr>
                      </wps:wsp>
                      <wps:wsp>
                        <wps:cNvPr id="468" name="Textbox 468"/>
                        <wps:cNvSpPr txBox="1"/>
                        <wps:spPr>
                          <a:xfrm>
                            <a:off x="5074361" y="1067250"/>
                            <a:ext cx="166370" cy="113664"/>
                          </a:xfrm>
                          <a:prstGeom prst="rect">
                            <a:avLst/>
                          </a:prstGeom>
                        </wps:spPr>
                        <wps:txbx>
                          <w:txbxContent>
                            <w:p>
                              <w:pPr>
                                <w:spacing w:line="178" w:lineRule="exact" w:before="0"/>
                                <w:ind w:left="0" w:right="0" w:firstLine="0"/>
                                <w:jc w:val="left"/>
                                <w:rPr>
                                  <w:sz w:val="16"/>
                                </w:rPr>
                              </w:pPr>
                              <w:r>
                                <w:rPr>
                                  <w:spacing w:val="-5"/>
                                  <w:sz w:val="16"/>
                                </w:rPr>
                                <w:t>972</w:t>
                              </w:r>
                            </w:p>
                          </w:txbxContent>
                        </wps:txbx>
                        <wps:bodyPr wrap="square" lIns="0" tIns="0" rIns="0" bIns="0" rtlCol="0">
                          <a:noAutofit/>
                        </wps:bodyPr>
                      </wps:wsp>
                      <wps:wsp>
                        <wps:cNvPr id="469" name="Textbox 469"/>
                        <wps:cNvSpPr txBox="1"/>
                        <wps:spPr>
                          <a:xfrm>
                            <a:off x="1072845" y="1333950"/>
                            <a:ext cx="292100" cy="113664"/>
                          </a:xfrm>
                          <a:prstGeom prst="rect">
                            <a:avLst/>
                          </a:prstGeom>
                        </wps:spPr>
                        <wps:txbx>
                          <w:txbxContent>
                            <w:p>
                              <w:pPr>
                                <w:spacing w:line="178" w:lineRule="exact" w:before="0"/>
                                <w:ind w:left="0" w:right="0" w:firstLine="0"/>
                                <w:jc w:val="left"/>
                                <w:rPr>
                                  <w:sz w:val="16"/>
                                </w:rPr>
                              </w:pPr>
                              <w:r>
                                <w:rPr>
                                  <w:spacing w:val="-2"/>
                                  <w:sz w:val="16"/>
                                </w:rPr>
                                <w:t>37.693</w:t>
                              </w:r>
                            </w:p>
                          </w:txbxContent>
                        </wps:txbx>
                        <wps:bodyPr wrap="square" lIns="0" tIns="0" rIns="0" bIns="0" rtlCol="0">
                          <a:noAutofit/>
                        </wps:bodyPr>
                      </wps:wsp>
                      <wps:wsp>
                        <wps:cNvPr id="470" name="Textbox 470"/>
                        <wps:cNvSpPr txBox="1"/>
                        <wps:spPr>
                          <a:xfrm>
                            <a:off x="1794078" y="1333950"/>
                            <a:ext cx="292100" cy="113664"/>
                          </a:xfrm>
                          <a:prstGeom prst="rect">
                            <a:avLst/>
                          </a:prstGeom>
                        </wps:spPr>
                        <wps:txbx>
                          <w:txbxContent>
                            <w:p>
                              <w:pPr>
                                <w:spacing w:line="178" w:lineRule="exact" w:before="0"/>
                                <w:ind w:left="0" w:right="0" w:firstLine="0"/>
                                <w:jc w:val="left"/>
                                <w:rPr>
                                  <w:sz w:val="16"/>
                                </w:rPr>
                              </w:pPr>
                              <w:r>
                                <w:rPr>
                                  <w:spacing w:val="-2"/>
                                  <w:sz w:val="16"/>
                                </w:rPr>
                                <w:t>13.151</w:t>
                              </w:r>
                            </w:p>
                          </w:txbxContent>
                        </wps:txbx>
                        <wps:bodyPr wrap="square" lIns="0" tIns="0" rIns="0" bIns="0" rtlCol="0">
                          <a:noAutofit/>
                        </wps:bodyPr>
                      </wps:wsp>
                      <wps:wsp>
                        <wps:cNvPr id="471" name="Textbox 471"/>
                        <wps:cNvSpPr txBox="1"/>
                        <wps:spPr>
                          <a:xfrm>
                            <a:off x="2551506" y="1333950"/>
                            <a:ext cx="166370" cy="113664"/>
                          </a:xfrm>
                          <a:prstGeom prst="rect">
                            <a:avLst/>
                          </a:prstGeom>
                        </wps:spPr>
                        <wps:txbx>
                          <w:txbxContent>
                            <w:p>
                              <w:pPr>
                                <w:spacing w:line="178" w:lineRule="exact" w:before="0"/>
                                <w:ind w:left="0" w:right="0" w:firstLine="0"/>
                                <w:jc w:val="left"/>
                                <w:rPr>
                                  <w:sz w:val="16"/>
                                </w:rPr>
                              </w:pPr>
                              <w:r>
                                <w:rPr>
                                  <w:spacing w:val="-5"/>
                                  <w:sz w:val="16"/>
                                </w:rPr>
                                <w:t>197</w:t>
                              </w:r>
                            </w:p>
                          </w:txbxContent>
                        </wps:txbx>
                        <wps:bodyPr wrap="square" lIns="0" tIns="0" rIns="0" bIns="0" rtlCol="0">
                          <a:noAutofit/>
                        </wps:bodyPr>
                      </wps:wsp>
                      <wps:wsp>
                        <wps:cNvPr id="472" name="Textbox 472"/>
                        <wps:cNvSpPr txBox="1"/>
                        <wps:spPr>
                          <a:xfrm>
                            <a:off x="3211652" y="1333950"/>
                            <a:ext cx="226695" cy="113664"/>
                          </a:xfrm>
                          <a:prstGeom prst="rect">
                            <a:avLst/>
                          </a:prstGeom>
                        </wps:spPr>
                        <wps:txbx>
                          <w:txbxContent>
                            <w:p>
                              <w:pPr>
                                <w:spacing w:line="178" w:lineRule="exact" w:before="0"/>
                                <w:ind w:left="0" w:right="0" w:firstLine="0"/>
                                <w:jc w:val="left"/>
                                <w:rPr>
                                  <w:sz w:val="16"/>
                                </w:rPr>
                              </w:pPr>
                              <w:r>
                                <w:rPr>
                                  <w:spacing w:val="-4"/>
                                  <w:sz w:val="16"/>
                                </w:rPr>
                                <w:t>1,5%</w:t>
                              </w:r>
                            </w:p>
                          </w:txbxContent>
                        </wps:txbx>
                        <wps:bodyPr wrap="square" lIns="0" tIns="0" rIns="0" bIns="0" rtlCol="0">
                          <a:noAutofit/>
                        </wps:bodyPr>
                      </wps:wsp>
                      <wps:wsp>
                        <wps:cNvPr id="473" name="Textbox 473"/>
                        <wps:cNvSpPr txBox="1"/>
                        <wps:spPr>
                          <a:xfrm>
                            <a:off x="3706952" y="1333950"/>
                            <a:ext cx="292100" cy="113664"/>
                          </a:xfrm>
                          <a:prstGeom prst="rect">
                            <a:avLst/>
                          </a:prstGeom>
                        </wps:spPr>
                        <wps:txbx>
                          <w:txbxContent>
                            <w:p>
                              <w:pPr>
                                <w:spacing w:line="178" w:lineRule="exact" w:before="0"/>
                                <w:ind w:left="0" w:right="0" w:firstLine="0"/>
                                <w:jc w:val="left"/>
                                <w:rPr>
                                  <w:sz w:val="16"/>
                                </w:rPr>
                              </w:pPr>
                              <w:r>
                                <w:rPr>
                                  <w:spacing w:val="-2"/>
                                  <w:sz w:val="16"/>
                                </w:rPr>
                                <w:t>30.377</w:t>
                              </w:r>
                            </w:p>
                          </w:txbxContent>
                        </wps:txbx>
                        <wps:bodyPr wrap="square" lIns="0" tIns="0" rIns="0" bIns="0" rtlCol="0">
                          <a:noAutofit/>
                        </wps:bodyPr>
                      </wps:wsp>
                      <wps:wsp>
                        <wps:cNvPr id="474" name="Textbox 474"/>
                        <wps:cNvSpPr txBox="1"/>
                        <wps:spPr>
                          <a:xfrm>
                            <a:off x="4514672" y="1333950"/>
                            <a:ext cx="116839" cy="113664"/>
                          </a:xfrm>
                          <a:prstGeom prst="rect">
                            <a:avLst/>
                          </a:prstGeom>
                        </wps:spPr>
                        <wps:txbx>
                          <w:txbxContent>
                            <w:p>
                              <w:pPr>
                                <w:spacing w:line="178" w:lineRule="exact" w:before="0"/>
                                <w:ind w:left="0" w:right="0" w:firstLine="0"/>
                                <w:jc w:val="left"/>
                                <w:rPr>
                                  <w:sz w:val="16"/>
                                </w:rPr>
                              </w:pPr>
                              <w:r>
                                <w:rPr>
                                  <w:spacing w:val="-5"/>
                                  <w:sz w:val="16"/>
                                </w:rPr>
                                <w:t>85</w:t>
                              </w:r>
                            </w:p>
                          </w:txbxContent>
                        </wps:txbx>
                        <wps:bodyPr wrap="square" lIns="0" tIns="0" rIns="0" bIns="0" rtlCol="0">
                          <a:noAutofit/>
                        </wps:bodyPr>
                      </wps:wsp>
                      <wps:wsp>
                        <wps:cNvPr id="475" name="Textbox 475"/>
                        <wps:cNvSpPr txBox="1"/>
                        <wps:spPr>
                          <a:xfrm>
                            <a:off x="4998161" y="1333950"/>
                            <a:ext cx="242570" cy="113664"/>
                          </a:xfrm>
                          <a:prstGeom prst="rect">
                            <a:avLst/>
                          </a:prstGeom>
                        </wps:spPr>
                        <wps:txbx>
                          <w:txbxContent>
                            <w:p>
                              <w:pPr>
                                <w:spacing w:line="178" w:lineRule="exact" w:before="0"/>
                                <w:ind w:left="0" w:right="0" w:firstLine="0"/>
                                <w:jc w:val="left"/>
                                <w:rPr>
                                  <w:sz w:val="16"/>
                                </w:rPr>
                              </w:pPr>
                              <w:r>
                                <w:rPr>
                                  <w:spacing w:val="-2"/>
                                  <w:sz w:val="16"/>
                                </w:rPr>
                                <w:t>3.371</w:t>
                              </w:r>
                            </w:p>
                          </w:txbxContent>
                        </wps:txbx>
                        <wps:bodyPr wrap="square" lIns="0" tIns="0" rIns="0" bIns="0" rtlCol="0">
                          <a:noAutofit/>
                        </wps:bodyPr>
                      </wps:wsp>
                      <wps:wsp>
                        <wps:cNvPr id="476" name="Textbox 476"/>
                        <wps:cNvSpPr txBox="1"/>
                        <wps:spPr>
                          <a:xfrm>
                            <a:off x="1072845" y="1559883"/>
                            <a:ext cx="292100" cy="113664"/>
                          </a:xfrm>
                          <a:prstGeom prst="rect">
                            <a:avLst/>
                          </a:prstGeom>
                        </wps:spPr>
                        <wps:txbx>
                          <w:txbxContent>
                            <w:p>
                              <w:pPr>
                                <w:spacing w:line="178" w:lineRule="exact" w:before="0"/>
                                <w:ind w:left="0" w:right="0" w:firstLine="0"/>
                                <w:jc w:val="left"/>
                                <w:rPr>
                                  <w:b/>
                                  <w:sz w:val="16"/>
                                </w:rPr>
                              </w:pPr>
                              <w:r>
                                <w:rPr>
                                  <w:b/>
                                  <w:color w:val="1F487C"/>
                                  <w:spacing w:val="-2"/>
                                  <w:sz w:val="16"/>
                                </w:rPr>
                                <w:t>10.839</w:t>
                              </w:r>
                            </w:p>
                          </w:txbxContent>
                        </wps:txbx>
                        <wps:bodyPr wrap="square" lIns="0" tIns="0" rIns="0" bIns="0" rtlCol="0">
                          <a:noAutofit/>
                        </wps:bodyPr>
                      </wps:wsp>
                      <wps:wsp>
                        <wps:cNvPr id="477" name="Textbox 477"/>
                        <wps:cNvSpPr txBox="1"/>
                        <wps:spPr>
                          <a:xfrm>
                            <a:off x="1844370" y="1559883"/>
                            <a:ext cx="242570" cy="113664"/>
                          </a:xfrm>
                          <a:prstGeom prst="rect">
                            <a:avLst/>
                          </a:prstGeom>
                        </wps:spPr>
                        <wps:txbx>
                          <w:txbxContent>
                            <w:p>
                              <w:pPr>
                                <w:spacing w:line="178" w:lineRule="exact" w:before="0"/>
                                <w:ind w:left="0" w:right="0" w:firstLine="0"/>
                                <w:jc w:val="left"/>
                                <w:rPr>
                                  <w:b/>
                                  <w:sz w:val="16"/>
                                </w:rPr>
                              </w:pPr>
                              <w:r>
                                <w:rPr>
                                  <w:b/>
                                  <w:color w:val="1F487C"/>
                                  <w:spacing w:val="-2"/>
                                  <w:sz w:val="16"/>
                                </w:rPr>
                                <w:t>6.819</w:t>
                              </w:r>
                            </w:p>
                          </w:txbxContent>
                        </wps:txbx>
                        <wps:bodyPr wrap="square" lIns="0" tIns="0" rIns="0" bIns="0" rtlCol="0">
                          <a:noAutofit/>
                        </wps:bodyPr>
                      </wps:wsp>
                      <wps:wsp>
                        <wps:cNvPr id="478" name="Textbox 478"/>
                        <wps:cNvSpPr txBox="1"/>
                        <wps:spPr>
                          <a:xfrm>
                            <a:off x="2601798" y="1559883"/>
                            <a:ext cx="116839" cy="113664"/>
                          </a:xfrm>
                          <a:prstGeom prst="rect">
                            <a:avLst/>
                          </a:prstGeom>
                        </wps:spPr>
                        <wps:txbx>
                          <w:txbxContent>
                            <w:p>
                              <w:pPr>
                                <w:spacing w:line="178" w:lineRule="exact" w:before="0"/>
                                <w:ind w:left="0" w:right="0" w:firstLine="0"/>
                                <w:jc w:val="left"/>
                                <w:rPr>
                                  <w:b/>
                                  <w:sz w:val="16"/>
                                </w:rPr>
                              </w:pPr>
                              <w:r>
                                <w:rPr>
                                  <w:b/>
                                  <w:color w:val="1F487C"/>
                                  <w:spacing w:val="-5"/>
                                  <w:sz w:val="16"/>
                                </w:rPr>
                                <w:t>36</w:t>
                              </w:r>
                            </w:p>
                          </w:txbxContent>
                        </wps:txbx>
                        <wps:bodyPr wrap="square" lIns="0" tIns="0" rIns="0" bIns="0" rtlCol="0">
                          <a:noAutofit/>
                        </wps:bodyPr>
                      </wps:wsp>
                      <wps:wsp>
                        <wps:cNvPr id="479" name="Textbox 479"/>
                        <wps:cNvSpPr txBox="1"/>
                        <wps:spPr>
                          <a:xfrm>
                            <a:off x="3194888" y="1559883"/>
                            <a:ext cx="243840" cy="113664"/>
                          </a:xfrm>
                          <a:prstGeom prst="rect">
                            <a:avLst/>
                          </a:prstGeom>
                        </wps:spPr>
                        <wps:txbx>
                          <w:txbxContent>
                            <w:p>
                              <w:pPr>
                                <w:spacing w:line="178" w:lineRule="exact" w:before="0"/>
                                <w:ind w:left="0" w:right="0" w:firstLine="0"/>
                                <w:jc w:val="left"/>
                                <w:rPr>
                                  <w:b/>
                                  <w:sz w:val="16"/>
                                </w:rPr>
                              </w:pPr>
                              <w:r>
                                <w:rPr>
                                  <w:b/>
                                  <w:color w:val="1F487C"/>
                                  <w:spacing w:val="-4"/>
                                  <w:sz w:val="16"/>
                                </w:rPr>
                                <w:t>0,5%</w:t>
                              </w:r>
                            </w:p>
                          </w:txbxContent>
                        </wps:txbx>
                        <wps:bodyPr wrap="square" lIns="0" tIns="0" rIns="0" bIns="0" rtlCol="0">
                          <a:noAutofit/>
                        </wps:bodyPr>
                      </wps:wsp>
                      <wps:wsp>
                        <wps:cNvPr id="480" name="Textbox 480"/>
                        <wps:cNvSpPr txBox="1"/>
                        <wps:spPr>
                          <a:xfrm>
                            <a:off x="3757244" y="1559883"/>
                            <a:ext cx="242570" cy="113664"/>
                          </a:xfrm>
                          <a:prstGeom prst="rect">
                            <a:avLst/>
                          </a:prstGeom>
                        </wps:spPr>
                        <wps:txbx>
                          <w:txbxContent>
                            <w:p>
                              <w:pPr>
                                <w:spacing w:line="178" w:lineRule="exact" w:before="0"/>
                                <w:ind w:left="0" w:right="0" w:firstLine="0"/>
                                <w:jc w:val="left"/>
                                <w:rPr>
                                  <w:b/>
                                  <w:sz w:val="16"/>
                                </w:rPr>
                              </w:pPr>
                              <w:r>
                                <w:rPr>
                                  <w:b/>
                                  <w:color w:val="1F487C"/>
                                  <w:spacing w:val="-2"/>
                                  <w:sz w:val="16"/>
                                </w:rPr>
                                <w:t>3.194</w:t>
                              </w:r>
                            </w:p>
                          </w:txbxContent>
                        </wps:txbx>
                        <wps:bodyPr wrap="square" lIns="0" tIns="0" rIns="0" bIns="0" rtlCol="0">
                          <a:noAutofit/>
                        </wps:bodyPr>
                      </wps:wsp>
                      <wps:wsp>
                        <wps:cNvPr id="481" name="Textbox 481"/>
                        <wps:cNvSpPr txBox="1"/>
                        <wps:spPr>
                          <a:xfrm>
                            <a:off x="4566488" y="1559883"/>
                            <a:ext cx="64135" cy="113664"/>
                          </a:xfrm>
                          <a:prstGeom prst="rect">
                            <a:avLst/>
                          </a:prstGeom>
                        </wps:spPr>
                        <wps:txbx>
                          <w:txbxContent>
                            <w:p>
                              <w:pPr>
                                <w:spacing w:line="178" w:lineRule="exact" w:before="0"/>
                                <w:ind w:left="0" w:right="0" w:firstLine="0"/>
                                <w:jc w:val="left"/>
                                <w:rPr>
                                  <w:b/>
                                  <w:sz w:val="16"/>
                                </w:rPr>
                              </w:pPr>
                              <w:r>
                                <w:rPr>
                                  <w:b/>
                                  <w:color w:val="1F487C"/>
                                  <w:spacing w:val="-10"/>
                                  <w:sz w:val="16"/>
                                </w:rPr>
                                <w:t>5</w:t>
                              </w:r>
                            </w:p>
                          </w:txbxContent>
                        </wps:txbx>
                        <wps:bodyPr wrap="square" lIns="0" tIns="0" rIns="0" bIns="0" rtlCol="0">
                          <a:noAutofit/>
                        </wps:bodyPr>
                      </wps:wsp>
                      <wps:wsp>
                        <wps:cNvPr id="482" name="Textbox 482"/>
                        <wps:cNvSpPr txBox="1"/>
                        <wps:spPr>
                          <a:xfrm>
                            <a:off x="5074361" y="1559883"/>
                            <a:ext cx="166370" cy="113664"/>
                          </a:xfrm>
                          <a:prstGeom prst="rect">
                            <a:avLst/>
                          </a:prstGeom>
                        </wps:spPr>
                        <wps:txbx>
                          <w:txbxContent>
                            <w:p>
                              <w:pPr>
                                <w:spacing w:line="178" w:lineRule="exact" w:before="0"/>
                                <w:ind w:left="0" w:right="0" w:firstLine="0"/>
                                <w:jc w:val="left"/>
                                <w:rPr>
                                  <w:b/>
                                  <w:sz w:val="16"/>
                                </w:rPr>
                              </w:pPr>
                              <w:r>
                                <w:rPr>
                                  <w:b/>
                                  <w:color w:val="1F487C"/>
                                  <w:spacing w:val="-5"/>
                                  <w:sz w:val="16"/>
                                </w:rPr>
                                <w:t>262</w:t>
                              </w:r>
                            </w:p>
                          </w:txbxContent>
                        </wps:txbx>
                        <wps:bodyPr wrap="square" lIns="0" tIns="0" rIns="0" bIns="0" rtlCol="0">
                          <a:noAutofit/>
                        </wps:bodyPr>
                      </wps:wsp>
                      <wps:wsp>
                        <wps:cNvPr id="483" name="Textbox 483"/>
                        <wps:cNvSpPr txBox="1"/>
                        <wps:spPr>
                          <a:xfrm>
                            <a:off x="1123137" y="1768671"/>
                            <a:ext cx="4117975" cy="655955"/>
                          </a:xfrm>
                          <a:prstGeom prst="rect">
                            <a:avLst/>
                          </a:prstGeom>
                        </wps:spPr>
                        <wps:txbx>
                          <w:txbxContent>
                            <w:p>
                              <w:pPr>
                                <w:tabs>
                                  <w:tab w:pos="1135" w:val="left" w:leader="none"/>
                                  <w:tab w:pos="2328" w:val="left" w:leader="none"/>
                                  <w:tab w:pos="3288" w:val="left" w:leader="none"/>
                                  <w:tab w:pos="4268" w:val="left" w:leader="none"/>
                                  <w:tab w:pos="5422" w:val="left" w:leader="none"/>
                                  <w:tab w:pos="6301" w:val="left" w:leader="none"/>
                                </w:tabs>
                                <w:spacing w:line="178" w:lineRule="exact" w:before="0"/>
                                <w:ind w:left="0" w:right="18" w:firstLine="0"/>
                                <w:jc w:val="right"/>
                                <w:rPr>
                                  <w:sz w:val="16"/>
                                </w:rPr>
                              </w:pPr>
                              <w:r>
                                <w:rPr>
                                  <w:spacing w:val="-2"/>
                                  <w:sz w:val="16"/>
                                </w:rPr>
                                <w:t>2.488</w:t>
                              </w:r>
                              <w:r>
                                <w:rPr>
                                  <w:sz w:val="16"/>
                                </w:rPr>
                                <w:tab/>
                              </w:r>
                              <w:r>
                                <w:rPr>
                                  <w:spacing w:val="-4"/>
                                  <w:sz w:val="16"/>
                                </w:rPr>
                                <w:t>2.289</w:t>
                              </w:r>
                              <w:r>
                                <w:rPr>
                                  <w:sz w:val="16"/>
                                </w:rPr>
                                <w:tab/>
                              </w:r>
                              <w:r>
                                <w:rPr>
                                  <w:spacing w:val="-5"/>
                                  <w:sz w:val="16"/>
                                </w:rPr>
                                <w:t>36</w:t>
                              </w:r>
                              <w:r>
                                <w:rPr>
                                  <w:sz w:val="16"/>
                                </w:rPr>
                                <w:tab/>
                              </w:r>
                              <w:r>
                                <w:rPr>
                                  <w:spacing w:val="-4"/>
                                  <w:sz w:val="16"/>
                                </w:rPr>
                                <w:t>1,6%</w:t>
                              </w:r>
                              <w:r>
                                <w:rPr>
                                  <w:sz w:val="16"/>
                                </w:rPr>
                                <w:tab/>
                              </w:r>
                              <w:r>
                                <w:rPr>
                                  <w:spacing w:val="-5"/>
                                  <w:sz w:val="16"/>
                                </w:rPr>
                                <w:t>103</w:t>
                              </w:r>
                              <w:r>
                                <w:rPr>
                                  <w:sz w:val="16"/>
                                </w:rPr>
                                <w:tab/>
                              </w:r>
                              <w:r>
                                <w:rPr>
                                  <w:spacing w:val="-10"/>
                                  <w:sz w:val="16"/>
                                </w:rPr>
                                <w:t>1</w:t>
                              </w:r>
                              <w:r>
                                <w:rPr>
                                  <w:sz w:val="16"/>
                                </w:rPr>
                                <w:tab/>
                              </w:r>
                              <w:r>
                                <w:rPr>
                                  <w:spacing w:val="-5"/>
                                  <w:sz w:val="16"/>
                                </w:rPr>
                                <w:t>12</w:t>
                              </w:r>
                            </w:p>
                            <w:p>
                              <w:pPr>
                                <w:tabs>
                                  <w:tab w:pos="1135" w:val="left" w:leader="none"/>
                                  <w:tab w:pos="2290" w:val="left" w:leader="none"/>
                                  <w:tab w:pos="3168" w:val="left" w:leader="none"/>
                                  <w:tab w:pos="4148" w:val="left" w:leader="none"/>
                                  <w:tab w:pos="5302" w:val="left" w:leader="none"/>
                                  <w:tab w:pos="6181" w:val="left" w:leader="none"/>
                                </w:tabs>
                                <w:spacing w:before="85"/>
                                <w:ind w:left="0" w:right="18" w:firstLine="0"/>
                                <w:jc w:val="right"/>
                                <w:rPr>
                                  <w:sz w:val="16"/>
                                </w:rPr>
                              </w:pPr>
                              <w:r>
                                <w:rPr>
                                  <w:spacing w:val="-5"/>
                                  <w:sz w:val="16"/>
                                </w:rPr>
                                <w:t>626</w:t>
                              </w:r>
                              <w:r>
                                <w:rPr>
                                  <w:sz w:val="16"/>
                                </w:rPr>
                                <w:tab/>
                              </w:r>
                              <w:r>
                                <w:rPr>
                                  <w:spacing w:val="-5"/>
                                  <w:sz w:val="16"/>
                                </w:rPr>
                                <w:t>521</w:t>
                              </w:r>
                              <w:r>
                                <w:rPr>
                                  <w:sz w:val="16"/>
                                </w:rPr>
                                <w:tab/>
                              </w:r>
                              <w:r>
                                <w:rPr>
                                  <w:spacing w:val="-10"/>
                                  <w:sz w:val="16"/>
                                </w:rPr>
                                <w:t>0</w:t>
                              </w:r>
                              <w:r>
                                <w:rPr>
                                  <w:sz w:val="16"/>
                                </w:rPr>
                                <w:tab/>
                              </w:r>
                              <w:r>
                                <w:rPr>
                                  <w:spacing w:val="-4"/>
                                  <w:sz w:val="16"/>
                                </w:rPr>
                                <w:t>0,0%</w:t>
                              </w:r>
                              <w:r>
                                <w:rPr>
                                  <w:sz w:val="16"/>
                                </w:rPr>
                                <w:tab/>
                              </w:r>
                              <w:r>
                                <w:rPr>
                                  <w:spacing w:val="-5"/>
                                  <w:sz w:val="16"/>
                                </w:rPr>
                                <w:t>521</w:t>
                              </w:r>
                              <w:r>
                                <w:rPr>
                                  <w:sz w:val="16"/>
                                </w:rPr>
                                <w:tab/>
                              </w:r>
                              <w:r>
                                <w:rPr>
                                  <w:spacing w:val="-10"/>
                                  <w:sz w:val="16"/>
                                </w:rPr>
                                <w:t>1</w:t>
                              </w:r>
                              <w:r>
                                <w:rPr>
                                  <w:sz w:val="16"/>
                                </w:rPr>
                                <w:tab/>
                              </w:r>
                              <w:r>
                                <w:rPr>
                                  <w:spacing w:val="-5"/>
                                  <w:sz w:val="16"/>
                                </w:rPr>
                                <w:t>91</w:t>
                              </w:r>
                            </w:p>
                            <w:p>
                              <w:pPr>
                                <w:tabs>
                                  <w:tab w:pos="1135" w:val="left" w:leader="none"/>
                                  <w:tab w:pos="2410" w:val="left" w:leader="none"/>
                                  <w:tab w:pos="3288" w:val="left" w:leader="none"/>
                                  <w:tab w:pos="4148" w:val="left" w:leader="none"/>
                                  <w:tab w:pos="5422" w:val="left" w:leader="none"/>
                                  <w:tab w:pos="6222" w:val="left" w:leader="none"/>
                                </w:tabs>
                                <w:spacing w:before="96"/>
                                <w:ind w:left="0" w:right="19" w:firstLine="0"/>
                                <w:jc w:val="right"/>
                                <w:rPr>
                                  <w:sz w:val="16"/>
                                </w:rPr>
                              </w:pPr>
                              <w:r>
                                <w:rPr>
                                  <w:spacing w:val="-2"/>
                                  <w:sz w:val="16"/>
                                </w:rPr>
                                <w:t>7.726</w:t>
                              </w:r>
                              <w:r>
                                <w:rPr>
                                  <w:sz w:val="16"/>
                                </w:rPr>
                                <w:tab/>
                              </w:r>
                              <w:r>
                                <w:rPr>
                                  <w:spacing w:val="-4"/>
                                  <w:sz w:val="16"/>
                                </w:rPr>
                                <w:t>4.009</w:t>
                              </w:r>
                              <w:r>
                                <w:rPr>
                                  <w:sz w:val="16"/>
                                </w:rPr>
                                <w:tab/>
                              </w:r>
                              <w:r>
                                <w:rPr>
                                  <w:spacing w:val="-10"/>
                                  <w:sz w:val="16"/>
                                </w:rPr>
                                <w:t>0</w:t>
                              </w:r>
                              <w:r>
                                <w:rPr>
                                  <w:sz w:val="16"/>
                                </w:rPr>
                                <w:tab/>
                              </w:r>
                              <w:r>
                                <w:rPr>
                                  <w:spacing w:val="-4"/>
                                  <w:sz w:val="16"/>
                                </w:rPr>
                                <w:t>0,0%</w:t>
                              </w:r>
                              <w:r>
                                <w:rPr>
                                  <w:sz w:val="16"/>
                                </w:rPr>
                                <w:tab/>
                              </w:r>
                              <w:r>
                                <w:rPr>
                                  <w:spacing w:val="-4"/>
                                  <w:sz w:val="16"/>
                                </w:rPr>
                                <w:t>2.569</w:t>
                              </w:r>
                              <w:r>
                                <w:rPr>
                                  <w:sz w:val="16"/>
                                </w:rPr>
                                <w:tab/>
                              </w:r>
                              <w:r>
                                <w:rPr>
                                  <w:spacing w:val="-10"/>
                                  <w:sz w:val="16"/>
                                </w:rPr>
                                <w:t>3</w:t>
                              </w:r>
                              <w:r>
                                <w:rPr>
                                  <w:sz w:val="16"/>
                                </w:rPr>
                                <w:tab/>
                              </w:r>
                              <w:r>
                                <w:rPr>
                                  <w:spacing w:val="-5"/>
                                  <w:sz w:val="16"/>
                                </w:rPr>
                                <w:t>159</w:t>
                              </w:r>
                            </w:p>
                            <w:p>
                              <w:pPr>
                                <w:tabs>
                                  <w:tab w:pos="1334" w:val="left" w:leader="none"/>
                                  <w:tab w:pos="2410" w:val="left" w:leader="none"/>
                                  <w:tab w:pos="3262" w:val="left" w:leader="none"/>
                                  <w:tab w:pos="4268" w:val="left" w:leader="none"/>
                                  <w:tab w:pos="5340" w:val="left" w:leader="none"/>
                                  <w:tab w:pos="6222" w:val="left" w:leader="none"/>
                                </w:tabs>
                                <w:spacing w:before="121"/>
                                <w:ind w:left="120" w:right="0" w:firstLine="0"/>
                                <w:jc w:val="left"/>
                                <w:rPr>
                                  <w:b/>
                                  <w:sz w:val="16"/>
                                </w:rPr>
                              </w:pPr>
                              <w:r>
                                <w:rPr>
                                  <w:b/>
                                  <w:color w:val="1F487C"/>
                                  <w:spacing w:val="-5"/>
                                  <w:sz w:val="16"/>
                                </w:rPr>
                                <w:t>216</w:t>
                              </w:r>
                              <w:r>
                                <w:rPr>
                                  <w:b/>
                                  <w:color w:val="1F487C"/>
                                  <w:sz w:val="16"/>
                                </w:rPr>
                                <w:tab/>
                              </w:r>
                              <w:r>
                                <w:rPr>
                                  <w:b/>
                                  <w:color w:val="1F487C"/>
                                  <w:spacing w:val="-5"/>
                                  <w:sz w:val="16"/>
                                </w:rPr>
                                <w:t>49</w:t>
                              </w:r>
                              <w:r>
                                <w:rPr>
                                  <w:b/>
                                  <w:color w:val="1F487C"/>
                                  <w:sz w:val="16"/>
                                </w:rPr>
                                <w:tab/>
                              </w:r>
                              <w:r>
                                <w:rPr>
                                  <w:b/>
                                  <w:color w:val="1F487C"/>
                                  <w:spacing w:val="-10"/>
                                  <w:sz w:val="16"/>
                                </w:rPr>
                                <w:t>1</w:t>
                              </w:r>
                              <w:r>
                                <w:rPr>
                                  <w:b/>
                                  <w:color w:val="1F487C"/>
                                  <w:sz w:val="16"/>
                                </w:rPr>
                                <w:tab/>
                              </w:r>
                              <w:r>
                                <w:rPr>
                                  <w:b/>
                                  <w:color w:val="1F487C"/>
                                  <w:spacing w:val="-4"/>
                                  <w:sz w:val="16"/>
                                </w:rPr>
                                <w:t>1,9%</w:t>
                              </w:r>
                              <w:r>
                                <w:rPr>
                                  <w:b/>
                                  <w:color w:val="1F487C"/>
                                  <w:sz w:val="16"/>
                                </w:rPr>
                                <w:tab/>
                              </w:r>
                              <w:r>
                                <w:rPr>
                                  <w:b/>
                                  <w:color w:val="1F487C"/>
                                  <w:spacing w:val="-5"/>
                                  <w:sz w:val="16"/>
                                </w:rPr>
                                <w:t>188</w:t>
                              </w:r>
                              <w:r>
                                <w:rPr>
                                  <w:b/>
                                  <w:color w:val="1F487C"/>
                                  <w:sz w:val="16"/>
                                </w:rPr>
                                <w:tab/>
                              </w:r>
                              <w:r>
                                <w:rPr>
                                  <w:b/>
                                  <w:color w:val="1F487C"/>
                                  <w:spacing w:val="-5"/>
                                  <w:sz w:val="16"/>
                                </w:rPr>
                                <w:t>15</w:t>
                              </w:r>
                              <w:r>
                                <w:rPr>
                                  <w:b/>
                                  <w:color w:val="1F487C"/>
                                  <w:sz w:val="16"/>
                                </w:rPr>
                                <w:tab/>
                              </w:r>
                              <w:r>
                                <w:rPr>
                                  <w:b/>
                                  <w:color w:val="1F487C"/>
                                  <w:spacing w:val="-5"/>
                                  <w:sz w:val="16"/>
                                </w:rPr>
                                <w:t>305</w:t>
                              </w:r>
                            </w:p>
                          </w:txbxContent>
                        </wps:txbx>
                        <wps:bodyPr wrap="square" lIns="0" tIns="0" rIns="0" bIns="0" rtlCol="0">
                          <a:noAutofit/>
                        </wps:bodyPr>
                      </wps:wsp>
                      <wps:wsp>
                        <wps:cNvPr id="484" name="Textbox 484"/>
                        <wps:cNvSpPr txBox="1"/>
                        <wps:spPr>
                          <a:xfrm>
                            <a:off x="68580" y="2556579"/>
                            <a:ext cx="458470" cy="113664"/>
                          </a:xfrm>
                          <a:prstGeom prst="rect">
                            <a:avLst/>
                          </a:prstGeom>
                        </wps:spPr>
                        <wps:txbx>
                          <w:txbxContent>
                            <w:p>
                              <w:pPr>
                                <w:spacing w:line="178" w:lineRule="exact" w:before="0"/>
                                <w:ind w:left="0" w:right="0" w:firstLine="0"/>
                                <w:jc w:val="left"/>
                                <w:rPr>
                                  <w:b/>
                                  <w:sz w:val="16"/>
                                </w:rPr>
                              </w:pPr>
                              <w:r>
                                <w:rPr>
                                  <w:b/>
                                  <w:color w:val="1F487C"/>
                                  <w:spacing w:val="-2"/>
                                  <w:sz w:val="16"/>
                                </w:rPr>
                                <w:t>ΣΥΝΟΛΟ</w:t>
                              </w:r>
                            </w:p>
                          </w:txbxContent>
                        </wps:txbx>
                        <wps:bodyPr wrap="square" lIns="0" tIns="0" rIns="0" bIns="0" rtlCol="0">
                          <a:noAutofit/>
                        </wps:bodyPr>
                      </wps:wsp>
                      <wps:wsp>
                        <wps:cNvPr id="485" name="Textbox 485"/>
                        <wps:cNvSpPr txBox="1"/>
                        <wps:spPr>
                          <a:xfrm>
                            <a:off x="1072845" y="2556579"/>
                            <a:ext cx="292735" cy="113664"/>
                          </a:xfrm>
                          <a:prstGeom prst="rect">
                            <a:avLst/>
                          </a:prstGeom>
                        </wps:spPr>
                        <wps:txbx>
                          <w:txbxContent>
                            <w:p>
                              <w:pPr>
                                <w:spacing w:line="178" w:lineRule="exact" w:before="0"/>
                                <w:ind w:left="0" w:right="0" w:firstLine="0"/>
                                <w:jc w:val="left"/>
                                <w:rPr>
                                  <w:b/>
                                  <w:sz w:val="16"/>
                                </w:rPr>
                              </w:pPr>
                              <w:r>
                                <w:rPr>
                                  <w:b/>
                                  <w:color w:val="1F487C"/>
                                  <w:spacing w:val="-2"/>
                                  <w:sz w:val="16"/>
                                </w:rPr>
                                <w:t>65.092</w:t>
                              </w:r>
                            </w:p>
                          </w:txbxContent>
                        </wps:txbx>
                        <wps:bodyPr wrap="square" lIns="0" tIns="0" rIns="0" bIns="0" rtlCol="0">
                          <a:noAutofit/>
                        </wps:bodyPr>
                      </wps:wsp>
                      <wps:wsp>
                        <wps:cNvPr id="486" name="Textbox 486"/>
                        <wps:cNvSpPr txBox="1"/>
                        <wps:spPr>
                          <a:xfrm>
                            <a:off x="1794078" y="2556579"/>
                            <a:ext cx="292100" cy="113664"/>
                          </a:xfrm>
                          <a:prstGeom prst="rect">
                            <a:avLst/>
                          </a:prstGeom>
                        </wps:spPr>
                        <wps:txbx>
                          <w:txbxContent>
                            <w:p>
                              <w:pPr>
                                <w:spacing w:line="178" w:lineRule="exact" w:before="0"/>
                                <w:ind w:left="0" w:right="0" w:firstLine="0"/>
                                <w:jc w:val="left"/>
                                <w:rPr>
                                  <w:b/>
                                  <w:sz w:val="16"/>
                                </w:rPr>
                              </w:pPr>
                              <w:r>
                                <w:rPr>
                                  <w:b/>
                                  <w:color w:val="1F487C"/>
                                  <w:spacing w:val="-2"/>
                                  <w:sz w:val="16"/>
                                </w:rPr>
                                <w:t>30.757</w:t>
                              </w:r>
                            </w:p>
                          </w:txbxContent>
                        </wps:txbx>
                        <wps:bodyPr wrap="square" lIns="0" tIns="0" rIns="0" bIns="0" rtlCol="0">
                          <a:noAutofit/>
                        </wps:bodyPr>
                      </wps:wsp>
                      <wps:wsp>
                        <wps:cNvPr id="487" name="Textbox 487"/>
                        <wps:cNvSpPr txBox="1"/>
                        <wps:spPr>
                          <a:xfrm>
                            <a:off x="2551506" y="2556579"/>
                            <a:ext cx="166370" cy="113664"/>
                          </a:xfrm>
                          <a:prstGeom prst="rect">
                            <a:avLst/>
                          </a:prstGeom>
                        </wps:spPr>
                        <wps:txbx>
                          <w:txbxContent>
                            <w:p>
                              <w:pPr>
                                <w:spacing w:line="178" w:lineRule="exact" w:before="0"/>
                                <w:ind w:left="0" w:right="0" w:firstLine="0"/>
                                <w:jc w:val="left"/>
                                <w:rPr>
                                  <w:b/>
                                  <w:sz w:val="16"/>
                                </w:rPr>
                              </w:pPr>
                              <w:r>
                                <w:rPr>
                                  <w:b/>
                                  <w:color w:val="1F487C"/>
                                  <w:spacing w:val="-5"/>
                                  <w:sz w:val="16"/>
                                </w:rPr>
                                <w:t>491</w:t>
                              </w:r>
                            </w:p>
                          </w:txbxContent>
                        </wps:txbx>
                        <wps:bodyPr wrap="square" lIns="0" tIns="0" rIns="0" bIns="0" rtlCol="0">
                          <a:noAutofit/>
                        </wps:bodyPr>
                      </wps:wsp>
                      <wps:wsp>
                        <wps:cNvPr id="488" name="Textbox 488"/>
                        <wps:cNvSpPr txBox="1"/>
                        <wps:spPr>
                          <a:xfrm>
                            <a:off x="3194888" y="2556579"/>
                            <a:ext cx="243840" cy="113664"/>
                          </a:xfrm>
                          <a:prstGeom prst="rect">
                            <a:avLst/>
                          </a:prstGeom>
                        </wps:spPr>
                        <wps:txbx>
                          <w:txbxContent>
                            <w:p>
                              <w:pPr>
                                <w:spacing w:line="178" w:lineRule="exact" w:before="0"/>
                                <w:ind w:left="0" w:right="0" w:firstLine="0"/>
                                <w:jc w:val="left"/>
                                <w:rPr>
                                  <w:b/>
                                  <w:sz w:val="16"/>
                                </w:rPr>
                              </w:pPr>
                              <w:r>
                                <w:rPr>
                                  <w:b/>
                                  <w:color w:val="1F487C"/>
                                  <w:spacing w:val="-4"/>
                                  <w:sz w:val="16"/>
                                </w:rPr>
                                <w:t>1,6%</w:t>
                              </w:r>
                            </w:p>
                          </w:txbxContent>
                        </wps:txbx>
                        <wps:bodyPr wrap="square" lIns="0" tIns="0" rIns="0" bIns="0" rtlCol="0">
                          <a:noAutofit/>
                        </wps:bodyPr>
                      </wps:wsp>
                      <wps:wsp>
                        <wps:cNvPr id="489" name="Textbox 489"/>
                        <wps:cNvSpPr txBox="1"/>
                        <wps:spPr>
                          <a:xfrm>
                            <a:off x="3706952" y="2556579"/>
                            <a:ext cx="292735" cy="113664"/>
                          </a:xfrm>
                          <a:prstGeom prst="rect">
                            <a:avLst/>
                          </a:prstGeom>
                        </wps:spPr>
                        <wps:txbx>
                          <w:txbxContent>
                            <w:p>
                              <w:pPr>
                                <w:spacing w:line="178" w:lineRule="exact" w:before="0"/>
                                <w:ind w:left="0" w:right="0" w:firstLine="0"/>
                                <w:jc w:val="left"/>
                                <w:rPr>
                                  <w:b/>
                                  <w:sz w:val="16"/>
                                </w:rPr>
                              </w:pPr>
                              <w:r>
                                <w:rPr>
                                  <w:b/>
                                  <w:color w:val="1F487C"/>
                                  <w:spacing w:val="-2"/>
                                  <w:sz w:val="16"/>
                                </w:rPr>
                                <w:t>46.753</w:t>
                              </w:r>
                            </w:p>
                          </w:txbxContent>
                        </wps:txbx>
                        <wps:bodyPr wrap="square" lIns="0" tIns="0" rIns="0" bIns="0" rtlCol="0">
                          <a:noAutofit/>
                        </wps:bodyPr>
                      </wps:wsp>
                      <wps:wsp>
                        <wps:cNvPr id="490" name="Textbox 490"/>
                        <wps:cNvSpPr txBox="1"/>
                        <wps:spPr>
                          <a:xfrm>
                            <a:off x="4464380" y="2556579"/>
                            <a:ext cx="166370" cy="113664"/>
                          </a:xfrm>
                          <a:prstGeom prst="rect">
                            <a:avLst/>
                          </a:prstGeom>
                        </wps:spPr>
                        <wps:txbx>
                          <w:txbxContent>
                            <w:p>
                              <w:pPr>
                                <w:spacing w:line="178" w:lineRule="exact" w:before="0"/>
                                <w:ind w:left="0" w:right="0" w:firstLine="0"/>
                                <w:jc w:val="left"/>
                                <w:rPr>
                                  <w:b/>
                                  <w:sz w:val="16"/>
                                </w:rPr>
                              </w:pPr>
                              <w:r>
                                <w:rPr>
                                  <w:b/>
                                  <w:color w:val="1F487C"/>
                                  <w:spacing w:val="-5"/>
                                  <w:sz w:val="16"/>
                                </w:rPr>
                                <w:t>345</w:t>
                              </w:r>
                            </w:p>
                          </w:txbxContent>
                        </wps:txbx>
                        <wps:bodyPr wrap="square" lIns="0" tIns="0" rIns="0" bIns="0" rtlCol="0">
                          <a:noAutofit/>
                        </wps:bodyPr>
                      </wps:wsp>
                      <wps:wsp>
                        <wps:cNvPr id="491" name="Textbox 491"/>
                        <wps:cNvSpPr txBox="1"/>
                        <wps:spPr>
                          <a:xfrm>
                            <a:off x="4998161" y="2556579"/>
                            <a:ext cx="241935" cy="113664"/>
                          </a:xfrm>
                          <a:prstGeom prst="rect">
                            <a:avLst/>
                          </a:prstGeom>
                        </wps:spPr>
                        <wps:txbx>
                          <w:txbxContent>
                            <w:p>
                              <w:pPr>
                                <w:spacing w:line="178" w:lineRule="exact" w:before="0"/>
                                <w:ind w:left="0" w:right="0" w:firstLine="0"/>
                                <w:jc w:val="left"/>
                                <w:rPr>
                                  <w:b/>
                                  <w:sz w:val="16"/>
                                </w:rPr>
                              </w:pPr>
                              <w:r>
                                <w:rPr>
                                  <w:b/>
                                  <w:color w:val="1F487C"/>
                                  <w:spacing w:val="-2"/>
                                  <w:sz w:val="16"/>
                                </w:rPr>
                                <w:t>8.232</w:t>
                              </w:r>
                            </w:p>
                          </w:txbxContent>
                        </wps:txbx>
                        <wps:bodyPr wrap="square" lIns="0" tIns="0" rIns="0" bIns="0" rtlCol="0">
                          <a:noAutofit/>
                        </wps:bodyPr>
                      </wps:wsp>
                      <wps:wsp>
                        <wps:cNvPr id="492" name="Textbox 492"/>
                        <wps:cNvSpPr txBox="1"/>
                        <wps:spPr>
                          <a:xfrm>
                            <a:off x="140207" y="2823309"/>
                            <a:ext cx="1749425" cy="276225"/>
                          </a:xfrm>
                          <a:prstGeom prst="rect">
                            <a:avLst/>
                          </a:prstGeom>
                        </wps:spPr>
                        <wps:txbx>
                          <w:txbxContent>
                            <w:p>
                              <w:pPr>
                                <w:spacing w:line="154" w:lineRule="exact" w:before="0"/>
                                <w:ind w:left="0"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p>
                              <w:pPr>
                                <w:spacing w:before="120"/>
                                <w:ind w:left="0" w:right="0" w:firstLine="0"/>
                                <w:jc w:val="left"/>
                                <w:rPr>
                                  <w:sz w:val="14"/>
                                </w:rPr>
                              </w:pPr>
                              <w:r>
                                <w:rPr>
                                  <w:sz w:val="14"/>
                                </w:rPr>
                                <w:t>¹</w:t>
                              </w:r>
                              <w:r>
                                <w:rPr>
                                  <w:spacing w:val="-5"/>
                                  <w:sz w:val="14"/>
                                </w:rPr>
                                <w:t> </w:t>
                              </w:r>
                              <w:r>
                                <w:rPr>
                                  <w:sz w:val="14"/>
                                </w:rPr>
                                <w:t>Οι</w:t>
                              </w:r>
                              <w:r>
                                <w:rPr>
                                  <w:spacing w:val="-3"/>
                                  <w:sz w:val="14"/>
                                </w:rPr>
                                <w:t> </w:t>
                              </w:r>
                              <w:r>
                                <w:rPr>
                                  <w:sz w:val="14"/>
                                </w:rPr>
                                <w:t>λοιπές</w:t>
                              </w:r>
                              <w:r>
                                <w:rPr>
                                  <w:spacing w:val="-4"/>
                                  <w:sz w:val="14"/>
                                </w:rPr>
                                <w:t> </w:t>
                              </w:r>
                              <w:r>
                                <w:rPr>
                                  <w:sz w:val="14"/>
                                </w:rPr>
                                <w:t>χώρες</w:t>
                              </w:r>
                              <w:r>
                                <w:rPr>
                                  <w:spacing w:val="-4"/>
                                  <w:sz w:val="14"/>
                                </w:rPr>
                                <w:t> </w:t>
                              </w:r>
                              <w:r>
                                <w:rPr>
                                  <w:sz w:val="14"/>
                                </w:rPr>
                                <w:t>περιλαμβάνουν</w:t>
                              </w:r>
                              <w:r>
                                <w:rPr>
                                  <w:spacing w:val="-4"/>
                                  <w:sz w:val="14"/>
                                </w:rPr>
                                <w:t> </w:t>
                              </w:r>
                              <w:r>
                                <w:rPr>
                                  <w:sz w:val="14"/>
                                </w:rPr>
                                <w:t>την</w:t>
                              </w:r>
                              <w:r>
                                <w:rPr>
                                  <w:spacing w:val="-4"/>
                                  <w:sz w:val="14"/>
                                </w:rPr>
                                <w:t> </w:t>
                              </w:r>
                              <w:r>
                                <w:rPr>
                                  <w:spacing w:val="-2"/>
                                  <w:sz w:val="14"/>
                                </w:rPr>
                                <w:t>Ουκρανία.</w:t>
                              </w:r>
                            </w:p>
                          </w:txbxContent>
                        </wps:txbx>
                        <wps:bodyPr wrap="square" lIns="0" tIns="0" rIns="0" bIns="0" rtlCol="0">
                          <a:noAutofit/>
                        </wps:bodyPr>
                      </wps:wsp>
                      <wps:wsp>
                        <wps:cNvPr id="493" name="Textbox 493"/>
                        <wps:cNvSpPr txBox="1"/>
                        <wps:spPr>
                          <a:xfrm>
                            <a:off x="4998161" y="546042"/>
                            <a:ext cx="242570" cy="113664"/>
                          </a:xfrm>
                          <a:prstGeom prst="rect">
                            <a:avLst/>
                          </a:prstGeom>
                        </wps:spPr>
                        <wps:txbx>
                          <w:txbxContent>
                            <w:p>
                              <w:pPr>
                                <w:spacing w:line="178" w:lineRule="exact" w:before="0"/>
                                <w:ind w:left="0" w:right="0" w:firstLine="0"/>
                                <w:jc w:val="left"/>
                                <w:rPr>
                                  <w:b/>
                                  <w:sz w:val="16"/>
                                </w:rPr>
                              </w:pPr>
                              <w:r>
                                <w:rPr>
                                  <w:b/>
                                  <w:color w:val="1F487C"/>
                                  <w:spacing w:val="-2"/>
                                  <w:sz w:val="16"/>
                                </w:rPr>
                                <w:t>7.665</w:t>
                              </w:r>
                            </w:p>
                          </w:txbxContent>
                        </wps:txbx>
                        <wps:bodyPr wrap="square" lIns="0" tIns="0" rIns="0" bIns="0" rtlCol="0">
                          <a:noAutofit/>
                        </wps:bodyPr>
                      </wps:wsp>
                      <wps:wsp>
                        <wps:cNvPr id="494" name="Textbox 494"/>
                        <wps:cNvSpPr txBox="1"/>
                        <wps:spPr>
                          <a:xfrm>
                            <a:off x="319989" y="178758"/>
                            <a:ext cx="272415" cy="113664"/>
                          </a:xfrm>
                          <a:prstGeom prst="rect">
                            <a:avLst/>
                          </a:prstGeom>
                        </wps:spPr>
                        <wps:txbx>
                          <w:txbxContent>
                            <w:p>
                              <w:pPr>
                                <w:spacing w:line="178" w:lineRule="exact" w:before="0"/>
                                <w:ind w:left="0" w:right="0" w:firstLine="0"/>
                                <w:jc w:val="left"/>
                                <w:rPr>
                                  <w:b/>
                                  <w:sz w:val="16"/>
                                </w:rPr>
                              </w:pPr>
                              <w:r>
                                <w:rPr>
                                  <w:b/>
                                  <w:color w:val="1F487C"/>
                                  <w:spacing w:val="-4"/>
                                  <w:sz w:val="16"/>
                                </w:rPr>
                                <w:t>Χώρα</w:t>
                              </w:r>
                            </w:p>
                          </w:txbxContent>
                        </wps:txbx>
                        <wps:bodyPr wrap="square" lIns="0" tIns="0" rIns="0" bIns="0" rtlCol="0">
                          <a:noAutofit/>
                        </wps:bodyPr>
                      </wps:wsp>
                      <wps:wsp>
                        <wps:cNvPr id="495" name="Textbox 495"/>
                        <wps:cNvSpPr txBox="1"/>
                        <wps:spPr>
                          <a:xfrm>
                            <a:off x="984453" y="62934"/>
                            <a:ext cx="1090930" cy="346710"/>
                          </a:xfrm>
                          <a:prstGeom prst="rect">
                            <a:avLst/>
                          </a:prstGeom>
                        </wps:spPr>
                        <wps:txbx>
                          <w:txbxContent>
                            <w:p>
                              <w:pPr>
                                <w:tabs>
                                  <w:tab w:pos="811" w:val="left" w:leader="none"/>
                                  <w:tab w:pos="1018" w:val="left" w:leader="none"/>
                                </w:tabs>
                                <w:spacing w:line="120" w:lineRule="auto" w:before="70"/>
                                <w:ind w:left="129" w:right="18" w:hanging="130"/>
                                <w:jc w:val="left"/>
                                <w:rPr>
                                  <w:b/>
                                  <w:sz w:val="16"/>
                                </w:rPr>
                              </w:pPr>
                              <w:r>
                                <w:rPr>
                                  <w:b/>
                                  <w:color w:val="1F487C"/>
                                  <w:sz w:val="16"/>
                                </w:rPr>
                                <w:t>Ενεργη-</w:t>
                                <w:tab/>
                                <w:tab/>
                              </w:r>
                              <w:r>
                                <w:rPr>
                                  <w:b/>
                                  <w:color w:val="1F487C"/>
                                  <w:spacing w:val="-2"/>
                                  <w:position w:val="9"/>
                                  <w:sz w:val="16"/>
                                </w:rPr>
                                <w:t>Δάνε</w:t>
                              </w:r>
                              <w:r>
                                <w:rPr>
                                  <w:b/>
                                  <w:smallCaps/>
                                  <w:color w:val="1F487C"/>
                                  <w:spacing w:val="-2"/>
                                  <w:position w:val="9"/>
                                  <w:sz w:val="16"/>
                                </w:rPr>
                                <w:t>ι</w:t>
                              </w:r>
                              <w:r>
                                <w:rPr>
                                  <w:b/>
                                  <w:smallCaps w:val="0"/>
                                  <w:color w:val="1F487C"/>
                                  <w:spacing w:val="-2"/>
                                  <w:position w:val="9"/>
                                  <w:sz w:val="16"/>
                                </w:rPr>
                                <w:t>α</w:t>
                              </w:r>
                              <w:r>
                                <w:rPr>
                                  <w:b/>
                                  <w:smallCaps w:val="0"/>
                                  <w:color w:val="1F487C"/>
                                  <w:spacing w:val="40"/>
                                  <w:position w:val="9"/>
                                  <w:sz w:val="16"/>
                                </w:rPr>
                                <w:t> </w:t>
                              </w:r>
                              <w:r>
                                <w:rPr>
                                  <w:b/>
                                  <w:smallCaps w:val="0"/>
                                  <w:color w:val="1F487C"/>
                                  <w:spacing w:val="-4"/>
                                  <w:position w:val="-8"/>
                                  <w:sz w:val="16"/>
                                </w:rPr>
                                <w:t>τ</w:t>
                              </w:r>
                              <w:r>
                                <w:rPr>
                                  <w:b/>
                                  <w:smallCaps/>
                                  <w:color w:val="1F487C"/>
                                  <w:spacing w:val="-4"/>
                                  <w:position w:val="-8"/>
                                  <w:sz w:val="16"/>
                                </w:rPr>
                                <w:t>ι</w:t>
                              </w:r>
                              <w:r>
                                <w:rPr>
                                  <w:b/>
                                  <w:smallCaps w:val="0"/>
                                  <w:color w:val="1F487C"/>
                                  <w:spacing w:val="-4"/>
                                  <w:position w:val="-8"/>
                                  <w:sz w:val="16"/>
                                </w:rPr>
                                <w:t>κό</w:t>
                              </w:r>
                              <w:r>
                                <w:rPr>
                                  <w:b/>
                                  <w:smallCaps w:val="0"/>
                                  <w:color w:val="1F487C"/>
                                  <w:position w:val="-8"/>
                                  <w:sz w:val="16"/>
                                </w:rPr>
                                <w:tab/>
                              </w:r>
                              <w:r>
                                <w:rPr>
                                  <w:b/>
                                  <w:smallCaps w:val="0"/>
                                  <w:color w:val="1F487C"/>
                                  <w:sz w:val="16"/>
                                </w:rPr>
                                <w:t>(προ</w:t>
                              </w:r>
                              <w:r>
                                <w:rPr>
                                  <w:b/>
                                  <w:smallCaps w:val="0"/>
                                  <w:color w:val="1F487C"/>
                                  <w:spacing w:val="-10"/>
                                  <w:sz w:val="16"/>
                                </w:rPr>
                                <w:t> </w:t>
                              </w:r>
                              <w:r>
                                <w:rPr>
                                  <w:b/>
                                  <w:smallCaps w:val="0"/>
                                  <w:color w:val="1F487C"/>
                                  <w:sz w:val="16"/>
                                </w:rPr>
                                <w:t>προβλέ-</w:t>
                              </w:r>
                            </w:p>
                            <w:p>
                              <w:pPr>
                                <w:spacing w:line="111" w:lineRule="exact" w:before="0"/>
                                <w:ind w:left="1044" w:right="0" w:firstLine="0"/>
                                <w:jc w:val="left"/>
                                <w:rPr>
                                  <w:b/>
                                  <w:sz w:val="16"/>
                                </w:rPr>
                              </w:pPr>
                              <w:r>
                                <w:rPr>
                                  <w:b/>
                                  <w:color w:val="1F487C"/>
                                  <w:spacing w:val="-2"/>
                                  <w:sz w:val="16"/>
                                </w:rPr>
                                <w:t>ψεων)</w:t>
                              </w:r>
                            </w:p>
                          </w:txbxContent>
                        </wps:txbx>
                        <wps:bodyPr wrap="square" lIns="0" tIns="0" rIns="0" bIns="0" rtlCol="0">
                          <a:noAutofit/>
                        </wps:bodyPr>
                      </wps:wsp>
                      <wps:wsp>
                        <wps:cNvPr id="496" name="Textbox 496"/>
                        <wps:cNvSpPr txBox="1"/>
                        <wps:spPr>
                          <a:xfrm>
                            <a:off x="2222322" y="62934"/>
                            <a:ext cx="482600" cy="346710"/>
                          </a:xfrm>
                          <a:prstGeom prst="rect">
                            <a:avLst/>
                          </a:prstGeom>
                        </wps:spPr>
                        <wps:txbx>
                          <w:txbxContent>
                            <w:p>
                              <w:pPr>
                                <w:spacing w:line="240" w:lineRule="auto" w:before="0"/>
                                <w:ind w:left="0" w:right="18" w:firstLine="0"/>
                                <w:jc w:val="center"/>
                                <w:rPr>
                                  <w:b/>
                                  <w:sz w:val="16"/>
                                </w:rPr>
                              </w:pPr>
                              <w:r>
                                <w:rPr>
                                  <w:b/>
                                  <w:color w:val="1F487C"/>
                                  <w:sz w:val="16"/>
                                </w:rPr>
                                <w:t>Μη</w:t>
                              </w:r>
                              <w:r>
                                <w:rPr>
                                  <w:b/>
                                  <w:color w:val="1F487C"/>
                                  <w:spacing w:val="-10"/>
                                  <w:sz w:val="16"/>
                                </w:rPr>
                                <w:t> </w:t>
                              </w:r>
                              <w:r>
                                <w:rPr>
                                  <w:b/>
                                  <w:color w:val="1F487C"/>
                                  <w:sz w:val="16"/>
                                </w:rPr>
                                <w:t>εξυπη-</w:t>
                              </w:r>
                              <w:r>
                                <w:rPr>
                                  <w:b/>
                                  <w:color w:val="1F487C"/>
                                  <w:spacing w:val="-2"/>
                                  <w:sz w:val="16"/>
                                </w:rPr>
                                <w:t>ρετούμενα</w:t>
                              </w:r>
                              <w:r>
                                <w:rPr>
                                  <w:b/>
                                  <w:color w:val="1F487C"/>
                                  <w:spacing w:val="40"/>
                                  <w:sz w:val="16"/>
                                </w:rPr>
                                <w:t> </w:t>
                              </w:r>
                              <w:r>
                                <w:rPr>
                                  <w:b/>
                                  <w:color w:val="1F487C"/>
                                  <w:spacing w:val="-2"/>
                                  <w:sz w:val="16"/>
                                </w:rPr>
                                <w:t>δάνε</w:t>
                              </w:r>
                              <w:r>
                                <w:rPr>
                                  <w:b/>
                                  <w:smallCaps/>
                                  <w:color w:val="1F487C"/>
                                  <w:spacing w:val="-2"/>
                                  <w:sz w:val="16"/>
                                </w:rPr>
                                <w:t>ι</w:t>
                              </w:r>
                              <w:r>
                                <w:rPr>
                                  <w:b/>
                                  <w:smallCaps w:val="0"/>
                                  <w:color w:val="1F487C"/>
                                  <w:spacing w:val="-2"/>
                                  <w:sz w:val="16"/>
                                </w:rPr>
                                <w:t>α</w:t>
                              </w:r>
                            </w:p>
                          </w:txbxContent>
                        </wps:txbx>
                        <wps:bodyPr wrap="square" lIns="0" tIns="0" rIns="0" bIns="0" rtlCol="0">
                          <a:noAutofit/>
                        </wps:bodyPr>
                      </wps:wsp>
                      <wps:wsp>
                        <wps:cNvPr id="497" name="Textbox 497"/>
                        <wps:cNvSpPr txBox="1"/>
                        <wps:spPr>
                          <a:xfrm>
                            <a:off x="68580" y="488130"/>
                            <a:ext cx="742950" cy="1936750"/>
                          </a:xfrm>
                          <a:prstGeom prst="rect">
                            <a:avLst/>
                          </a:prstGeom>
                        </wps:spPr>
                        <wps:txbx>
                          <w:txbxContent>
                            <w:p>
                              <w:pPr>
                                <w:spacing w:line="240" w:lineRule="auto" w:before="0"/>
                                <w:ind w:left="0" w:right="246" w:firstLine="0"/>
                                <w:jc w:val="left"/>
                                <w:rPr>
                                  <w:b/>
                                  <w:sz w:val="16"/>
                                </w:rPr>
                              </w:pPr>
                              <w:r>
                                <w:rPr>
                                  <w:b/>
                                  <w:color w:val="1F487C"/>
                                  <w:sz w:val="16"/>
                                </w:rPr>
                                <w:t>Νοτ</w:t>
                              </w:r>
                              <w:r>
                                <w:rPr>
                                  <w:b/>
                                  <w:smallCaps/>
                                  <w:color w:val="1F487C"/>
                                  <w:sz w:val="16"/>
                                </w:rPr>
                                <w:t>ιο</w:t>
                              </w:r>
                              <w:r>
                                <w:rPr>
                                  <w:b/>
                                  <w:smallCaps w:val="0"/>
                                  <w:color w:val="1F487C"/>
                                  <w:sz w:val="16"/>
                                </w:rPr>
                                <w:t>ανατο-λ</w:t>
                              </w:r>
                              <w:r>
                                <w:rPr>
                                  <w:b/>
                                  <w:smallCaps/>
                                  <w:color w:val="1F487C"/>
                                  <w:sz w:val="16"/>
                                </w:rPr>
                                <w:t>ι</w:t>
                              </w:r>
                              <w:r>
                                <w:rPr>
                                  <w:b/>
                                  <w:smallCaps w:val="0"/>
                                  <w:color w:val="1F487C"/>
                                  <w:sz w:val="16"/>
                                </w:rPr>
                                <w:t>κή</w:t>
                              </w:r>
                              <w:r>
                                <w:rPr>
                                  <w:b/>
                                  <w:smallCaps w:val="0"/>
                                  <w:color w:val="1F487C"/>
                                  <w:spacing w:val="-5"/>
                                  <w:sz w:val="16"/>
                                </w:rPr>
                                <w:t> </w:t>
                              </w:r>
                              <w:r>
                                <w:rPr>
                                  <w:b/>
                                  <w:smallCaps w:val="0"/>
                                  <w:color w:val="1F487C"/>
                                  <w:spacing w:val="-2"/>
                                  <w:sz w:val="16"/>
                                </w:rPr>
                                <w:t>Ευρώπη</w:t>
                              </w:r>
                            </w:p>
                            <w:p>
                              <w:pPr>
                                <w:spacing w:before="94"/>
                                <w:ind w:left="0" w:right="0" w:firstLine="0"/>
                                <w:jc w:val="left"/>
                                <w:rPr>
                                  <w:sz w:val="16"/>
                                </w:rPr>
                              </w:pPr>
                              <w:r>
                                <w:rPr>
                                  <w:spacing w:val="-2"/>
                                  <w:sz w:val="16"/>
                                </w:rPr>
                                <w:t>Βουλγαρία</w:t>
                              </w:r>
                            </w:p>
                            <w:p>
                              <w:pPr>
                                <w:spacing w:before="75"/>
                                <w:ind w:left="0" w:right="18" w:firstLine="0"/>
                                <w:jc w:val="left"/>
                                <w:rPr>
                                  <w:sz w:val="16"/>
                                </w:rPr>
                              </w:pPr>
                              <w:r>
                                <w:rPr>
                                  <w:sz w:val="16"/>
                                </w:rPr>
                                <w:t>Δημοκρατία</w:t>
                              </w:r>
                              <w:r>
                                <w:rPr>
                                  <w:spacing w:val="-1"/>
                                  <w:sz w:val="16"/>
                                </w:rPr>
                                <w:t> </w:t>
                              </w:r>
                              <w:r>
                                <w:rPr>
                                  <w:sz w:val="16"/>
                                </w:rPr>
                                <w:t>της</w:t>
                              </w:r>
                              <w:r>
                                <w:rPr>
                                  <w:spacing w:val="40"/>
                                  <w:sz w:val="16"/>
                                </w:rPr>
                                <w:t> </w:t>
                              </w:r>
                              <w:r>
                                <w:rPr>
                                  <w:sz w:val="16"/>
                                </w:rPr>
                                <w:t>Βόρειας</w:t>
                              </w:r>
                              <w:r>
                                <w:rPr>
                                  <w:spacing w:val="-10"/>
                                  <w:sz w:val="16"/>
                                </w:rPr>
                                <w:t> </w:t>
                              </w:r>
                              <w:r>
                                <w:rPr>
                                  <w:sz w:val="16"/>
                                </w:rPr>
                                <w:t>Μακεδο-</w:t>
                              </w:r>
                              <w:r>
                                <w:rPr>
                                  <w:spacing w:val="-4"/>
                                  <w:sz w:val="16"/>
                                </w:rPr>
                                <w:t>νίας</w:t>
                              </w:r>
                            </w:p>
                            <w:p>
                              <w:pPr>
                                <w:spacing w:before="53"/>
                                <w:ind w:left="0" w:right="0" w:firstLine="0"/>
                                <w:jc w:val="left"/>
                                <w:rPr>
                                  <w:sz w:val="16"/>
                                </w:rPr>
                              </w:pPr>
                              <w:r>
                                <w:rPr>
                                  <w:spacing w:val="-2"/>
                                  <w:sz w:val="16"/>
                                </w:rPr>
                                <w:t>Κύπρος</w:t>
                              </w:r>
                            </w:p>
                            <w:p>
                              <w:pPr>
                                <w:spacing w:before="78"/>
                                <w:ind w:left="0" w:right="37" w:firstLine="0"/>
                                <w:jc w:val="left"/>
                                <w:rPr>
                                  <w:b/>
                                  <w:sz w:val="16"/>
                                </w:rPr>
                              </w:pPr>
                              <w:r>
                                <w:rPr>
                                  <w:b/>
                                  <w:color w:val="1F487C"/>
                                  <w:sz w:val="16"/>
                                </w:rPr>
                                <w:t>Χρηματοο</w:t>
                              </w:r>
                              <w:r>
                                <w:rPr>
                                  <w:b/>
                                  <w:smallCaps/>
                                  <w:color w:val="1F487C"/>
                                  <w:sz w:val="16"/>
                                </w:rPr>
                                <w:t>ι</w:t>
                              </w:r>
                              <w:r>
                                <w:rPr>
                                  <w:b/>
                                  <w:smallCaps w:val="0"/>
                                  <w:color w:val="1F487C"/>
                                  <w:sz w:val="16"/>
                                </w:rPr>
                                <w:t>κονο-μ</w:t>
                              </w:r>
                              <w:r>
                                <w:rPr>
                                  <w:b/>
                                  <w:smallCaps/>
                                  <w:color w:val="1F487C"/>
                                  <w:sz w:val="16"/>
                                </w:rPr>
                                <w:t>ι</w:t>
                              </w:r>
                              <w:r>
                                <w:rPr>
                                  <w:b/>
                                  <w:smallCaps w:val="0"/>
                                  <w:color w:val="1F487C"/>
                                  <w:sz w:val="16"/>
                                </w:rPr>
                                <w:t>κά</w:t>
                              </w:r>
                              <w:r>
                                <w:rPr>
                                  <w:b/>
                                  <w:smallCaps w:val="0"/>
                                  <w:color w:val="1F487C"/>
                                  <w:spacing w:val="-3"/>
                                  <w:sz w:val="16"/>
                                </w:rPr>
                                <w:t> </w:t>
                              </w:r>
                              <w:r>
                                <w:rPr>
                                  <w:b/>
                                  <w:smallCaps w:val="0"/>
                                  <w:color w:val="1F487C"/>
                                  <w:sz w:val="16"/>
                                </w:rPr>
                                <w:t>κέντρα</w:t>
                              </w:r>
                            </w:p>
                            <w:p>
                              <w:pPr>
                                <w:spacing w:line="350" w:lineRule="auto" w:before="54"/>
                                <w:ind w:left="0" w:right="309" w:firstLine="0"/>
                                <w:jc w:val="left"/>
                                <w:rPr>
                                  <w:sz w:val="16"/>
                                </w:rPr>
                              </w:pPr>
                              <w:r>
                                <w:rPr>
                                  <w:spacing w:val="-2"/>
                                  <w:sz w:val="16"/>
                                </w:rPr>
                                <w:t>Γερμανία</w:t>
                              </w:r>
                              <w:r>
                                <w:rPr>
                                  <w:spacing w:val="80"/>
                                  <w:sz w:val="16"/>
                                </w:rPr>
                                <w:t> </w:t>
                              </w:r>
                              <w:r>
                                <w:rPr>
                                  <w:sz w:val="16"/>
                                </w:rPr>
                                <w:t>Ην.</w:t>
                              </w:r>
                              <w:r>
                                <w:rPr>
                                  <w:spacing w:val="-10"/>
                                  <w:sz w:val="16"/>
                                </w:rPr>
                                <w:t> </w:t>
                              </w:r>
                              <w:r>
                                <w:rPr>
                                  <w:sz w:val="16"/>
                                </w:rPr>
                                <w:t>Βασίλειο</w:t>
                              </w:r>
                            </w:p>
                            <w:p>
                              <w:pPr>
                                <w:spacing w:before="13"/>
                                <w:ind w:left="0" w:right="0" w:firstLine="0"/>
                                <w:jc w:val="left"/>
                                <w:rPr>
                                  <w:sz w:val="16"/>
                                </w:rPr>
                              </w:pPr>
                              <w:r>
                                <w:rPr>
                                  <w:spacing w:val="-2"/>
                                  <w:sz w:val="16"/>
                                </w:rPr>
                                <w:t>Λουξεμβούργο</w:t>
                              </w:r>
                            </w:p>
                            <w:p>
                              <w:pPr>
                                <w:spacing w:before="121"/>
                                <w:ind w:left="0" w:right="0" w:firstLine="0"/>
                                <w:jc w:val="left"/>
                                <w:rPr>
                                  <w:b/>
                                  <w:sz w:val="16"/>
                                </w:rPr>
                              </w:pPr>
                              <w:r>
                                <w:rPr>
                                  <w:b/>
                                  <w:color w:val="1F487C"/>
                                  <w:sz w:val="16"/>
                                </w:rPr>
                                <w:t>Λο</w:t>
                              </w:r>
                              <w:r>
                                <w:rPr>
                                  <w:b/>
                                  <w:smallCaps/>
                                  <w:color w:val="1F487C"/>
                                  <w:sz w:val="16"/>
                                </w:rPr>
                                <w:t>ι</w:t>
                              </w:r>
                              <w:r>
                                <w:rPr>
                                  <w:b/>
                                  <w:smallCaps w:val="0"/>
                                  <w:color w:val="1F487C"/>
                                  <w:sz w:val="16"/>
                                </w:rPr>
                                <w:t>πές</w:t>
                              </w:r>
                              <w:r>
                                <w:rPr>
                                  <w:b/>
                                  <w:smallCaps w:val="0"/>
                                  <w:color w:val="1F487C"/>
                                  <w:spacing w:val="-6"/>
                                  <w:sz w:val="16"/>
                                </w:rPr>
                                <w:t> </w:t>
                              </w:r>
                              <w:r>
                                <w:rPr>
                                  <w:b/>
                                  <w:smallCaps w:val="0"/>
                                  <w:color w:val="1F487C"/>
                                  <w:spacing w:val="-2"/>
                                  <w:sz w:val="16"/>
                                </w:rPr>
                                <w:t>χώρες¹</w:t>
                              </w:r>
                            </w:p>
                          </w:txbxContent>
                        </wps:txbx>
                        <wps:bodyPr wrap="square" lIns="0" tIns="0" rIns="0" bIns="0" rtlCol="0">
                          <a:noAutofit/>
                        </wps:bodyPr>
                      </wps:wsp>
                      <wps:wsp>
                        <wps:cNvPr id="498" name="Textbox 498"/>
                        <wps:cNvSpPr txBox="1"/>
                        <wps:spPr>
                          <a:xfrm>
                            <a:off x="1072845" y="546042"/>
                            <a:ext cx="292100" cy="113664"/>
                          </a:xfrm>
                          <a:prstGeom prst="rect">
                            <a:avLst/>
                          </a:prstGeom>
                        </wps:spPr>
                        <wps:txbx>
                          <w:txbxContent>
                            <w:p>
                              <w:pPr>
                                <w:spacing w:line="178" w:lineRule="exact" w:before="0"/>
                                <w:ind w:left="0" w:right="0" w:firstLine="0"/>
                                <w:jc w:val="left"/>
                                <w:rPr>
                                  <w:b/>
                                  <w:sz w:val="16"/>
                                </w:rPr>
                              </w:pPr>
                              <w:r>
                                <w:rPr>
                                  <w:b/>
                                  <w:color w:val="1F487C"/>
                                  <w:spacing w:val="-2"/>
                                  <w:sz w:val="16"/>
                                </w:rPr>
                                <w:t>54.037</w:t>
                              </w:r>
                            </w:p>
                          </w:txbxContent>
                        </wps:txbx>
                        <wps:bodyPr wrap="square" lIns="0" tIns="0" rIns="0" bIns="0" rtlCol="0">
                          <a:noAutofit/>
                        </wps:bodyPr>
                      </wps:wsp>
                      <wps:wsp>
                        <wps:cNvPr id="499" name="Textbox 499"/>
                        <wps:cNvSpPr txBox="1"/>
                        <wps:spPr>
                          <a:xfrm>
                            <a:off x="1794078" y="546042"/>
                            <a:ext cx="292100" cy="113664"/>
                          </a:xfrm>
                          <a:prstGeom prst="rect">
                            <a:avLst/>
                          </a:prstGeom>
                        </wps:spPr>
                        <wps:txbx>
                          <w:txbxContent>
                            <w:p>
                              <w:pPr>
                                <w:spacing w:line="178" w:lineRule="exact" w:before="0"/>
                                <w:ind w:left="0" w:right="0" w:firstLine="0"/>
                                <w:jc w:val="left"/>
                                <w:rPr>
                                  <w:b/>
                                  <w:sz w:val="16"/>
                                </w:rPr>
                              </w:pPr>
                              <w:r>
                                <w:rPr>
                                  <w:b/>
                                  <w:color w:val="1F487C"/>
                                  <w:spacing w:val="-2"/>
                                  <w:sz w:val="16"/>
                                </w:rPr>
                                <w:t>23.889</w:t>
                              </w:r>
                            </w:p>
                          </w:txbxContent>
                        </wps:txbx>
                        <wps:bodyPr wrap="square" lIns="0" tIns="0" rIns="0" bIns="0" rtlCol="0">
                          <a:noAutofit/>
                        </wps:bodyPr>
                      </wps:wsp>
                      <wps:wsp>
                        <wps:cNvPr id="500" name="Textbox 500"/>
                        <wps:cNvSpPr txBox="1"/>
                        <wps:spPr>
                          <a:xfrm>
                            <a:off x="2551506" y="546042"/>
                            <a:ext cx="166370" cy="113664"/>
                          </a:xfrm>
                          <a:prstGeom prst="rect">
                            <a:avLst/>
                          </a:prstGeom>
                        </wps:spPr>
                        <wps:txbx>
                          <w:txbxContent>
                            <w:p>
                              <w:pPr>
                                <w:spacing w:line="178" w:lineRule="exact" w:before="0"/>
                                <w:ind w:left="0" w:right="0" w:firstLine="0"/>
                                <w:jc w:val="left"/>
                                <w:rPr>
                                  <w:b/>
                                  <w:sz w:val="16"/>
                                </w:rPr>
                              </w:pPr>
                              <w:r>
                                <w:rPr>
                                  <w:b/>
                                  <w:color w:val="1F487C"/>
                                  <w:spacing w:val="-5"/>
                                  <w:sz w:val="16"/>
                                </w:rPr>
                                <w:t>455</w:t>
                              </w:r>
                            </w:p>
                          </w:txbxContent>
                        </wps:txbx>
                        <wps:bodyPr wrap="square" lIns="0" tIns="0" rIns="0" bIns="0" rtlCol="0">
                          <a:noAutofit/>
                        </wps:bodyPr>
                      </wps:wsp>
                      <wps:wsp>
                        <wps:cNvPr id="501" name="Textbox 501"/>
                        <wps:cNvSpPr txBox="1"/>
                        <wps:spPr>
                          <a:xfrm>
                            <a:off x="2862402" y="3498"/>
                            <a:ext cx="576580" cy="655955"/>
                          </a:xfrm>
                          <a:prstGeom prst="rect">
                            <a:avLst/>
                          </a:prstGeom>
                        </wps:spPr>
                        <wps:txbx>
                          <w:txbxContent>
                            <w:p>
                              <w:pPr>
                                <w:spacing w:line="240" w:lineRule="auto" w:before="0"/>
                                <w:ind w:left="-1" w:right="58" w:hanging="3"/>
                                <w:jc w:val="center"/>
                                <w:rPr>
                                  <w:b/>
                                  <w:sz w:val="16"/>
                                </w:rPr>
                              </w:pPr>
                              <w:r>
                                <w:rPr>
                                  <w:b/>
                                  <w:color w:val="1F487C"/>
                                  <w:sz w:val="16"/>
                                </w:rPr>
                                <w:t>Ποσοστό</w:t>
                              </w:r>
                              <w:r>
                                <w:rPr>
                                  <w:b/>
                                  <w:color w:val="1F487C"/>
                                  <w:spacing w:val="-10"/>
                                  <w:sz w:val="16"/>
                                </w:rPr>
                                <w:t> </w:t>
                              </w:r>
                              <w:r>
                                <w:rPr>
                                  <w:b/>
                                  <w:color w:val="1F487C"/>
                                  <w:sz w:val="16"/>
                                </w:rPr>
                                <w:t>μη</w:t>
                              </w:r>
                              <w:r>
                                <w:rPr>
                                  <w:b/>
                                  <w:color w:val="1F487C"/>
                                  <w:spacing w:val="40"/>
                                  <w:sz w:val="16"/>
                                </w:rPr>
                                <w:t> </w:t>
                              </w:r>
                              <w:r>
                                <w:rPr>
                                  <w:b/>
                                  <w:color w:val="1F487C"/>
                                  <w:sz w:val="16"/>
                                </w:rPr>
                                <w:t>εξυπηρετού-μενων</w:t>
                              </w:r>
                              <w:r>
                                <w:rPr>
                                  <w:b/>
                                  <w:color w:val="1F487C"/>
                                  <w:spacing w:val="-5"/>
                                  <w:sz w:val="16"/>
                                </w:rPr>
                                <w:t> </w:t>
                              </w:r>
                              <w:r>
                                <w:rPr>
                                  <w:b/>
                                  <w:color w:val="1F487C"/>
                                  <w:sz w:val="16"/>
                                </w:rPr>
                                <w:t>δα-</w:t>
                              </w:r>
                              <w:r>
                                <w:rPr>
                                  <w:b/>
                                  <w:color w:val="1F487C"/>
                                  <w:spacing w:val="-2"/>
                                  <w:sz w:val="16"/>
                                </w:rPr>
                                <w:t>νείων</w:t>
                              </w:r>
                            </w:p>
                            <w:p>
                              <w:pPr>
                                <w:spacing w:before="112"/>
                                <w:ind w:left="523" w:right="0" w:firstLine="0"/>
                                <w:jc w:val="left"/>
                                <w:rPr>
                                  <w:b/>
                                  <w:sz w:val="16"/>
                                </w:rPr>
                              </w:pPr>
                              <w:r>
                                <w:rPr>
                                  <w:b/>
                                  <w:color w:val="1F487C"/>
                                  <w:spacing w:val="-4"/>
                                  <w:sz w:val="16"/>
                                </w:rPr>
                                <w:t>1,9%</w:t>
                              </w:r>
                            </w:p>
                          </w:txbxContent>
                        </wps:txbx>
                        <wps:bodyPr wrap="square" lIns="0" tIns="0" rIns="0" bIns="0" rtlCol="0">
                          <a:noAutofit/>
                        </wps:bodyPr>
                      </wps:wsp>
                      <wps:wsp>
                        <wps:cNvPr id="502" name="Textbox 502"/>
                        <wps:cNvSpPr txBox="1"/>
                        <wps:spPr>
                          <a:xfrm>
                            <a:off x="3588080" y="120846"/>
                            <a:ext cx="383540" cy="230504"/>
                          </a:xfrm>
                          <a:prstGeom prst="rect">
                            <a:avLst/>
                          </a:prstGeom>
                        </wps:spPr>
                        <wps:txbx>
                          <w:txbxContent>
                            <w:p>
                              <w:pPr>
                                <w:spacing w:line="240" w:lineRule="auto" w:before="0"/>
                                <w:ind w:left="153" w:right="18" w:hanging="154"/>
                                <w:jc w:val="left"/>
                                <w:rPr>
                                  <w:b/>
                                  <w:sz w:val="16"/>
                                </w:rPr>
                              </w:pPr>
                              <w:r>
                                <w:rPr>
                                  <w:b/>
                                  <w:color w:val="1F487C"/>
                                  <w:sz w:val="16"/>
                                </w:rPr>
                                <w:t>Καταθέ-</w:t>
                              </w:r>
                              <w:r>
                                <w:rPr>
                                  <w:b/>
                                  <w:color w:val="1F487C"/>
                                  <w:spacing w:val="-4"/>
                                  <w:sz w:val="16"/>
                                </w:rPr>
                                <w:t>σε</w:t>
                              </w:r>
                              <w:r>
                                <w:rPr>
                                  <w:b/>
                                  <w:smallCaps/>
                                  <w:color w:val="1F487C"/>
                                  <w:spacing w:val="-4"/>
                                  <w:sz w:val="16"/>
                                </w:rPr>
                                <w:t>ι</w:t>
                              </w:r>
                              <w:r>
                                <w:rPr>
                                  <w:b/>
                                  <w:smallCaps w:val="0"/>
                                  <w:color w:val="1F487C"/>
                                  <w:spacing w:val="-4"/>
                                  <w:sz w:val="16"/>
                                </w:rPr>
                                <w:t>ς</w:t>
                              </w:r>
                            </w:p>
                          </w:txbxContent>
                        </wps:txbx>
                        <wps:bodyPr wrap="square" lIns="0" tIns="0" rIns="0" bIns="0" rtlCol="0">
                          <a:noAutofit/>
                        </wps:bodyPr>
                      </wps:wsp>
                      <wps:wsp>
                        <wps:cNvPr id="503" name="Textbox 503"/>
                        <wps:cNvSpPr txBox="1"/>
                        <wps:spPr>
                          <a:xfrm>
                            <a:off x="3706952" y="546042"/>
                            <a:ext cx="292100" cy="113664"/>
                          </a:xfrm>
                          <a:prstGeom prst="rect">
                            <a:avLst/>
                          </a:prstGeom>
                        </wps:spPr>
                        <wps:txbx>
                          <w:txbxContent>
                            <w:p>
                              <w:pPr>
                                <w:spacing w:line="178" w:lineRule="exact" w:before="0"/>
                                <w:ind w:left="0" w:right="0" w:firstLine="0"/>
                                <w:jc w:val="left"/>
                                <w:rPr>
                                  <w:b/>
                                  <w:sz w:val="16"/>
                                </w:rPr>
                              </w:pPr>
                              <w:r>
                                <w:rPr>
                                  <w:b/>
                                  <w:color w:val="1F487C"/>
                                  <w:spacing w:val="-2"/>
                                  <w:sz w:val="16"/>
                                </w:rPr>
                                <w:t>43.371</w:t>
                              </w:r>
                            </w:p>
                          </w:txbxContent>
                        </wps:txbx>
                        <wps:bodyPr wrap="square" lIns="0" tIns="0" rIns="0" bIns="0" rtlCol="0">
                          <a:noAutofit/>
                        </wps:bodyPr>
                      </wps:wsp>
                      <wps:wsp>
                        <wps:cNvPr id="504" name="Textbox 504"/>
                        <wps:cNvSpPr txBox="1"/>
                        <wps:spPr>
                          <a:xfrm>
                            <a:off x="4145864" y="3498"/>
                            <a:ext cx="484505" cy="655955"/>
                          </a:xfrm>
                          <a:prstGeom prst="rect">
                            <a:avLst/>
                          </a:prstGeom>
                        </wps:spPr>
                        <wps:txbx>
                          <w:txbxContent>
                            <w:p>
                              <w:pPr>
                                <w:spacing w:line="240" w:lineRule="auto" w:before="0"/>
                                <w:ind w:left="-1" w:right="56" w:hanging="1"/>
                                <w:jc w:val="center"/>
                                <w:rPr>
                                  <w:b/>
                                  <w:sz w:val="16"/>
                                </w:rPr>
                              </w:pPr>
                              <w:r>
                                <w:rPr>
                                  <w:b/>
                                  <w:color w:val="1F487C"/>
                                  <w:spacing w:val="-2"/>
                                  <w:sz w:val="16"/>
                                </w:rPr>
                                <w:t>Αρ</w:t>
                              </w:r>
                              <w:r>
                                <w:rPr>
                                  <w:b/>
                                  <w:smallCaps/>
                                  <w:color w:val="1F487C"/>
                                  <w:spacing w:val="-2"/>
                                  <w:sz w:val="16"/>
                                </w:rPr>
                                <w:t>ι</w:t>
                              </w:r>
                              <w:r>
                                <w:rPr>
                                  <w:b/>
                                  <w:smallCaps w:val="0"/>
                                  <w:color w:val="1F487C"/>
                                  <w:spacing w:val="-2"/>
                                  <w:sz w:val="16"/>
                                </w:rPr>
                                <w:t>θμός</w:t>
                              </w:r>
                              <w:r>
                                <w:rPr>
                                  <w:b/>
                                  <w:smallCaps w:val="0"/>
                                  <w:color w:val="1F487C"/>
                                  <w:spacing w:val="40"/>
                                  <w:sz w:val="16"/>
                                </w:rPr>
                                <w:t> </w:t>
                              </w:r>
                              <w:r>
                                <w:rPr>
                                  <w:b/>
                                  <w:smallCaps w:val="0"/>
                                  <w:color w:val="1F487C"/>
                                  <w:sz w:val="16"/>
                                </w:rPr>
                                <w:t>υπηρεσ</w:t>
                              </w:r>
                              <w:r>
                                <w:rPr>
                                  <w:b/>
                                  <w:smallCaps/>
                                  <w:color w:val="1F487C"/>
                                  <w:sz w:val="16"/>
                                </w:rPr>
                                <w:t>ι</w:t>
                              </w:r>
                              <w:r>
                                <w:rPr>
                                  <w:b/>
                                  <w:smallCaps w:val="0"/>
                                  <w:color w:val="1F487C"/>
                                  <w:sz w:val="16"/>
                                </w:rPr>
                                <w:t>α-κών</w:t>
                              </w:r>
                              <w:r>
                                <w:rPr>
                                  <w:b/>
                                  <w:smallCaps w:val="0"/>
                                  <w:color w:val="1F487C"/>
                                  <w:spacing w:val="-10"/>
                                  <w:sz w:val="16"/>
                                </w:rPr>
                                <w:t> </w:t>
                              </w:r>
                              <w:r>
                                <w:rPr>
                                  <w:b/>
                                  <w:smallCaps w:val="0"/>
                                  <w:color w:val="1F487C"/>
                                  <w:sz w:val="16"/>
                                </w:rPr>
                                <w:t>μονά-</w:t>
                              </w:r>
                              <w:r>
                                <w:rPr>
                                  <w:b/>
                                  <w:smallCaps w:val="0"/>
                                  <w:color w:val="1F487C"/>
                                  <w:spacing w:val="-4"/>
                                  <w:sz w:val="16"/>
                                </w:rPr>
                                <w:t>δων</w:t>
                              </w:r>
                            </w:p>
                            <w:p>
                              <w:pPr>
                                <w:spacing w:before="112"/>
                                <w:ind w:left="501" w:right="0" w:firstLine="0"/>
                                <w:jc w:val="left"/>
                                <w:rPr>
                                  <w:b/>
                                  <w:sz w:val="16"/>
                                </w:rPr>
                              </w:pPr>
                              <w:r>
                                <w:rPr>
                                  <w:b/>
                                  <w:color w:val="1F487C"/>
                                  <w:spacing w:val="-5"/>
                                  <w:sz w:val="16"/>
                                </w:rPr>
                                <w:t>325</w:t>
                              </w:r>
                            </w:p>
                          </w:txbxContent>
                        </wps:txbx>
                        <wps:bodyPr wrap="square" lIns="0" tIns="0" rIns="0" bIns="0" rtlCol="0">
                          <a:noAutofit/>
                        </wps:bodyPr>
                      </wps:wsp>
                      <wps:wsp>
                        <wps:cNvPr id="505" name="Textbox 505"/>
                        <wps:cNvSpPr txBox="1"/>
                        <wps:spPr>
                          <a:xfrm>
                            <a:off x="4784420" y="62934"/>
                            <a:ext cx="426084" cy="346710"/>
                          </a:xfrm>
                          <a:prstGeom prst="rect">
                            <a:avLst/>
                          </a:prstGeom>
                        </wps:spPr>
                        <wps:txbx>
                          <w:txbxContent>
                            <w:p>
                              <w:pPr>
                                <w:spacing w:line="240" w:lineRule="auto" w:before="0"/>
                                <w:ind w:left="0" w:right="18" w:hanging="5"/>
                                <w:jc w:val="center"/>
                                <w:rPr>
                                  <w:b/>
                                  <w:sz w:val="16"/>
                                </w:rPr>
                              </w:pPr>
                              <w:r>
                                <w:rPr>
                                  <w:b/>
                                  <w:color w:val="1F487C"/>
                                  <w:spacing w:val="-2"/>
                                  <w:sz w:val="16"/>
                                </w:rPr>
                                <w:t>Αρ</w:t>
                              </w:r>
                              <w:r>
                                <w:rPr>
                                  <w:b/>
                                  <w:smallCaps/>
                                  <w:color w:val="1F487C"/>
                                  <w:spacing w:val="-2"/>
                                  <w:sz w:val="16"/>
                                </w:rPr>
                                <w:t>ι</w:t>
                              </w:r>
                              <w:r>
                                <w:rPr>
                                  <w:b/>
                                  <w:smallCaps w:val="0"/>
                                  <w:color w:val="1F487C"/>
                                  <w:spacing w:val="-2"/>
                                  <w:sz w:val="16"/>
                                </w:rPr>
                                <w:t>θμός</w:t>
                              </w:r>
                              <w:r>
                                <w:rPr>
                                  <w:b/>
                                  <w:smallCaps w:val="0"/>
                                  <w:color w:val="1F487C"/>
                                  <w:spacing w:val="40"/>
                                  <w:sz w:val="16"/>
                                </w:rPr>
                                <w:t> </w:t>
                              </w:r>
                              <w:r>
                                <w:rPr>
                                  <w:b/>
                                  <w:smallCaps w:val="0"/>
                                  <w:color w:val="1F487C"/>
                                  <w:sz w:val="16"/>
                                </w:rPr>
                                <w:t>προσωπ</w:t>
                              </w:r>
                              <w:r>
                                <w:rPr>
                                  <w:b/>
                                  <w:smallCaps/>
                                  <w:color w:val="1F487C"/>
                                  <w:sz w:val="16"/>
                                </w:rPr>
                                <w:t>ι</w:t>
                              </w:r>
                              <w:r>
                                <w:rPr>
                                  <w:b/>
                                  <w:smallCaps w:val="0"/>
                                  <w:color w:val="1F487C"/>
                                  <w:sz w:val="16"/>
                                </w:rPr>
                                <w:t>-</w:t>
                              </w:r>
                              <w:r>
                                <w:rPr>
                                  <w:b/>
                                  <w:smallCaps w:val="0"/>
                                  <w:color w:val="1F487C"/>
                                  <w:spacing w:val="-4"/>
                                  <w:sz w:val="16"/>
                                </w:rPr>
                                <w:t>κού</w:t>
                              </w:r>
                            </w:p>
                          </w:txbxContent>
                        </wps:txbx>
                        <wps:bodyPr wrap="square" lIns="0" tIns="0" rIns="0" bIns="0" rtlCol="0">
                          <a:noAutofit/>
                        </wps:bodyPr>
                      </wps:wsp>
                      <wps:wsp>
                        <wps:cNvPr id="506" name="Textbox 506"/>
                        <wps:cNvSpPr txBox="1"/>
                        <wps:spPr>
                          <a:xfrm>
                            <a:off x="4514672" y="1067250"/>
                            <a:ext cx="116839" cy="113664"/>
                          </a:xfrm>
                          <a:prstGeom prst="rect">
                            <a:avLst/>
                          </a:prstGeom>
                        </wps:spPr>
                        <wps:txbx>
                          <w:txbxContent>
                            <w:p>
                              <w:pPr>
                                <w:spacing w:line="178" w:lineRule="exact" w:before="0"/>
                                <w:ind w:left="0" w:right="0" w:firstLine="0"/>
                                <w:jc w:val="left"/>
                                <w:rPr>
                                  <w:sz w:val="16"/>
                                </w:rPr>
                              </w:pPr>
                              <w:r>
                                <w:rPr>
                                  <w:spacing w:val="-5"/>
                                  <w:sz w:val="16"/>
                                </w:rPr>
                                <w:t>56</w:t>
                              </w:r>
                            </w:p>
                          </w:txbxContent>
                        </wps:txbx>
                        <wps:bodyPr wrap="square" lIns="0" tIns="0" rIns="0" bIns="0" rtlCol="0">
                          <a:noAutofit/>
                        </wps:bodyPr>
                      </wps:wsp>
                      <wps:wsp>
                        <wps:cNvPr id="507" name="Textbox 507"/>
                        <wps:cNvSpPr txBox="1"/>
                        <wps:spPr>
                          <a:xfrm>
                            <a:off x="1072845" y="785310"/>
                            <a:ext cx="292100" cy="113664"/>
                          </a:xfrm>
                          <a:prstGeom prst="rect">
                            <a:avLst/>
                          </a:prstGeom>
                        </wps:spPr>
                        <wps:txbx>
                          <w:txbxContent>
                            <w:p>
                              <w:pPr>
                                <w:spacing w:line="178" w:lineRule="exact" w:before="0"/>
                                <w:ind w:left="0" w:right="0" w:firstLine="0"/>
                                <w:jc w:val="left"/>
                                <w:rPr>
                                  <w:sz w:val="16"/>
                                </w:rPr>
                              </w:pPr>
                              <w:r>
                                <w:rPr>
                                  <w:spacing w:val="-2"/>
                                  <w:sz w:val="16"/>
                                </w:rPr>
                                <w:t>13.780</w:t>
                              </w:r>
                            </w:p>
                          </w:txbxContent>
                        </wps:txbx>
                        <wps:bodyPr wrap="square" lIns="0" tIns="0" rIns="0" bIns="0" rtlCol="0">
                          <a:noAutofit/>
                        </wps:bodyPr>
                      </wps:wsp>
                      <wps:wsp>
                        <wps:cNvPr id="508" name="Textbox 508"/>
                        <wps:cNvSpPr txBox="1"/>
                        <wps:spPr>
                          <a:xfrm>
                            <a:off x="1844370" y="785310"/>
                            <a:ext cx="242570" cy="113664"/>
                          </a:xfrm>
                          <a:prstGeom prst="rect">
                            <a:avLst/>
                          </a:prstGeom>
                        </wps:spPr>
                        <wps:txbx>
                          <w:txbxContent>
                            <w:p>
                              <w:pPr>
                                <w:spacing w:line="178" w:lineRule="exact" w:before="0"/>
                                <w:ind w:left="0" w:right="0" w:firstLine="0"/>
                                <w:jc w:val="left"/>
                                <w:rPr>
                                  <w:sz w:val="16"/>
                                </w:rPr>
                              </w:pPr>
                              <w:r>
                                <w:rPr>
                                  <w:spacing w:val="-2"/>
                                  <w:sz w:val="16"/>
                                </w:rPr>
                                <w:t>8.901</w:t>
                              </w:r>
                            </w:p>
                          </w:txbxContent>
                        </wps:txbx>
                        <wps:bodyPr wrap="square" lIns="0" tIns="0" rIns="0" bIns="0" rtlCol="0">
                          <a:noAutofit/>
                        </wps:bodyPr>
                      </wps:wsp>
                      <wps:wsp>
                        <wps:cNvPr id="509" name="Textbox 509"/>
                        <wps:cNvSpPr txBox="1"/>
                        <wps:spPr>
                          <a:xfrm>
                            <a:off x="2551506" y="785310"/>
                            <a:ext cx="166370" cy="113664"/>
                          </a:xfrm>
                          <a:prstGeom prst="rect">
                            <a:avLst/>
                          </a:prstGeom>
                        </wps:spPr>
                        <wps:txbx>
                          <w:txbxContent>
                            <w:p>
                              <w:pPr>
                                <w:spacing w:line="178" w:lineRule="exact" w:before="0"/>
                                <w:ind w:left="0" w:right="0" w:firstLine="0"/>
                                <w:jc w:val="left"/>
                                <w:rPr>
                                  <w:sz w:val="16"/>
                                </w:rPr>
                              </w:pPr>
                              <w:r>
                                <w:rPr>
                                  <w:spacing w:val="-5"/>
                                  <w:sz w:val="16"/>
                                </w:rPr>
                                <w:t>209</w:t>
                              </w:r>
                            </w:p>
                          </w:txbxContent>
                        </wps:txbx>
                        <wps:bodyPr wrap="square" lIns="0" tIns="0" rIns="0" bIns="0" rtlCol="0">
                          <a:noAutofit/>
                        </wps:bodyPr>
                      </wps:wsp>
                      <wps:wsp>
                        <wps:cNvPr id="510" name="Textbox 510"/>
                        <wps:cNvSpPr txBox="1"/>
                        <wps:spPr>
                          <a:xfrm>
                            <a:off x="3211652" y="785310"/>
                            <a:ext cx="226695" cy="113664"/>
                          </a:xfrm>
                          <a:prstGeom prst="rect">
                            <a:avLst/>
                          </a:prstGeom>
                        </wps:spPr>
                        <wps:txbx>
                          <w:txbxContent>
                            <w:p>
                              <w:pPr>
                                <w:spacing w:line="178" w:lineRule="exact" w:before="0"/>
                                <w:ind w:left="0" w:right="0" w:firstLine="0"/>
                                <w:jc w:val="left"/>
                                <w:rPr>
                                  <w:sz w:val="16"/>
                                </w:rPr>
                              </w:pPr>
                              <w:r>
                                <w:rPr>
                                  <w:spacing w:val="-4"/>
                                  <w:sz w:val="16"/>
                                </w:rPr>
                                <w:t>2,4%</w:t>
                              </w:r>
                            </w:p>
                          </w:txbxContent>
                        </wps:txbx>
                        <wps:bodyPr wrap="square" lIns="0" tIns="0" rIns="0" bIns="0" rtlCol="0">
                          <a:noAutofit/>
                        </wps:bodyPr>
                      </wps:wsp>
                      <wps:wsp>
                        <wps:cNvPr id="511" name="Textbox 511"/>
                        <wps:cNvSpPr txBox="1"/>
                        <wps:spPr>
                          <a:xfrm>
                            <a:off x="3706952" y="785310"/>
                            <a:ext cx="292100" cy="113664"/>
                          </a:xfrm>
                          <a:prstGeom prst="rect">
                            <a:avLst/>
                          </a:prstGeom>
                        </wps:spPr>
                        <wps:txbx>
                          <w:txbxContent>
                            <w:p>
                              <w:pPr>
                                <w:spacing w:line="178" w:lineRule="exact" w:before="0"/>
                                <w:ind w:left="0" w:right="0" w:firstLine="0"/>
                                <w:jc w:val="left"/>
                                <w:rPr>
                                  <w:sz w:val="16"/>
                                </w:rPr>
                              </w:pPr>
                              <w:r>
                                <w:rPr>
                                  <w:spacing w:val="-2"/>
                                  <w:sz w:val="16"/>
                                </w:rPr>
                                <w:t>11.046</w:t>
                              </w:r>
                            </w:p>
                          </w:txbxContent>
                        </wps:txbx>
                        <wps:bodyPr wrap="square" lIns="0" tIns="0" rIns="0" bIns="0" rtlCol="0">
                          <a:noAutofit/>
                        </wps:bodyPr>
                      </wps:wsp>
                      <wps:wsp>
                        <wps:cNvPr id="512" name="Textbox 512"/>
                        <wps:cNvSpPr txBox="1"/>
                        <wps:spPr>
                          <a:xfrm>
                            <a:off x="4464380" y="785310"/>
                            <a:ext cx="166370" cy="113664"/>
                          </a:xfrm>
                          <a:prstGeom prst="rect">
                            <a:avLst/>
                          </a:prstGeom>
                        </wps:spPr>
                        <wps:txbx>
                          <w:txbxContent>
                            <w:p>
                              <w:pPr>
                                <w:spacing w:line="178" w:lineRule="exact" w:before="0"/>
                                <w:ind w:left="0" w:right="0" w:firstLine="0"/>
                                <w:jc w:val="left"/>
                                <w:rPr>
                                  <w:sz w:val="16"/>
                                </w:rPr>
                              </w:pPr>
                              <w:r>
                                <w:rPr>
                                  <w:spacing w:val="-5"/>
                                  <w:sz w:val="16"/>
                                </w:rPr>
                                <w:t>184</w:t>
                              </w:r>
                            </w:p>
                          </w:txbxContent>
                        </wps:txbx>
                        <wps:bodyPr wrap="square" lIns="0" tIns="0" rIns="0" bIns="0" rtlCol="0">
                          <a:noAutofit/>
                        </wps:bodyPr>
                      </wps:wsp>
                      <wps:wsp>
                        <wps:cNvPr id="513" name="Textbox 513"/>
                        <wps:cNvSpPr txBox="1"/>
                        <wps:spPr>
                          <a:xfrm>
                            <a:off x="4998161" y="785310"/>
                            <a:ext cx="242570" cy="113664"/>
                          </a:xfrm>
                          <a:prstGeom prst="rect">
                            <a:avLst/>
                          </a:prstGeom>
                        </wps:spPr>
                        <wps:txbx>
                          <w:txbxContent>
                            <w:p>
                              <w:pPr>
                                <w:spacing w:line="178" w:lineRule="exact" w:before="0"/>
                                <w:ind w:left="0" w:right="0" w:firstLine="0"/>
                                <w:jc w:val="left"/>
                                <w:rPr>
                                  <w:sz w:val="16"/>
                                </w:rPr>
                              </w:pPr>
                              <w:r>
                                <w:rPr>
                                  <w:spacing w:val="-2"/>
                                  <w:sz w:val="16"/>
                                </w:rPr>
                                <w:t>3.322</w:t>
                              </w:r>
                            </w:p>
                          </w:txbxContent>
                        </wps:txbx>
                        <wps:bodyPr wrap="square" lIns="0" tIns="0" rIns="0" bIns="0" rtlCol="0">
                          <a:noAutofit/>
                        </wps:bodyPr>
                      </wps:wsp>
                      <wps:wsp>
                        <wps:cNvPr id="514" name="Textbox 514"/>
                        <wps:cNvSpPr txBox="1"/>
                        <wps:spPr>
                          <a:xfrm>
                            <a:off x="1123137" y="1067250"/>
                            <a:ext cx="242570" cy="113664"/>
                          </a:xfrm>
                          <a:prstGeom prst="rect">
                            <a:avLst/>
                          </a:prstGeom>
                        </wps:spPr>
                        <wps:txbx>
                          <w:txbxContent>
                            <w:p>
                              <w:pPr>
                                <w:spacing w:line="178" w:lineRule="exact" w:before="0"/>
                                <w:ind w:left="0" w:right="0" w:firstLine="0"/>
                                <w:jc w:val="left"/>
                                <w:rPr>
                                  <w:sz w:val="16"/>
                                </w:rPr>
                              </w:pPr>
                              <w:r>
                                <w:rPr>
                                  <w:spacing w:val="-2"/>
                                  <w:sz w:val="16"/>
                                </w:rPr>
                                <w:t>2.564</w:t>
                              </w:r>
                            </w:p>
                          </w:txbxContent>
                        </wps:txbx>
                        <wps:bodyPr wrap="square" lIns="0" tIns="0" rIns="0" bIns="0" rtlCol="0">
                          <a:noAutofit/>
                        </wps:bodyPr>
                      </wps:wsp>
                      <wps:wsp>
                        <wps:cNvPr id="515" name="Textbox 515"/>
                        <wps:cNvSpPr txBox="1"/>
                        <wps:spPr>
                          <a:xfrm>
                            <a:off x="1844370" y="1067250"/>
                            <a:ext cx="242570" cy="113664"/>
                          </a:xfrm>
                          <a:prstGeom prst="rect">
                            <a:avLst/>
                          </a:prstGeom>
                        </wps:spPr>
                        <wps:txbx>
                          <w:txbxContent>
                            <w:p>
                              <w:pPr>
                                <w:spacing w:line="178" w:lineRule="exact" w:before="0"/>
                                <w:ind w:left="0" w:right="0" w:firstLine="0"/>
                                <w:jc w:val="left"/>
                                <w:rPr>
                                  <w:sz w:val="16"/>
                                </w:rPr>
                              </w:pPr>
                              <w:r>
                                <w:rPr>
                                  <w:spacing w:val="-2"/>
                                  <w:sz w:val="16"/>
                                </w:rPr>
                                <w:t>1.837</w:t>
                              </w:r>
                            </w:p>
                          </w:txbxContent>
                        </wps:txbx>
                        <wps:bodyPr wrap="square" lIns="0" tIns="0" rIns="0" bIns="0" rtlCol="0">
                          <a:noAutofit/>
                        </wps:bodyPr>
                      </wps:wsp>
                      <wps:wsp>
                        <wps:cNvPr id="516" name="Textbox 516"/>
                        <wps:cNvSpPr txBox="1"/>
                        <wps:spPr>
                          <a:xfrm>
                            <a:off x="2601798" y="1067250"/>
                            <a:ext cx="116839" cy="113664"/>
                          </a:xfrm>
                          <a:prstGeom prst="rect">
                            <a:avLst/>
                          </a:prstGeom>
                        </wps:spPr>
                        <wps:txbx>
                          <w:txbxContent>
                            <w:p>
                              <w:pPr>
                                <w:spacing w:line="178" w:lineRule="exact" w:before="0"/>
                                <w:ind w:left="0" w:right="0" w:firstLine="0"/>
                                <w:jc w:val="left"/>
                                <w:rPr>
                                  <w:sz w:val="16"/>
                                </w:rPr>
                              </w:pPr>
                              <w:r>
                                <w:rPr>
                                  <w:spacing w:val="-5"/>
                                  <w:sz w:val="16"/>
                                </w:rPr>
                                <w:t>49</w:t>
                              </w:r>
                            </w:p>
                          </w:txbxContent>
                        </wps:txbx>
                        <wps:bodyPr wrap="square" lIns="0" tIns="0" rIns="0" bIns="0" rtlCol="0">
                          <a:noAutofit/>
                        </wps:bodyPr>
                      </wps:wsp>
                      <wps:wsp>
                        <wps:cNvPr id="517" name="Textbox 517"/>
                        <wps:cNvSpPr txBox="1"/>
                        <wps:spPr>
                          <a:xfrm>
                            <a:off x="3211652" y="1067250"/>
                            <a:ext cx="226695" cy="113664"/>
                          </a:xfrm>
                          <a:prstGeom prst="rect">
                            <a:avLst/>
                          </a:prstGeom>
                        </wps:spPr>
                        <wps:txbx>
                          <w:txbxContent>
                            <w:p>
                              <w:pPr>
                                <w:spacing w:line="178" w:lineRule="exact" w:before="0"/>
                                <w:ind w:left="0" w:right="0" w:firstLine="0"/>
                                <w:jc w:val="left"/>
                                <w:rPr>
                                  <w:sz w:val="16"/>
                                </w:rPr>
                              </w:pPr>
                              <w:r>
                                <w:rPr>
                                  <w:spacing w:val="-4"/>
                                  <w:sz w:val="16"/>
                                </w:rPr>
                                <w:t>2,6%</w:t>
                              </w:r>
                            </w:p>
                          </w:txbxContent>
                        </wps:txbx>
                        <wps:bodyPr wrap="square" lIns="0" tIns="0" rIns="0" bIns="0" rtlCol="0">
                          <a:noAutofit/>
                        </wps:bodyPr>
                      </wps:wsp>
                      <wps:wsp>
                        <wps:cNvPr id="518" name="Textbox 518"/>
                        <wps:cNvSpPr txBox="1"/>
                        <wps:spPr>
                          <a:xfrm>
                            <a:off x="3757244" y="1067250"/>
                            <a:ext cx="242570" cy="113664"/>
                          </a:xfrm>
                          <a:prstGeom prst="rect">
                            <a:avLst/>
                          </a:prstGeom>
                        </wps:spPr>
                        <wps:txbx>
                          <w:txbxContent>
                            <w:p>
                              <w:pPr>
                                <w:spacing w:line="178" w:lineRule="exact" w:before="0"/>
                                <w:ind w:left="0" w:right="0" w:firstLine="0"/>
                                <w:jc w:val="left"/>
                                <w:rPr>
                                  <w:sz w:val="16"/>
                                </w:rPr>
                              </w:pPr>
                              <w:r>
                                <w:rPr>
                                  <w:spacing w:val="-2"/>
                                  <w:sz w:val="16"/>
                                </w:rPr>
                                <w:t>1.947</w:t>
                              </w:r>
                            </w:p>
                          </w:txbxContent>
                        </wps:txbx>
                        <wps:bodyPr wrap="square" lIns="0" tIns="0" rIns="0" bIns="0" rtlCol="0">
                          <a:noAutofit/>
                        </wps:bodyPr>
                      </wps:wsp>
                    </wpg:wgp>
                  </a:graphicData>
                </a:graphic>
              </wp:anchor>
            </w:drawing>
          </mc:Choice>
          <mc:Fallback>
            <w:pict>
              <v:group style="position:absolute;margin-left:79.463997pt;margin-top:16.02pt;width:431.25pt;height:247.15pt;mso-position-horizontal-relative:page;mso-position-vertical-relative:paragraph;z-index:-15682560;mso-wrap-distance-left:0;mso-wrap-distance-right:0" id="docshapegroup437" coordorigin="1589,320" coordsize="8625,4943">
                <v:shape style="position:absolute;left:1589;top:320;width:8625;height:3291" id="docshape438" coordorigin="1589,320" coordsize="8625,3291" path="m4962,2651l3826,2651,3008,2651,3008,2651,1589,2651,1589,3071,1589,3309,1589,3611,3008,3611,3008,3611,3826,3611,4962,3611,4962,3309,4962,3071,4962,2651xm4962,1475l3826,1475,3008,1475,3008,1475,1589,1475,1589,1811,1589,2363,1589,2651,3008,2651,3008,2651,3826,2651,4962,2651,4962,2363,4962,1811,4962,1475xm4962,320l3826,320,3008,320,3008,320,1589,320,1589,1055,1589,1475,3008,1475,3008,1475,3826,1475,4962,1475,4962,1055,4962,320xm9928,2651l8968,2651,7974,2651,7089,2651,7089,2651,5953,2651,4962,2651,4962,3071,4962,3309,4962,3611,5953,3611,7089,3611,7089,3611,7974,3611,8968,3611,8968,3309,9928,3309,9928,3071,9928,2651xm9928,1475l8968,1475,7974,1475,7089,1475,7089,1475,5953,1475,4962,1475,4962,1811,4962,2363,4962,2651,5953,2651,7089,2651,7089,2651,7974,2651,8968,2651,9928,2651,9928,2363,9928,1811,9928,1475xm9928,320l8968,320,7974,320,7089,320,7089,320,5953,320,4962,320,4962,1055,4962,1475,5953,1475,7089,1475,7089,1475,7974,1475,8968,1475,9928,1475,9928,1055,9928,320xm10214,2651l9928,2651,9928,3071,9928,3309,10214,3309,10214,3071,10214,2651xm10214,320l9928,320,9928,1055,9928,1475,10036,1475,10036,1475,9928,1475,9928,1811,9928,2363,9928,2651,10214,2651,10214,2363,10214,1811,10214,1475,10106,1475,10106,1475,10214,1475,10214,1055,10214,320xe" filled="true" fillcolor="#bebebe" stroked="false">
                  <v:path arrowok="t"/>
                  <v:fill type="solid"/>
                </v:shape>
                <v:shape style="position:absolute;left:1589;top:3309;width:8625;height:1954" id="docshape439" coordorigin="1589,3309" coordsize="8625,1954" path="m10214,3309l9928,3309,9928,3611,9928,3868,9928,4221,9928,4641,9928,4221,9928,3868,9928,3611,9928,3309,8968,3309,7974,3309,7974,3611,7089,3611,5953,3611,4962,3611,4962,3868,4962,4221,4962,4641,4962,4221,4962,3868,4962,3611,3826,3611,3008,3611,1589,3611,1589,3868,1589,4221,1589,4641,1589,5263,10214,5263,10214,4641,10214,4221,10214,3868,10214,3611,10214,3309xe" filled="true" fillcolor="#bebebe" stroked="false">
                  <v:path arrowok="t"/>
                  <v:fill type="solid"/>
                </v:shape>
                <v:shape style="position:absolute;left:9580;top:2001;width:262;height:179" type="#_x0000_t202" id="docshape440" filled="false" stroked="false">
                  <v:textbox inset="0,0,0,0">
                    <w:txbxContent>
                      <w:p>
                        <w:pPr>
                          <w:spacing w:line="178" w:lineRule="exact" w:before="0"/>
                          <w:ind w:left="0" w:right="0" w:firstLine="0"/>
                          <w:jc w:val="left"/>
                          <w:rPr>
                            <w:sz w:val="16"/>
                          </w:rPr>
                        </w:pPr>
                        <w:r>
                          <w:rPr>
                            <w:spacing w:val="-5"/>
                            <w:sz w:val="16"/>
                          </w:rPr>
                          <w:t>972</w:t>
                        </w:r>
                      </w:p>
                    </w:txbxContent>
                  </v:textbox>
                  <w10:wrap type="none"/>
                </v:shape>
                <v:shape style="position:absolute;left:3278;top:2421;width:460;height:179" type="#_x0000_t202" id="docshape441" filled="false" stroked="false">
                  <v:textbox inset="0,0,0,0">
                    <w:txbxContent>
                      <w:p>
                        <w:pPr>
                          <w:spacing w:line="178" w:lineRule="exact" w:before="0"/>
                          <w:ind w:left="0" w:right="0" w:firstLine="0"/>
                          <w:jc w:val="left"/>
                          <w:rPr>
                            <w:sz w:val="16"/>
                          </w:rPr>
                        </w:pPr>
                        <w:r>
                          <w:rPr>
                            <w:spacing w:val="-2"/>
                            <w:sz w:val="16"/>
                          </w:rPr>
                          <w:t>37.693</w:t>
                        </w:r>
                      </w:p>
                    </w:txbxContent>
                  </v:textbox>
                  <w10:wrap type="none"/>
                </v:shape>
                <v:shape style="position:absolute;left:4414;top:2421;width:460;height:179" type="#_x0000_t202" id="docshape442" filled="false" stroked="false">
                  <v:textbox inset="0,0,0,0">
                    <w:txbxContent>
                      <w:p>
                        <w:pPr>
                          <w:spacing w:line="178" w:lineRule="exact" w:before="0"/>
                          <w:ind w:left="0" w:right="0" w:firstLine="0"/>
                          <w:jc w:val="left"/>
                          <w:rPr>
                            <w:sz w:val="16"/>
                          </w:rPr>
                        </w:pPr>
                        <w:r>
                          <w:rPr>
                            <w:spacing w:val="-2"/>
                            <w:sz w:val="16"/>
                          </w:rPr>
                          <w:t>13.151</w:t>
                        </w:r>
                      </w:p>
                    </w:txbxContent>
                  </v:textbox>
                  <w10:wrap type="none"/>
                </v:shape>
                <v:shape style="position:absolute;left:5607;top:2421;width:262;height:179" type="#_x0000_t202" id="docshape443" filled="false" stroked="false">
                  <v:textbox inset="0,0,0,0">
                    <w:txbxContent>
                      <w:p>
                        <w:pPr>
                          <w:spacing w:line="178" w:lineRule="exact" w:before="0"/>
                          <w:ind w:left="0" w:right="0" w:firstLine="0"/>
                          <w:jc w:val="left"/>
                          <w:rPr>
                            <w:sz w:val="16"/>
                          </w:rPr>
                        </w:pPr>
                        <w:r>
                          <w:rPr>
                            <w:spacing w:val="-5"/>
                            <w:sz w:val="16"/>
                          </w:rPr>
                          <w:t>197</w:t>
                        </w:r>
                      </w:p>
                    </w:txbxContent>
                  </v:textbox>
                  <w10:wrap type="none"/>
                </v:shape>
                <v:shape style="position:absolute;left:6647;top:2421;width:357;height:179" type="#_x0000_t202" id="docshape444" filled="false" stroked="false">
                  <v:textbox inset="0,0,0,0">
                    <w:txbxContent>
                      <w:p>
                        <w:pPr>
                          <w:spacing w:line="178" w:lineRule="exact" w:before="0"/>
                          <w:ind w:left="0" w:right="0" w:firstLine="0"/>
                          <w:jc w:val="left"/>
                          <w:rPr>
                            <w:sz w:val="16"/>
                          </w:rPr>
                        </w:pPr>
                        <w:r>
                          <w:rPr>
                            <w:spacing w:val="-4"/>
                            <w:sz w:val="16"/>
                          </w:rPr>
                          <w:t>1,5%</w:t>
                        </w:r>
                      </w:p>
                    </w:txbxContent>
                  </v:textbox>
                  <w10:wrap type="none"/>
                </v:shape>
                <v:shape style="position:absolute;left:7427;top:2421;width:460;height:179" type="#_x0000_t202" id="docshape445" filled="false" stroked="false">
                  <v:textbox inset="0,0,0,0">
                    <w:txbxContent>
                      <w:p>
                        <w:pPr>
                          <w:spacing w:line="178" w:lineRule="exact" w:before="0"/>
                          <w:ind w:left="0" w:right="0" w:firstLine="0"/>
                          <w:jc w:val="left"/>
                          <w:rPr>
                            <w:sz w:val="16"/>
                          </w:rPr>
                        </w:pPr>
                        <w:r>
                          <w:rPr>
                            <w:spacing w:val="-2"/>
                            <w:sz w:val="16"/>
                          </w:rPr>
                          <w:t>30.377</w:t>
                        </w:r>
                      </w:p>
                    </w:txbxContent>
                  </v:textbox>
                  <w10:wrap type="none"/>
                </v:shape>
                <v:shape style="position:absolute;left:8699;top:2421;width:184;height:179" type="#_x0000_t202" id="docshape446" filled="false" stroked="false">
                  <v:textbox inset="0,0,0,0">
                    <w:txbxContent>
                      <w:p>
                        <w:pPr>
                          <w:spacing w:line="178" w:lineRule="exact" w:before="0"/>
                          <w:ind w:left="0" w:right="0" w:firstLine="0"/>
                          <w:jc w:val="left"/>
                          <w:rPr>
                            <w:sz w:val="16"/>
                          </w:rPr>
                        </w:pPr>
                        <w:r>
                          <w:rPr>
                            <w:spacing w:val="-5"/>
                            <w:sz w:val="16"/>
                          </w:rPr>
                          <w:t>85</w:t>
                        </w:r>
                      </w:p>
                    </w:txbxContent>
                  </v:textbox>
                  <w10:wrap type="none"/>
                </v:shape>
                <v:shape style="position:absolute;left:9460;top:2421;width:382;height:179" type="#_x0000_t202" id="docshape447" filled="false" stroked="false">
                  <v:textbox inset="0,0,0,0">
                    <w:txbxContent>
                      <w:p>
                        <w:pPr>
                          <w:spacing w:line="178" w:lineRule="exact" w:before="0"/>
                          <w:ind w:left="0" w:right="0" w:firstLine="0"/>
                          <w:jc w:val="left"/>
                          <w:rPr>
                            <w:sz w:val="16"/>
                          </w:rPr>
                        </w:pPr>
                        <w:r>
                          <w:rPr>
                            <w:spacing w:val="-2"/>
                            <w:sz w:val="16"/>
                          </w:rPr>
                          <w:t>3.371</w:t>
                        </w:r>
                      </w:p>
                    </w:txbxContent>
                  </v:textbox>
                  <w10:wrap type="none"/>
                </v:shape>
                <v:shape style="position:absolute;left:3278;top:2776;width:460;height:179" type="#_x0000_t202" id="docshape448" filled="false" stroked="false">
                  <v:textbox inset="0,0,0,0">
                    <w:txbxContent>
                      <w:p>
                        <w:pPr>
                          <w:spacing w:line="178" w:lineRule="exact" w:before="0"/>
                          <w:ind w:left="0" w:right="0" w:firstLine="0"/>
                          <w:jc w:val="left"/>
                          <w:rPr>
                            <w:b/>
                            <w:sz w:val="16"/>
                          </w:rPr>
                        </w:pPr>
                        <w:r>
                          <w:rPr>
                            <w:b/>
                            <w:color w:val="1F487C"/>
                            <w:spacing w:val="-2"/>
                            <w:sz w:val="16"/>
                          </w:rPr>
                          <w:t>10.839</w:t>
                        </w:r>
                      </w:p>
                    </w:txbxContent>
                  </v:textbox>
                  <w10:wrap type="none"/>
                </v:shape>
                <v:shape style="position:absolute;left:4493;top:2776;width:382;height:179" type="#_x0000_t202" id="docshape449" filled="false" stroked="false">
                  <v:textbox inset="0,0,0,0">
                    <w:txbxContent>
                      <w:p>
                        <w:pPr>
                          <w:spacing w:line="178" w:lineRule="exact" w:before="0"/>
                          <w:ind w:left="0" w:right="0" w:firstLine="0"/>
                          <w:jc w:val="left"/>
                          <w:rPr>
                            <w:b/>
                            <w:sz w:val="16"/>
                          </w:rPr>
                        </w:pPr>
                        <w:r>
                          <w:rPr>
                            <w:b/>
                            <w:color w:val="1F487C"/>
                            <w:spacing w:val="-2"/>
                            <w:sz w:val="16"/>
                          </w:rPr>
                          <w:t>6.819</w:t>
                        </w:r>
                      </w:p>
                    </w:txbxContent>
                  </v:textbox>
                  <w10:wrap type="none"/>
                </v:shape>
                <v:shape style="position:absolute;left:5686;top:2776;width:184;height:179" type="#_x0000_t202" id="docshape450" filled="false" stroked="false">
                  <v:textbox inset="0,0,0,0">
                    <w:txbxContent>
                      <w:p>
                        <w:pPr>
                          <w:spacing w:line="178" w:lineRule="exact" w:before="0"/>
                          <w:ind w:left="0" w:right="0" w:firstLine="0"/>
                          <w:jc w:val="left"/>
                          <w:rPr>
                            <w:b/>
                            <w:sz w:val="16"/>
                          </w:rPr>
                        </w:pPr>
                        <w:r>
                          <w:rPr>
                            <w:b/>
                            <w:color w:val="1F487C"/>
                            <w:spacing w:val="-5"/>
                            <w:sz w:val="16"/>
                          </w:rPr>
                          <w:t>36</w:t>
                        </w:r>
                      </w:p>
                    </w:txbxContent>
                  </v:textbox>
                  <w10:wrap type="none"/>
                </v:shape>
                <v:shape style="position:absolute;left:6620;top:2776;width:384;height:179" type="#_x0000_t202" id="docshape451" filled="false" stroked="false">
                  <v:textbox inset="0,0,0,0">
                    <w:txbxContent>
                      <w:p>
                        <w:pPr>
                          <w:spacing w:line="178" w:lineRule="exact" w:before="0"/>
                          <w:ind w:left="0" w:right="0" w:firstLine="0"/>
                          <w:jc w:val="left"/>
                          <w:rPr>
                            <w:b/>
                            <w:sz w:val="16"/>
                          </w:rPr>
                        </w:pPr>
                        <w:r>
                          <w:rPr>
                            <w:b/>
                            <w:color w:val="1F487C"/>
                            <w:spacing w:val="-4"/>
                            <w:sz w:val="16"/>
                          </w:rPr>
                          <w:t>0,5%</w:t>
                        </w:r>
                      </w:p>
                    </w:txbxContent>
                  </v:textbox>
                  <w10:wrap type="none"/>
                </v:shape>
                <v:shape style="position:absolute;left:7506;top:2776;width:382;height:179" type="#_x0000_t202" id="docshape452" filled="false" stroked="false">
                  <v:textbox inset="0,0,0,0">
                    <w:txbxContent>
                      <w:p>
                        <w:pPr>
                          <w:spacing w:line="178" w:lineRule="exact" w:before="0"/>
                          <w:ind w:left="0" w:right="0" w:firstLine="0"/>
                          <w:jc w:val="left"/>
                          <w:rPr>
                            <w:b/>
                            <w:sz w:val="16"/>
                          </w:rPr>
                        </w:pPr>
                        <w:r>
                          <w:rPr>
                            <w:b/>
                            <w:color w:val="1F487C"/>
                            <w:spacing w:val="-2"/>
                            <w:sz w:val="16"/>
                          </w:rPr>
                          <w:t>3.194</w:t>
                        </w:r>
                      </w:p>
                    </w:txbxContent>
                  </v:textbox>
                  <w10:wrap type="none"/>
                </v:shape>
                <v:shape style="position:absolute;left:8780;top:2776;width:101;height:179" type="#_x0000_t202" id="docshape453" filled="false" stroked="false">
                  <v:textbox inset="0,0,0,0">
                    <w:txbxContent>
                      <w:p>
                        <w:pPr>
                          <w:spacing w:line="178" w:lineRule="exact" w:before="0"/>
                          <w:ind w:left="0" w:right="0" w:firstLine="0"/>
                          <w:jc w:val="left"/>
                          <w:rPr>
                            <w:b/>
                            <w:sz w:val="16"/>
                          </w:rPr>
                        </w:pPr>
                        <w:r>
                          <w:rPr>
                            <w:b/>
                            <w:color w:val="1F487C"/>
                            <w:spacing w:val="-10"/>
                            <w:sz w:val="16"/>
                          </w:rPr>
                          <w:t>5</w:t>
                        </w:r>
                      </w:p>
                    </w:txbxContent>
                  </v:textbox>
                  <w10:wrap type="none"/>
                </v:shape>
                <v:shape style="position:absolute;left:9580;top:2776;width:262;height:179" type="#_x0000_t202" id="docshape454" filled="false" stroked="false">
                  <v:textbox inset="0,0,0,0">
                    <w:txbxContent>
                      <w:p>
                        <w:pPr>
                          <w:spacing w:line="178" w:lineRule="exact" w:before="0"/>
                          <w:ind w:left="0" w:right="0" w:firstLine="0"/>
                          <w:jc w:val="left"/>
                          <w:rPr>
                            <w:b/>
                            <w:sz w:val="16"/>
                          </w:rPr>
                        </w:pPr>
                        <w:r>
                          <w:rPr>
                            <w:b/>
                            <w:color w:val="1F487C"/>
                            <w:spacing w:val="-5"/>
                            <w:sz w:val="16"/>
                          </w:rPr>
                          <w:t>262</w:t>
                        </w:r>
                      </w:p>
                    </w:txbxContent>
                  </v:textbox>
                  <w10:wrap type="none"/>
                </v:shape>
                <v:shape style="position:absolute;left:3358;top:3105;width:6485;height:1033" type="#_x0000_t202" id="docshape455" filled="false" stroked="false">
                  <v:textbox inset="0,0,0,0">
                    <w:txbxContent>
                      <w:p>
                        <w:pPr>
                          <w:tabs>
                            <w:tab w:pos="1135" w:val="left" w:leader="none"/>
                            <w:tab w:pos="2328" w:val="left" w:leader="none"/>
                            <w:tab w:pos="3288" w:val="left" w:leader="none"/>
                            <w:tab w:pos="4268" w:val="left" w:leader="none"/>
                            <w:tab w:pos="5422" w:val="left" w:leader="none"/>
                            <w:tab w:pos="6301" w:val="left" w:leader="none"/>
                          </w:tabs>
                          <w:spacing w:line="178" w:lineRule="exact" w:before="0"/>
                          <w:ind w:left="0" w:right="18" w:firstLine="0"/>
                          <w:jc w:val="right"/>
                          <w:rPr>
                            <w:sz w:val="16"/>
                          </w:rPr>
                        </w:pPr>
                        <w:r>
                          <w:rPr>
                            <w:spacing w:val="-2"/>
                            <w:sz w:val="16"/>
                          </w:rPr>
                          <w:t>2.488</w:t>
                        </w:r>
                        <w:r>
                          <w:rPr>
                            <w:sz w:val="16"/>
                          </w:rPr>
                          <w:tab/>
                        </w:r>
                        <w:r>
                          <w:rPr>
                            <w:spacing w:val="-4"/>
                            <w:sz w:val="16"/>
                          </w:rPr>
                          <w:t>2.289</w:t>
                        </w:r>
                        <w:r>
                          <w:rPr>
                            <w:sz w:val="16"/>
                          </w:rPr>
                          <w:tab/>
                        </w:r>
                        <w:r>
                          <w:rPr>
                            <w:spacing w:val="-5"/>
                            <w:sz w:val="16"/>
                          </w:rPr>
                          <w:t>36</w:t>
                        </w:r>
                        <w:r>
                          <w:rPr>
                            <w:sz w:val="16"/>
                          </w:rPr>
                          <w:tab/>
                        </w:r>
                        <w:r>
                          <w:rPr>
                            <w:spacing w:val="-4"/>
                            <w:sz w:val="16"/>
                          </w:rPr>
                          <w:t>1,6%</w:t>
                        </w:r>
                        <w:r>
                          <w:rPr>
                            <w:sz w:val="16"/>
                          </w:rPr>
                          <w:tab/>
                        </w:r>
                        <w:r>
                          <w:rPr>
                            <w:spacing w:val="-5"/>
                            <w:sz w:val="16"/>
                          </w:rPr>
                          <w:t>103</w:t>
                        </w:r>
                        <w:r>
                          <w:rPr>
                            <w:sz w:val="16"/>
                          </w:rPr>
                          <w:tab/>
                        </w:r>
                        <w:r>
                          <w:rPr>
                            <w:spacing w:val="-10"/>
                            <w:sz w:val="16"/>
                          </w:rPr>
                          <w:t>1</w:t>
                        </w:r>
                        <w:r>
                          <w:rPr>
                            <w:sz w:val="16"/>
                          </w:rPr>
                          <w:tab/>
                        </w:r>
                        <w:r>
                          <w:rPr>
                            <w:spacing w:val="-5"/>
                            <w:sz w:val="16"/>
                          </w:rPr>
                          <w:t>12</w:t>
                        </w:r>
                      </w:p>
                      <w:p>
                        <w:pPr>
                          <w:tabs>
                            <w:tab w:pos="1135" w:val="left" w:leader="none"/>
                            <w:tab w:pos="2290" w:val="left" w:leader="none"/>
                            <w:tab w:pos="3168" w:val="left" w:leader="none"/>
                            <w:tab w:pos="4148" w:val="left" w:leader="none"/>
                            <w:tab w:pos="5302" w:val="left" w:leader="none"/>
                            <w:tab w:pos="6181" w:val="left" w:leader="none"/>
                          </w:tabs>
                          <w:spacing w:before="85"/>
                          <w:ind w:left="0" w:right="18" w:firstLine="0"/>
                          <w:jc w:val="right"/>
                          <w:rPr>
                            <w:sz w:val="16"/>
                          </w:rPr>
                        </w:pPr>
                        <w:r>
                          <w:rPr>
                            <w:spacing w:val="-5"/>
                            <w:sz w:val="16"/>
                          </w:rPr>
                          <w:t>626</w:t>
                        </w:r>
                        <w:r>
                          <w:rPr>
                            <w:sz w:val="16"/>
                          </w:rPr>
                          <w:tab/>
                        </w:r>
                        <w:r>
                          <w:rPr>
                            <w:spacing w:val="-5"/>
                            <w:sz w:val="16"/>
                          </w:rPr>
                          <w:t>521</w:t>
                        </w:r>
                        <w:r>
                          <w:rPr>
                            <w:sz w:val="16"/>
                          </w:rPr>
                          <w:tab/>
                        </w:r>
                        <w:r>
                          <w:rPr>
                            <w:spacing w:val="-10"/>
                            <w:sz w:val="16"/>
                          </w:rPr>
                          <w:t>0</w:t>
                        </w:r>
                        <w:r>
                          <w:rPr>
                            <w:sz w:val="16"/>
                          </w:rPr>
                          <w:tab/>
                        </w:r>
                        <w:r>
                          <w:rPr>
                            <w:spacing w:val="-4"/>
                            <w:sz w:val="16"/>
                          </w:rPr>
                          <w:t>0,0%</w:t>
                        </w:r>
                        <w:r>
                          <w:rPr>
                            <w:sz w:val="16"/>
                          </w:rPr>
                          <w:tab/>
                        </w:r>
                        <w:r>
                          <w:rPr>
                            <w:spacing w:val="-5"/>
                            <w:sz w:val="16"/>
                          </w:rPr>
                          <w:t>521</w:t>
                        </w:r>
                        <w:r>
                          <w:rPr>
                            <w:sz w:val="16"/>
                          </w:rPr>
                          <w:tab/>
                        </w:r>
                        <w:r>
                          <w:rPr>
                            <w:spacing w:val="-10"/>
                            <w:sz w:val="16"/>
                          </w:rPr>
                          <w:t>1</w:t>
                        </w:r>
                        <w:r>
                          <w:rPr>
                            <w:sz w:val="16"/>
                          </w:rPr>
                          <w:tab/>
                        </w:r>
                        <w:r>
                          <w:rPr>
                            <w:spacing w:val="-5"/>
                            <w:sz w:val="16"/>
                          </w:rPr>
                          <w:t>91</w:t>
                        </w:r>
                      </w:p>
                      <w:p>
                        <w:pPr>
                          <w:tabs>
                            <w:tab w:pos="1135" w:val="left" w:leader="none"/>
                            <w:tab w:pos="2410" w:val="left" w:leader="none"/>
                            <w:tab w:pos="3288" w:val="left" w:leader="none"/>
                            <w:tab w:pos="4148" w:val="left" w:leader="none"/>
                            <w:tab w:pos="5422" w:val="left" w:leader="none"/>
                            <w:tab w:pos="6222" w:val="left" w:leader="none"/>
                          </w:tabs>
                          <w:spacing w:before="96"/>
                          <w:ind w:left="0" w:right="19" w:firstLine="0"/>
                          <w:jc w:val="right"/>
                          <w:rPr>
                            <w:sz w:val="16"/>
                          </w:rPr>
                        </w:pPr>
                        <w:r>
                          <w:rPr>
                            <w:spacing w:val="-2"/>
                            <w:sz w:val="16"/>
                          </w:rPr>
                          <w:t>7.726</w:t>
                        </w:r>
                        <w:r>
                          <w:rPr>
                            <w:sz w:val="16"/>
                          </w:rPr>
                          <w:tab/>
                        </w:r>
                        <w:r>
                          <w:rPr>
                            <w:spacing w:val="-4"/>
                            <w:sz w:val="16"/>
                          </w:rPr>
                          <w:t>4.009</w:t>
                        </w:r>
                        <w:r>
                          <w:rPr>
                            <w:sz w:val="16"/>
                          </w:rPr>
                          <w:tab/>
                        </w:r>
                        <w:r>
                          <w:rPr>
                            <w:spacing w:val="-10"/>
                            <w:sz w:val="16"/>
                          </w:rPr>
                          <w:t>0</w:t>
                        </w:r>
                        <w:r>
                          <w:rPr>
                            <w:sz w:val="16"/>
                          </w:rPr>
                          <w:tab/>
                        </w:r>
                        <w:r>
                          <w:rPr>
                            <w:spacing w:val="-4"/>
                            <w:sz w:val="16"/>
                          </w:rPr>
                          <w:t>0,0%</w:t>
                        </w:r>
                        <w:r>
                          <w:rPr>
                            <w:sz w:val="16"/>
                          </w:rPr>
                          <w:tab/>
                        </w:r>
                        <w:r>
                          <w:rPr>
                            <w:spacing w:val="-4"/>
                            <w:sz w:val="16"/>
                          </w:rPr>
                          <w:t>2.569</w:t>
                        </w:r>
                        <w:r>
                          <w:rPr>
                            <w:sz w:val="16"/>
                          </w:rPr>
                          <w:tab/>
                        </w:r>
                        <w:r>
                          <w:rPr>
                            <w:spacing w:val="-10"/>
                            <w:sz w:val="16"/>
                          </w:rPr>
                          <w:t>3</w:t>
                        </w:r>
                        <w:r>
                          <w:rPr>
                            <w:sz w:val="16"/>
                          </w:rPr>
                          <w:tab/>
                        </w:r>
                        <w:r>
                          <w:rPr>
                            <w:spacing w:val="-5"/>
                            <w:sz w:val="16"/>
                          </w:rPr>
                          <w:t>159</w:t>
                        </w:r>
                      </w:p>
                      <w:p>
                        <w:pPr>
                          <w:tabs>
                            <w:tab w:pos="1334" w:val="left" w:leader="none"/>
                            <w:tab w:pos="2410" w:val="left" w:leader="none"/>
                            <w:tab w:pos="3262" w:val="left" w:leader="none"/>
                            <w:tab w:pos="4268" w:val="left" w:leader="none"/>
                            <w:tab w:pos="5340" w:val="left" w:leader="none"/>
                            <w:tab w:pos="6222" w:val="left" w:leader="none"/>
                          </w:tabs>
                          <w:spacing w:before="121"/>
                          <w:ind w:left="120" w:right="0" w:firstLine="0"/>
                          <w:jc w:val="left"/>
                          <w:rPr>
                            <w:b/>
                            <w:sz w:val="16"/>
                          </w:rPr>
                        </w:pPr>
                        <w:r>
                          <w:rPr>
                            <w:b/>
                            <w:color w:val="1F487C"/>
                            <w:spacing w:val="-5"/>
                            <w:sz w:val="16"/>
                          </w:rPr>
                          <w:t>216</w:t>
                        </w:r>
                        <w:r>
                          <w:rPr>
                            <w:b/>
                            <w:color w:val="1F487C"/>
                            <w:sz w:val="16"/>
                          </w:rPr>
                          <w:tab/>
                        </w:r>
                        <w:r>
                          <w:rPr>
                            <w:b/>
                            <w:color w:val="1F487C"/>
                            <w:spacing w:val="-5"/>
                            <w:sz w:val="16"/>
                          </w:rPr>
                          <w:t>49</w:t>
                        </w:r>
                        <w:r>
                          <w:rPr>
                            <w:b/>
                            <w:color w:val="1F487C"/>
                            <w:sz w:val="16"/>
                          </w:rPr>
                          <w:tab/>
                        </w:r>
                        <w:r>
                          <w:rPr>
                            <w:b/>
                            <w:color w:val="1F487C"/>
                            <w:spacing w:val="-10"/>
                            <w:sz w:val="16"/>
                          </w:rPr>
                          <w:t>1</w:t>
                        </w:r>
                        <w:r>
                          <w:rPr>
                            <w:b/>
                            <w:color w:val="1F487C"/>
                            <w:sz w:val="16"/>
                          </w:rPr>
                          <w:tab/>
                        </w:r>
                        <w:r>
                          <w:rPr>
                            <w:b/>
                            <w:color w:val="1F487C"/>
                            <w:spacing w:val="-4"/>
                            <w:sz w:val="16"/>
                          </w:rPr>
                          <w:t>1,9%</w:t>
                        </w:r>
                        <w:r>
                          <w:rPr>
                            <w:b/>
                            <w:color w:val="1F487C"/>
                            <w:sz w:val="16"/>
                          </w:rPr>
                          <w:tab/>
                        </w:r>
                        <w:r>
                          <w:rPr>
                            <w:b/>
                            <w:color w:val="1F487C"/>
                            <w:spacing w:val="-5"/>
                            <w:sz w:val="16"/>
                          </w:rPr>
                          <w:t>188</w:t>
                        </w:r>
                        <w:r>
                          <w:rPr>
                            <w:b/>
                            <w:color w:val="1F487C"/>
                            <w:sz w:val="16"/>
                          </w:rPr>
                          <w:tab/>
                        </w:r>
                        <w:r>
                          <w:rPr>
                            <w:b/>
                            <w:color w:val="1F487C"/>
                            <w:spacing w:val="-5"/>
                            <w:sz w:val="16"/>
                          </w:rPr>
                          <w:t>15</w:t>
                        </w:r>
                        <w:r>
                          <w:rPr>
                            <w:b/>
                            <w:color w:val="1F487C"/>
                            <w:sz w:val="16"/>
                          </w:rPr>
                          <w:tab/>
                        </w:r>
                        <w:r>
                          <w:rPr>
                            <w:b/>
                            <w:color w:val="1F487C"/>
                            <w:spacing w:val="-5"/>
                            <w:sz w:val="16"/>
                          </w:rPr>
                          <w:t>305</w:t>
                        </w:r>
                      </w:p>
                    </w:txbxContent>
                  </v:textbox>
                  <w10:wrap type="none"/>
                </v:shape>
                <v:shape style="position:absolute;left:1697;top:4346;width:722;height:179" type="#_x0000_t202" id="docshape456" filled="false" stroked="false">
                  <v:textbox inset="0,0,0,0">
                    <w:txbxContent>
                      <w:p>
                        <w:pPr>
                          <w:spacing w:line="178" w:lineRule="exact" w:before="0"/>
                          <w:ind w:left="0" w:right="0" w:firstLine="0"/>
                          <w:jc w:val="left"/>
                          <w:rPr>
                            <w:b/>
                            <w:sz w:val="16"/>
                          </w:rPr>
                        </w:pPr>
                        <w:r>
                          <w:rPr>
                            <w:b/>
                            <w:color w:val="1F487C"/>
                            <w:spacing w:val="-2"/>
                            <w:sz w:val="16"/>
                          </w:rPr>
                          <w:t>ΣΥΝΟΛΟ</w:t>
                        </w:r>
                      </w:p>
                    </w:txbxContent>
                  </v:textbox>
                  <w10:wrap type="none"/>
                </v:shape>
                <v:shape style="position:absolute;left:3278;top:4346;width:461;height:179" type="#_x0000_t202" id="docshape457" filled="false" stroked="false">
                  <v:textbox inset="0,0,0,0">
                    <w:txbxContent>
                      <w:p>
                        <w:pPr>
                          <w:spacing w:line="178" w:lineRule="exact" w:before="0"/>
                          <w:ind w:left="0" w:right="0" w:firstLine="0"/>
                          <w:jc w:val="left"/>
                          <w:rPr>
                            <w:b/>
                            <w:sz w:val="16"/>
                          </w:rPr>
                        </w:pPr>
                        <w:r>
                          <w:rPr>
                            <w:b/>
                            <w:color w:val="1F487C"/>
                            <w:spacing w:val="-2"/>
                            <w:sz w:val="16"/>
                          </w:rPr>
                          <w:t>65.092</w:t>
                        </w:r>
                      </w:p>
                    </w:txbxContent>
                  </v:textbox>
                  <w10:wrap type="none"/>
                </v:shape>
                <v:shape style="position:absolute;left:4414;top:4346;width:460;height:179" type="#_x0000_t202" id="docshape458" filled="false" stroked="false">
                  <v:textbox inset="0,0,0,0">
                    <w:txbxContent>
                      <w:p>
                        <w:pPr>
                          <w:spacing w:line="178" w:lineRule="exact" w:before="0"/>
                          <w:ind w:left="0" w:right="0" w:firstLine="0"/>
                          <w:jc w:val="left"/>
                          <w:rPr>
                            <w:b/>
                            <w:sz w:val="16"/>
                          </w:rPr>
                        </w:pPr>
                        <w:r>
                          <w:rPr>
                            <w:b/>
                            <w:color w:val="1F487C"/>
                            <w:spacing w:val="-2"/>
                            <w:sz w:val="16"/>
                          </w:rPr>
                          <w:t>30.757</w:t>
                        </w:r>
                      </w:p>
                    </w:txbxContent>
                  </v:textbox>
                  <w10:wrap type="none"/>
                </v:shape>
                <v:shape style="position:absolute;left:5607;top:4346;width:262;height:179" type="#_x0000_t202" id="docshape459" filled="false" stroked="false">
                  <v:textbox inset="0,0,0,0">
                    <w:txbxContent>
                      <w:p>
                        <w:pPr>
                          <w:spacing w:line="178" w:lineRule="exact" w:before="0"/>
                          <w:ind w:left="0" w:right="0" w:firstLine="0"/>
                          <w:jc w:val="left"/>
                          <w:rPr>
                            <w:b/>
                            <w:sz w:val="16"/>
                          </w:rPr>
                        </w:pPr>
                        <w:r>
                          <w:rPr>
                            <w:b/>
                            <w:color w:val="1F487C"/>
                            <w:spacing w:val="-5"/>
                            <w:sz w:val="16"/>
                          </w:rPr>
                          <w:t>491</w:t>
                        </w:r>
                      </w:p>
                    </w:txbxContent>
                  </v:textbox>
                  <w10:wrap type="none"/>
                </v:shape>
                <v:shape style="position:absolute;left:6620;top:4346;width:384;height:179" type="#_x0000_t202" id="docshape460" filled="false" stroked="false">
                  <v:textbox inset="0,0,0,0">
                    <w:txbxContent>
                      <w:p>
                        <w:pPr>
                          <w:spacing w:line="178" w:lineRule="exact" w:before="0"/>
                          <w:ind w:left="0" w:right="0" w:firstLine="0"/>
                          <w:jc w:val="left"/>
                          <w:rPr>
                            <w:b/>
                            <w:sz w:val="16"/>
                          </w:rPr>
                        </w:pPr>
                        <w:r>
                          <w:rPr>
                            <w:b/>
                            <w:color w:val="1F487C"/>
                            <w:spacing w:val="-4"/>
                            <w:sz w:val="16"/>
                          </w:rPr>
                          <w:t>1,6%</w:t>
                        </w:r>
                      </w:p>
                    </w:txbxContent>
                  </v:textbox>
                  <w10:wrap type="none"/>
                </v:shape>
                <v:shape style="position:absolute;left:7427;top:4346;width:461;height:179" type="#_x0000_t202" id="docshape461" filled="false" stroked="false">
                  <v:textbox inset="0,0,0,0">
                    <w:txbxContent>
                      <w:p>
                        <w:pPr>
                          <w:spacing w:line="178" w:lineRule="exact" w:before="0"/>
                          <w:ind w:left="0" w:right="0" w:firstLine="0"/>
                          <w:jc w:val="left"/>
                          <w:rPr>
                            <w:b/>
                            <w:sz w:val="16"/>
                          </w:rPr>
                        </w:pPr>
                        <w:r>
                          <w:rPr>
                            <w:b/>
                            <w:color w:val="1F487C"/>
                            <w:spacing w:val="-2"/>
                            <w:sz w:val="16"/>
                          </w:rPr>
                          <w:t>46.753</w:t>
                        </w:r>
                      </w:p>
                    </w:txbxContent>
                  </v:textbox>
                  <w10:wrap type="none"/>
                </v:shape>
                <v:shape style="position:absolute;left:8619;top:4346;width:262;height:179" type="#_x0000_t202" id="docshape462" filled="false" stroked="false">
                  <v:textbox inset="0,0,0,0">
                    <w:txbxContent>
                      <w:p>
                        <w:pPr>
                          <w:spacing w:line="178" w:lineRule="exact" w:before="0"/>
                          <w:ind w:left="0" w:right="0" w:firstLine="0"/>
                          <w:jc w:val="left"/>
                          <w:rPr>
                            <w:b/>
                            <w:sz w:val="16"/>
                          </w:rPr>
                        </w:pPr>
                        <w:r>
                          <w:rPr>
                            <w:b/>
                            <w:color w:val="1F487C"/>
                            <w:spacing w:val="-5"/>
                            <w:sz w:val="16"/>
                          </w:rPr>
                          <w:t>345</w:t>
                        </w:r>
                      </w:p>
                    </w:txbxContent>
                  </v:textbox>
                  <w10:wrap type="none"/>
                </v:shape>
                <v:shape style="position:absolute;left:9460;top:4346;width:381;height:179" type="#_x0000_t202" id="docshape463" filled="false" stroked="false">
                  <v:textbox inset="0,0,0,0">
                    <w:txbxContent>
                      <w:p>
                        <w:pPr>
                          <w:spacing w:line="178" w:lineRule="exact" w:before="0"/>
                          <w:ind w:left="0" w:right="0" w:firstLine="0"/>
                          <w:jc w:val="left"/>
                          <w:rPr>
                            <w:b/>
                            <w:sz w:val="16"/>
                          </w:rPr>
                        </w:pPr>
                        <w:r>
                          <w:rPr>
                            <w:b/>
                            <w:color w:val="1F487C"/>
                            <w:spacing w:val="-2"/>
                            <w:sz w:val="16"/>
                          </w:rPr>
                          <w:t>8.232</w:t>
                        </w:r>
                      </w:p>
                    </w:txbxContent>
                  </v:textbox>
                  <w10:wrap type="none"/>
                </v:shape>
                <v:shape style="position:absolute;left:1810;top:4766;width:2755;height:435" type="#_x0000_t202" id="docshape464" filled="false" stroked="false">
                  <v:textbox inset="0,0,0,0">
                    <w:txbxContent>
                      <w:p>
                        <w:pPr>
                          <w:spacing w:line="154" w:lineRule="exact" w:before="0"/>
                          <w:ind w:left="0"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p>
                        <w:pPr>
                          <w:spacing w:before="120"/>
                          <w:ind w:left="0" w:right="0" w:firstLine="0"/>
                          <w:jc w:val="left"/>
                          <w:rPr>
                            <w:sz w:val="14"/>
                          </w:rPr>
                        </w:pPr>
                        <w:r>
                          <w:rPr>
                            <w:sz w:val="14"/>
                          </w:rPr>
                          <w:t>¹</w:t>
                        </w:r>
                        <w:r>
                          <w:rPr>
                            <w:spacing w:val="-5"/>
                            <w:sz w:val="14"/>
                          </w:rPr>
                          <w:t> </w:t>
                        </w:r>
                        <w:r>
                          <w:rPr>
                            <w:sz w:val="14"/>
                          </w:rPr>
                          <w:t>Οι</w:t>
                        </w:r>
                        <w:r>
                          <w:rPr>
                            <w:spacing w:val="-3"/>
                            <w:sz w:val="14"/>
                          </w:rPr>
                          <w:t> </w:t>
                        </w:r>
                        <w:r>
                          <w:rPr>
                            <w:sz w:val="14"/>
                          </w:rPr>
                          <w:t>λοιπές</w:t>
                        </w:r>
                        <w:r>
                          <w:rPr>
                            <w:spacing w:val="-4"/>
                            <w:sz w:val="14"/>
                          </w:rPr>
                          <w:t> </w:t>
                        </w:r>
                        <w:r>
                          <w:rPr>
                            <w:sz w:val="14"/>
                          </w:rPr>
                          <w:t>χώρες</w:t>
                        </w:r>
                        <w:r>
                          <w:rPr>
                            <w:spacing w:val="-4"/>
                            <w:sz w:val="14"/>
                          </w:rPr>
                          <w:t> </w:t>
                        </w:r>
                        <w:r>
                          <w:rPr>
                            <w:sz w:val="14"/>
                          </w:rPr>
                          <w:t>περιλαμβάνουν</w:t>
                        </w:r>
                        <w:r>
                          <w:rPr>
                            <w:spacing w:val="-4"/>
                            <w:sz w:val="14"/>
                          </w:rPr>
                          <w:t> </w:t>
                        </w:r>
                        <w:r>
                          <w:rPr>
                            <w:sz w:val="14"/>
                          </w:rPr>
                          <w:t>την</w:t>
                        </w:r>
                        <w:r>
                          <w:rPr>
                            <w:spacing w:val="-4"/>
                            <w:sz w:val="14"/>
                          </w:rPr>
                          <w:t> </w:t>
                        </w:r>
                        <w:r>
                          <w:rPr>
                            <w:spacing w:val="-2"/>
                            <w:sz w:val="14"/>
                          </w:rPr>
                          <w:t>Ουκρανία.</w:t>
                        </w:r>
                      </w:p>
                    </w:txbxContent>
                  </v:textbox>
                  <w10:wrap type="none"/>
                </v:shape>
                <v:shape style="position:absolute;left:9460;top:1180;width:382;height:179" type="#_x0000_t202" id="docshape465" filled="false" stroked="false">
                  <v:textbox inset="0,0,0,0">
                    <w:txbxContent>
                      <w:p>
                        <w:pPr>
                          <w:spacing w:line="178" w:lineRule="exact" w:before="0"/>
                          <w:ind w:left="0" w:right="0" w:firstLine="0"/>
                          <w:jc w:val="left"/>
                          <w:rPr>
                            <w:b/>
                            <w:sz w:val="16"/>
                          </w:rPr>
                        </w:pPr>
                        <w:r>
                          <w:rPr>
                            <w:b/>
                            <w:color w:val="1F487C"/>
                            <w:spacing w:val="-2"/>
                            <w:sz w:val="16"/>
                          </w:rPr>
                          <w:t>7.665</w:t>
                        </w:r>
                      </w:p>
                    </w:txbxContent>
                  </v:textbox>
                  <w10:wrap type="none"/>
                </v:shape>
                <v:shape style="position:absolute;left:2093;top:601;width:429;height:179" type="#_x0000_t202" id="docshape466" filled="false" stroked="false">
                  <v:textbox inset="0,0,0,0">
                    <w:txbxContent>
                      <w:p>
                        <w:pPr>
                          <w:spacing w:line="178" w:lineRule="exact" w:before="0"/>
                          <w:ind w:left="0" w:right="0" w:firstLine="0"/>
                          <w:jc w:val="left"/>
                          <w:rPr>
                            <w:b/>
                            <w:sz w:val="16"/>
                          </w:rPr>
                        </w:pPr>
                        <w:r>
                          <w:rPr>
                            <w:b/>
                            <w:color w:val="1F487C"/>
                            <w:spacing w:val="-4"/>
                            <w:sz w:val="16"/>
                          </w:rPr>
                          <w:t>Χώρα</w:t>
                        </w:r>
                      </w:p>
                    </w:txbxContent>
                  </v:textbox>
                  <w10:wrap type="none"/>
                </v:shape>
                <v:shape style="position:absolute;left:3139;top:419;width:1718;height:546" type="#_x0000_t202" id="docshape467" filled="false" stroked="false">
                  <v:textbox inset="0,0,0,0">
                    <w:txbxContent>
                      <w:p>
                        <w:pPr>
                          <w:tabs>
                            <w:tab w:pos="811" w:val="left" w:leader="none"/>
                            <w:tab w:pos="1018" w:val="left" w:leader="none"/>
                          </w:tabs>
                          <w:spacing w:line="120" w:lineRule="auto" w:before="70"/>
                          <w:ind w:left="129" w:right="18" w:hanging="130"/>
                          <w:jc w:val="left"/>
                          <w:rPr>
                            <w:b/>
                            <w:sz w:val="16"/>
                          </w:rPr>
                        </w:pPr>
                        <w:r>
                          <w:rPr>
                            <w:b/>
                            <w:color w:val="1F487C"/>
                            <w:sz w:val="16"/>
                          </w:rPr>
                          <w:t>Ενεργη-</w:t>
                          <w:tab/>
                          <w:tab/>
                        </w:r>
                        <w:r>
                          <w:rPr>
                            <w:b/>
                            <w:color w:val="1F487C"/>
                            <w:spacing w:val="-2"/>
                            <w:position w:val="9"/>
                            <w:sz w:val="16"/>
                          </w:rPr>
                          <w:t>Δάνε</w:t>
                        </w:r>
                        <w:r>
                          <w:rPr>
                            <w:b/>
                            <w:smallCaps/>
                            <w:color w:val="1F487C"/>
                            <w:spacing w:val="-2"/>
                            <w:position w:val="9"/>
                            <w:sz w:val="16"/>
                          </w:rPr>
                          <w:t>ι</w:t>
                        </w:r>
                        <w:r>
                          <w:rPr>
                            <w:b/>
                            <w:smallCaps w:val="0"/>
                            <w:color w:val="1F487C"/>
                            <w:spacing w:val="-2"/>
                            <w:position w:val="9"/>
                            <w:sz w:val="16"/>
                          </w:rPr>
                          <w:t>α</w:t>
                        </w:r>
                        <w:r>
                          <w:rPr>
                            <w:b/>
                            <w:smallCaps w:val="0"/>
                            <w:color w:val="1F487C"/>
                            <w:spacing w:val="40"/>
                            <w:position w:val="9"/>
                            <w:sz w:val="16"/>
                          </w:rPr>
                          <w:t> </w:t>
                        </w:r>
                        <w:r>
                          <w:rPr>
                            <w:b/>
                            <w:smallCaps w:val="0"/>
                            <w:color w:val="1F487C"/>
                            <w:spacing w:val="-4"/>
                            <w:position w:val="-8"/>
                            <w:sz w:val="16"/>
                          </w:rPr>
                          <w:t>τ</w:t>
                        </w:r>
                        <w:r>
                          <w:rPr>
                            <w:b/>
                            <w:smallCaps/>
                            <w:color w:val="1F487C"/>
                            <w:spacing w:val="-4"/>
                            <w:position w:val="-8"/>
                            <w:sz w:val="16"/>
                          </w:rPr>
                          <w:t>ι</w:t>
                        </w:r>
                        <w:r>
                          <w:rPr>
                            <w:b/>
                            <w:smallCaps w:val="0"/>
                            <w:color w:val="1F487C"/>
                            <w:spacing w:val="-4"/>
                            <w:position w:val="-8"/>
                            <w:sz w:val="16"/>
                          </w:rPr>
                          <w:t>κό</w:t>
                        </w:r>
                        <w:r>
                          <w:rPr>
                            <w:b/>
                            <w:smallCaps w:val="0"/>
                            <w:color w:val="1F487C"/>
                            <w:position w:val="-8"/>
                            <w:sz w:val="16"/>
                          </w:rPr>
                          <w:tab/>
                        </w:r>
                        <w:r>
                          <w:rPr>
                            <w:b/>
                            <w:smallCaps w:val="0"/>
                            <w:color w:val="1F487C"/>
                            <w:sz w:val="16"/>
                          </w:rPr>
                          <w:t>(προ</w:t>
                        </w:r>
                        <w:r>
                          <w:rPr>
                            <w:b/>
                            <w:smallCaps w:val="0"/>
                            <w:color w:val="1F487C"/>
                            <w:spacing w:val="-10"/>
                            <w:sz w:val="16"/>
                          </w:rPr>
                          <w:t> </w:t>
                        </w:r>
                        <w:r>
                          <w:rPr>
                            <w:b/>
                            <w:smallCaps w:val="0"/>
                            <w:color w:val="1F487C"/>
                            <w:sz w:val="16"/>
                          </w:rPr>
                          <w:t>προβλέ-</w:t>
                        </w:r>
                      </w:p>
                      <w:p>
                        <w:pPr>
                          <w:spacing w:line="111" w:lineRule="exact" w:before="0"/>
                          <w:ind w:left="1044" w:right="0" w:firstLine="0"/>
                          <w:jc w:val="left"/>
                          <w:rPr>
                            <w:b/>
                            <w:sz w:val="16"/>
                          </w:rPr>
                        </w:pPr>
                        <w:r>
                          <w:rPr>
                            <w:b/>
                            <w:color w:val="1F487C"/>
                            <w:spacing w:val="-2"/>
                            <w:sz w:val="16"/>
                          </w:rPr>
                          <w:t>ψεων)</w:t>
                        </w:r>
                      </w:p>
                    </w:txbxContent>
                  </v:textbox>
                  <w10:wrap type="none"/>
                </v:shape>
                <v:shape style="position:absolute;left:5089;top:419;width:760;height:546" type="#_x0000_t202" id="docshape468" filled="false" stroked="false">
                  <v:textbox inset="0,0,0,0">
                    <w:txbxContent>
                      <w:p>
                        <w:pPr>
                          <w:spacing w:line="240" w:lineRule="auto" w:before="0"/>
                          <w:ind w:left="0" w:right="18" w:firstLine="0"/>
                          <w:jc w:val="center"/>
                          <w:rPr>
                            <w:b/>
                            <w:sz w:val="16"/>
                          </w:rPr>
                        </w:pPr>
                        <w:r>
                          <w:rPr>
                            <w:b/>
                            <w:color w:val="1F487C"/>
                            <w:sz w:val="16"/>
                          </w:rPr>
                          <w:t>Μη</w:t>
                        </w:r>
                        <w:r>
                          <w:rPr>
                            <w:b/>
                            <w:color w:val="1F487C"/>
                            <w:spacing w:val="-10"/>
                            <w:sz w:val="16"/>
                          </w:rPr>
                          <w:t> </w:t>
                        </w:r>
                        <w:r>
                          <w:rPr>
                            <w:b/>
                            <w:color w:val="1F487C"/>
                            <w:sz w:val="16"/>
                          </w:rPr>
                          <w:t>εξυπη-</w:t>
                        </w:r>
                        <w:r>
                          <w:rPr>
                            <w:b/>
                            <w:color w:val="1F487C"/>
                            <w:spacing w:val="-2"/>
                            <w:sz w:val="16"/>
                          </w:rPr>
                          <w:t>ρετούμενα</w:t>
                        </w:r>
                        <w:r>
                          <w:rPr>
                            <w:b/>
                            <w:color w:val="1F487C"/>
                            <w:spacing w:val="40"/>
                            <w:sz w:val="16"/>
                          </w:rPr>
                          <w:t> </w:t>
                        </w:r>
                        <w:r>
                          <w:rPr>
                            <w:b/>
                            <w:color w:val="1F487C"/>
                            <w:spacing w:val="-2"/>
                            <w:sz w:val="16"/>
                          </w:rPr>
                          <w:t>δάνε</w:t>
                        </w:r>
                        <w:r>
                          <w:rPr>
                            <w:b/>
                            <w:smallCaps/>
                            <w:color w:val="1F487C"/>
                            <w:spacing w:val="-2"/>
                            <w:sz w:val="16"/>
                          </w:rPr>
                          <w:t>ι</w:t>
                        </w:r>
                        <w:r>
                          <w:rPr>
                            <w:b/>
                            <w:smallCaps w:val="0"/>
                            <w:color w:val="1F487C"/>
                            <w:spacing w:val="-2"/>
                            <w:sz w:val="16"/>
                          </w:rPr>
                          <w:t>α</w:t>
                        </w:r>
                      </w:p>
                    </w:txbxContent>
                  </v:textbox>
                  <w10:wrap type="none"/>
                </v:shape>
                <v:shape style="position:absolute;left:1697;top:1089;width:1170;height:3050" type="#_x0000_t202" id="docshape469" filled="false" stroked="false">
                  <v:textbox inset="0,0,0,0">
                    <w:txbxContent>
                      <w:p>
                        <w:pPr>
                          <w:spacing w:line="240" w:lineRule="auto" w:before="0"/>
                          <w:ind w:left="0" w:right="246" w:firstLine="0"/>
                          <w:jc w:val="left"/>
                          <w:rPr>
                            <w:b/>
                            <w:sz w:val="16"/>
                          </w:rPr>
                        </w:pPr>
                        <w:r>
                          <w:rPr>
                            <w:b/>
                            <w:color w:val="1F487C"/>
                            <w:sz w:val="16"/>
                          </w:rPr>
                          <w:t>Νοτ</w:t>
                        </w:r>
                        <w:r>
                          <w:rPr>
                            <w:b/>
                            <w:smallCaps/>
                            <w:color w:val="1F487C"/>
                            <w:sz w:val="16"/>
                          </w:rPr>
                          <w:t>ιο</w:t>
                        </w:r>
                        <w:r>
                          <w:rPr>
                            <w:b/>
                            <w:smallCaps w:val="0"/>
                            <w:color w:val="1F487C"/>
                            <w:sz w:val="16"/>
                          </w:rPr>
                          <w:t>ανατο-λ</w:t>
                        </w:r>
                        <w:r>
                          <w:rPr>
                            <w:b/>
                            <w:smallCaps/>
                            <w:color w:val="1F487C"/>
                            <w:sz w:val="16"/>
                          </w:rPr>
                          <w:t>ι</w:t>
                        </w:r>
                        <w:r>
                          <w:rPr>
                            <w:b/>
                            <w:smallCaps w:val="0"/>
                            <w:color w:val="1F487C"/>
                            <w:sz w:val="16"/>
                          </w:rPr>
                          <w:t>κή</w:t>
                        </w:r>
                        <w:r>
                          <w:rPr>
                            <w:b/>
                            <w:smallCaps w:val="0"/>
                            <w:color w:val="1F487C"/>
                            <w:spacing w:val="-5"/>
                            <w:sz w:val="16"/>
                          </w:rPr>
                          <w:t> </w:t>
                        </w:r>
                        <w:r>
                          <w:rPr>
                            <w:b/>
                            <w:smallCaps w:val="0"/>
                            <w:color w:val="1F487C"/>
                            <w:spacing w:val="-2"/>
                            <w:sz w:val="16"/>
                          </w:rPr>
                          <w:t>Ευρώπη</w:t>
                        </w:r>
                      </w:p>
                      <w:p>
                        <w:pPr>
                          <w:spacing w:before="94"/>
                          <w:ind w:left="0" w:right="0" w:firstLine="0"/>
                          <w:jc w:val="left"/>
                          <w:rPr>
                            <w:sz w:val="16"/>
                          </w:rPr>
                        </w:pPr>
                        <w:r>
                          <w:rPr>
                            <w:spacing w:val="-2"/>
                            <w:sz w:val="16"/>
                          </w:rPr>
                          <w:t>Βουλγαρία</w:t>
                        </w:r>
                      </w:p>
                      <w:p>
                        <w:pPr>
                          <w:spacing w:before="75"/>
                          <w:ind w:left="0" w:right="18" w:firstLine="0"/>
                          <w:jc w:val="left"/>
                          <w:rPr>
                            <w:sz w:val="16"/>
                          </w:rPr>
                        </w:pPr>
                        <w:r>
                          <w:rPr>
                            <w:sz w:val="16"/>
                          </w:rPr>
                          <w:t>Δημοκρατία</w:t>
                        </w:r>
                        <w:r>
                          <w:rPr>
                            <w:spacing w:val="-1"/>
                            <w:sz w:val="16"/>
                          </w:rPr>
                          <w:t> </w:t>
                        </w:r>
                        <w:r>
                          <w:rPr>
                            <w:sz w:val="16"/>
                          </w:rPr>
                          <w:t>της</w:t>
                        </w:r>
                        <w:r>
                          <w:rPr>
                            <w:spacing w:val="40"/>
                            <w:sz w:val="16"/>
                          </w:rPr>
                          <w:t> </w:t>
                        </w:r>
                        <w:r>
                          <w:rPr>
                            <w:sz w:val="16"/>
                          </w:rPr>
                          <w:t>Βόρειας</w:t>
                        </w:r>
                        <w:r>
                          <w:rPr>
                            <w:spacing w:val="-10"/>
                            <w:sz w:val="16"/>
                          </w:rPr>
                          <w:t> </w:t>
                        </w:r>
                        <w:r>
                          <w:rPr>
                            <w:sz w:val="16"/>
                          </w:rPr>
                          <w:t>Μακεδο-</w:t>
                        </w:r>
                        <w:r>
                          <w:rPr>
                            <w:spacing w:val="-4"/>
                            <w:sz w:val="16"/>
                          </w:rPr>
                          <w:t>νίας</w:t>
                        </w:r>
                      </w:p>
                      <w:p>
                        <w:pPr>
                          <w:spacing w:before="53"/>
                          <w:ind w:left="0" w:right="0" w:firstLine="0"/>
                          <w:jc w:val="left"/>
                          <w:rPr>
                            <w:sz w:val="16"/>
                          </w:rPr>
                        </w:pPr>
                        <w:r>
                          <w:rPr>
                            <w:spacing w:val="-2"/>
                            <w:sz w:val="16"/>
                          </w:rPr>
                          <w:t>Κύπρος</w:t>
                        </w:r>
                      </w:p>
                      <w:p>
                        <w:pPr>
                          <w:spacing w:before="78"/>
                          <w:ind w:left="0" w:right="37" w:firstLine="0"/>
                          <w:jc w:val="left"/>
                          <w:rPr>
                            <w:b/>
                            <w:sz w:val="16"/>
                          </w:rPr>
                        </w:pPr>
                        <w:r>
                          <w:rPr>
                            <w:b/>
                            <w:color w:val="1F487C"/>
                            <w:sz w:val="16"/>
                          </w:rPr>
                          <w:t>Χρηματοο</w:t>
                        </w:r>
                        <w:r>
                          <w:rPr>
                            <w:b/>
                            <w:smallCaps/>
                            <w:color w:val="1F487C"/>
                            <w:sz w:val="16"/>
                          </w:rPr>
                          <w:t>ι</w:t>
                        </w:r>
                        <w:r>
                          <w:rPr>
                            <w:b/>
                            <w:smallCaps w:val="0"/>
                            <w:color w:val="1F487C"/>
                            <w:sz w:val="16"/>
                          </w:rPr>
                          <w:t>κονο-μ</w:t>
                        </w:r>
                        <w:r>
                          <w:rPr>
                            <w:b/>
                            <w:smallCaps/>
                            <w:color w:val="1F487C"/>
                            <w:sz w:val="16"/>
                          </w:rPr>
                          <w:t>ι</w:t>
                        </w:r>
                        <w:r>
                          <w:rPr>
                            <w:b/>
                            <w:smallCaps w:val="0"/>
                            <w:color w:val="1F487C"/>
                            <w:sz w:val="16"/>
                          </w:rPr>
                          <w:t>κά</w:t>
                        </w:r>
                        <w:r>
                          <w:rPr>
                            <w:b/>
                            <w:smallCaps w:val="0"/>
                            <w:color w:val="1F487C"/>
                            <w:spacing w:val="-3"/>
                            <w:sz w:val="16"/>
                          </w:rPr>
                          <w:t> </w:t>
                        </w:r>
                        <w:r>
                          <w:rPr>
                            <w:b/>
                            <w:smallCaps w:val="0"/>
                            <w:color w:val="1F487C"/>
                            <w:sz w:val="16"/>
                          </w:rPr>
                          <w:t>κέντρα</w:t>
                        </w:r>
                      </w:p>
                      <w:p>
                        <w:pPr>
                          <w:spacing w:line="350" w:lineRule="auto" w:before="54"/>
                          <w:ind w:left="0" w:right="309" w:firstLine="0"/>
                          <w:jc w:val="left"/>
                          <w:rPr>
                            <w:sz w:val="16"/>
                          </w:rPr>
                        </w:pPr>
                        <w:r>
                          <w:rPr>
                            <w:spacing w:val="-2"/>
                            <w:sz w:val="16"/>
                          </w:rPr>
                          <w:t>Γερμανία</w:t>
                        </w:r>
                        <w:r>
                          <w:rPr>
                            <w:spacing w:val="80"/>
                            <w:sz w:val="16"/>
                          </w:rPr>
                          <w:t> </w:t>
                        </w:r>
                        <w:r>
                          <w:rPr>
                            <w:sz w:val="16"/>
                          </w:rPr>
                          <w:t>Ην.</w:t>
                        </w:r>
                        <w:r>
                          <w:rPr>
                            <w:spacing w:val="-10"/>
                            <w:sz w:val="16"/>
                          </w:rPr>
                          <w:t> </w:t>
                        </w:r>
                        <w:r>
                          <w:rPr>
                            <w:sz w:val="16"/>
                          </w:rPr>
                          <w:t>Βασίλειο</w:t>
                        </w:r>
                      </w:p>
                      <w:p>
                        <w:pPr>
                          <w:spacing w:before="13"/>
                          <w:ind w:left="0" w:right="0" w:firstLine="0"/>
                          <w:jc w:val="left"/>
                          <w:rPr>
                            <w:sz w:val="16"/>
                          </w:rPr>
                        </w:pPr>
                        <w:r>
                          <w:rPr>
                            <w:spacing w:val="-2"/>
                            <w:sz w:val="16"/>
                          </w:rPr>
                          <w:t>Λουξεμβούργο</w:t>
                        </w:r>
                      </w:p>
                      <w:p>
                        <w:pPr>
                          <w:spacing w:before="121"/>
                          <w:ind w:left="0" w:right="0" w:firstLine="0"/>
                          <w:jc w:val="left"/>
                          <w:rPr>
                            <w:b/>
                            <w:sz w:val="16"/>
                          </w:rPr>
                        </w:pPr>
                        <w:r>
                          <w:rPr>
                            <w:b/>
                            <w:color w:val="1F487C"/>
                            <w:sz w:val="16"/>
                          </w:rPr>
                          <w:t>Λο</w:t>
                        </w:r>
                        <w:r>
                          <w:rPr>
                            <w:b/>
                            <w:smallCaps/>
                            <w:color w:val="1F487C"/>
                            <w:sz w:val="16"/>
                          </w:rPr>
                          <w:t>ι</w:t>
                        </w:r>
                        <w:r>
                          <w:rPr>
                            <w:b/>
                            <w:smallCaps w:val="0"/>
                            <w:color w:val="1F487C"/>
                            <w:sz w:val="16"/>
                          </w:rPr>
                          <w:t>πές</w:t>
                        </w:r>
                        <w:r>
                          <w:rPr>
                            <w:b/>
                            <w:smallCaps w:val="0"/>
                            <w:color w:val="1F487C"/>
                            <w:spacing w:val="-6"/>
                            <w:sz w:val="16"/>
                          </w:rPr>
                          <w:t> </w:t>
                        </w:r>
                        <w:r>
                          <w:rPr>
                            <w:b/>
                            <w:smallCaps w:val="0"/>
                            <w:color w:val="1F487C"/>
                            <w:spacing w:val="-2"/>
                            <w:sz w:val="16"/>
                          </w:rPr>
                          <w:t>χώρες¹</w:t>
                        </w:r>
                      </w:p>
                    </w:txbxContent>
                  </v:textbox>
                  <w10:wrap type="none"/>
                </v:shape>
                <v:shape style="position:absolute;left:3278;top:1180;width:460;height:179" type="#_x0000_t202" id="docshape470" filled="false" stroked="false">
                  <v:textbox inset="0,0,0,0">
                    <w:txbxContent>
                      <w:p>
                        <w:pPr>
                          <w:spacing w:line="178" w:lineRule="exact" w:before="0"/>
                          <w:ind w:left="0" w:right="0" w:firstLine="0"/>
                          <w:jc w:val="left"/>
                          <w:rPr>
                            <w:b/>
                            <w:sz w:val="16"/>
                          </w:rPr>
                        </w:pPr>
                        <w:r>
                          <w:rPr>
                            <w:b/>
                            <w:color w:val="1F487C"/>
                            <w:spacing w:val="-2"/>
                            <w:sz w:val="16"/>
                          </w:rPr>
                          <w:t>54.037</w:t>
                        </w:r>
                      </w:p>
                    </w:txbxContent>
                  </v:textbox>
                  <w10:wrap type="none"/>
                </v:shape>
                <v:shape style="position:absolute;left:4414;top:1180;width:460;height:179" type="#_x0000_t202" id="docshape471" filled="false" stroked="false">
                  <v:textbox inset="0,0,0,0">
                    <w:txbxContent>
                      <w:p>
                        <w:pPr>
                          <w:spacing w:line="178" w:lineRule="exact" w:before="0"/>
                          <w:ind w:left="0" w:right="0" w:firstLine="0"/>
                          <w:jc w:val="left"/>
                          <w:rPr>
                            <w:b/>
                            <w:sz w:val="16"/>
                          </w:rPr>
                        </w:pPr>
                        <w:r>
                          <w:rPr>
                            <w:b/>
                            <w:color w:val="1F487C"/>
                            <w:spacing w:val="-2"/>
                            <w:sz w:val="16"/>
                          </w:rPr>
                          <w:t>23.889</w:t>
                        </w:r>
                      </w:p>
                    </w:txbxContent>
                  </v:textbox>
                  <w10:wrap type="none"/>
                </v:shape>
                <v:shape style="position:absolute;left:5607;top:1180;width:262;height:179" type="#_x0000_t202" id="docshape472" filled="false" stroked="false">
                  <v:textbox inset="0,0,0,0">
                    <w:txbxContent>
                      <w:p>
                        <w:pPr>
                          <w:spacing w:line="178" w:lineRule="exact" w:before="0"/>
                          <w:ind w:left="0" w:right="0" w:firstLine="0"/>
                          <w:jc w:val="left"/>
                          <w:rPr>
                            <w:b/>
                            <w:sz w:val="16"/>
                          </w:rPr>
                        </w:pPr>
                        <w:r>
                          <w:rPr>
                            <w:b/>
                            <w:color w:val="1F487C"/>
                            <w:spacing w:val="-5"/>
                            <w:sz w:val="16"/>
                          </w:rPr>
                          <w:t>455</w:t>
                        </w:r>
                      </w:p>
                    </w:txbxContent>
                  </v:textbox>
                  <w10:wrap type="none"/>
                </v:shape>
                <v:shape style="position:absolute;left:6097;top:325;width:908;height:1033" type="#_x0000_t202" id="docshape473" filled="false" stroked="false">
                  <v:textbox inset="0,0,0,0">
                    <w:txbxContent>
                      <w:p>
                        <w:pPr>
                          <w:spacing w:line="240" w:lineRule="auto" w:before="0"/>
                          <w:ind w:left="-1" w:right="58" w:hanging="3"/>
                          <w:jc w:val="center"/>
                          <w:rPr>
                            <w:b/>
                            <w:sz w:val="16"/>
                          </w:rPr>
                        </w:pPr>
                        <w:r>
                          <w:rPr>
                            <w:b/>
                            <w:color w:val="1F487C"/>
                            <w:sz w:val="16"/>
                          </w:rPr>
                          <w:t>Ποσοστό</w:t>
                        </w:r>
                        <w:r>
                          <w:rPr>
                            <w:b/>
                            <w:color w:val="1F487C"/>
                            <w:spacing w:val="-10"/>
                            <w:sz w:val="16"/>
                          </w:rPr>
                          <w:t> </w:t>
                        </w:r>
                        <w:r>
                          <w:rPr>
                            <w:b/>
                            <w:color w:val="1F487C"/>
                            <w:sz w:val="16"/>
                          </w:rPr>
                          <w:t>μη</w:t>
                        </w:r>
                        <w:r>
                          <w:rPr>
                            <w:b/>
                            <w:color w:val="1F487C"/>
                            <w:spacing w:val="40"/>
                            <w:sz w:val="16"/>
                          </w:rPr>
                          <w:t> </w:t>
                        </w:r>
                        <w:r>
                          <w:rPr>
                            <w:b/>
                            <w:color w:val="1F487C"/>
                            <w:sz w:val="16"/>
                          </w:rPr>
                          <w:t>εξυπηρετού-μενων</w:t>
                        </w:r>
                        <w:r>
                          <w:rPr>
                            <w:b/>
                            <w:color w:val="1F487C"/>
                            <w:spacing w:val="-5"/>
                            <w:sz w:val="16"/>
                          </w:rPr>
                          <w:t> </w:t>
                        </w:r>
                        <w:r>
                          <w:rPr>
                            <w:b/>
                            <w:color w:val="1F487C"/>
                            <w:sz w:val="16"/>
                          </w:rPr>
                          <w:t>δα-</w:t>
                        </w:r>
                        <w:r>
                          <w:rPr>
                            <w:b/>
                            <w:color w:val="1F487C"/>
                            <w:spacing w:val="-2"/>
                            <w:sz w:val="16"/>
                          </w:rPr>
                          <w:t>νείων</w:t>
                        </w:r>
                      </w:p>
                      <w:p>
                        <w:pPr>
                          <w:spacing w:before="112"/>
                          <w:ind w:left="523" w:right="0" w:firstLine="0"/>
                          <w:jc w:val="left"/>
                          <w:rPr>
                            <w:b/>
                            <w:sz w:val="16"/>
                          </w:rPr>
                        </w:pPr>
                        <w:r>
                          <w:rPr>
                            <w:b/>
                            <w:color w:val="1F487C"/>
                            <w:spacing w:val="-4"/>
                            <w:sz w:val="16"/>
                          </w:rPr>
                          <w:t>1,9%</w:t>
                        </w:r>
                      </w:p>
                    </w:txbxContent>
                  </v:textbox>
                  <w10:wrap type="none"/>
                </v:shape>
                <v:shape style="position:absolute;left:7239;top:510;width:604;height:363" type="#_x0000_t202" id="docshape474" filled="false" stroked="false">
                  <v:textbox inset="0,0,0,0">
                    <w:txbxContent>
                      <w:p>
                        <w:pPr>
                          <w:spacing w:line="240" w:lineRule="auto" w:before="0"/>
                          <w:ind w:left="153" w:right="18" w:hanging="154"/>
                          <w:jc w:val="left"/>
                          <w:rPr>
                            <w:b/>
                            <w:sz w:val="16"/>
                          </w:rPr>
                        </w:pPr>
                        <w:r>
                          <w:rPr>
                            <w:b/>
                            <w:color w:val="1F487C"/>
                            <w:sz w:val="16"/>
                          </w:rPr>
                          <w:t>Καταθέ-</w:t>
                        </w:r>
                        <w:r>
                          <w:rPr>
                            <w:b/>
                            <w:color w:val="1F487C"/>
                            <w:spacing w:val="-4"/>
                            <w:sz w:val="16"/>
                          </w:rPr>
                          <w:t>σε</w:t>
                        </w:r>
                        <w:r>
                          <w:rPr>
                            <w:b/>
                            <w:smallCaps/>
                            <w:color w:val="1F487C"/>
                            <w:spacing w:val="-4"/>
                            <w:sz w:val="16"/>
                          </w:rPr>
                          <w:t>ι</w:t>
                        </w:r>
                        <w:r>
                          <w:rPr>
                            <w:b/>
                            <w:smallCaps w:val="0"/>
                            <w:color w:val="1F487C"/>
                            <w:spacing w:val="-4"/>
                            <w:sz w:val="16"/>
                          </w:rPr>
                          <w:t>ς</w:t>
                        </w:r>
                      </w:p>
                    </w:txbxContent>
                  </v:textbox>
                  <w10:wrap type="none"/>
                </v:shape>
                <v:shape style="position:absolute;left:7427;top:1180;width:460;height:179" type="#_x0000_t202" id="docshape475" filled="false" stroked="false">
                  <v:textbox inset="0,0,0,0">
                    <w:txbxContent>
                      <w:p>
                        <w:pPr>
                          <w:spacing w:line="178" w:lineRule="exact" w:before="0"/>
                          <w:ind w:left="0" w:right="0" w:firstLine="0"/>
                          <w:jc w:val="left"/>
                          <w:rPr>
                            <w:b/>
                            <w:sz w:val="16"/>
                          </w:rPr>
                        </w:pPr>
                        <w:r>
                          <w:rPr>
                            <w:b/>
                            <w:color w:val="1F487C"/>
                            <w:spacing w:val="-2"/>
                            <w:sz w:val="16"/>
                          </w:rPr>
                          <w:t>43.371</w:t>
                        </w:r>
                      </w:p>
                    </w:txbxContent>
                  </v:textbox>
                  <w10:wrap type="none"/>
                </v:shape>
                <v:shape style="position:absolute;left:8118;top:325;width:763;height:1033" type="#_x0000_t202" id="docshape476" filled="false" stroked="false">
                  <v:textbox inset="0,0,0,0">
                    <w:txbxContent>
                      <w:p>
                        <w:pPr>
                          <w:spacing w:line="240" w:lineRule="auto" w:before="0"/>
                          <w:ind w:left="-1" w:right="56" w:hanging="1"/>
                          <w:jc w:val="center"/>
                          <w:rPr>
                            <w:b/>
                            <w:sz w:val="16"/>
                          </w:rPr>
                        </w:pPr>
                        <w:r>
                          <w:rPr>
                            <w:b/>
                            <w:color w:val="1F487C"/>
                            <w:spacing w:val="-2"/>
                            <w:sz w:val="16"/>
                          </w:rPr>
                          <w:t>Αρ</w:t>
                        </w:r>
                        <w:r>
                          <w:rPr>
                            <w:b/>
                            <w:smallCaps/>
                            <w:color w:val="1F487C"/>
                            <w:spacing w:val="-2"/>
                            <w:sz w:val="16"/>
                          </w:rPr>
                          <w:t>ι</w:t>
                        </w:r>
                        <w:r>
                          <w:rPr>
                            <w:b/>
                            <w:smallCaps w:val="0"/>
                            <w:color w:val="1F487C"/>
                            <w:spacing w:val="-2"/>
                            <w:sz w:val="16"/>
                          </w:rPr>
                          <w:t>θμός</w:t>
                        </w:r>
                        <w:r>
                          <w:rPr>
                            <w:b/>
                            <w:smallCaps w:val="0"/>
                            <w:color w:val="1F487C"/>
                            <w:spacing w:val="40"/>
                            <w:sz w:val="16"/>
                          </w:rPr>
                          <w:t> </w:t>
                        </w:r>
                        <w:r>
                          <w:rPr>
                            <w:b/>
                            <w:smallCaps w:val="0"/>
                            <w:color w:val="1F487C"/>
                            <w:sz w:val="16"/>
                          </w:rPr>
                          <w:t>υπηρεσ</w:t>
                        </w:r>
                        <w:r>
                          <w:rPr>
                            <w:b/>
                            <w:smallCaps/>
                            <w:color w:val="1F487C"/>
                            <w:sz w:val="16"/>
                          </w:rPr>
                          <w:t>ι</w:t>
                        </w:r>
                        <w:r>
                          <w:rPr>
                            <w:b/>
                            <w:smallCaps w:val="0"/>
                            <w:color w:val="1F487C"/>
                            <w:sz w:val="16"/>
                          </w:rPr>
                          <w:t>α-κών</w:t>
                        </w:r>
                        <w:r>
                          <w:rPr>
                            <w:b/>
                            <w:smallCaps w:val="0"/>
                            <w:color w:val="1F487C"/>
                            <w:spacing w:val="-10"/>
                            <w:sz w:val="16"/>
                          </w:rPr>
                          <w:t> </w:t>
                        </w:r>
                        <w:r>
                          <w:rPr>
                            <w:b/>
                            <w:smallCaps w:val="0"/>
                            <w:color w:val="1F487C"/>
                            <w:sz w:val="16"/>
                          </w:rPr>
                          <w:t>μονά-</w:t>
                        </w:r>
                        <w:r>
                          <w:rPr>
                            <w:b/>
                            <w:smallCaps w:val="0"/>
                            <w:color w:val="1F487C"/>
                            <w:spacing w:val="-4"/>
                            <w:sz w:val="16"/>
                          </w:rPr>
                          <w:t>δων</w:t>
                        </w:r>
                      </w:p>
                      <w:p>
                        <w:pPr>
                          <w:spacing w:before="112"/>
                          <w:ind w:left="501" w:right="0" w:firstLine="0"/>
                          <w:jc w:val="left"/>
                          <w:rPr>
                            <w:b/>
                            <w:sz w:val="16"/>
                          </w:rPr>
                        </w:pPr>
                        <w:r>
                          <w:rPr>
                            <w:b/>
                            <w:color w:val="1F487C"/>
                            <w:spacing w:val="-5"/>
                            <w:sz w:val="16"/>
                          </w:rPr>
                          <w:t>325</w:t>
                        </w:r>
                      </w:p>
                    </w:txbxContent>
                  </v:textbox>
                  <w10:wrap type="none"/>
                </v:shape>
                <v:shape style="position:absolute;left:9123;top:419;width:671;height:546" type="#_x0000_t202" id="docshape477" filled="false" stroked="false">
                  <v:textbox inset="0,0,0,0">
                    <w:txbxContent>
                      <w:p>
                        <w:pPr>
                          <w:spacing w:line="240" w:lineRule="auto" w:before="0"/>
                          <w:ind w:left="0" w:right="18" w:hanging="5"/>
                          <w:jc w:val="center"/>
                          <w:rPr>
                            <w:b/>
                            <w:sz w:val="16"/>
                          </w:rPr>
                        </w:pPr>
                        <w:r>
                          <w:rPr>
                            <w:b/>
                            <w:color w:val="1F487C"/>
                            <w:spacing w:val="-2"/>
                            <w:sz w:val="16"/>
                          </w:rPr>
                          <w:t>Αρ</w:t>
                        </w:r>
                        <w:r>
                          <w:rPr>
                            <w:b/>
                            <w:smallCaps/>
                            <w:color w:val="1F487C"/>
                            <w:spacing w:val="-2"/>
                            <w:sz w:val="16"/>
                          </w:rPr>
                          <w:t>ι</w:t>
                        </w:r>
                        <w:r>
                          <w:rPr>
                            <w:b/>
                            <w:smallCaps w:val="0"/>
                            <w:color w:val="1F487C"/>
                            <w:spacing w:val="-2"/>
                            <w:sz w:val="16"/>
                          </w:rPr>
                          <w:t>θμός</w:t>
                        </w:r>
                        <w:r>
                          <w:rPr>
                            <w:b/>
                            <w:smallCaps w:val="0"/>
                            <w:color w:val="1F487C"/>
                            <w:spacing w:val="40"/>
                            <w:sz w:val="16"/>
                          </w:rPr>
                          <w:t> </w:t>
                        </w:r>
                        <w:r>
                          <w:rPr>
                            <w:b/>
                            <w:smallCaps w:val="0"/>
                            <w:color w:val="1F487C"/>
                            <w:sz w:val="16"/>
                          </w:rPr>
                          <w:t>προσωπ</w:t>
                        </w:r>
                        <w:r>
                          <w:rPr>
                            <w:b/>
                            <w:smallCaps/>
                            <w:color w:val="1F487C"/>
                            <w:sz w:val="16"/>
                          </w:rPr>
                          <w:t>ι</w:t>
                        </w:r>
                        <w:r>
                          <w:rPr>
                            <w:b/>
                            <w:smallCaps w:val="0"/>
                            <w:color w:val="1F487C"/>
                            <w:sz w:val="16"/>
                          </w:rPr>
                          <w:t>-</w:t>
                        </w:r>
                        <w:r>
                          <w:rPr>
                            <w:b/>
                            <w:smallCaps w:val="0"/>
                            <w:color w:val="1F487C"/>
                            <w:spacing w:val="-4"/>
                            <w:sz w:val="16"/>
                          </w:rPr>
                          <w:t>κού</w:t>
                        </w:r>
                      </w:p>
                    </w:txbxContent>
                  </v:textbox>
                  <w10:wrap type="none"/>
                </v:shape>
                <v:shape style="position:absolute;left:8699;top:2001;width:184;height:179" type="#_x0000_t202" id="docshape478" filled="false" stroked="false">
                  <v:textbox inset="0,0,0,0">
                    <w:txbxContent>
                      <w:p>
                        <w:pPr>
                          <w:spacing w:line="178" w:lineRule="exact" w:before="0"/>
                          <w:ind w:left="0" w:right="0" w:firstLine="0"/>
                          <w:jc w:val="left"/>
                          <w:rPr>
                            <w:sz w:val="16"/>
                          </w:rPr>
                        </w:pPr>
                        <w:r>
                          <w:rPr>
                            <w:spacing w:val="-5"/>
                            <w:sz w:val="16"/>
                          </w:rPr>
                          <w:t>56</w:t>
                        </w:r>
                      </w:p>
                    </w:txbxContent>
                  </v:textbox>
                  <w10:wrap type="none"/>
                </v:shape>
                <v:shape style="position:absolute;left:3278;top:1557;width:460;height:179" type="#_x0000_t202" id="docshape479" filled="false" stroked="false">
                  <v:textbox inset="0,0,0,0">
                    <w:txbxContent>
                      <w:p>
                        <w:pPr>
                          <w:spacing w:line="178" w:lineRule="exact" w:before="0"/>
                          <w:ind w:left="0" w:right="0" w:firstLine="0"/>
                          <w:jc w:val="left"/>
                          <w:rPr>
                            <w:sz w:val="16"/>
                          </w:rPr>
                        </w:pPr>
                        <w:r>
                          <w:rPr>
                            <w:spacing w:val="-2"/>
                            <w:sz w:val="16"/>
                          </w:rPr>
                          <w:t>13.780</w:t>
                        </w:r>
                      </w:p>
                    </w:txbxContent>
                  </v:textbox>
                  <w10:wrap type="none"/>
                </v:shape>
                <v:shape style="position:absolute;left:4493;top:1557;width:382;height:179" type="#_x0000_t202" id="docshape480" filled="false" stroked="false">
                  <v:textbox inset="0,0,0,0">
                    <w:txbxContent>
                      <w:p>
                        <w:pPr>
                          <w:spacing w:line="178" w:lineRule="exact" w:before="0"/>
                          <w:ind w:left="0" w:right="0" w:firstLine="0"/>
                          <w:jc w:val="left"/>
                          <w:rPr>
                            <w:sz w:val="16"/>
                          </w:rPr>
                        </w:pPr>
                        <w:r>
                          <w:rPr>
                            <w:spacing w:val="-2"/>
                            <w:sz w:val="16"/>
                          </w:rPr>
                          <w:t>8.901</w:t>
                        </w:r>
                      </w:p>
                    </w:txbxContent>
                  </v:textbox>
                  <w10:wrap type="none"/>
                </v:shape>
                <v:shape style="position:absolute;left:5607;top:1557;width:262;height:179" type="#_x0000_t202" id="docshape481" filled="false" stroked="false">
                  <v:textbox inset="0,0,0,0">
                    <w:txbxContent>
                      <w:p>
                        <w:pPr>
                          <w:spacing w:line="178" w:lineRule="exact" w:before="0"/>
                          <w:ind w:left="0" w:right="0" w:firstLine="0"/>
                          <w:jc w:val="left"/>
                          <w:rPr>
                            <w:sz w:val="16"/>
                          </w:rPr>
                        </w:pPr>
                        <w:r>
                          <w:rPr>
                            <w:spacing w:val="-5"/>
                            <w:sz w:val="16"/>
                          </w:rPr>
                          <w:t>209</w:t>
                        </w:r>
                      </w:p>
                    </w:txbxContent>
                  </v:textbox>
                  <w10:wrap type="none"/>
                </v:shape>
                <v:shape style="position:absolute;left:6647;top:1557;width:357;height:179" type="#_x0000_t202" id="docshape482" filled="false" stroked="false">
                  <v:textbox inset="0,0,0,0">
                    <w:txbxContent>
                      <w:p>
                        <w:pPr>
                          <w:spacing w:line="178" w:lineRule="exact" w:before="0"/>
                          <w:ind w:left="0" w:right="0" w:firstLine="0"/>
                          <w:jc w:val="left"/>
                          <w:rPr>
                            <w:sz w:val="16"/>
                          </w:rPr>
                        </w:pPr>
                        <w:r>
                          <w:rPr>
                            <w:spacing w:val="-4"/>
                            <w:sz w:val="16"/>
                          </w:rPr>
                          <w:t>2,4%</w:t>
                        </w:r>
                      </w:p>
                    </w:txbxContent>
                  </v:textbox>
                  <w10:wrap type="none"/>
                </v:shape>
                <v:shape style="position:absolute;left:7427;top:1557;width:460;height:179" type="#_x0000_t202" id="docshape483" filled="false" stroked="false">
                  <v:textbox inset="0,0,0,0">
                    <w:txbxContent>
                      <w:p>
                        <w:pPr>
                          <w:spacing w:line="178" w:lineRule="exact" w:before="0"/>
                          <w:ind w:left="0" w:right="0" w:firstLine="0"/>
                          <w:jc w:val="left"/>
                          <w:rPr>
                            <w:sz w:val="16"/>
                          </w:rPr>
                        </w:pPr>
                        <w:r>
                          <w:rPr>
                            <w:spacing w:val="-2"/>
                            <w:sz w:val="16"/>
                          </w:rPr>
                          <w:t>11.046</w:t>
                        </w:r>
                      </w:p>
                    </w:txbxContent>
                  </v:textbox>
                  <w10:wrap type="none"/>
                </v:shape>
                <v:shape style="position:absolute;left:8619;top:1557;width:262;height:179" type="#_x0000_t202" id="docshape484" filled="false" stroked="false">
                  <v:textbox inset="0,0,0,0">
                    <w:txbxContent>
                      <w:p>
                        <w:pPr>
                          <w:spacing w:line="178" w:lineRule="exact" w:before="0"/>
                          <w:ind w:left="0" w:right="0" w:firstLine="0"/>
                          <w:jc w:val="left"/>
                          <w:rPr>
                            <w:sz w:val="16"/>
                          </w:rPr>
                        </w:pPr>
                        <w:r>
                          <w:rPr>
                            <w:spacing w:val="-5"/>
                            <w:sz w:val="16"/>
                          </w:rPr>
                          <w:t>184</w:t>
                        </w:r>
                      </w:p>
                    </w:txbxContent>
                  </v:textbox>
                  <w10:wrap type="none"/>
                </v:shape>
                <v:shape style="position:absolute;left:9460;top:1557;width:382;height:179" type="#_x0000_t202" id="docshape485" filled="false" stroked="false">
                  <v:textbox inset="0,0,0,0">
                    <w:txbxContent>
                      <w:p>
                        <w:pPr>
                          <w:spacing w:line="178" w:lineRule="exact" w:before="0"/>
                          <w:ind w:left="0" w:right="0" w:firstLine="0"/>
                          <w:jc w:val="left"/>
                          <w:rPr>
                            <w:sz w:val="16"/>
                          </w:rPr>
                        </w:pPr>
                        <w:r>
                          <w:rPr>
                            <w:spacing w:val="-2"/>
                            <w:sz w:val="16"/>
                          </w:rPr>
                          <w:t>3.322</w:t>
                        </w:r>
                      </w:p>
                    </w:txbxContent>
                  </v:textbox>
                  <w10:wrap type="none"/>
                </v:shape>
                <v:shape style="position:absolute;left:3358;top:2001;width:382;height:179" type="#_x0000_t202" id="docshape486" filled="false" stroked="false">
                  <v:textbox inset="0,0,0,0">
                    <w:txbxContent>
                      <w:p>
                        <w:pPr>
                          <w:spacing w:line="178" w:lineRule="exact" w:before="0"/>
                          <w:ind w:left="0" w:right="0" w:firstLine="0"/>
                          <w:jc w:val="left"/>
                          <w:rPr>
                            <w:sz w:val="16"/>
                          </w:rPr>
                        </w:pPr>
                        <w:r>
                          <w:rPr>
                            <w:spacing w:val="-2"/>
                            <w:sz w:val="16"/>
                          </w:rPr>
                          <w:t>2.564</w:t>
                        </w:r>
                      </w:p>
                    </w:txbxContent>
                  </v:textbox>
                  <w10:wrap type="none"/>
                </v:shape>
                <v:shape style="position:absolute;left:4493;top:2001;width:382;height:179" type="#_x0000_t202" id="docshape487" filled="false" stroked="false">
                  <v:textbox inset="0,0,0,0">
                    <w:txbxContent>
                      <w:p>
                        <w:pPr>
                          <w:spacing w:line="178" w:lineRule="exact" w:before="0"/>
                          <w:ind w:left="0" w:right="0" w:firstLine="0"/>
                          <w:jc w:val="left"/>
                          <w:rPr>
                            <w:sz w:val="16"/>
                          </w:rPr>
                        </w:pPr>
                        <w:r>
                          <w:rPr>
                            <w:spacing w:val="-2"/>
                            <w:sz w:val="16"/>
                          </w:rPr>
                          <w:t>1.837</w:t>
                        </w:r>
                      </w:p>
                    </w:txbxContent>
                  </v:textbox>
                  <w10:wrap type="none"/>
                </v:shape>
                <v:shape style="position:absolute;left:5686;top:2001;width:184;height:179" type="#_x0000_t202" id="docshape488" filled="false" stroked="false">
                  <v:textbox inset="0,0,0,0">
                    <w:txbxContent>
                      <w:p>
                        <w:pPr>
                          <w:spacing w:line="178" w:lineRule="exact" w:before="0"/>
                          <w:ind w:left="0" w:right="0" w:firstLine="0"/>
                          <w:jc w:val="left"/>
                          <w:rPr>
                            <w:sz w:val="16"/>
                          </w:rPr>
                        </w:pPr>
                        <w:r>
                          <w:rPr>
                            <w:spacing w:val="-5"/>
                            <w:sz w:val="16"/>
                          </w:rPr>
                          <w:t>49</w:t>
                        </w:r>
                      </w:p>
                    </w:txbxContent>
                  </v:textbox>
                  <w10:wrap type="none"/>
                </v:shape>
                <v:shape style="position:absolute;left:6647;top:2001;width:357;height:179" type="#_x0000_t202" id="docshape489" filled="false" stroked="false">
                  <v:textbox inset="0,0,0,0">
                    <w:txbxContent>
                      <w:p>
                        <w:pPr>
                          <w:spacing w:line="178" w:lineRule="exact" w:before="0"/>
                          <w:ind w:left="0" w:right="0" w:firstLine="0"/>
                          <w:jc w:val="left"/>
                          <w:rPr>
                            <w:sz w:val="16"/>
                          </w:rPr>
                        </w:pPr>
                        <w:r>
                          <w:rPr>
                            <w:spacing w:val="-4"/>
                            <w:sz w:val="16"/>
                          </w:rPr>
                          <w:t>2,6%</w:t>
                        </w:r>
                      </w:p>
                    </w:txbxContent>
                  </v:textbox>
                  <w10:wrap type="none"/>
                </v:shape>
                <v:shape style="position:absolute;left:7506;top:2001;width:382;height:179" type="#_x0000_t202" id="docshape490" filled="false" stroked="false">
                  <v:textbox inset="0,0,0,0">
                    <w:txbxContent>
                      <w:p>
                        <w:pPr>
                          <w:spacing w:line="178" w:lineRule="exact" w:before="0"/>
                          <w:ind w:left="0" w:right="0" w:firstLine="0"/>
                          <w:jc w:val="left"/>
                          <w:rPr>
                            <w:sz w:val="16"/>
                          </w:rPr>
                        </w:pPr>
                        <w:r>
                          <w:rPr>
                            <w:spacing w:val="-2"/>
                            <w:sz w:val="16"/>
                          </w:rPr>
                          <w:t>1.947</w:t>
                        </w:r>
                      </w:p>
                    </w:txbxContent>
                  </v:textbox>
                  <w10:wrap type="none"/>
                </v:shape>
                <w10:wrap type="topAndBottom"/>
              </v:group>
            </w:pict>
          </mc:Fallback>
        </mc:AlternateContent>
      </w:r>
      <w:r>
        <w:rPr>
          <w:color w:val="1F487C"/>
          <w:sz w:val="14"/>
        </w:rPr>
        <w:t>(εκατ.</w:t>
      </w:r>
      <w:r>
        <w:rPr>
          <w:color w:val="1F487C"/>
          <w:spacing w:val="-5"/>
          <w:sz w:val="14"/>
        </w:rPr>
        <w:t> </w:t>
      </w:r>
      <w:r>
        <w:rPr>
          <w:color w:val="1F487C"/>
          <w:spacing w:val="-2"/>
          <w:sz w:val="14"/>
        </w:rPr>
        <w:t>ευρώ)</w:t>
      </w:r>
    </w:p>
    <w:p>
      <w:pPr>
        <w:pStyle w:val="BodyText"/>
        <w:spacing w:line="285" w:lineRule="auto" w:before="94"/>
        <w:ind w:left="172" w:right="956"/>
        <w:jc w:val="both"/>
      </w:pPr>
      <w:r>
        <w:rPr/>
        <w:t>Το</w:t>
      </w:r>
      <w:r>
        <w:rPr>
          <w:spacing w:val="-3"/>
        </w:rPr>
        <w:t> </w:t>
      </w:r>
      <w:r>
        <w:rPr/>
        <w:t>υπόλοιπο</w:t>
      </w:r>
      <w:r>
        <w:rPr>
          <w:spacing w:val="-6"/>
        </w:rPr>
        <w:t> </w:t>
      </w:r>
      <w:r>
        <w:rPr/>
        <w:t>των</w:t>
      </w:r>
      <w:r>
        <w:rPr>
          <w:spacing w:val="-5"/>
        </w:rPr>
        <w:t> </w:t>
      </w:r>
      <w:r>
        <w:rPr/>
        <w:t>δανείων</w:t>
      </w:r>
      <w:r>
        <w:rPr>
          <w:spacing w:val="-5"/>
        </w:rPr>
        <w:t> </w:t>
      </w:r>
      <w:r>
        <w:rPr/>
        <w:t>(προ</w:t>
      </w:r>
      <w:r>
        <w:rPr>
          <w:spacing w:val="-3"/>
        </w:rPr>
        <w:t> </w:t>
      </w:r>
      <w:r>
        <w:rPr/>
        <w:t>προβλέψεων)</w:t>
      </w:r>
      <w:r>
        <w:rPr>
          <w:spacing w:val="-5"/>
        </w:rPr>
        <w:t> </w:t>
      </w:r>
      <w:r>
        <w:rPr/>
        <w:t>διαμορφώθηκε</w:t>
      </w:r>
      <w:r>
        <w:rPr>
          <w:spacing w:val="-5"/>
        </w:rPr>
        <w:t> </w:t>
      </w:r>
      <w:r>
        <w:rPr/>
        <w:t>σε</w:t>
      </w:r>
      <w:r>
        <w:rPr>
          <w:spacing w:val="-3"/>
        </w:rPr>
        <w:t> </w:t>
      </w:r>
      <w:r>
        <w:rPr/>
        <w:t>30,8</w:t>
      </w:r>
      <w:r>
        <w:rPr>
          <w:spacing w:val="-3"/>
        </w:rPr>
        <w:t> </w:t>
      </w:r>
      <w:r>
        <w:rPr/>
        <w:t>δισεκ.</w:t>
      </w:r>
      <w:r>
        <w:rPr>
          <w:spacing w:val="-6"/>
        </w:rPr>
        <w:t> </w:t>
      </w:r>
      <w:r>
        <w:rPr/>
        <w:t>ευρώ</w:t>
      </w:r>
      <w:r>
        <w:rPr>
          <w:spacing w:val="-7"/>
        </w:rPr>
        <w:t> </w:t>
      </w:r>
      <w:r>
        <w:rPr/>
        <w:t>τον</w:t>
      </w:r>
      <w:r>
        <w:rPr>
          <w:spacing w:val="-2"/>
        </w:rPr>
        <w:t> </w:t>
      </w:r>
      <w:r>
        <w:rPr/>
        <w:t>Δεκέμβριο του</w:t>
      </w:r>
      <w:r>
        <w:rPr>
          <w:spacing w:val="-14"/>
        </w:rPr>
        <w:t> </w:t>
      </w:r>
      <w:r>
        <w:rPr/>
        <w:t>2025.</w:t>
      </w:r>
      <w:r>
        <w:rPr>
          <w:spacing w:val="-14"/>
        </w:rPr>
        <w:t> </w:t>
      </w:r>
      <w:r>
        <w:rPr/>
        <w:t>Τα</w:t>
      </w:r>
      <w:r>
        <w:rPr>
          <w:spacing w:val="-14"/>
        </w:rPr>
        <w:t> </w:t>
      </w:r>
      <w:r>
        <w:rPr/>
        <w:t>μη</w:t>
      </w:r>
      <w:r>
        <w:rPr>
          <w:spacing w:val="-13"/>
        </w:rPr>
        <w:t> </w:t>
      </w:r>
      <w:r>
        <w:rPr/>
        <w:t>εξυπηρετούμενα</w:t>
      </w:r>
      <w:r>
        <w:rPr>
          <w:spacing w:val="-14"/>
        </w:rPr>
        <w:t> </w:t>
      </w:r>
      <w:r>
        <w:rPr/>
        <w:t>δάνεια</w:t>
      </w:r>
      <w:r>
        <w:rPr>
          <w:spacing w:val="-14"/>
        </w:rPr>
        <w:t> </w:t>
      </w:r>
      <w:r>
        <w:rPr/>
        <w:t>διαμορφώθηκαν</w:t>
      </w:r>
      <w:r>
        <w:rPr>
          <w:spacing w:val="-14"/>
        </w:rPr>
        <w:t> </w:t>
      </w:r>
      <w:r>
        <w:rPr/>
        <w:t>σε</w:t>
      </w:r>
      <w:r>
        <w:rPr>
          <w:spacing w:val="-13"/>
        </w:rPr>
        <w:t> </w:t>
      </w:r>
      <w:r>
        <w:rPr/>
        <w:t>491</w:t>
      </w:r>
      <w:r>
        <w:rPr>
          <w:spacing w:val="-14"/>
        </w:rPr>
        <w:t> </w:t>
      </w:r>
      <w:r>
        <w:rPr/>
        <w:t>εκατ.</w:t>
      </w:r>
      <w:r>
        <w:rPr>
          <w:spacing w:val="-14"/>
        </w:rPr>
        <w:t> </w:t>
      </w:r>
      <w:r>
        <w:rPr/>
        <w:t>ευρώ,</w:t>
      </w:r>
      <w:r>
        <w:rPr>
          <w:spacing w:val="-14"/>
        </w:rPr>
        <w:t> </w:t>
      </w:r>
      <w:r>
        <w:rPr/>
        <w:t>αντιπροσωπεύοντας το 1,6% του δανειακού χαρτοφυλακίου. Ειδικότερα, το ποσοστό των μη εξυπηρετούμενων δα-νείων ανήλθε σε 1,3% για τα επιχειρηματικά δάνεια, 1,5% για τα στεγαστικά και 3,3% για τα καταναλωτικά δάνεια. Ο δείκτης κάλυψης των μη</w:t>
      </w:r>
      <w:r>
        <w:rPr>
          <w:spacing w:val="-1"/>
        </w:rPr>
        <w:t> </w:t>
      </w:r>
      <w:r>
        <w:rPr/>
        <w:t>εξυπηρετούμενων δανείων από</w:t>
      </w:r>
      <w:r>
        <w:rPr>
          <w:spacing w:val="-4"/>
        </w:rPr>
        <w:t> </w:t>
      </w:r>
      <w:r>
        <w:rPr/>
        <w:t>συσσωρευμέ-νες προβλέψεις διαμορφώθηκε σε 93,1%. Οι καταθέσεις ανήλθαν σε 46,8 δισεκ. ευρώ τον Δε-κέμβριο του 2025, αυξημένες κατά 12,8% σε σχέση με το προηγούμενο έτος και ο δείκτης δα-νείων προς καταθέσεις διαμορφώθηκε σε 65,8%.</w:t>
      </w:r>
    </w:p>
    <w:p>
      <w:pPr>
        <w:pStyle w:val="BodyText"/>
        <w:spacing w:line="285" w:lineRule="auto" w:before="52"/>
        <w:ind w:left="172" w:right="957"/>
        <w:jc w:val="both"/>
      </w:pPr>
      <w:r>
        <w:rPr/>
        <w:t>Οι διεθνείς δραστηριότητες των ελληνικών τραπεζικών ομίλων συμβάλλουν τόσο</w:t>
      </w:r>
      <w:r>
        <w:rPr>
          <w:spacing w:val="-1"/>
        </w:rPr>
        <w:t> </w:t>
      </w:r>
      <w:r>
        <w:rPr/>
        <w:t>στη διαφορο-ποίηση των πηγών εσόδων τους όσο και στη μείωση του κινδύνου συγκέντρωσης, παράγοντες που ενισχύουν μεσοπρόθεσμα τη βιωσιμότητα των επιχειρηματικών τους σχεδίων. Θετική εξέ-λιξη</w:t>
      </w:r>
      <w:r>
        <w:rPr>
          <w:spacing w:val="-13"/>
        </w:rPr>
        <w:t> </w:t>
      </w:r>
      <w:r>
        <w:rPr/>
        <w:t>αποτελεί</w:t>
      </w:r>
      <w:r>
        <w:rPr>
          <w:spacing w:val="-11"/>
        </w:rPr>
        <w:t> </w:t>
      </w:r>
      <w:r>
        <w:rPr/>
        <w:t>η</w:t>
      </w:r>
      <w:r>
        <w:rPr>
          <w:spacing w:val="-14"/>
        </w:rPr>
        <w:t> </w:t>
      </w:r>
      <w:r>
        <w:rPr/>
        <w:t>ένταξη</w:t>
      </w:r>
      <w:r>
        <w:rPr>
          <w:spacing w:val="-11"/>
        </w:rPr>
        <w:t> </w:t>
      </w:r>
      <w:r>
        <w:rPr/>
        <w:t>της</w:t>
      </w:r>
      <w:r>
        <w:rPr>
          <w:spacing w:val="-14"/>
        </w:rPr>
        <w:t> </w:t>
      </w:r>
      <w:r>
        <w:rPr/>
        <w:t>Βουλγαρίας</w:t>
      </w:r>
      <w:r>
        <w:rPr>
          <w:spacing w:val="-14"/>
        </w:rPr>
        <w:t> </w:t>
      </w:r>
      <w:r>
        <w:rPr/>
        <w:t>στη</w:t>
      </w:r>
      <w:r>
        <w:rPr>
          <w:spacing w:val="-11"/>
        </w:rPr>
        <w:t> </w:t>
      </w:r>
      <w:r>
        <w:rPr/>
        <w:t>ζώνη</w:t>
      </w:r>
      <w:r>
        <w:rPr>
          <w:spacing w:val="-12"/>
        </w:rPr>
        <w:t> </w:t>
      </w:r>
      <w:r>
        <w:rPr/>
        <w:t>του</w:t>
      </w:r>
      <w:r>
        <w:rPr>
          <w:spacing w:val="-13"/>
        </w:rPr>
        <w:t> </w:t>
      </w:r>
      <w:r>
        <w:rPr/>
        <w:t>ευρώ</w:t>
      </w:r>
      <w:r>
        <w:rPr>
          <w:spacing w:val="-11"/>
        </w:rPr>
        <w:t> </w:t>
      </w:r>
      <w:r>
        <w:rPr/>
        <w:t>από</w:t>
      </w:r>
      <w:r>
        <w:rPr>
          <w:spacing w:val="-12"/>
        </w:rPr>
        <w:t> </w:t>
      </w:r>
      <w:r>
        <w:rPr/>
        <w:t>την</w:t>
      </w:r>
      <w:r>
        <w:rPr>
          <w:spacing w:val="-11"/>
        </w:rPr>
        <w:t> </w:t>
      </w:r>
      <w:r>
        <w:rPr/>
        <w:t>1η</w:t>
      </w:r>
      <w:r>
        <w:rPr>
          <w:spacing w:val="-12"/>
        </w:rPr>
        <w:t> </w:t>
      </w:r>
      <w:r>
        <w:rPr/>
        <w:t>Ιανουαρίου</w:t>
      </w:r>
      <w:r>
        <w:rPr>
          <w:spacing w:val="-13"/>
        </w:rPr>
        <w:t> </w:t>
      </w:r>
      <w:r>
        <w:rPr/>
        <w:t>2026,</w:t>
      </w:r>
      <w:r>
        <w:rPr>
          <w:spacing w:val="-12"/>
        </w:rPr>
        <w:t> </w:t>
      </w:r>
      <w:r>
        <w:rPr/>
        <w:t>γεγονός που την καθιστά το εικοστό πρώτο μέλος της ευρωζώνης και την πρώτη όμορη με την Ελλάδα χώρα με νόμισμα το ευρώ.</w:t>
      </w:r>
    </w:p>
    <w:p>
      <w:pPr>
        <w:pStyle w:val="BodyText"/>
        <w:spacing w:after="0" w:line="285" w:lineRule="auto"/>
        <w:jc w:val="both"/>
        <w:sectPr>
          <w:pgSz w:w="11910" w:h="16850"/>
          <w:pgMar w:header="0" w:footer="1108" w:top="1940" w:bottom="1300" w:left="1417" w:right="850"/>
        </w:sectPr>
      </w:pPr>
    </w:p>
    <w:p>
      <w:pPr>
        <w:pStyle w:val="Heading2"/>
        <w:numPr>
          <w:ilvl w:val="1"/>
          <w:numId w:val="2"/>
        </w:numPr>
        <w:tabs>
          <w:tab w:pos="568" w:val="left" w:leader="none"/>
        </w:tabs>
        <w:spacing w:line="240" w:lineRule="auto" w:before="70" w:after="0"/>
        <w:ind w:left="568" w:right="0" w:hanging="396"/>
        <w:jc w:val="left"/>
        <w:rPr>
          <w:color w:val="1F487C"/>
        </w:rPr>
      </w:pPr>
      <w:bookmarkStart w:name="_bookmark77" w:id="78"/>
      <w:bookmarkEnd w:id="78"/>
      <w:r>
        <w:rPr>
          <w:b w:val="0"/>
        </w:rPr>
      </w:r>
      <w:r>
        <w:rPr>
          <w:color w:val="1F487C"/>
          <w:spacing w:val="-2"/>
        </w:rPr>
        <w:t>ΑΝΘΕΚΤΙΚΟΤΗΤΑ</w:t>
      </w:r>
    </w:p>
    <w:p>
      <w:pPr>
        <w:pStyle w:val="Heading3"/>
        <w:numPr>
          <w:ilvl w:val="2"/>
          <w:numId w:val="2"/>
        </w:numPr>
        <w:tabs>
          <w:tab w:pos="738" w:val="left" w:leader="none"/>
        </w:tabs>
        <w:spacing w:line="240" w:lineRule="auto" w:before="242" w:after="0"/>
        <w:ind w:left="738" w:right="0" w:hanging="566"/>
        <w:jc w:val="left"/>
        <w:rPr>
          <w:color w:val="1F487C"/>
        </w:rPr>
      </w:pPr>
      <w:bookmarkStart w:name="_bookmark78" w:id="79"/>
      <w:bookmarkEnd w:id="79"/>
      <w:r>
        <w:rPr>
          <w:b w:val="0"/>
        </w:rPr>
      </w:r>
      <w:r>
        <w:rPr>
          <w:color w:val="1F487C"/>
          <w:spacing w:val="-2"/>
        </w:rPr>
        <w:t>ΑΠΟΔΟΤΙΚΟΤΗΤΑ</w:t>
      </w:r>
    </w:p>
    <w:p>
      <w:pPr>
        <w:pStyle w:val="BodyText"/>
        <w:spacing w:line="285" w:lineRule="auto" w:before="153"/>
        <w:ind w:left="172" w:right="955"/>
        <w:jc w:val="both"/>
      </w:pPr>
      <w:r>
        <w:rPr/>
        <mc:AlternateContent>
          <mc:Choice Requires="wps">
            <w:drawing>
              <wp:anchor distT="0" distB="0" distL="0" distR="0" allowOverlap="1" layoutInCell="1" locked="0" behindDoc="1" simplePos="0" relativeHeight="487634432">
                <wp:simplePos x="0" y="0"/>
                <wp:positionH relativeFrom="page">
                  <wp:posOffset>1009192</wp:posOffset>
                </wp:positionH>
                <wp:positionV relativeFrom="paragraph">
                  <wp:posOffset>875439</wp:posOffset>
                </wp:positionV>
                <wp:extent cx="5419090" cy="216535"/>
                <wp:effectExtent l="0" t="0" r="0" b="0"/>
                <wp:wrapTopAndBottom/>
                <wp:docPr id="519" name="Group 519"/>
                <wp:cNvGraphicFramePr>
                  <a:graphicFrameLocks/>
                </wp:cNvGraphicFramePr>
                <a:graphic>
                  <a:graphicData uri="http://schemas.microsoft.com/office/word/2010/wordprocessingGroup">
                    <wpg:wgp>
                      <wpg:cNvPr id="519" name="Group 519"/>
                      <wpg:cNvGrpSpPr/>
                      <wpg:grpSpPr>
                        <a:xfrm>
                          <a:off x="0" y="0"/>
                          <a:ext cx="5419090" cy="216535"/>
                          <a:chExt cx="5419090" cy="216535"/>
                        </a:xfrm>
                      </wpg:grpSpPr>
                      <wps:wsp>
                        <wps:cNvPr id="520" name="Graphic 520"/>
                        <wps:cNvSpPr/>
                        <wps:spPr>
                          <a:xfrm>
                            <a:off x="0" y="6095"/>
                            <a:ext cx="5400675" cy="210820"/>
                          </a:xfrm>
                          <a:custGeom>
                            <a:avLst/>
                            <a:gdLst/>
                            <a:ahLst/>
                            <a:cxnLst/>
                            <a:rect l="l" t="t" r="r" b="b"/>
                            <a:pathLst>
                              <a:path w="5400675" h="210820">
                                <a:moveTo>
                                  <a:pt x="5400421" y="0"/>
                                </a:moveTo>
                                <a:lnTo>
                                  <a:pt x="0" y="0"/>
                                </a:lnTo>
                                <a:lnTo>
                                  <a:pt x="0" y="210311"/>
                                </a:lnTo>
                                <a:lnTo>
                                  <a:pt x="5400421" y="210311"/>
                                </a:lnTo>
                                <a:lnTo>
                                  <a:pt x="5400421" y="0"/>
                                </a:lnTo>
                                <a:close/>
                              </a:path>
                            </a:pathLst>
                          </a:custGeom>
                          <a:solidFill>
                            <a:srgbClr val="1F487C"/>
                          </a:solidFill>
                        </wps:spPr>
                        <wps:bodyPr wrap="square" lIns="0" tIns="0" rIns="0" bIns="0" rtlCol="0">
                          <a:prstTxWarp prst="textNoShape">
                            <a:avLst/>
                          </a:prstTxWarp>
                          <a:noAutofit/>
                        </wps:bodyPr>
                      </wps:wsp>
                      <wps:wsp>
                        <wps:cNvPr id="521" name="Graphic 521"/>
                        <wps:cNvSpPr/>
                        <wps:spPr>
                          <a:xfrm>
                            <a:off x="0" y="0"/>
                            <a:ext cx="5401945" cy="6350"/>
                          </a:xfrm>
                          <a:custGeom>
                            <a:avLst/>
                            <a:gdLst/>
                            <a:ahLst/>
                            <a:cxnLst/>
                            <a:rect l="l" t="t" r="r" b="b"/>
                            <a:pathLst>
                              <a:path w="5401945" h="6350">
                                <a:moveTo>
                                  <a:pt x="5401945" y="0"/>
                                </a:moveTo>
                                <a:lnTo>
                                  <a:pt x="0" y="0"/>
                                </a:lnTo>
                                <a:lnTo>
                                  <a:pt x="0" y="6096"/>
                                </a:lnTo>
                                <a:lnTo>
                                  <a:pt x="5401945" y="6096"/>
                                </a:lnTo>
                                <a:lnTo>
                                  <a:pt x="5401945" y="0"/>
                                </a:lnTo>
                                <a:close/>
                              </a:path>
                            </a:pathLst>
                          </a:custGeom>
                          <a:solidFill>
                            <a:srgbClr val="000000"/>
                          </a:solidFill>
                        </wps:spPr>
                        <wps:bodyPr wrap="square" lIns="0" tIns="0" rIns="0" bIns="0" rtlCol="0">
                          <a:prstTxWarp prst="textNoShape">
                            <a:avLst/>
                          </a:prstTxWarp>
                          <a:noAutofit/>
                        </wps:bodyPr>
                      </wps:wsp>
                      <wps:wsp>
                        <wps:cNvPr id="522" name="Textbox 522"/>
                        <wps:cNvSpPr txBox="1"/>
                        <wps:spPr>
                          <a:xfrm>
                            <a:off x="0" y="6095"/>
                            <a:ext cx="5419090" cy="210820"/>
                          </a:xfrm>
                          <a:prstGeom prst="rect">
                            <a:avLst/>
                          </a:prstGeom>
                        </wps:spPr>
                        <wps:txbx>
                          <w:txbxContent>
                            <w:p>
                              <w:pPr>
                                <w:spacing w:before="62"/>
                                <w:ind w:left="112" w:right="0" w:firstLine="0"/>
                                <w:jc w:val="left"/>
                                <w:rPr>
                                  <w:b/>
                                  <w:sz w:val="18"/>
                                </w:rPr>
                              </w:pPr>
                              <w:r>
                                <w:rPr>
                                  <w:b/>
                                  <w:color w:val="FFFFFF"/>
                                  <w:sz w:val="18"/>
                                </w:rPr>
                                <w:t>Πίνακας</w:t>
                              </w:r>
                              <w:r>
                                <w:rPr>
                                  <w:b/>
                                  <w:color w:val="FFFFFF"/>
                                  <w:spacing w:val="-2"/>
                                  <w:sz w:val="18"/>
                                </w:rPr>
                                <w:t> </w:t>
                              </w:r>
                              <w:r>
                                <w:rPr>
                                  <w:b/>
                                  <w:color w:val="FFFFFF"/>
                                  <w:sz w:val="18"/>
                                </w:rPr>
                                <w:t>III.6</w:t>
                              </w:r>
                              <w:r>
                                <w:rPr>
                                  <w:b/>
                                  <w:color w:val="FFFFFF"/>
                                  <w:spacing w:val="-4"/>
                                  <w:sz w:val="18"/>
                                </w:rPr>
                                <w:t> </w:t>
                              </w:r>
                              <w:r>
                                <w:rPr>
                                  <w:b/>
                                  <w:color w:val="FFFFFF"/>
                                  <w:sz w:val="18"/>
                                </w:rPr>
                                <w:t>Αποτελέσματα</w:t>
                              </w:r>
                              <w:r>
                                <w:rPr>
                                  <w:b/>
                                  <w:color w:val="FFFFFF"/>
                                  <w:spacing w:val="-3"/>
                                  <w:sz w:val="18"/>
                                </w:rPr>
                                <w:t> </w:t>
                              </w:r>
                              <w:r>
                                <w:rPr>
                                  <w:b/>
                                  <w:color w:val="FFFFFF"/>
                                  <w:sz w:val="18"/>
                                </w:rPr>
                                <w:t>χρήσεως</w:t>
                              </w:r>
                              <w:r>
                                <w:rPr>
                                  <w:b/>
                                  <w:color w:val="FFFFFF"/>
                                  <w:spacing w:val="-4"/>
                                  <w:sz w:val="18"/>
                                </w:rPr>
                                <w:t> </w:t>
                              </w:r>
                              <w:r>
                                <w:rPr>
                                  <w:b/>
                                  <w:color w:val="FFFFFF"/>
                                  <w:sz w:val="18"/>
                                </w:rPr>
                                <w:t>του</w:t>
                              </w:r>
                              <w:r>
                                <w:rPr>
                                  <w:b/>
                                  <w:color w:val="FFFFFF"/>
                                  <w:spacing w:val="-5"/>
                                  <w:sz w:val="18"/>
                                </w:rPr>
                                <w:t> </w:t>
                              </w:r>
                              <w:r>
                                <w:rPr>
                                  <w:b/>
                                  <w:color w:val="FFFFFF"/>
                                  <w:sz w:val="18"/>
                                </w:rPr>
                                <w:t>ελλην</w:t>
                              </w:r>
                              <w:r>
                                <w:rPr>
                                  <w:b/>
                                  <w:smallCaps/>
                                  <w:color w:val="FFFFFF"/>
                                  <w:sz w:val="18"/>
                                </w:rPr>
                                <w:t>ι</w:t>
                              </w:r>
                              <w:r>
                                <w:rPr>
                                  <w:b/>
                                  <w:smallCaps w:val="0"/>
                                  <w:color w:val="FFFFFF"/>
                                  <w:sz w:val="18"/>
                                </w:rPr>
                                <w:t>κού</w:t>
                              </w:r>
                              <w:r>
                                <w:rPr>
                                  <w:b/>
                                  <w:smallCaps w:val="0"/>
                                  <w:color w:val="FFFFFF"/>
                                  <w:spacing w:val="-5"/>
                                  <w:sz w:val="18"/>
                                </w:rPr>
                                <w:t> </w:t>
                              </w:r>
                              <w:r>
                                <w:rPr>
                                  <w:b/>
                                  <w:smallCaps w:val="0"/>
                                  <w:color w:val="FFFFFF"/>
                                  <w:sz w:val="18"/>
                                </w:rPr>
                                <w:t>τραπεζ</w:t>
                              </w:r>
                              <w:r>
                                <w:rPr>
                                  <w:b/>
                                  <w:smallCaps/>
                                  <w:color w:val="FFFFFF"/>
                                  <w:sz w:val="18"/>
                                </w:rPr>
                                <w:t>ι</w:t>
                              </w:r>
                              <w:r>
                                <w:rPr>
                                  <w:b/>
                                  <w:smallCaps w:val="0"/>
                                  <w:color w:val="FFFFFF"/>
                                  <w:sz w:val="18"/>
                                </w:rPr>
                                <w:t>κού</w:t>
                              </w:r>
                              <w:r>
                                <w:rPr>
                                  <w:b/>
                                  <w:smallCaps w:val="0"/>
                                  <w:color w:val="FFFFFF"/>
                                  <w:spacing w:val="-3"/>
                                  <w:sz w:val="18"/>
                                </w:rPr>
                                <w:t> </w:t>
                              </w:r>
                              <w:r>
                                <w:rPr>
                                  <w:b/>
                                  <w:smallCaps w:val="0"/>
                                  <w:color w:val="FFFFFF"/>
                                  <w:spacing w:val="-2"/>
                                  <w:sz w:val="18"/>
                                </w:rPr>
                                <w:t>τομέα</w:t>
                              </w:r>
                            </w:p>
                          </w:txbxContent>
                        </wps:txbx>
                        <wps:bodyPr wrap="square" lIns="0" tIns="0" rIns="0" bIns="0" rtlCol="0">
                          <a:noAutofit/>
                        </wps:bodyPr>
                      </wps:wsp>
                    </wpg:wgp>
                  </a:graphicData>
                </a:graphic>
              </wp:anchor>
            </w:drawing>
          </mc:Choice>
          <mc:Fallback>
            <w:pict>
              <v:group style="position:absolute;margin-left:79.463997pt;margin-top:68.932243pt;width:426.7pt;height:17.05pt;mso-position-horizontal-relative:page;mso-position-vertical-relative:paragraph;z-index:-15682048;mso-wrap-distance-left:0;mso-wrap-distance-right:0" id="docshapegroup491" coordorigin="1589,1379" coordsize="8534,341">
                <v:rect style="position:absolute;left:1589;top:1388;width:8505;height:332" id="docshape492" filled="true" fillcolor="#1f487c" stroked="false">
                  <v:fill type="solid"/>
                </v:rect>
                <v:rect style="position:absolute;left:1589;top:1378;width:8507;height:10" id="docshape493" filled="true" fillcolor="#000000" stroked="false">
                  <v:fill type="solid"/>
                </v:rect>
                <v:shape style="position:absolute;left:1589;top:1388;width:8534;height:332" type="#_x0000_t202" id="docshape494" filled="false" stroked="false">
                  <v:textbox inset="0,0,0,0">
                    <w:txbxContent>
                      <w:p>
                        <w:pPr>
                          <w:spacing w:before="62"/>
                          <w:ind w:left="112" w:right="0" w:firstLine="0"/>
                          <w:jc w:val="left"/>
                          <w:rPr>
                            <w:b/>
                            <w:sz w:val="18"/>
                          </w:rPr>
                        </w:pPr>
                        <w:r>
                          <w:rPr>
                            <w:b/>
                            <w:color w:val="FFFFFF"/>
                            <w:sz w:val="18"/>
                          </w:rPr>
                          <w:t>Πίνακας</w:t>
                        </w:r>
                        <w:r>
                          <w:rPr>
                            <w:b/>
                            <w:color w:val="FFFFFF"/>
                            <w:spacing w:val="-2"/>
                            <w:sz w:val="18"/>
                          </w:rPr>
                          <w:t> </w:t>
                        </w:r>
                        <w:r>
                          <w:rPr>
                            <w:b/>
                            <w:color w:val="FFFFFF"/>
                            <w:sz w:val="18"/>
                          </w:rPr>
                          <w:t>III.6</w:t>
                        </w:r>
                        <w:r>
                          <w:rPr>
                            <w:b/>
                            <w:color w:val="FFFFFF"/>
                            <w:spacing w:val="-4"/>
                            <w:sz w:val="18"/>
                          </w:rPr>
                          <w:t> </w:t>
                        </w:r>
                        <w:r>
                          <w:rPr>
                            <w:b/>
                            <w:color w:val="FFFFFF"/>
                            <w:sz w:val="18"/>
                          </w:rPr>
                          <w:t>Αποτελέσματα</w:t>
                        </w:r>
                        <w:r>
                          <w:rPr>
                            <w:b/>
                            <w:color w:val="FFFFFF"/>
                            <w:spacing w:val="-3"/>
                            <w:sz w:val="18"/>
                          </w:rPr>
                          <w:t> </w:t>
                        </w:r>
                        <w:r>
                          <w:rPr>
                            <w:b/>
                            <w:color w:val="FFFFFF"/>
                            <w:sz w:val="18"/>
                          </w:rPr>
                          <w:t>χρήσεως</w:t>
                        </w:r>
                        <w:r>
                          <w:rPr>
                            <w:b/>
                            <w:color w:val="FFFFFF"/>
                            <w:spacing w:val="-4"/>
                            <w:sz w:val="18"/>
                          </w:rPr>
                          <w:t> </w:t>
                        </w:r>
                        <w:r>
                          <w:rPr>
                            <w:b/>
                            <w:color w:val="FFFFFF"/>
                            <w:sz w:val="18"/>
                          </w:rPr>
                          <w:t>του</w:t>
                        </w:r>
                        <w:r>
                          <w:rPr>
                            <w:b/>
                            <w:color w:val="FFFFFF"/>
                            <w:spacing w:val="-5"/>
                            <w:sz w:val="18"/>
                          </w:rPr>
                          <w:t> </w:t>
                        </w:r>
                        <w:r>
                          <w:rPr>
                            <w:b/>
                            <w:color w:val="FFFFFF"/>
                            <w:sz w:val="18"/>
                          </w:rPr>
                          <w:t>ελλην</w:t>
                        </w:r>
                        <w:r>
                          <w:rPr>
                            <w:b/>
                            <w:smallCaps/>
                            <w:color w:val="FFFFFF"/>
                            <w:sz w:val="18"/>
                          </w:rPr>
                          <w:t>ι</w:t>
                        </w:r>
                        <w:r>
                          <w:rPr>
                            <w:b/>
                            <w:smallCaps w:val="0"/>
                            <w:color w:val="FFFFFF"/>
                            <w:sz w:val="18"/>
                          </w:rPr>
                          <w:t>κού</w:t>
                        </w:r>
                        <w:r>
                          <w:rPr>
                            <w:b/>
                            <w:smallCaps w:val="0"/>
                            <w:color w:val="FFFFFF"/>
                            <w:spacing w:val="-5"/>
                            <w:sz w:val="18"/>
                          </w:rPr>
                          <w:t> </w:t>
                        </w:r>
                        <w:r>
                          <w:rPr>
                            <w:b/>
                            <w:smallCaps w:val="0"/>
                            <w:color w:val="FFFFFF"/>
                            <w:sz w:val="18"/>
                          </w:rPr>
                          <w:t>τραπεζ</w:t>
                        </w:r>
                        <w:r>
                          <w:rPr>
                            <w:b/>
                            <w:smallCaps/>
                            <w:color w:val="FFFFFF"/>
                            <w:sz w:val="18"/>
                          </w:rPr>
                          <w:t>ι</w:t>
                        </w:r>
                        <w:r>
                          <w:rPr>
                            <w:b/>
                            <w:smallCaps w:val="0"/>
                            <w:color w:val="FFFFFF"/>
                            <w:sz w:val="18"/>
                          </w:rPr>
                          <w:t>κού</w:t>
                        </w:r>
                        <w:r>
                          <w:rPr>
                            <w:b/>
                            <w:smallCaps w:val="0"/>
                            <w:color w:val="FFFFFF"/>
                            <w:spacing w:val="-3"/>
                            <w:sz w:val="18"/>
                          </w:rPr>
                          <w:t> </w:t>
                        </w:r>
                        <w:r>
                          <w:rPr>
                            <w:b/>
                            <w:smallCaps w:val="0"/>
                            <w:color w:val="FFFFFF"/>
                            <w:spacing w:val="-2"/>
                            <w:sz w:val="18"/>
                          </w:rPr>
                          <w:t>τομέα</w:t>
                        </w:r>
                      </w:p>
                    </w:txbxContent>
                  </v:textbox>
                  <w10:wrap type="none"/>
                </v:shape>
                <w10:wrap type="topAndBottom"/>
              </v:group>
            </w:pict>
          </mc:Fallback>
        </mc:AlternateContent>
      </w:r>
      <w:r>
        <w:rPr/>
        <w:t>Το</w:t>
      </w:r>
      <w:r>
        <w:rPr>
          <w:spacing w:val="-2"/>
        </w:rPr>
        <w:t> </w:t>
      </w:r>
      <w:r>
        <w:rPr/>
        <w:t>2025</w:t>
      </w:r>
      <w:r>
        <w:rPr>
          <w:spacing w:val="-2"/>
        </w:rPr>
        <w:t> </w:t>
      </w:r>
      <w:r>
        <w:rPr/>
        <w:t>οι</w:t>
      </w:r>
      <w:r>
        <w:rPr>
          <w:spacing w:val="-2"/>
        </w:rPr>
        <w:t> </w:t>
      </w:r>
      <w:r>
        <w:rPr/>
        <w:t>ελληνικές</w:t>
      </w:r>
      <w:r>
        <w:rPr>
          <w:spacing w:val="-2"/>
        </w:rPr>
        <w:t> </w:t>
      </w:r>
      <w:r>
        <w:rPr/>
        <w:t>τράπεζες</w:t>
      </w:r>
      <w:r>
        <w:rPr>
          <w:spacing w:val="-2"/>
        </w:rPr>
        <w:t> </w:t>
      </w:r>
      <w:r>
        <w:rPr/>
        <w:t>κατέγραψαν</w:t>
      </w:r>
      <w:r>
        <w:rPr>
          <w:spacing w:val="-1"/>
        </w:rPr>
        <w:t> </w:t>
      </w:r>
      <w:r>
        <w:rPr/>
        <w:t>κέρδη</w:t>
      </w:r>
      <w:r>
        <w:rPr>
          <w:spacing w:val="-3"/>
        </w:rPr>
        <w:t> </w:t>
      </w:r>
      <w:r>
        <w:rPr/>
        <w:t>μετά</w:t>
      </w:r>
      <w:r>
        <w:rPr>
          <w:spacing w:val="-2"/>
        </w:rPr>
        <w:t> </w:t>
      </w:r>
      <w:r>
        <w:rPr/>
        <w:t>από</w:t>
      </w:r>
      <w:r>
        <w:rPr>
          <w:spacing w:val="-2"/>
        </w:rPr>
        <w:t> </w:t>
      </w:r>
      <w:r>
        <w:rPr/>
        <w:t>φόρους</w:t>
      </w:r>
      <w:r>
        <w:rPr>
          <w:spacing w:val="-3"/>
        </w:rPr>
        <w:t> </w:t>
      </w:r>
      <w:r>
        <w:rPr/>
        <w:t>και</w:t>
      </w:r>
      <w:r>
        <w:rPr>
          <w:spacing w:val="-2"/>
        </w:rPr>
        <w:t> </w:t>
      </w:r>
      <w:r>
        <w:rPr/>
        <w:t>διακοπτόμενες</w:t>
      </w:r>
      <w:r>
        <w:rPr>
          <w:spacing w:val="-3"/>
        </w:rPr>
        <w:t> </w:t>
      </w:r>
      <w:r>
        <w:rPr/>
        <w:t>δραστη-ριότητες</w:t>
      </w:r>
      <w:r>
        <w:rPr>
          <w:spacing w:val="-5"/>
        </w:rPr>
        <w:t> </w:t>
      </w:r>
      <w:r>
        <w:rPr/>
        <w:t>ύψους</w:t>
      </w:r>
      <w:r>
        <w:rPr>
          <w:spacing w:val="-4"/>
        </w:rPr>
        <w:t> </w:t>
      </w:r>
      <w:r>
        <w:rPr/>
        <w:t>4,7</w:t>
      </w:r>
      <w:r>
        <w:rPr>
          <w:spacing w:val="-4"/>
        </w:rPr>
        <w:t> </w:t>
      </w:r>
      <w:r>
        <w:rPr/>
        <w:t>δισεκ.</w:t>
      </w:r>
      <w:r>
        <w:rPr>
          <w:spacing w:val="-4"/>
        </w:rPr>
        <w:t> </w:t>
      </w:r>
      <w:r>
        <w:rPr/>
        <w:t>ευρώ,</w:t>
      </w:r>
      <w:r>
        <w:rPr>
          <w:spacing w:val="-4"/>
        </w:rPr>
        <w:t> </w:t>
      </w:r>
      <w:r>
        <w:rPr/>
        <w:t>έναντι</w:t>
      </w:r>
      <w:r>
        <w:rPr>
          <w:spacing w:val="-3"/>
        </w:rPr>
        <w:t> </w:t>
      </w:r>
      <w:r>
        <w:rPr/>
        <w:t>κερδών</w:t>
      </w:r>
      <w:r>
        <w:rPr>
          <w:spacing w:val="-1"/>
        </w:rPr>
        <w:t> </w:t>
      </w:r>
      <w:r>
        <w:rPr/>
        <w:t>4,2</w:t>
      </w:r>
      <w:r>
        <w:rPr>
          <w:spacing w:val="-4"/>
        </w:rPr>
        <w:t> </w:t>
      </w:r>
      <w:r>
        <w:rPr/>
        <w:t>δισεκ.</w:t>
      </w:r>
      <w:r>
        <w:rPr>
          <w:spacing w:val="-4"/>
        </w:rPr>
        <w:t> </w:t>
      </w:r>
      <w:r>
        <w:rPr/>
        <w:t>ευρώ</w:t>
      </w:r>
      <w:r>
        <w:rPr>
          <w:spacing w:val="-3"/>
        </w:rPr>
        <w:t> </w:t>
      </w:r>
      <w:r>
        <w:rPr/>
        <w:t>το</w:t>
      </w:r>
      <w:r>
        <w:rPr>
          <w:spacing w:val="-4"/>
        </w:rPr>
        <w:t> </w:t>
      </w:r>
      <w:r>
        <w:rPr/>
        <w:t>2024</w:t>
      </w:r>
      <w:r>
        <w:rPr>
          <w:spacing w:val="-4"/>
        </w:rPr>
        <w:t> </w:t>
      </w:r>
      <w:r>
        <w:rPr/>
        <w:t>(βλ.</w:t>
      </w:r>
      <w:r>
        <w:rPr>
          <w:spacing w:val="-4"/>
        </w:rPr>
        <w:t> </w:t>
      </w:r>
      <w:r>
        <w:rPr/>
        <w:t>Πίνακα</w:t>
      </w:r>
      <w:r>
        <w:rPr>
          <w:spacing w:val="-4"/>
        </w:rPr>
        <w:t> </w:t>
      </w:r>
      <w:r>
        <w:rPr/>
        <w:t>III.6).</w:t>
      </w:r>
      <w:r>
        <w:rPr>
          <w:spacing w:val="-3"/>
        </w:rPr>
        <w:t> </w:t>
      </w:r>
      <w:r>
        <w:rPr/>
        <w:t>Στην εξέλιξη</w:t>
      </w:r>
      <w:r>
        <w:rPr>
          <w:spacing w:val="-2"/>
        </w:rPr>
        <w:t> </w:t>
      </w:r>
      <w:r>
        <w:rPr/>
        <w:t>αυτή</w:t>
      </w:r>
      <w:r>
        <w:rPr>
          <w:spacing w:val="-2"/>
        </w:rPr>
        <w:t> </w:t>
      </w:r>
      <w:r>
        <w:rPr/>
        <w:t>συνέβαλε, μεταξύ άλλων, η</w:t>
      </w:r>
      <w:r>
        <w:rPr>
          <w:spacing w:val="-3"/>
        </w:rPr>
        <w:t> </w:t>
      </w:r>
      <w:r>
        <w:rPr/>
        <w:t>αύξηση</w:t>
      </w:r>
      <w:r>
        <w:rPr>
          <w:spacing w:val="-3"/>
        </w:rPr>
        <w:t> </w:t>
      </w:r>
      <w:r>
        <w:rPr/>
        <w:t>των</w:t>
      </w:r>
      <w:r>
        <w:rPr>
          <w:spacing w:val="-1"/>
        </w:rPr>
        <w:t> </w:t>
      </w:r>
      <w:r>
        <w:rPr/>
        <w:t>εσόδων</w:t>
      </w:r>
      <w:r>
        <w:rPr>
          <w:spacing w:val="-1"/>
        </w:rPr>
        <w:t> </w:t>
      </w:r>
      <w:r>
        <w:rPr/>
        <w:t>από μη</w:t>
      </w:r>
      <w:r>
        <w:rPr>
          <w:spacing w:val="-2"/>
        </w:rPr>
        <w:t> </w:t>
      </w:r>
      <w:r>
        <w:rPr/>
        <w:t>τοκοφόρες</w:t>
      </w:r>
      <w:r>
        <w:rPr>
          <w:spacing w:val="-3"/>
        </w:rPr>
        <w:t> </w:t>
      </w:r>
      <w:r>
        <w:rPr/>
        <w:t>εργασίες</w:t>
      </w:r>
      <w:r>
        <w:rPr>
          <w:spacing w:val="-1"/>
        </w:rPr>
        <w:t> </w:t>
      </w:r>
      <w:r>
        <w:rPr/>
        <w:t>και η μείωση των προβλέψεων για τον πιστωτικό κίνδυνο.</w:t>
      </w:r>
    </w:p>
    <w:p>
      <w:pPr>
        <w:pStyle w:val="BodyText"/>
        <w:spacing w:before="10"/>
        <w:rPr>
          <w:sz w:val="10"/>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7"/>
        <w:gridCol w:w="1279"/>
        <w:gridCol w:w="1162"/>
        <w:gridCol w:w="1417"/>
      </w:tblGrid>
      <w:tr>
        <w:trPr>
          <w:trHeight w:val="215" w:hRule="atLeast"/>
        </w:trPr>
        <w:tc>
          <w:tcPr>
            <w:tcW w:w="8535" w:type="dxa"/>
            <w:gridSpan w:val="4"/>
          </w:tcPr>
          <w:p>
            <w:pPr>
              <w:pStyle w:val="TableParagraph"/>
              <w:spacing w:line="154" w:lineRule="exact"/>
              <w:ind w:left="165"/>
              <w:rPr>
                <w:sz w:val="14"/>
              </w:rPr>
            </w:pPr>
            <w:r>
              <w:rPr>
                <w:color w:val="1F487C"/>
                <w:sz w:val="14"/>
              </w:rPr>
              <w:t>(εκατ</w:t>
            </w:r>
            <w:r>
              <w:rPr>
                <w:color w:val="1F487C"/>
                <w:spacing w:val="-5"/>
                <w:sz w:val="14"/>
              </w:rPr>
              <w:t> </w:t>
            </w:r>
            <w:r>
              <w:rPr>
                <w:color w:val="1F487C"/>
                <w:sz w:val="14"/>
              </w:rPr>
              <w:t>ευρώ,</w:t>
            </w:r>
            <w:r>
              <w:rPr>
                <w:color w:val="1F487C"/>
                <w:spacing w:val="-2"/>
                <w:sz w:val="14"/>
              </w:rPr>
              <w:t> </w:t>
            </w:r>
            <w:r>
              <w:rPr>
                <w:color w:val="1F487C"/>
                <w:sz w:val="14"/>
              </w:rPr>
              <w:t>ποσοστά</w:t>
            </w:r>
            <w:r>
              <w:rPr>
                <w:color w:val="1F487C"/>
                <w:spacing w:val="-6"/>
                <w:sz w:val="14"/>
              </w:rPr>
              <w:t> </w:t>
            </w:r>
            <w:r>
              <w:rPr>
                <w:color w:val="1F487C"/>
                <w:spacing w:val="-5"/>
                <w:sz w:val="14"/>
              </w:rPr>
              <w:t>%)</w:t>
            </w:r>
          </w:p>
        </w:tc>
      </w:tr>
      <w:tr>
        <w:trPr>
          <w:trHeight w:val="299" w:hRule="atLeast"/>
        </w:trPr>
        <w:tc>
          <w:tcPr>
            <w:tcW w:w="5956" w:type="dxa"/>
            <w:gridSpan w:val="2"/>
            <w:tcBorders>
              <w:right w:val="single" w:sz="8" w:space="0" w:color="FFFFFF"/>
            </w:tcBorders>
            <w:shd w:val="clear" w:color="auto" w:fill="BEBEBE"/>
          </w:tcPr>
          <w:p>
            <w:pPr>
              <w:pStyle w:val="TableParagraph"/>
              <w:spacing w:before="90"/>
              <w:ind w:right="97"/>
              <w:jc w:val="right"/>
              <w:rPr>
                <w:b/>
                <w:sz w:val="16"/>
              </w:rPr>
            </w:pPr>
            <w:r>
              <w:rPr>
                <w:b/>
                <w:color w:val="1F487C"/>
                <w:spacing w:val="-4"/>
                <w:sz w:val="16"/>
              </w:rPr>
              <w:t>2024</w:t>
            </w:r>
          </w:p>
        </w:tc>
        <w:tc>
          <w:tcPr>
            <w:tcW w:w="1162" w:type="dxa"/>
            <w:tcBorders>
              <w:left w:val="single" w:sz="8" w:space="0" w:color="FFFFFF"/>
              <w:bottom w:val="single" w:sz="8" w:space="0" w:color="FFFFFF"/>
              <w:right w:val="single" w:sz="8" w:space="0" w:color="FFFFFF"/>
            </w:tcBorders>
            <w:shd w:val="clear" w:color="auto" w:fill="BEBEBE"/>
          </w:tcPr>
          <w:p>
            <w:pPr>
              <w:pStyle w:val="TableParagraph"/>
              <w:spacing w:before="90"/>
              <w:ind w:right="98"/>
              <w:jc w:val="right"/>
              <w:rPr>
                <w:b/>
                <w:sz w:val="16"/>
              </w:rPr>
            </w:pPr>
            <w:r>
              <w:rPr>
                <w:b/>
                <w:color w:val="1F487C"/>
                <w:spacing w:val="-4"/>
                <w:sz w:val="16"/>
              </w:rPr>
              <w:t>2025</w:t>
            </w:r>
          </w:p>
        </w:tc>
        <w:tc>
          <w:tcPr>
            <w:tcW w:w="1417" w:type="dxa"/>
            <w:tcBorders>
              <w:left w:val="single" w:sz="8" w:space="0" w:color="FFFFFF"/>
              <w:bottom w:val="single" w:sz="8" w:space="0" w:color="FFFFFF"/>
            </w:tcBorders>
            <w:shd w:val="clear" w:color="auto" w:fill="BEBEBE"/>
          </w:tcPr>
          <w:p>
            <w:pPr>
              <w:pStyle w:val="TableParagraph"/>
              <w:spacing w:before="59"/>
              <w:ind w:right="105"/>
              <w:jc w:val="right"/>
              <w:rPr>
                <w:b/>
                <w:sz w:val="16"/>
              </w:rPr>
            </w:pPr>
            <w:r>
              <w:rPr>
                <w:b/>
                <w:color w:val="1F487C"/>
                <w:sz w:val="16"/>
              </w:rPr>
              <w:t>Μεταβολή</w:t>
            </w:r>
            <w:r>
              <w:rPr>
                <w:b/>
                <w:color w:val="1F487C"/>
                <w:spacing w:val="-7"/>
                <w:sz w:val="16"/>
              </w:rPr>
              <w:t> </w:t>
            </w:r>
            <w:r>
              <w:rPr>
                <w:b/>
                <w:color w:val="1F487C"/>
                <w:spacing w:val="-5"/>
                <w:sz w:val="16"/>
              </w:rPr>
              <w:t>(%)</w:t>
            </w:r>
          </w:p>
        </w:tc>
      </w:tr>
      <w:tr>
        <w:trPr>
          <w:trHeight w:val="254" w:hRule="atLeast"/>
        </w:trPr>
        <w:tc>
          <w:tcPr>
            <w:tcW w:w="4677" w:type="dxa"/>
            <w:shd w:val="clear" w:color="auto" w:fill="D9D9D9"/>
          </w:tcPr>
          <w:p>
            <w:pPr>
              <w:pStyle w:val="TableParagraph"/>
              <w:spacing w:before="37"/>
              <w:ind w:left="108"/>
              <w:rPr>
                <w:b/>
                <w:sz w:val="16"/>
              </w:rPr>
            </w:pPr>
            <w:r>
              <w:rPr>
                <w:b/>
                <w:color w:val="1F487C"/>
                <w:spacing w:val="-2"/>
                <w:sz w:val="16"/>
              </w:rPr>
              <w:t>Λε</w:t>
            </w:r>
            <w:r>
              <w:rPr>
                <w:b/>
                <w:smallCaps/>
                <w:color w:val="1F487C"/>
                <w:spacing w:val="-2"/>
                <w:sz w:val="16"/>
              </w:rPr>
              <w:t>ι</w:t>
            </w:r>
            <w:r>
              <w:rPr>
                <w:b/>
                <w:smallCaps w:val="0"/>
                <w:color w:val="1F487C"/>
                <w:spacing w:val="-2"/>
                <w:sz w:val="16"/>
              </w:rPr>
              <w:t>τουργ</w:t>
            </w:r>
            <w:r>
              <w:rPr>
                <w:b/>
                <w:smallCaps/>
                <w:color w:val="1F487C"/>
                <w:spacing w:val="-2"/>
                <w:sz w:val="16"/>
              </w:rPr>
              <w:t>ι</w:t>
            </w:r>
            <w:r>
              <w:rPr>
                <w:b/>
                <w:smallCaps w:val="0"/>
                <w:color w:val="1F487C"/>
                <w:spacing w:val="-2"/>
                <w:sz w:val="16"/>
              </w:rPr>
              <w:t>κά</w:t>
            </w:r>
            <w:r>
              <w:rPr>
                <w:b/>
                <w:smallCaps w:val="0"/>
                <w:color w:val="1F487C"/>
                <w:spacing w:val="10"/>
                <w:sz w:val="16"/>
              </w:rPr>
              <w:t> </w:t>
            </w:r>
            <w:r>
              <w:rPr>
                <w:b/>
                <w:smallCaps w:val="0"/>
                <w:color w:val="1F487C"/>
                <w:spacing w:val="-2"/>
                <w:sz w:val="16"/>
              </w:rPr>
              <w:t>έσοδα</w:t>
            </w:r>
          </w:p>
        </w:tc>
        <w:tc>
          <w:tcPr>
            <w:tcW w:w="1279" w:type="dxa"/>
            <w:tcBorders>
              <w:top w:val="single" w:sz="8" w:space="0" w:color="FFFFFF"/>
            </w:tcBorders>
            <w:shd w:val="clear" w:color="auto" w:fill="D9D9D9"/>
          </w:tcPr>
          <w:p>
            <w:pPr>
              <w:pStyle w:val="TableParagraph"/>
              <w:spacing w:before="37"/>
              <w:ind w:right="108"/>
              <w:jc w:val="right"/>
              <w:rPr>
                <w:b/>
                <w:sz w:val="16"/>
              </w:rPr>
            </w:pPr>
            <w:r>
              <w:rPr>
                <w:b/>
                <w:color w:val="1F487C"/>
                <w:spacing w:val="-2"/>
                <w:sz w:val="16"/>
              </w:rPr>
              <w:t>11.804</w:t>
            </w:r>
          </w:p>
        </w:tc>
        <w:tc>
          <w:tcPr>
            <w:tcW w:w="1162" w:type="dxa"/>
            <w:tcBorders>
              <w:top w:val="single" w:sz="8" w:space="0" w:color="FFFFFF"/>
            </w:tcBorders>
            <w:shd w:val="clear" w:color="auto" w:fill="D9D9D9"/>
          </w:tcPr>
          <w:p>
            <w:pPr>
              <w:pStyle w:val="TableParagraph"/>
              <w:spacing w:before="37"/>
              <w:ind w:right="108"/>
              <w:jc w:val="right"/>
              <w:rPr>
                <w:b/>
                <w:sz w:val="16"/>
              </w:rPr>
            </w:pPr>
            <w:r>
              <w:rPr>
                <w:b/>
                <w:color w:val="1F487C"/>
                <w:spacing w:val="-2"/>
                <w:sz w:val="16"/>
              </w:rPr>
              <w:t>11.861</w:t>
            </w:r>
          </w:p>
        </w:tc>
        <w:tc>
          <w:tcPr>
            <w:tcW w:w="1417" w:type="dxa"/>
            <w:tcBorders>
              <w:top w:val="single" w:sz="8" w:space="0" w:color="FFFFFF"/>
            </w:tcBorders>
            <w:shd w:val="clear" w:color="auto" w:fill="D9D9D9"/>
          </w:tcPr>
          <w:p>
            <w:pPr>
              <w:pStyle w:val="TableParagraph"/>
              <w:spacing w:before="37"/>
              <w:ind w:right="106"/>
              <w:jc w:val="right"/>
              <w:rPr>
                <w:b/>
                <w:sz w:val="16"/>
              </w:rPr>
            </w:pPr>
            <w:r>
              <w:rPr>
                <w:b/>
                <w:color w:val="1F487C"/>
                <w:spacing w:val="-5"/>
                <w:sz w:val="16"/>
              </w:rPr>
              <w:t>0,5</w:t>
            </w:r>
          </w:p>
        </w:tc>
      </w:tr>
      <w:tr>
        <w:trPr>
          <w:trHeight w:val="256" w:hRule="atLeast"/>
        </w:trPr>
        <w:tc>
          <w:tcPr>
            <w:tcW w:w="4677" w:type="dxa"/>
            <w:shd w:val="clear" w:color="auto" w:fill="BEBEBE"/>
          </w:tcPr>
          <w:p>
            <w:pPr>
              <w:pStyle w:val="TableParagraph"/>
              <w:spacing w:before="38"/>
              <w:ind w:left="268"/>
              <w:rPr>
                <w:sz w:val="16"/>
              </w:rPr>
            </w:pPr>
            <w:r>
              <w:rPr>
                <w:sz w:val="16"/>
              </w:rPr>
              <w:t>Καθαρά</w:t>
            </w:r>
            <w:r>
              <w:rPr>
                <w:spacing w:val="-4"/>
                <w:sz w:val="16"/>
              </w:rPr>
              <w:t> </w:t>
            </w:r>
            <w:r>
              <w:rPr>
                <w:sz w:val="16"/>
              </w:rPr>
              <w:t>έσοδα</w:t>
            </w:r>
            <w:r>
              <w:rPr>
                <w:spacing w:val="-3"/>
                <w:sz w:val="16"/>
              </w:rPr>
              <w:t> </w:t>
            </w:r>
            <w:r>
              <w:rPr>
                <w:sz w:val="16"/>
              </w:rPr>
              <w:t>από</w:t>
            </w:r>
            <w:r>
              <w:rPr>
                <w:spacing w:val="-4"/>
                <w:sz w:val="16"/>
              </w:rPr>
              <w:t> </w:t>
            </w:r>
            <w:r>
              <w:rPr>
                <w:spacing w:val="-2"/>
                <w:sz w:val="16"/>
              </w:rPr>
              <w:t>τόκους</w:t>
            </w:r>
          </w:p>
        </w:tc>
        <w:tc>
          <w:tcPr>
            <w:tcW w:w="1279" w:type="dxa"/>
            <w:shd w:val="clear" w:color="auto" w:fill="BEBEBE"/>
          </w:tcPr>
          <w:p>
            <w:pPr>
              <w:pStyle w:val="TableParagraph"/>
              <w:spacing w:before="38"/>
              <w:ind w:right="108"/>
              <w:jc w:val="right"/>
              <w:rPr>
                <w:sz w:val="16"/>
              </w:rPr>
            </w:pPr>
            <w:r>
              <w:rPr>
                <w:spacing w:val="-2"/>
                <w:sz w:val="16"/>
              </w:rPr>
              <w:t>9.002</w:t>
            </w:r>
          </w:p>
        </w:tc>
        <w:tc>
          <w:tcPr>
            <w:tcW w:w="1162" w:type="dxa"/>
            <w:shd w:val="clear" w:color="auto" w:fill="BEBEBE"/>
          </w:tcPr>
          <w:p>
            <w:pPr>
              <w:pStyle w:val="TableParagraph"/>
              <w:spacing w:before="38"/>
              <w:ind w:right="108"/>
              <w:jc w:val="right"/>
              <w:rPr>
                <w:sz w:val="16"/>
              </w:rPr>
            </w:pPr>
            <w:r>
              <w:rPr>
                <w:spacing w:val="-2"/>
                <w:sz w:val="16"/>
              </w:rPr>
              <w:t>8.662</w:t>
            </w:r>
          </w:p>
        </w:tc>
        <w:tc>
          <w:tcPr>
            <w:tcW w:w="1417" w:type="dxa"/>
            <w:shd w:val="clear" w:color="auto" w:fill="BEBEBE"/>
          </w:tcPr>
          <w:p>
            <w:pPr>
              <w:pStyle w:val="TableParagraph"/>
              <w:spacing w:before="38"/>
              <w:ind w:right="106"/>
              <w:jc w:val="right"/>
              <w:rPr>
                <w:sz w:val="16"/>
              </w:rPr>
            </w:pPr>
            <w:r>
              <w:rPr>
                <w:spacing w:val="-2"/>
                <w:sz w:val="16"/>
              </w:rPr>
              <w:t>-</w:t>
            </w:r>
            <w:r>
              <w:rPr>
                <w:spacing w:val="-5"/>
                <w:sz w:val="16"/>
              </w:rPr>
              <w:t>3,8</w:t>
            </w:r>
          </w:p>
        </w:tc>
      </w:tr>
      <w:tr>
        <w:trPr>
          <w:trHeight w:val="251" w:hRule="atLeast"/>
        </w:trPr>
        <w:tc>
          <w:tcPr>
            <w:tcW w:w="4677" w:type="dxa"/>
            <w:shd w:val="clear" w:color="auto" w:fill="D9D9D9"/>
          </w:tcPr>
          <w:p>
            <w:pPr>
              <w:pStyle w:val="TableParagraph"/>
              <w:spacing w:before="35"/>
              <w:ind w:left="587"/>
              <w:rPr>
                <w:i/>
                <w:sz w:val="16"/>
              </w:rPr>
            </w:pPr>
            <w:r>
              <w:rPr>
                <w:i/>
                <w:sz w:val="16"/>
              </w:rPr>
              <w:t>-</w:t>
            </w:r>
            <w:r>
              <w:rPr>
                <w:i/>
                <w:spacing w:val="-4"/>
                <w:sz w:val="16"/>
              </w:rPr>
              <w:t> </w:t>
            </w:r>
            <w:r>
              <w:rPr>
                <w:i/>
                <w:sz w:val="16"/>
              </w:rPr>
              <w:t>Έσοδα</w:t>
            </w:r>
            <w:r>
              <w:rPr>
                <w:i/>
                <w:spacing w:val="-3"/>
                <w:sz w:val="16"/>
              </w:rPr>
              <w:t> </w:t>
            </w:r>
            <w:r>
              <w:rPr>
                <w:i/>
                <w:sz w:val="16"/>
              </w:rPr>
              <w:t>από</w:t>
            </w:r>
            <w:r>
              <w:rPr>
                <w:i/>
                <w:spacing w:val="-2"/>
                <w:sz w:val="16"/>
              </w:rPr>
              <w:t> τόκους</w:t>
            </w:r>
          </w:p>
        </w:tc>
        <w:tc>
          <w:tcPr>
            <w:tcW w:w="1279" w:type="dxa"/>
            <w:shd w:val="clear" w:color="auto" w:fill="D9D9D9"/>
          </w:tcPr>
          <w:p>
            <w:pPr>
              <w:pStyle w:val="TableParagraph"/>
              <w:spacing w:before="35"/>
              <w:ind w:right="108"/>
              <w:jc w:val="right"/>
              <w:rPr>
                <w:sz w:val="16"/>
              </w:rPr>
            </w:pPr>
            <w:r>
              <w:rPr>
                <w:spacing w:val="-2"/>
                <w:sz w:val="16"/>
              </w:rPr>
              <w:t>16.279</w:t>
            </w:r>
          </w:p>
        </w:tc>
        <w:tc>
          <w:tcPr>
            <w:tcW w:w="1162" w:type="dxa"/>
            <w:shd w:val="clear" w:color="auto" w:fill="D9D9D9"/>
          </w:tcPr>
          <w:p>
            <w:pPr>
              <w:pStyle w:val="TableParagraph"/>
              <w:spacing w:before="35"/>
              <w:ind w:right="108"/>
              <w:jc w:val="right"/>
              <w:rPr>
                <w:sz w:val="16"/>
              </w:rPr>
            </w:pPr>
            <w:r>
              <w:rPr>
                <w:spacing w:val="-2"/>
                <w:sz w:val="16"/>
              </w:rPr>
              <w:t>14.850</w:t>
            </w:r>
          </w:p>
        </w:tc>
        <w:tc>
          <w:tcPr>
            <w:tcW w:w="1417" w:type="dxa"/>
            <w:shd w:val="clear" w:color="auto" w:fill="D9D9D9"/>
          </w:tcPr>
          <w:p>
            <w:pPr>
              <w:pStyle w:val="TableParagraph"/>
              <w:spacing w:before="35"/>
              <w:ind w:right="106"/>
              <w:jc w:val="right"/>
              <w:rPr>
                <w:sz w:val="16"/>
              </w:rPr>
            </w:pPr>
            <w:r>
              <w:rPr>
                <w:spacing w:val="-2"/>
                <w:sz w:val="16"/>
              </w:rPr>
              <w:t>-</w:t>
            </w:r>
            <w:r>
              <w:rPr>
                <w:spacing w:val="-5"/>
                <w:sz w:val="16"/>
              </w:rPr>
              <w:t>8,8</w:t>
            </w:r>
          </w:p>
        </w:tc>
      </w:tr>
      <w:tr>
        <w:trPr>
          <w:trHeight w:val="254" w:hRule="atLeast"/>
        </w:trPr>
        <w:tc>
          <w:tcPr>
            <w:tcW w:w="4677" w:type="dxa"/>
            <w:shd w:val="clear" w:color="auto" w:fill="BEBEBE"/>
          </w:tcPr>
          <w:p>
            <w:pPr>
              <w:pStyle w:val="TableParagraph"/>
              <w:spacing w:before="35"/>
              <w:ind w:left="587"/>
              <w:rPr>
                <w:i/>
                <w:sz w:val="16"/>
              </w:rPr>
            </w:pPr>
            <w:r>
              <w:rPr>
                <w:i/>
                <w:sz w:val="16"/>
              </w:rPr>
              <w:t>-</w:t>
            </w:r>
            <w:r>
              <w:rPr>
                <w:i/>
                <w:spacing w:val="-3"/>
                <w:sz w:val="16"/>
              </w:rPr>
              <w:t> </w:t>
            </w:r>
            <w:r>
              <w:rPr>
                <w:i/>
                <w:sz w:val="16"/>
              </w:rPr>
              <w:t>Έξοδα</w:t>
            </w:r>
            <w:r>
              <w:rPr>
                <w:i/>
                <w:spacing w:val="-1"/>
                <w:sz w:val="16"/>
              </w:rPr>
              <w:t> </w:t>
            </w:r>
            <w:r>
              <w:rPr>
                <w:i/>
                <w:spacing w:val="-2"/>
                <w:sz w:val="16"/>
              </w:rPr>
              <w:t>τόκων</w:t>
            </w:r>
          </w:p>
        </w:tc>
        <w:tc>
          <w:tcPr>
            <w:tcW w:w="1279" w:type="dxa"/>
            <w:shd w:val="clear" w:color="auto" w:fill="BEBEBE"/>
          </w:tcPr>
          <w:p>
            <w:pPr>
              <w:pStyle w:val="TableParagraph"/>
              <w:spacing w:before="35"/>
              <w:ind w:right="108"/>
              <w:jc w:val="right"/>
              <w:rPr>
                <w:sz w:val="16"/>
              </w:rPr>
            </w:pPr>
            <w:r>
              <w:rPr>
                <w:spacing w:val="-2"/>
                <w:sz w:val="16"/>
              </w:rPr>
              <w:t>-7.277</w:t>
            </w:r>
          </w:p>
        </w:tc>
        <w:tc>
          <w:tcPr>
            <w:tcW w:w="1162" w:type="dxa"/>
            <w:shd w:val="clear" w:color="auto" w:fill="BEBEBE"/>
          </w:tcPr>
          <w:p>
            <w:pPr>
              <w:pStyle w:val="TableParagraph"/>
              <w:spacing w:before="35"/>
              <w:ind w:right="108"/>
              <w:jc w:val="right"/>
              <w:rPr>
                <w:sz w:val="16"/>
              </w:rPr>
            </w:pPr>
            <w:r>
              <w:rPr>
                <w:spacing w:val="-2"/>
                <w:sz w:val="16"/>
              </w:rPr>
              <w:t>-6.188</w:t>
            </w:r>
          </w:p>
        </w:tc>
        <w:tc>
          <w:tcPr>
            <w:tcW w:w="1417" w:type="dxa"/>
            <w:shd w:val="clear" w:color="auto" w:fill="BEBEBE"/>
          </w:tcPr>
          <w:p>
            <w:pPr>
              <w:pStyle w:val="TableParagraph"/>
              <w:spacing w:before="35"/>
              <w:ind w:right="106"/>
              <w:jc w:val="right"/>
              <w:rPr>
                <w:sz w:val="16"/>
              </w:rPr>
            </w:pPr>
            <w:r>
              <w:rPr>
                <w:spacing w:val="-2"/>
                <w:sz w:val="16"/>
              </w:rPr>
              <w:t>-</w:t>
            </w:r>
            <w:r>
              <w:rPr>
                <w:spacing w:val="-4"/>
                <w:sz w:val="16"/>
              </w:rPr>
              <w:t>15,0</w:t>
            </w:r>
          </w:p>
        </w:tc>
      </w:tr>
      <w:tr>
        <w:trPr>
          <w:trHeight w:val="254" w:hRule="atLeast"/>
        </w:trPr>
        <w:tc>
          <w:tcPr>
            <w:tcW w:w="4677" w:type="dxa"/>
            <w:shd w:val="clear" w:color="auto" w:fill="D9D9D9"/>
          </w:tcPr>
          <w:p>
            <w:pPr>
              <w:pStyle w:val="TableParagraph"/>
              <w:spacing w:before="38"/>
              <w:ind w:left="268"/>
              <w:rPr>
                <w:sz w:val="16"/>
              </w:rPr>
            </w:pPr>
            <w:r>
              <w:rPr>
                <w:sz w:val="16"/>
              </w:rPr>
              <w:t>Καθαρά</w:t>
            </w:r>
            <w:r>
              <w:rPr>
                <w:spacing w:val="-4"/>
                <w:sz w:val="16"/>
              </w:rPr>
              <w:t> </w:t>
            </w:r>
            <w:r>
              <w:rPr>
                <w:sz w:val="16"/>
              </w:rPr>
              <w:t>έσοδα</w:t>
            </w:r>
            <w:r>
              <w:rPr>
                <w:spacing w:val="-4"/>
                <w:sz w:val="16"/>
              </w:rPr>
              <w:t> </w:t>
            </w:r>
            <w:r>
              <w:rPr>
                <w:sz w:val="16"/>
              </w:rPr>
              <w:t>από</w:t>
            </w:r>
            <w:r>
              <w:rPr>
                <w:spacing w:val="-4"/>
                <w:sz w:val="16"/>
              </w:rPr>
              <w:t> </w:t>
            </w:r>
            <w:r>
              <w:rPr>
                <w:sz w:val="16"/>
              </w:rPr>
              <w:t>μη</w:t>
            </w:r>
            <w:r>
              <w:rPr>
                <w:spacing w:val="-4"/>
                <w:sz w:val="16"/>
              </w:rPr>
              <w:t> </w:t>
            </w:r>
            <w:r>
              <w:rPr>
                <w:sz w:val="16"/>
              </w:rPr>
              <w:t>τοκοφόρες</w:t>
            </w:r>
            <w:r>
              <w:rPr>
                <w:spacing w:val="-4"/>
                <w:sz w:val="16"/>
              </w:rPr>
              <w:t> </w:t>
            </w:r>
            <w:r>
              <w:rPr>
                <w:spacing w:val="-2"/>
                <w:sz w:val="16"/>
              </w:rPr>
              <w:t>εργασίες</w:t>
            </w:r>
          </w:p>
        </w:tc>
        <w:tc>
          <w:tcPr>
            <w:tcW w:w="1279" w:type="dxa"/>
            <w:shd w:val="clear" w:color="auto" w:fill="D9D9D9"/>
          </w:tcPr>
          <w:p>
            <w:pPr>
              <w:pStyle w:val="TableParagraph"/>
              <w:spacing w:before="38"/>
              <w:ind w:right="108"/>
              <w:jc w:val="right"/>
              <w:rPr>
                <w:sz w:val="16"/>
              </w:rPr>
            </w:pPr>
            <w:r>
              <w:rPr>
                <w:spacing w:val="-2"/>
                <w:sz w:val="16"/>
              </w:rPr>
              <w:t>2.801</w:t>
            </w:r>
          </w:p>
        </w:tc>
        <w:tc>
          <w:tcPr>
            <w:tcW w:w="1162" w:type="dxa"/>
            <w:shd w:val="clear" w:color="auto" w:fill="D9D9D9"/>
          </w:tcPr>
          <w:p>
            <w:pPr>
              <w:pStyle w:val="TableParagraph"/>
              <w:spacing w:before="38"/>
              <w:ind w:right="108"/>
              <w:jc w:val="right"/>
              <w:rPr>
                <w:sz w:val="16"/>
              </w:rPr>
            </w:pPr>
            <w:r>
              <w:rPr>
                <w:spacing w:val="-2"/>
                <w:sz w:val="16"/>
              </w:rPr>
              <w:t>3.200</w:t>
            </w:r>
          </w:p>
        </w:tc>
        <w:tc>
          <w:tcPr>
            <w:tcW w:w="1417" w:type="dxa"/>
            <w:shd w:val="clear" w:color="auto" w:fill="D9D9D9"/>
          </w:tcPr>
          <w:p>
            <w:pPr>
              <w:pStyle w:val="TableParagraph"/>
              <w:spacing w:before="38"/>
              <w:ind w:right="106"/>
              <w:jc w:val="right"/>
              <w:rPr>
                <w:sz w:val="16"/>
              </w:rPr>
            </w:pPr>
            <w:r>
              <w:rPr>
                <w:spacing w:val="-4"/>
                <w:sz w:val="16"/>
              </w:rPr>
              <w:t>14,2</w:t>
            </w:r>
          </w:p>
        </w:tc>
      </w:tr>
      <w:tr>
        <w:trPr>
          <w:trHeight w:val="256" w:hRule="atLeast"/>
        </w:trPr>
        <w:tc>
          <w:tcPr>
            <w:tcW w:w="4677" w:type="dxa"/>
            <w:shd w:val="clear" w:color="auto" w:fill="BEBEBE"/>
          </w:tcPr>
          <w:p>
            <w:pPr>
              <w:pStyle w:val="TableParagraph"/>
              <w:spacing w:before="38"/>
              <w:ind w:left="587"/>
              <w:rPr>
                <w:i/>
                <w:sz w:val="16"/>
              </w:rPr>
            </w:pPr>
            <w:r>
              <w:rPr>
                <w:i/>
                <w:sz w:val="16"/>
              </w:rPr>
              <w:t>-</w:t>
            </w:r>
            <w:r>
              <w:rPr>
                <w:i/>
                <w:spacing w:val="-3"/>
                <w:sz w:val="16"/>
              </w:rPr>
              <w:t> </w:t>
            </w:r>
            <w:r>
              <w:rPr>
                <w:i/>
                <w:sz w:val="16"/>
              </w:rPr>
              <w:t>Καθαρά</w:t>
            </w:r>
            <w:r>
              <w:rPr>
                <w:i/>
                <w:spacing w:val="-3"/>
                <w:sz w:val="16"/>
              </w:rPr>
              <w:t> </w:t>
            </w:r>
            <w:r>
              <w:rPr>
                <w:i/>
                <w:sz w:val="16"/>
              </w:rPr>
              <w:t>έσοδα</w:t>
            </w:r>
            <w:r>
              <w:rPr>
                <w:i/>
                <w:spacing w:val="-3"/>
                <w:sz w:val="16"/>
              </w:rPr>
              <w:t> </w:t>
            </w:r>
            <w:r>
              <w:rPr>
                <w:i/>
                <w:sz w:val="16"/>
              </w:rPr>
              <w:t>από</w:t>
            </w:r>
            <w:r>
              <w:rPr>
                <w:i/>
                <w:spacing w:val="-2"/>
                <w:sz w:val="16"/>
              </w:rPr>
              <w:t> προμήθειες</w:t>
            </w:r>
          </w:p>
        </w:tc>
        <w:tc>
          <w:tcPr>
            <w:tcW w:w="1279" w:type="dxa"/>
            <w:shd w:val="clear" w:color="auto" w:fill="BEBEBE"/>
          </w:tcPr>
          <w:p>
            <w:pPr>
              <w:pStyle w:val="TableParagraph"/>
              <w:spacing w:before="38"/>
              <w:ind w:right="108"/>
              <w:jc w:val="right"/>
              <w:rPr>
                <w:sz w:val="16"/>
              </w:rPr>
            </w:pPr>
            <w:r>
              <w:rPr>
                <w:spacing w:val="-2"/>
                <w:sz w:val="16"/>
              </w:rPr>
              <w:t>2.126</w:t>
            </w:r>
          </w:p>
        </w:tc>
        <w:tc>
          <w:tcPr>
            <w:tcW w:w="1162" w:type="dxa"/>
            <w:shd w:val="clear" w:color="auto" w:fill="BEBEBE"/>
          </w:tcPr>
          <w:p>
            <w:pPr>
              <w:pStyle w:val="TableParagraph"/>
              <w:spacing w:before="38"/>
              <w:ind w:right="108"/>
              <w:jc w:val="right"/>
              <w:rPr>
                <w:sz w:val="16"/>
              </w:rPr>
            </w:pPr>
            <w:r>
              <w:rPr>
                <w:spacing w:val="-2"/>
                <w:sz w:val="16"/>
              </w:rPr>
              <w:t>2.387</w:t>
            </w:r>
          </w:p>
        </w:tc>
        <w:tc>
          <w:tcPr>
            <w:tcW w:w="1417" w:type="dxa"/>
            <w:shd w:val="clear" w:color="auto" w:fill="BEBEBE"/>
          </w:tcPr>
          <w:p>
            <w:pPr>
              <w:pStyle w:val="TableParagraph"/>
              <w:spacing w:before="38"/>
              <w:ind w:right="106"/>
              <w:jc w:val="right"/>
              <w:rPr>
                <w:sz w:val="16"/>
              </w:rPr>
            </w:pPr>
            <w:r>
              <w:rPr>
                <w:spacing w:val="-4"/>
                <w:sz w:val="16"/>
              </w:rPr>
              <w:t>12,3</w:t>
            </w:r>
          </w:p>
        </w:tc>
      </w:tr>
      <w:tr>
        <w:trPr>
          <w:trHeight w:val="254" w:hRule="atLeast"/>
        </w:trPr>
        <w:tc>
          <w:tcPr>
            <w:tcW w:w="4677" w:type="dxa"/>
            <w:shd w:val="clear" w:color="auto" w:fill="D9D9D9"/>
          </w:tcPr>
          <w:p>
            <w:pPr>
              <w:pStyle w:val="TableParagraph"/>
              <w:spacing w:before="35"/>
              <w:ind w:left="587"/>
              <w:rPr>
                <w:i/>
                <w:sz w:val="16"/>
              </w:rPr>
            </w:pPr>
            <w:r>
              <w:rPr>
                <w:i/>
                <w:sz w:val="16"/>
              </w:rPr>
              <w:t>-</w:t>
            </w:r>
            <w:r>
              <w:rPr>
                <w:i/>
                <w:spacing w:val="-6"/>
                <w:sz w:val="16"/>
              </w:rPr>
              <w:t> </w:t>
            </w:r>
            <w:r>
              <w:rPr>
                <w:i/>
                <w:sz w:val="16"/>
              </w:rPr>
              <w:t>Έσοδα</w:t>
            </w:r>
            <w:r>
              <w:rPr>
                <w:i/>
                <w:spacing w:val="-6"/>
                <w:sz w:val="16"/>
              </w:rPr>
              <w:t> </w:t>
            </w:r>
            <w:r>
              <w:rPr>
                <w:i/>
                <w:sz w:val="16"/>
              </w:rPr>
              <w:t>από</w:t>
            </w:r>
            <w:r>
              <w:rPr>
                <w:i/>
                <w:spacing w:val="-6"/>
                <w:sz w:val="16"/>
              </w:rPr>
              <w:t> </w:t>
            </w:r>
            <w:r>
              <w:rPr>
                <w:i/>
                <w:sz w:val="16"/>
              </w:rPr>
              <w:t>χρηματοοικονομικές</w:t>
            </w:r>
            <w:r>
              <w:rPr>
                <w:i/>
                <w:spacing w:val="-7"/>
                <w:sz w:val="16"/>
              </w:rPr>
              <w:t> </w:t>
            </w:r>
            <w:r>
              <w:rPr>
                <w:i/>
                <w:spacing w:val="-2"/>
                <w:sz w:val="16"/>
              </w:rPr>
              <w:t>πράξεις</w:t>
            </w:r>
          </w:p>
        </w:tc>
        <w:tc>
          <w:tcPr>
            <w:tcW w:w="1279" w:type="dxa"/>
            <w:shd w:val="clear" w:color="auto" w:fill="D9D9D9"/>
          </w:tcPr>
          <w:p>
            <w:pPr>
              <w:pStyle w:val="TableParagraph"/>
              <w:spacing w:before="35"/>
              <w:ind w:right="108"/>
              <w:jc w:val="right"/>
              <w:rPr>
                <w:sz w:val="16"/>
              </w:rPr>
            </w:pPr>
            <w:r>
              <w:rPr>
                <w:spacing w:val="-5"/>
                <w:sz w:val="16"/>
              </w:rPr>
              <w:t>417</w:t>
            </w:r>
          </w:p>
        </w:tc>
        <w:tc>
          <w:tcPr>
            <w:tcW w:w="1162" w:type="dxa"/>
            <w:shd w:val="clear" w:color="auto" w:fill="D9D9D9"/>
          </w:tcPr>
          <w:p>
            <w:pPr>
              <w:pStyle w:val="TableParagraph"/>
              <w:spacing w:before="35"/>
              <w:ind w:right="108"/>
              <w:jc w:val="right"/>
              <w:rPr>
                <w:sz w:val="16"/>
              </w:rPr>
            </w:pPr>
            <w:r>
              <w:rPr>
                <w:spacing w:val="-5"/>
                <w:sz w:val="16"/>
              </w:rPr>
              <w:t>340</w:t>
            </w:r>
          </w:p>
        </w:tc>
        <w:tc>
          <w:tcPr>
            <w:tcW w:w="1417" w:type="dxa"/>
            <w:shd w:val="clear" w:color="auto" w:fill="D9D9D9"/>
          </w:tcPr>
          <w:p>
            <w:pPr>
              <w:pStyle w:val="TableParagraph"/>
              <w:spacing w:before="35"/>
              <w:ind w:right="106"/>
              <w:jc w:val="right"/>
              <w:rPr>
                <w:sz w:val="16"/>
              </w:rPr>
            </w:pPr>
            <w:r>
              <w:rPr>
                <w:spacing w:val="-2"/>
                <w:sz w:val="16"/>
              </w:rPr>
              <w:t>-</w:t>
            </w:r>
            <w:r>
              <w:rPr>
                <w:spacing w:val="-4"/>
                <w:sz w:val="16"/>
              </w:rPr>
              <w:t>18,5</w:t>
            </w:r>
          </w:p>
        </w:tc>
      </w:tr>
      <w:tr>
        <w:trPr>
          <w:trHeight w:val="254" w:hRule="atLeast"/>
        </w:trPr>
        <w:tc>
          <w:tcPr>
            <w:tcW w:w="4677" w:type="dxa"/>
            <w:shd w:val="clear" w:color="auto" w:fill="BEBEBE"/>
          </w:tcPr>
          <w:p>
            <w:pPr>
              <w:pStyle w:val="TableParagraph"/>
              <w:spacing w:before="35"/>
              <w:ind w:left="587"/>
              <w:rPr>
                <w:i/>
                <w:sz w:val="16"/>
              </w:rPr>
            </w:pPr>
            <w:r>
              <w:rPr>
                <w:i/>
                <w:sz w:val="16"/>
              </w:rPr>
              <w:t>-</w:t>
            </w:r>
            <w:r>
              <w:rPr>
                <w:i/>
                <w:spacing w:val="-5"/>
                <w:sz w:val="16"/>
              </w:rPr>
              <w:t> </w:t>
            </w:r>
            <w:r>
              <w:rPr>
                <w:i/>
                <w:sz w:val="16"/>
              </w:rPr>
              <w:t>Λοιπά</w:t>
            </w:r>
            <w:r>
              <w:rPr>
                <w:i/>
                <w:spacing w:val="-4"/>
                <w:sz w:val="16"/>
              </w:rPr>
              <w:t> </w:t>
            </w:r>
            <w:r>
              <w:rPr>
                <w:i/>
                <w:sz w:val="16"/>
              </w:rPr>
              <w:t>λειτουργικά</w:t>
            </w:r>
            <w:r>
              <w:rPr>
                <w:i/>
                <w:spacing w:val="-4"/>
                <w:sz w:val="16"/>
              </w:rPr>
              <w:t> </w:t>
            </w:r>
            <w:r>
              <w:rPr>
                <w:i/>
                <w:spacing w:val="-2"/>
                <w:sz w:val="16"/>
              </w:rPr>
              <w:t>αποτελέσματα</w:t>
            </w:r>
          </w:p>
        </w:tc>
        <w:tc>
          <w:tcPr>
            <w:tcW w:w="1279" w:type="dxa"/>
            <w:shd w:val="clear" w:color="auto" w:fill="BEBEBE"/>
          </w:tcPr>
          <w:p>
            <w:pPr>
              <w:pStyle w:val="TableParagraph"/>
              <w:spacing w:before="35"/>
              <w:ind w:right="108"/>
              <w:jc w:val="right"/>
              <w:rPr>
                <w:sz w:val="16"/>
              </w:rPr>
            </w:pPr>
            <w:r>
              <w:rPr>
                <w:spacing w:val="-5"/>
                <w:sz w:val="16"/>
              </w:rPr>
              <w:t>258</w:t>
            </w:r>
          </w:p>
        </w:tc>
        <w:tc>
          <w:tcPr>
            <w:tcW w:w="1162" w:type="dxa"/>
            <w:shd w:val="clear" w:color="auto" w:fill="BEBEBE"/>
          </w:tcPr>
          <w:p>
            <w:pPr>
              <w:pStyle w:val="TableParagraph"/>
              <w:spacing w:before="35"/>
              <w:ind w:right="108"/>
              <w:jc w:val="right"/>
              <w:rPr>
                <w:sz w:val="16"/>
              </w:rPr>
            </w:pPr>
            <w:r>
              <w:rPr>
                <w:spacing w:val="-5"/>
                <w:sz w:val="16"/>
              </w:rPr>
              <w:t>473</w:t>
            </w:r>
          </w:p>
        </w:tc>
        <w:tc>
          <w:tcPr>
            <w:tcW w:w="1417" w:type="dxa"/>
            <w:shd w:val="clear" w:color="auto" w:fill="BEBEBE"/>
          </w:tcPr>
          <w:p>
            <w:pPr>
              <w:pStyle w:val="TableParagraph"/>
              <w:spacing w:before="35"/>
              <w:ind w:right="106"/>
              <w:jc w:val="right"/>
              <w:rPr>
                <w:sz w:val="16"/>
              </w:rPr>
            </w:pPr>
            <w:r>
              <w:rPr>
                <w:spacing w:val="-4"/>
                <w:sz w:val="16"/>
              </w:rPr>
              <w:t>83,1</w:t>
            </w:r>
          </w:p>
        </w:tc>
      </w:tr>
      <w:tr>
        <w:trPr>
          <w:trHeight w:val="254" w:hRule="atLeast"/>
        </w:trPr>
        <w:tc>
          <w:tcPr>
            <w:tcW w:w="4677" w:type="dxa"/>
            <w:shd w:val="clear" w:color="auto" w:fill="D9D9D9"/>
          </w:tcPr>
          <w:p>
            <w:pPr>
              <w:pStyle w:val="TableParagraph"/>
              <w:spacing w:before="38"/>
              <w:ind w:left="108"/>
              <w:rPr>
                <w:b/>
                <w:sz w:val="16"/>
              </w:rPr>
            </w:pPr>
            <w:r>
              <w:rPr>
                <w:b/>
                <w:color w:val="1F487C"/>
                <w:spacing w:val="-2"/>
                <w:sz w:val="16"/>
              </w:rPr>
              <w:t>Λε</w:t>
            </w:r>
            <w:r>
              <w:rPr>
                <w:b/>
                <w:smallCaps/>
                <w:color w:val="1F487C"/>
                <w:spacing w:val="-2"/>
                <w:sz w:val="16"/>
              </w:rPr>
              <w:t>ι</w:t>
            </w:r>
            <w:r>
              <w:rPr>
                <w:b/>
                <w:smallCaps w:val="0"/>
                <w:color w:val="1F487C"/>
                <w:spacing w:val="-2"/>
                <w:sz w:val="16"/>
              </w:rPr>
              <w:t>τουργ</w:t>
            </w:r>
            <w:r>
              <w:rPr>
                <w:b/>
                <w:smallCaps/>
                <w:color w:val="1F487C"/>
                <w:spacing w:val="-2"/>
                <w:sz w:val="16"/>
              </w:rPr>
              <w:t>ι</w:t>
            </w:r>
            <w:r>
              <w:rPr>
                <w:b/>
                <w:smallCaps w:val="0"/>
                <w:color w:val="1F487C"/>
                <w:spacing w:val="-2"/>
                <w:sz w:val="16"/>
              </w:rPr>
              <w:t>κά</w:t>
            </w:r>
            <w:r>
              <w:rPr>
                <w:b/>
                <w:smallCaps w:val="0"/>
                <w:color w:val="1F487C"/>
                <w:spacing w:val="10"/>
                <w:sz w:val="16"/>
              </w:rPr>
              <w:t> </w:t>
            </w:r>
            <w:r>
              <w:rPr>
                <w:b/>
                <w:smallCaps w:val="0"/>
                <w:color w:val="1F487C"/>
                <w:spacing w:val="-2"/>
                <w:sz w:val="16"/>
              </w:rPr>
              <w:t>έξοδα</w:t>
            </w:r>
          </w:p>
        </w:tc>
        <w:tc>
          <w:tcPr>
            <w:tcW w:w="1279" w:type="dxa"/>
            <w:shd w:val="clear" w:color="auto" w:fill="D9D9D9"/>
          </w:tcPr>
          <w:p>
            <w:pPr>
              <w:pStyle w:val="TableParagraph"/>
              <w:spacing w:before="38"/>
              <w:ind w:right="108"/>
              <w:jc w:val="right"/>
              <w:rPr>
                <w:b/>
                <w:sz w:val="16"/>
              </w:rPr>
            </w:pPr>
            <w:r>
              <w:rPr>
                <w:b/>
                <w:color w:val="1F487C"/>
                <w:spacing w:val="-2"/>
                <w:sz w:val="16"/>
              </w:rPr>
              <w:t>-4.250</w:t>
            </w:r>
          </w:p>
        </w:tc>
        <w:tc>
          <w:tcPr>
            <w:tcW w:w="1162" w:type="dxa"/>
            <w:shd w:val="clear" w:color="auto" w:fill="D9D9D9"/>
          </w:tcPr>
          <w:p>
            <w:pPr>
              <w:pStyle w:val="TableParagraph"/>
              <w:spacing w:before="38"/>
              <w:ind w:right="108"/>
              <w:jc w:val="right"/>
              <w:rPr>
                <w:b/>
                <w:sz w:val="16"/>
              </w:rPr>
            </w:pPr>
            <w:r>
              <w:rPr>
                <w:b/>
                <w:color w:val="1F487C"/>
                <w:spacing w:val="-2"/>
                <w:sz w:val="16"/>
              </w:rPr>
              <w:t>-4.554</w:t>
            </w:r>
          </w:p>
        </w:tc>
        <w:tc>
          <w:tcPr>
            <w:tcW w:w="1417" w:type="dxa"/>
            <w:shd w:val="clear" w:color="auto" w:fill="D9D9D9"/>
          </w:tcPr>
          <w:p>
            <w:pPr>
              <w:pStyle w:val="TableParagraph"/>
              <w:spacing w:before="38"/>
              <w:ind w:right="106"/>
              <w:jc w:val="right"/>
              <w:rPr>
                <w:b/>
                <w:sz w:val="16"/>
              </w:rPr>
            </w:pPr>
            <w:r>
              <w:rPr>
                <w:b/>
                <w:color w:val="1F487C"/>
                <w:spacing w:val="-5"/>
                <w:sz w:val="16"/>
              </w:rPr>
              <w:t>7,2</w:t>
            </w:r>
          </w:p>
        </w:tc>
      </w:tr>
      <w:tr>
        <w:trPr>
          <w:trHeight w:val="256" w:hRule="atLeast"/>
        </w:trPr>
        <w:tc>
          <w:tcPr>
            <w:tcW w:w="4677" w:type="dxa"/>
            <w:shd w:val="clear" w:color="auto" w:fill="BEBEBE"/>
          </w:tcPr>
          <w:p>
            <w:pPr>
              <w:pStyle w:val="TableParagraph"/>
              <w:spacing w:before="38"/>
              <w:ind w:left="268"/>
              <w:rPr>
                <w:sz w:val="16"/>
              </w:rPr>
            </w:pPr>
            <w:r>
              <w:rPr>
                <w:sz w:val="16"/>
              </w:rPr>
              <w:t>Δαπάνες</w:t>
            </w:r>
            <w:r>
              <w:rPr>
                <w:spacing w:val="-8"/>
                <w:sz w:val="16"/>
              </w:rPr>
              <w:t> </w:t>
            </w:r>
            <w:r>
              <w:rPr>
                <w:spacing w:val="-2"/>
                <w:sz w:val="16"/>
              </w:rPr>
              <w:t>προσωπικού</w:t>
            </w:r>
          </w:p>
        </w:tc>
        <w:tc>
          <w:tcPr>
            <w:tcW w:w="1279" w:type="dxa"/>
            <w:shd w:val="clear" w:color="auto" w:fill="BEBEBE"/>
          </w:tcPr>
          <w:p>
            <w:pPr>
              <w:pStyle w:val="TableParagraph"/>
              <w:spacing w:before="38"/>
              <w:ind w:right="108"/>
              <w:jc w:val="right"/>
              <w:rPr>
                <w:sz w:val="16"/>
              </w:rPr>
            </w:pPr>
            <w:r>
              <w:rPr>
                <w:spacing w:val="-2"/>
                <w:sz w:val="16"/>
              </w:rPr>
              <w:t>-2.191</w:t>
            </w:r>
          </w:p>
        </w:tc>
        <w:tc>
          <w:tcPr>
            <w:tcW w:w="1162" w:type="dxa"/>
            <w:shd w:val="clear" w:color="auto" w:fill="BEBEBE"/>
          </w:tcPr>
          <w:p>
            <w:pPr>
              <w:pStyle w:val="TableParagraph"/>
              <w:spacing w:before="38"/>
              <w:ind w:right="108"/>
              <w:jc w:val="right"/>
              <w:rPr>
                <w:sz w:val="16"/>
              </w:rPr>
            </w:pPr>
            <w:r>
              <w:rPr>
                <w:spacing w:val="-2"/>
                <w:sz w:val="16"/>
              </w:rPr>
              <w:t>-2.274</w:t>
            </w:r>
          </w:p>
        </w:tc>
        <w:tc>
          <w:tcPr>
            <w:tcW w:w="1417" w:type="dxa"/>
            <w:shd w:val="clear" w:color="auto" w:fill="BEBEBE"/>
          </w:tcPr>
          <w:p>
            <w:pPr>
              <w:pStyle w:val="TableParagraph"/>
              <w:spacing w:before="38"/>
              <w:ind w:right="106"/>
              <w:jc w:val="right"/>
              <w:rPr>
                <w:sz w:val="16"/>
              </w:rPr>
            </w:pPr>
            <w:r>
              <w:rPr>
                <w:spacing w:val="-5"/>
                <w:sz w:val="16"/>
              </w:rPr>
              <w:t>3,8</w:t>
            </w:r>
          </w:p>
        </w:tc>
      </w:tr>
      <w:tr>
        <w:trPr>
          <w:trHeight w:val="254" w:hRule="atLeast"/>
        </w:trPr>
        <w:tc>
          <w:tcPr>
            <w:tcW w:w="4677" w:type="dxa"/>
            <w:shd w:val="clear" w:color="auto" w:fill="D9D9D9"/>
          </w:tcPr>
          <w:p>
            <w:pPr>
              <w:pStyle w:val="TableParagraph"/>
              <w:spacing w:before="35"/>
              <w:ind w:left="268"/>
              <w:rPr>
                <w:sz w:val="16"/>
              </w:rPr>
            </w:pPr>
            <w:r>
              <w:rPr>
                <w:sz w:val="16"/>
              </w:rPr>
              <w:t>Διοικητικά</w:t>
            </w:r>
            <w:r>
              <w:rPr>
                <w:spacing w:val="-6"/>
                <w:sz w:val="16"/>
              </w:rPr>
              <w:t> </w:t>
            </w:r>
            <w:r>
              <w:rPr>
                <w:spacing w:val="-2"/>
                <w:sz w:val="16"/>
              </w:rPr>
              <w:t>έξοδα</w:t>
            </w:r>
          </w:p>
        </w:tc>
        <w:tc>
          <w:tcPr>
            <w:tcW w:w="1279" w:type="dxa"/>
            <w:shd w:val="clear" w:color="auto" w:fill="D9D9D9"/>
          </w:tcPr>
          <w:p>
            <w:pPr>
              <w:pStyle w:val="TableParagraph"/>
              <w:spacing w:before="35"/>
              <w:ind w:right="108"/>
              <w:jc w:val="right"/>
              <w:rPr>
                <w:sz w:val="16"/>
              </w:rPr>
            </w:pPr>
            <w:r>
              <w:rPr>
                <w:spacing w:val="-2"/>
                <w:sz w:val="16"/>
              </w:rPr>
              <w:t>-1.396</w:t>
            </w:r>
          </w:p>
        </w:tc>
        <w:tc>
          <w:tcPr>
            <w:tcW w:w="1162" w:type="dxa"/>
            <w:shd w:val="clear" w:color="auto" w:fill="D9D9D9"/>
          </w:tcPr>
          <w:p>
            <w:pPr>
              <w:pStyle w:val="TableParagraph"/>
              <w:spacing w:before="35"/>
              <w:ind w:right="108"/>
              <w:jc w:val="right"/>
              <w:rPr>
                <w:sz w:val="16"/>
              </w:rPr>
            </w:pPr>
            <w:r>
              <w:rPr>
                <w:spacing w:val="-2"/>
                <w:sz w:val="16"/>
              </w:rPr>
              <w:t>-1.598</w:t>
            </w:r>
          </w:p>
        </w:tc>
        <w:tc>
          <w:tcPr>
            <w:tcW w:w="1417" w:type="dxa"/>
            <w:shd w:val="clear" w:color="auto" w:fill="D9D9D9"/>
          </w:tcPr>
          <w:p>
            <w:pPr>
              <w:pStyle w:val="TableParagraph"/>
              <w:spacing w:before="35"/>
              <w:ind w:right="106"/>
              <w:jc w:val="right"/>
              <w:rPr>
                <w:sz w:val="16"/>
              </w:rPr>
            </w:pPr>
            <w:r>
              <w:rPr>
                <w:spacing w:val="-4"/>
                <w:sz w:val="16"/>
              </w:rPr>
              <w:t>14,4</w:t>
            </w:r>
          </w:p>
        </w:tc>
      </w:tr>
      <w:tr>
        <w:trPr>
          <w:trHeight w:val="254" w:hRule="atLeast"/>
        </w:trPr>
        <w:tc>
          <w:tcPr>
            <w:tcW w:w="4677" w:type="dxa"/>
            <w:shd w:val="clear" w:color="auto" w:fill="BEBEBE"/>
          </w:tcPr>
          <w:p>
            <w:pPr>
              <w:pStyle w:val="TableParagraph"/>
              <w:spacing w:before="35"/>
              <w:ind w:left="268"/>
              <w:rPr>
                <w:sz w:val="16"/>
              </w:rPr>
            </w:pPr>
            <w:r>
              <w:rPr>
                <w:spacing w:val="-2"/>
                <w:sz w:val="16"/>
              </w:rPr>
              <w:t>Αποσβέσεις</w:t>
            </w:r>
          </w:p>
        </w:tc>
        <w:tc>
          <w:tcPr>
            <w:tcW w:w="1279" w:type="dxa"/>
            <w:shd w:val="clear" w:color="auto" w:fill="BEBEBE"/>
          </w:tcPr>
          <w:p>
            <w:pPr>
              <w:pStyle w:val="TableParagraph"/>
              <w:spacing w:before="35"/>
              <w:ind w:right="108"/>
              <w:jc w:val="right"/>
              <w:rPr>
                <w:sz w:val="16"/>
              </w:rPr>
            </w:pPr>
            <w:r>
              <w:rPr>
                <w:spacing w:val="-2"/>
                <w:sz w:val="16"/>
              </w:rPr>
              <w:t>-</w:t>
            </w:r>
            <w:r>
              <w:rPr>
                <w:spacing w:val="-5"/>
                <w:sz w:val="16"/>
              </w:rPr>
              <w:t>662</w:t>
            </w:r>
          </w:p>
        </w:tc>
        <w:tc>
          <w:tcPr>
            <w:tcW w:w="1162" w:type="dxa"/>
            <w:shd w:val="clear" w:color="auto" w:fill="BEBEBE"/>
          </w:tcPr>
          <w:p>
            <w:pPr>
              <w:pStyle w:val="TableParagraph"/>
              <w:spacing w:before="35"/>
              <w:ind w:right="108"/>
              <w:jc w:val="right"/>
              <w:rPr>
                <w:sz w:val="16"/>
              </w:rPr>
            </w:pPr>
            <w:r>
              <w:rPr>
                <w:spacing w:val="-2"/>
                <w:sz w:val="16"/>
              </w:rPr>
              <w:t>-</w:t>
            </w:r>
            <w:r>
              <w:rPr>
                <w:spacing w:val="-5"/>
                <w:sz w:val="16"/>
              </w:rPr>
              <w:t>682</w:t>
            </w:r>
          </w:p>
        </w:tc>
        <w:tc>
          <w:tcPr>
            <w:tcW w:w="1417" w:type="dxa"/>
            <w:shd w:val="clear" w:color="auto" w:fill="BEBEBE"/>
          </w:tcPr>
          <w:p>
            <w:pPr>
              <w:pStyle w:val="TableParagraph"/>
              <w:spacing w:before="35"/>
              <w:ind w:right="106"/>
              <w:jc w:val="right"/>
              <w:rPr>
                <w:sz w:val="16"/>
              </w:rPr>
            </w:pPr>
            <w:r>
              <w:rPr>
                <w:spacing w:val="-5"/>
                <w:sz w:val="16"/>
              </w:rPr>
              <w:t>3,0</w:t>
            </w:r>
          </w:p>
        </w:tc>
      </w:tr>
      <w:tr>
        <w:trPr>
          <w:trHeight w:val="254" w:hRule="atLeast"/>
        </w:trPr>
        <w:tc>
          <w:tcPr>
            <w:tcW w:w="4677" w:type="dxa"/>
            <w:shd w:val="clear" w:color="auto" w:fill="D9D9D9"/>
          </w:tcPr>
          <w:p>
            <w:pPr>
              <w:pStyle w:val="TableParagraph"/>
              <w:spacing w:before="38"/>
              <w:ind w:left="108"/>
              <w:rPr>
                <w:b/>
                <w:sz w:val="16"/>
              </w:rPr>
            </w:pPr>
            <w:r>
              <w:rPr>
                <w:b/>
                <w:color w:val="1F487C"/>
                <w:sz w:val="16"/>
              </w:rPr>
              <w:t>Καθαρά</w:t>
            </w:r>
            <w:r>
              <w:rPr>
                <w:b/>
                <w:color w:val="1F487C"/>
                <w:spacing w:val="-7"/>
                <w:sz w:val="16"/>
              </w:rPr>
              <w:t> </w:t>
            </w:r>
            <w:r>
              <w:rPr>
                <w:b/>
                <w:color w:val="1F487C"/>
                <w:sz w:val="16"/>
              </w:rPr>
              <w:t>έσοδα</w:t>
            </w:r>
            <w:r>
              <w:rPr>
                <w:b/>
                <w:color w:val="1F487C"/>
                <w:spacing w:val="-7"/>
                <w:sz w:val="16"/>
              </w:rPr>
              <w:t> </w:t>
            </w:r>
            <w:r>
              <w:rPr>
                <w:b/>
                <w:color w:val="1F487C"/>
                <w:sz w:val="16"/>
              </w:rPr>
              <w:t>(λε</w:t>
            </w:r>
            <w:r>
              <w:rPr>
                <w:b/>
                <w:smallCaps/>
                <w:color w:val="1F487C"/>
                <w:sz w:val="16"/>
              </w:rPr>
              <w:t>ι</w:t>
            </w:r>
            <w:r>
              <w:rPr>
                <w:b/>
                <w:smallCaps w:val="0"/>
                <w:color w:val="1F487C"/>
                <w:sz w:val="16"/>
              </w:rPr>
              <w:t>τουργ</w:t>
            </w:r>
            <w:r>
              <w:rPr>
                <w:b/>
                <w:smallCaps/>
                <w:color w:val="1F487C"/>
                <w:sz w:val="16"/>
              </w:rPr>
              <w:t>ι</w:t>
            </w:r>
            <w:r>
              <w:rPr>
                <w:b/>
                <w:smallCaps w:val="0"/>
                <w:color w:val="1F487C"/>
                <w:sz w:val="16"/>
              </w:rPr>
              <w:t>κά</w:t>
            </w:r>
            <w:r>
              <w:rPr>
                <w:b/>
                <w:smallCaps w:val="0"/>
                <w:color w:val="1F487C"/>
                <w:spacing w:val="-10"/>
                <w:sz w:val="16"/>
              </w:rPr>
              <w:t> </w:t>
            </w:r>
            <w:r>
              <w:rPr>
                <w:b/>
                <w:smallCaps w:val="0"/>
                <w:color w:val="1F487C"/>
                <w:sz w:val="16"/>
              </w:rPr>
              <w:t>έσοδα</w:t>
            </w:r>
            <w:r>
              <w:rPr>
                <w:b/>
                <w:smallCaps w:val="0"/>
                <w:color w:val="1F487C"/>
                <w:spacing w:val="-7"/>
                <w:sz w:val="16"/>
              </w:rPr>
              <w:t> </w:t>
            </w:r>
            <w:r>
              <w:rPr>
                <w:b/>
                <w:smallCaps w:val="0"/>
                <w:color w:val="1F487C"/>
                <w:sz w:val="16"/>
              </w:rPr>
              <w:t>–</w:t>
            </w:r>
            <w:r>
              <w:rPr>
                <w:b/>
                <w:smallCaps w:val="0"/>
                <w:color w:val="1F487C"/>
                <w:spacing w:val="-4"/>
                <w:sz w:val="16"/>
              </w:rPr>
              <w:t> </w:t>
            </w:r>
            <w:r>
              <w:rPr>
                <w:b/>
                <w:smallCaps w:val="0"/>
                <w:color w:val="1F487C"/>
                <w:sz w:val="16"/>
              </w:rPr>
              <w:t>λε</w:t>
            </w:r>
            <w:r>
              <w:rPr>
                <w:b/>
                <w:smallCaps/>
                <w:color w:val="1F487C"/>
                <w:sz w:val="16"/>
              </w:rPr>
              <w:t>ι</w:t>
            </w:r>
            <w:r>
              <w:rPr>
                <w:b/>
                <w:smallCaps w:val="0"/>
                <w:color w:val="1F487C"/>
                <w:sz w:val="16"/>
              </w:rPr>
              <w:t>τουργ</w:t>
            </w:r>
            <w:r>
              <w:rPr>
                <w:b/>
                <w:smallCaps/>
                <w:color w:val="1F487C"/>
                <w:sz w:val="16"/>
              </w:rPr>
              <w:t>ι</w:t>
            </w:r>
            <w:r>
              <w:rPr>
                <w:b/>
                <w:smallCaps w:val="0"/>
                <w:color w:val="1F487C"/>
                <w:sz w:val="16"/>
              </w:rPr>
              <w:t>κά</w:t>
            </w:r>
            <w:r>
              <w:rPr>
                <w:b/>
                <w:smallCaps w:val="0"/>
                <w:color w:val="1F487C"/>
                <w:spacing w:val="-8"/>
                <w:sz w:val="16"/>
              </w:rPr>
              <w:t> </w:t>
            </w:r>
            <w:r>
              <w:rPr>
                <w:b/>
                <w:smallCaps w:val="0"/>
                <w:color w:val="1F487C"/>
                <w:spacing w:val="-2"/>
                <w:sz w:val="16"/>
              </w:rPr>
              <w:t>έξοδα)</w:t>
            </w:r>
          </w:p>
        </w:tc>
        <w:tc>
          <w:tcPr>
            <w:tcW w:w="1279" w:type="dxa"/>
            <w:shd w:val="clear" w:color="auto" w:fill="D9D9D9"/>
          </w:tcPr>
          <w:p>
            <w:pPr>
              <w:pStyle w:val="TableParagraph"/>
              <w:spacing w:before="38"/>
              <w:ind w:right="108"/>
              <w:jc w:val="right"/>
              <w:rPr>
                <w:b/>
                <w:sz w:val="16"/>
              </w:rPr>
            </w:pPr>
            <w:r>
              <w:rPr>
                <w:b/>
                <w:color w:val="1F487C"/>
                <w:spacing w:val="-2"/>
                <w:sz w:val="16"/>
              </w:rPr>
              <w:t>7.554</w:t>
            </w:r>
          </w:p>
        </w:tc>
        <w:tc>
          <w:tcPr>
            <w:tcW w:w="1162" w:type="dxa"/>
            <w:shd w:val="clear" w:color="auto" w:fill="D9D9D9"/>
          </w:tcPr>
          <w:p>
            <w:pPr>
              <w:pStyle w:val="TableParagraph"/>
              <w:spacing w:before="38"/>
              <w:ind w:right="108"/>
              <w:jc w:val="right"/>
              <w:rPr>
                <w:b/>
                <w:sz w:val="16"/>
              </w:rPr>
            </w:pPr>
            <w:r>
              <w:rPr>
                <w:b/>
                <w:color w:val="1F487C"/>
                <w:spacing w:val="-2"/>
                <w:sz w:val="16"/>
              </w:rPr>
              <w:t>7.307</w:t>
            </w:r>
          </w:p>
        </w:tc>
        <w:tc>
          <w:tcPr>
            <w:tcW w:w="1417" w:type="dxa"/>
            <w:shd w:val="clear" w:color="auto" w:fill="D9D9D9"/>
          </w:tcPr>
          <w:p>
            <w:pPr>
              <w:pStyle w:val="TableParagraph"/>
              <w:spacing w:before="38"/>
              <w:ind w:right="106"/>
              <w:jc w:val="right"/>
              <w:rPr>
                <w:b/>
                <w:sz w:val="16"/>
              </w:rPr>
            </w:pPr>
            <w:r>
              <w:rPr>
                <w:b/>
                <w:color w:val="1F487C"/>
                <w:spacing w:val="-2"/>
                <w:sz w:val="16"/>
              </w:rPr>
              <w:t>-</w:t>
            </w:r>
            <w:r>
              <w:rPr>
                <w:b/>
                <w:color w:val="1F487C"/>
                <w:spacing w:val="-5"/>
                <w:sz w:val="16"/>
              </w:rPr>
              <w:t>3,3</w:t>
            </w:r>
          </w:p>
        </w:tc>
      </w:tr>
      <w:tr>
        <w:trPr>
          <w:trHeight w:val="256" w:hRule="atLeast"/>
        </w:trPr>
        <w:tc>
          <w:tcPr>
            <w:tcW w:w="4677" w:type="dxa"/>
            <w:shd w:val="clear" w:color="auto" w:fill="BEBEBE"/>
          </w:tcPr>
          <w:p>
            <w:pPr>
              <w:pStyle w:val="TableParagraph"/>
              <w:spacing w:before="38"/>
              <w:ind w:left="268"/>
              <w:rPr>
                <w:sz w:val="16"/>
              </w:rPr>
            </w:pPr>
            <w:r>
              <w:rPr>
                <w:sz w:val="16"/>
              </w:rPr>
              <w:t>Προβλέψεις</w:t>
            </w:r>
            <w:r>
              <w:rPr>
                <w:spacing w:val="-4"/>
                <w:sz w:val="16"/>
              </w:rPr>
              <w:t> </w:t>
            </w:r>
            <w:r>
              <w:rPr>
                <w:sz w:val="16"/>
              </w:rPr>
              <w:t>για</w:t>
            </w:r>
            <w:r>
              <w:rPr>
                <w:spacing w:val="-3"/>
                <w:sz w:val="16"/>
              </w:rPr>
              <w:t> </w:t>
            </w:r>
            <w:r>
              <w:rPr>
                <w:sz w:val="16"/>
              </w:rPr>
              <w:t>τον</w:t>
            </w:r>
            <w:r>
              <w:rPr>
                <w:spacing w:val="-6"/>
                <w:sz w:val="16"/>
              </w:rPr>
              <w:t> </w:t>
            </w:r>
            <w:r>
              <w:rPr>
                <w:sz w:val="16"/>
              </w:rPr>
              <w:t>πιστωτικό</w:t>
            </w:r>
            <w:r>
              <w:rPr>
                <w:spacing w:val="-3"/>
                <w:sz w:val="16"/>
              </w:rPr>
              <w:t> </w:t>
            </w:r>
            <w:r>
              <w:rPr>
                <w:spacing w:val="-2"/>
                <w:sz w:val="16"/>
              </w:rPr>
              <w:t>κίνδυνο</w:t>
            </w:r>
          </w:p>
        </w:tc>
        <w:tc>
          <w:tcPr>
            <w:tcW w:w="1279" w:type="dxa"/>
            <w:shd w:val="clear" w:color="auto" w:fill="BEBEBE"/>
          </w:tcPr>
          <w:p>
            <w:pPr>
              <w:pStyle w:val="TableParagraph"/>
              <w:spacing w:before="38"/>
              <w:ind w:right="109"/>
              <w:jc w:val="right"/>
              <w:rPr>
                <w:sz w:val="16"/>
              </w:rPr>
            </w:pPr>
            <w:r>
              <w:rPr>
                <w:spacing w:val="-2"/>
                <w:sz w:val="16"/>
              </w:rPr>
              <w:t>-1.658</w:t>
            </w:r>
          </w:p>
        </w:tc>
        <w:tc>
          <w:tcPr>
            <w:tcW w:w="1162" w:type="dxa"/>
            <w:shd w:val="clear" w:color="auto" w:fill="BEBEBE"/>
          </w:tcPr>
          <w:p>
            <w:pPr>
              <w:pStyle w:val="TableParagraph"/>
              <w:spacing w:before="38"/>
              <w:ind w:right="109"/>
              <w:jc w:val="right"/>
              <w:rPr>
                <w:sz w:val="16"/>
              </w:rPr>
            </w:pPr>
            <w:r>
              <w:rPr>
                <w:spacing w:val="-2"/>
                <w:sz w:val="16"/>
              </w:rPr>
              <w:t>-1.220</w:t>
            </w:r>
          </w:p>
        </w:tc>
        <w:tc>
          <w:tcPr>
            <w:tcW w:w="1417" w:type="dxa"/>
            <w:shd w:val="clear" w:color="auto" w:fill="BEBEBE"/>
          </w:tcPr>
          <w:p>
            <w:pPr>
              <w:pStyle w:val="TableParagraph"/>
              <w:spacing w:before="38"/>
              <w:ind w:right="106"/>
              <w:jc w:val="right"/>
              <w:rPr>
                <w:sz w:val="16"/>
              </w:rPr>
            </w:pPr>
            <w:r>
              <w:rPr>
                <w:spacing w:val="-2"/>
                <w:sz w:val="16"/>
              </w:rPr>
              <w:t>-</w:t>
            </w:r>
            <w:r>
              <w:rPr>
                <w:spacing w:val="-4"/>
                <w:sz w:val="16"/>
              </w:rPr>
              <w:t>26,4</w:t>
            </w:r>
          </w:p>
        </w:tc>
      </w:tr>
      <w:tr>
        <w:trPr>
          <w:trHeight w:val="254" w:hRule="atLeast"/>
        </w:trPr>
        <w:tc>
          <w:tcPr>
            <w:tcW w:w="4677" w:type="dxa"/>
            <w:shd w:val="clear" w:color="auto" w:fill="D9D9D9"/>
          </w:tcPr>
          <w:p>
            <w:pPr>
              <w:pStyle w:val="TableParagraph"/>
              <w:spacing w:before="35"/>
              <w:ind w:left="268"/>
              <w:rPr>
                <w:sz w:val="16"/>
              </w:rPr>
            </w:pPr>
            <w:r>
              <w:rPr>
                <w:sz w:val="16"/>
              </w:rPr>
              <w:t>Λοιπές</w:t>
            </w:r>
            <w:r>
              <w:rPr>
                <w:spacing w:val="-4"/>
                <w:sz w:val="16"/>
              </w:rPr>
              <w:t> </w:t>
            </w:r>
            <w:r>
              <w:rPr>
                <w:sz w:val="16"/>
              </w:rPr>
              <w:t>ζημίες</w:t>
            </w:r>
            <w:r>
              <w:rPr>
                <w:spacing w:val="-4"/>
                <w:sz w:val="16"/>
              </w:rPr>
              <w:t> </w:t>
            </w:r>
            <w:r>
              <w:rPr>
                <w:spacing w:val="-2"/>
                <w:sz w:val="16"/>
              </w:rPr>
              <w:t>απομείωσης</w:t>
            </w:r>
          </w:p>
        </w:tc>
        <w:tc>
          <w:tcPr>
            <w:tcW w:w="1279" w:type="dxa"/>
            <w:shd w:val="clear" w:color="auto" w:fill="D9D9D9"/>
          </w:tcPr>
          <w:p>
            <w:pPr>
              <w:pStyle w:val="TableParagraph"/>
              <w:spacing w:before="35"/>
              <w:ind w:right="108"/>
              <w:jc w:val="right"/>
              <w:rPr>
                <w:sz w:val="16"/>
              </w:rPr>
            </w:pPr>
            <w:r>
              <w:rPr>
                <w:spacing w:val="-2"/>
                <w:sz w:val="16"/>
              </w:rPr>
              <w:t>-</w:t>
            </w:r>
            <w:r>
              <w:rPr>
                <w:spacing w:val="-5"/>
                <w:sz w:val="16"/>
              </w:rPr>
              <w:t>372</w:t>
            </w:r>
          </w:p>
        </w:tc>
        <w:tc>
          <w:tcPr>
            <w:tcW w:w="1162" w:type="dxa"/>
            <w:shd w:val="clear" w:color="auto" w:fill="D9D9D9"/>
          </w:tcPr>
          <w:p>
            <w:pPr>
              <w:pStyle w:val="TableParagraph"/>
              <w:spacing w:before="35"/>
              <w:ind w:right="109"/>
              <w:jc w:val="right"/>
              <w:rPr>
                <w:sz w:val="16"/>
              </w:rPr>
            </w:pPr>
            <w:r>
              <w:rPr>
                <w:spacing w:val="-2"/>
                <w:sz w:val="16"/>
              </w:rPr>
              <w:t>-</w:t>
            </w:r>
            <w:r>
              <w:rPr>
                <w:spacing w:val="-5"/>
                <w:sz w:val="16"/>
              </w:rPr>
              <w:t>214</w:t>
            </w:r>
          </w:p>
        </w:tc>
        <w:tc>
          <w:tcPr>
            <w:tcW w:w="1417" w:type="dxa"/>
            <w:shd w:val="clear" w:color="auto" w:fill="D9D9D9"/>
          </w:tcPr>
          <w:p>
            <w:pPr>
              <w:pStyle w:val="TableParagraph"/>
              <w:spacing w:before="35"/>
              <w:ind w:right="106"/>
              <w:jc w:val="right"/>
              <w:rPr>
                <w:sz w:val="16"/>
              </w:rPr>
            </w:pPr>
            <w:r>
              <w:rPr>
                <w:spacing w:val="-2"/>
                <w:sz w:val="16"/>
              </w:rPr>
              <w:t>-</w:t>
            </w:r>
            <w:r>
              <w:rPr>
                <w:spacing w:val="-4"/>
                <w:sz w:val="16"/>
              </w:rPr>
              <w:t>42,5</w:t>
            </w:r>
          </w:p>
        </w:tc>
      </w:tr>
      <w:tr>
        <w:trPr>
          <w:trHeight w:val="254" w:hRule="atLeast"/>
        </w:trPr>
        <w:tc>
          <w:tcPr>
            <w:tcW w:w="4677" w:type="dxa"/>
            <w:shd w:val="clear" w:color="auto" w:fill="BEBEBE"/>
          </w:tcPr>
          <w:p>
            <w:pPr>
              <w:pStyle w:val="TableParagraph"/>
              <w:spacing w:before="35"/>
              <w:ind w:left="268"/>
              <w:rPr>
                <w:sz w:val="16"/>
              </w:rPr>
            </w:pPr>
            <w:r>
              <w:rPr>
                <w:sz w:val="16"/>
              </w:rPr>
              <w:t>Μη</w:t>
            </w:r>
            <w:r>
              <w:rPr>
                <w:spacing w:val="-9"/>
                <w:sz w:val="16"/>
              </w:rPr>
              <w:t> </w:t>
            </w:r>
            <w:r>
              <w:rPr>
                <w:sz w:val="16"/>
              </w:rPr>
              <w:t>επαναλαμβανόμενα</w:t>
            </w:r>
            <w:r>
              <w:rPr>
                <w:spacing w:val="-10"/>
                <w:sz w:val="16"/>
              </w:rPr>
              <w:t> </w:t>
            </w:r>
            <w:r>
              <w:rPr>
                <w:spacing w:val="-2"/>
                <w:sz w:val="16"/>
              </w:rPr>
              <w:t>κέρδη/ζημίες</w:t>
            </w:r>
          </w:p>
        </w:tc>
        <w:tc>
          <w:tcPr>
            <w:tcW w:w="1279" w:type="dxa"/>
            <w:shd w:val="clear" w:color="auto" w:fill="BEBEBE"/>
          </w:tcPr>
          <w:p>
            <w:pPr>
              <w:pStyle w:val="TableParagraph"/>
              <w:spacing w:before="35"/>
              <w:ind w:right="106"/>
              <w:jc w:val="right"/>
              <w:rPr>
                <w:sz w:val="16"/>
              </w:rPr>
            </w:pPr>
            <w:r>
              <w:rPr>
                <w:spacing w:val="-2"/>
                <w:sz w:val="16"/>
              </w:rPr>
              <w:t>-</w:t>
            </w:r>
            <w:r>
              <w:rPr>
                <w:spacing w:val="-7"/>
                <w:sz w:val="16"/>
              </w:rPr>
              <w:t>80</w:t>
            </w:r>
          </w:p>
        </w:tc>
        <w:tc>
          <w:tcPr>
            <w:tcW w:w="1162" w:type="dxa"/>
            <w:shd w:val="clear" w:color="auto" w:fill="BEBEBE"/>
          </w:tcPr>
          <w:p>
            <w:pPr>
              <w:pStyle w:val="TableParagraph"/>
              <w:spacing w:before="35"/>
              <w:ind w:right="107"/>
              <w:jc w:val="right"/>
              <w:rPr>
                <w:sz w:val="16"/>
              </w:rPr>
            </w:pPr>
            <w:r>
              <w:rPr>
                <w:spacing w:val="-2"/>
                <w:sz w:val="16"/>
              </w:rPr>
              <w:t>-</w:t>
            </w:r>
            <w:r>
              <w:rPr>
                <w:spacing w:val="-7"/>
                <w:sz w:val="16"/>
              </w:rPr>
              <w:t>49</w:t>
            </w:r>
          </w:p>
        </w:tc>
        <w:tc>
          <w:tcPr>
            <w:tcW w:w="1417" w:type="dxa"/>
            <w:shd w:val="clear" w:color="auto" w:fill="BEBEBE"/>
          </w:tcPr>
          <w:p>
            <w:pPr>
              <w:pStyle w:val="TableParagraph"/>
              <w:spacing w:before="35"/>
              <w:ind w:right="106"/>
              <w:jc w:val="right"/>
              <w:rPr>
                <w:sz w:val="16"/>
              </w:rPr>
            </w:pPr>
            <w:r>
              <w:rPr>
                <w:spacing w:val="-2"/>
                <w:sz w:val="16"/>
              </w:rPr>
              <w:t>-</w:t>
            </w:r>
            <w:r>
              <w:rPr>
                <w:spacing w:val="-4"/>
                <w:sz w:val="16"/>
              </w:rPr>
              <w:t>39,4</w:t>
            </w:r>
          </w:p>
        </w:tc>
      </w:tr>
      <w:tr>
        <w:trPr>
          <w:trHeight w:val="254" w:hRule="atLeast"/>
        </w:trPr>
        <w:tc>
          <w:tcPr>
            <w:tcW w:w="4677" w:type="dxa"/>
            <w:shd w:val="clear" w:color="auto" w:fill="D9D9D9"/>
          </w:tcPr>
          <w:p>
            <w:pPr>
              <w:pStyle w:val="TableParagraph"/>
              <w:spacing w:before="38"/>
              <w:ind w:left="108"/>
              <w:rPr>
                <w:b/>
                <w:sz w:val="16"/>
              </w:rPr>
            </w:pPr>
            <w:r>
              <w:rPr>
                <w:b/>
                <w:color w:val="1F487C"/>
                <w:sz w:val="16"/>
              </w:rPr>
              <w:t>Κέρδη(+)/Ζημίες</w:t>
            </w:r>
            <w:r>
              <w:rPr>
                <w:b/>
                <w:color w:val="1F487C"/>
                <w:spacing w:val="-8"/>
                <w:sz w:val="16"/>
              </w:rPr>
              <w:t> </w:t>
            </w:r>
            <w:r>
              <w:rPr>
                <w:b/>
                <w:color w:val="1F487C"/>
                <w:sz w:val="16"/>
              </w:rPr>
              <w:t>(-)</w:t>
            </w:r>
            <w:r>
              <w:rPr>
                <w:b/>
                <w:color w:val="1F487C"/>
                <w:spacing w:val="-6"/>
                <w:sz w:val="16"/>
              </w:rPr>
              <w:t> </w:t>
            </w:r>
            <w:r>
              <w:rPr>
                <w:b/>
                <w:color w:val="1F487C"/>
                <w:sz w:val="16"/>
              </w:rPr>
              <w:t>προ</w:t>
            </w:r>
            <w:r>
              <w:rPr>
                <w:b/>
                <w:color w:val="1F487C"/>
                <w:spacing w:val="-3"/>
                <w:sz w:val="16"/>
              </w:rPr>
              <w:t> </w:t>
            </w:r>
            <w:r>
              <w:rPr>
                <w:b/>
                <w:color w:val="1F487C"/>
                <w:spacing w:val="-4"/>
                <w:sz w:val="16"/>
              </w:rPr>
              <w:t>φόρων</w:t>
            </w:r>
          </w:p>
        </w:tc>
        <w:tc>
          <w:tcPr>
            <w:tcW w:w="1279" w:type="dxa"/>
            <w:shd w:val="clear" w:color="auto" w:fill="D9D9D9"/>
          </w:tcPr>
          <w:p>
            <w:pPr>
              <w:pStyle w:val="TableParagraph"/>
              <w:spacing w:before="38"/>
              <w:ind w:right="108"/>
              <w:jc w:val="right"/>
              <w:rPr>
                <w:b/>
                <w:sz w:val="16"/>
              </w:rPr>
            </w:pPr>
            <w:r>
              <w:rPr>
                <w:b/>
                <w:color w:val="1F487C"/>
                <w:spacing w:val="-2"/>
                <w:sz w:val="16"/>
              </w:rPr>
              <w:t>5.444</w:t>
            </w:r>
          </w:p>
        </w:tc>
        <w:tc>
          <w:tcPr>
            <w:tcW w:w="1162" w:type="dxa"/>
            <w:shd w:val="clear" w:color="auto" w:fill="D9D9D9"/>
          </w:tcPr>
          <w:p>
            <w:pPr>
              <w:pStyle w:val="TableParagraph"/>
              <w:spacing w:before="38"/>
              <w:ind w:right="108"/>
              <w:jc w:val="right"/>
              <w:rPr>
                <w:b/>
                <w:sz w:val="16"/>
              </w:rPr>
            </w:pPr>
            <w:r>
              <w:rPr>
                <w:b/>
                <w:color w:val="1F487C"/>
                <w:spacing w:val="-2"/>
                <w:sz w:val="16"/>
              </w:rPr>
              <w:t>5.824</w:t>
            </w:r>
          </w:p>
        </w:tc>
        <w:tc>
          <w:tcPr>
            <w:tcW w:w="1417" w:type="dxa"/>
            <w:shd w:val="clear" w:color="auto" w:fill="D9D9D9"/>
          </w:tcPr>
          <w:p>
            <w:pPr>
              <w:pStyle w:val="TableParagraph"/>
              <w:spacing w:before="38"/>
              <w:ind w:right="106"/>
              <w:jc w:val="right"/>
              <w:rPr>
                <w:b/>
                <w:sz w:val="16"/>
              </w:rPr>
            </w:pPr>
            <w:r>
              <w:rPr>
                <w:b/>
                <w:color w:val="1F487C"/>
                <w:spacing w:val="-5"/>
                <w:sz w:val="16"/>
              </w:rPr>
              <w:t>7,0</w:t>
            </w:r>
          </w:p>
        </w:tc>
      </w:tr>
      <w:tr>
        <w:trPr>
          <w:trHeight w:val="256" w:hRule="atLeast"/>
        </w:trPr>
        <w:tc>
          <w:tcPr>
            <w:tcW w:w="4677" w:type="dxa"/>
            <w:shd w:val="clear" w:color="auto" w:fill="BEBEBE"/>
          </w:tcPr>
          <w:p>
            <w:pPr>
              <w:pStyle w:val="TableParagraph"/>
              <w:spacing w:before="38"/>
              <w:ind w:left="268"/>
              <w:rPr>
                <w:sz w:val="16"/>
              </w:rPr>
            </w:pPr>
            <w:r>
              <w:rPr>
                <w:spacing w:val="-2"/>
                <w:sz w:val="16"/>
              </w:rPr>
              <w:t>Φόροι</w:t>
            </w:r>
          </w:p>
        </w:tc>
        <w:tc>
          <w:tcPr>
            <w:tcW w:w="1279" w:type="dxa"/>
            <w:shd w:val="clear" w:color="auto" w:fill="BEBEBE"/>
          </w:tcPr>
          <w:p>
            <w:pPr>
              <w:pStyle w:val="TableParagraph"/>
              <w:spacing w:before="38"/>
              <w:ind w:right="108"/>
              <w:jc w:val="right"/>
              <w:rPr>
                <w:sz w:val="16"/>
              </w:rPr>
            </w:pPr>
            <w:r>
              <w:rPr>
                <w:spacing w:val="-2"/>
                <w:sz w:val="16"/>
              </w:rPr>
              <w:t>-1.313</w:t>
            </w:r>
          </w:p>
        </w:tc>
        <w:tc>
          <w:tcPr>
            <w:tcW w:w="1162" w:type="dxa"/>
            <w:shd w:val="clear" w:color="auto" w:fill="BEBEBE"/>
          </w:tcPr>
          <w:p>
            <w:pPr>
              <w:pStyle w:val="TableParagraph"/>
              <w:spacing w:before="38"/>
              <w:ind w:right="108"/>
              <w:jc w:val="right"/>
              <w:rPr>
                <w:sz w:val="16"/>
              </w:rPr>
            </w:pPr>
            <w:r>
              <w:rPr>
                <w:spacing w:val="-2"/>
                <w:sz w:val="16"/>
              </w:rPr>
              <w:t>-1.123</w:t>
            </w:r>
          </w:p>
        </w:tc>
        <w:tc>
          <w:tcPr>
            <w:tcW w:w="1417" w:type="dxa"/>
            <w:shd w:val="clear" w:color="auto" w:fill="BEBEBE"/>
          </w:tcPr>
          <w:p>
            <w:pPr>
              <w:pStyle w:val="TableParagraph"/>
              <w:spacing w:before="38"/>
              <w:ind w:right="106"/>
              <w:jc w:val="right"/>
              <w:rPr>
                <w:sz w:val="16"/>
              </w:rPr>
            </w:pPr>
            <w:r>
              <w:rPr>
                <w:spacing w:val="-2"/>
                <w:sz w:val="16"/>
              </w:rPr>
              <w:t>-</w:t>
            </w:r>
            <w:r>
              <w:rPr>
                <w:spacing w:val="-4"/>
                <w:sz w:val="16"/>
              </w:rPr>
              <w:t>14,5</w:t>
            </w:r>
          </w:p>
        </w:tc>
      </w:tr>
      <w:tr>
        <w:trPr>
          <w:trHeight w:val="254" w:hRule="atLeast"/>
        </w:trPr>
        <w:tc>
          <w:tcPr>
            <w:tcW w:w="4677" w:type="dxa"/>
            <w:shd w:val="clear" w:color="auto" w:fill="D9D9D9"/>
          </w:tcPr>
          <w:p>
            <w:pPr>
              <w:pStyle w:val="TableParagraph"/>
              <w:spacing w:before="35"/>
              <w:ind w:left="268"/>
              <w:rPr>
                <w:sz w:val="16"/>
              </w:rPr>
            </w:pPr>
            <w:r>
              <w:rPr>
                <w:sz w:val="16"/>
              </w:rPr>
              <w:t>Κέρδη(+)/Ζημίες(-)</w:t>
            </w:r>
            <w:r>
              <w:rPr>
                <w:spacing w:val="-9"/>
                <w:sz w:val="16"/>
              </w:rPr>
              <w:t> </w:t>
            </w:r>
            <w:r>
              <w:rPr>
                <w:sz w:val="16"/>
              </w:rPr>
              <w:t>από</w:t>
            </w:r>
            <w:r>
              <w:rPr>
                <w:spacing w:val="-9"/>
                <w:sz w:val="16"/>
              </w:rPr>
              <w:t> </w:t>
            </w:r>
            <w:r>
              <w:rPr>
                <w:sz w:val="16"/>
              </w:rPr>
              <w:t>διακοπτόμενες</w:t>
            </w:r>
            <w:r>
              <w:rPr>
                <w:spacing w:val="-8"/>
                <w:sz w:val="16"/>
              </w:rPr>
              <w:t> </w:t>
            </w:r>
            <w:r>
              <w:rPr>
                <w:spacing w:val="-2"/>
                <w:sz w:val="16"/>
              </w:rPr>
              <w:t>δραστηριότητες</w:t>
            </w:r>
          </w:p>
        </w:tc>
        <w:tc>
          <w:tcPr>
            <w:tcW w:w="1279" w:type="dxa"/>
            <w:shd w:val="clear" w:color="auto" w:fill="D9D9D9"/>
          </w:tcPr>
          <w:p>
            <w:pPr>
              <w:pStyle w:val="TableParagraph"/>
              <w:spacing w:before="35"/>
              <w:ind w:right="106"/>
              <w:jc w:val="right"/>
              <w:rPr>
                <w:sz w:val="16"/>
              </w:rPr>
            </w:pPr>
            <w:r>
              <w:rPr>
                <w:spacing w:val="-5"/>
                <w:sz w:val="16"/>
              </w:rPr>
              <w:t>50</w:t>
            </w:r>
          </w:p>
        </w:tc>
        <w:tc>
          <w:tcPr>
            <w:tcW w:w="1162" w:type="dxa"/>
            <w:shd w:val="clear" w:color="auto" w:fill="D9D9D9"/>
          </w:tcPr>
          <w:p>
            <w:pPr>
              <w:pStyle w:val="TableParagraph"/>
              <w:spacing w:before="35"/>
              <w:ind w:right="107"/>
              <w:jc w:val="right"/>
              <w:rPr>
                <w:sz w:val="16"/>
              </w:rPr>
            </w:pPr>
            <w:r>
              <w:rPr>
                <w:spacing w:val="-5"/>
                <w:sz w:val="16"/>
              </w:rPr>
              <w:t>15</w:t>
            </w:r>
          </w:p>
        </w:tc>
        <w:tc>
          <w:tcPr>
            <w:tcW w:w="1417" w:type="dxa"/>
            <w:shd w:val="clear" w:color="auto" w:fill="D9D9D9"/>
          </w:tcPr>
          <w:p>
            <w:pPr>
              <w:pStyle w:val="TableParagraph"/>
              <w:spacing w:before="35"/>
              <w:ind w:right="106"/>
              <w:jc w:val="right"/>
              <w:rPr>
                <w:sz w:val="16"/>
              </w:rPr>
            </w:pPr>
            <w:r>
              <w:rPr>
                <w:spacing w:val="-2"/>
                <w:sz w:val="16"/>
              </w:rPr>
              <w:t>-</w:t>
            </w:r>
            <w:r>
              <w:rPr>
                <w:spacing w:val="-4"/>
                <w:sz w:val="16"/>
              </w:rPr>
              <w:t>70,0</w:t>
            </w:r>
          </w:p>
        </w:tc>
      </w:tr>
      <w:tr>
        <w:trPr>
          <w:trHeight w:val="254" w:hRule="atLeast"/>
        </w:trPr>
        <w:tc>
          <w:tcPr>
            <w:tcW w:w="4677" w:type="dxa"/>
            <w:shd w:val="clear" w:color="auto" w:fill="BEBEBE"/>
          </w:tcPr>
          <w:p>
            <w:pPr>
              <w:pStyle w:val="TableParagraph"/>
              <w:spacing w:before="35"/>
              <w:ind w:left="108"/>
              <w:rPr>
                <w:b/>
                <w:sz w:val="16"/>
              </w:rPr>
            </w:pPr>
            <w:r>
              <w:rPr>
                <w:b/>
                <w:color w:val="1F487C"/>
                <w:sz w:val="16"/>
              </w:rPr>
              <w:t>Κέρδη(+)/Ζημίες</w:t>
            </w:r>
            <w:r>
              <w:rPr>
                <w:b/>
                <w:color w:val="1F487C"/>
                <w:spacing w:val="-8"/>
                <w:sz w:val="16"/>
              </w:rPr>
              <w:t> </w:t>
            </w:r>
            <w:r>
              <w:rPr>
                <w:b/>
                <w:color w:val="1F487C"/>
                <w:sz w:val="16"/>
              </w:rPr>
              <w:t>(-)</w:t>
            </w:r>
            <w:r>
              <w:rPr>
                <w:b/>
                <w:color w:val="1F487C"/>
                <w:spacing w:val="-5"/>
                <w:sz w:val="16"/>
              </w:rPr>
              <w:t> </w:t>
            </w:r>
            <w:r>
              <w:rPr>
                <w:b/>
                <w:color w:val="1F487C"/>
                <w:sz w:val="16"/>
              </w:rPr>
              <w:t>μετά</w:t>
            </w:r>
            <w:r>
              <w:rPr>
                <w:b/>
                <w:color w:val="1F487C"/>
                <w:spacing w:val="-4"/>
                <w:sz w:val="16"/>
              </w:rPr>
              <w:t> </w:t>
            </w:r>
            <w:r>
              <w:rPr>
                <w:b/>
                <w:color w:val="1F487C"/>
                <w:sz w:val="16"/>
              </w:rPr>
              <w:t>από</w:t>
            </w:r>
            <w:r>
              <w:rPr>
                <w:b/>
                <w:color w:val="1F487C"/>
                <w:spacing w:val="-5"/>
                <w:sz w:val="16"/>
              </w:rPr>
              <w:t> </w:t>
            </w:r>
            <w:r>
              <w:rPr>
                <w:b/>
                <w:color w:val="1F487C"/>
                <w:spacing w:val="-2"/>
                <w:sz w:val="16"/>
              </w:rPr>
              <w:t>φόρους</w:t>
            </w:r>
          </w:p>
        </w:tc>
        <w:tc>
          <w:tcPr>
            <w:tcW w:w="1279" w:type="dxa"/>
            <w:shd w:val="clear" w:color="auto" w:fill="BEBEBE"/>
          </w:tcPr>
          <w:p>
            <w:pPr>
              <w:pStyle w:val="TableParagraph"/>
              <w:spacing w:before="35"/>
              <w:ind w:right="108"/>
              <w:jc w:val="right"/>
              <w:rPr>
                <w:b/>
                <w:sz w:val="16"/>
              </w:rPr>
            </w:pPr>
            <w:r>
              <w:rPr>
                <w:b/>
                <w:color w:val="1F487C"/>
                <w:spacing w:val="-2"/>
                <w:sz w:val="16"/>
              </w:rPr>
              <w:t>4.181</w:t>
            </w:r>
          </w:p>
        </w:tc>
        <w:tc>
          <w:tcPr>
            <w:tcW w:w="1162" w:type="dxa"/>
            <w:shd w:val="clear" w:color="auto" w:fill="BEBEBE"/>
          </w:tcPr>
          <w:p>
            <w:pPr>
              <w:pStyle w:val="TableParagraph"/>
              <w:spacing w:before="35"/>
              <w:ind w:right="108"/>
              <w:jc w:val="right"/>
              <w:rPr>
                <w:b/>
                <w:sz w:val="16"/>
              </w:rPr>
            </w:pPr>
            <w:r>
              <w:rPr>
                <w:b/>
                <w:color w:val="1F487C"/>
                <w:spacing w:val="-2"/>
                <w:sz w:val="16"/>
              </w:rPr>
              <w:t>4.716</w:t>
            </w:r>
          </w:p>
        </w:tc>
        <w:tc>
          <w:tcPr>
            <w:tcW w:w="1417" w:type="dxa"/>
            <w:shd w:val="clear" w:color="auto" w:fill="BEBEBE"/>
          </w:tcPr>
          <w:p>
            <w:pPr>
              <w:pStyle w:val="TableParagraph"/>
              <w:spacing w:before="35"/>
              <w:ind w:right="106"/>
              <w:jc w:val="right"/>
              <w:rPr>
                <w:sz w:val="16"/>
              </w:rPr>
            </w:pPr>
            <w:r>
              <w:rPr>
                <w:spacing w:val="-4"/>
                <w:sz w:val="16"/>
              </w:rPr>
              <w:t>12,8</w:t>
            </w:r>
          </w:p>
        </w:tc>
      </w:tr>
      <w:tr>
        <w:trPr>
          <w:trHeight w:val="782" w:hRule="atLeast"/>
        </w:trPr>
        <w:tc>
          <w:tcPr>
            <w:tcW w:w="8535" w:type="dxa"/>
            <w:gridSpan w:val="4"/>
            <w:shd w:val="clear" w:color="auto" w:fill="D9D9D9"/>
          </w:tcPr>
          <w:p>
            <w:pPr>
              <w:pStyle w:val="TableParagraph"/>
              <w:spacing w:before="119"/>
              <w:ind w:left="220"/>
              <w:rPr>
                <w:sz w:val="14"/>
              </w:rPr>
            </w:pPr>
            <w:r>
              <w:rPr>
                <w:sz w:val="14"/>
              </w:rPr>
              <w:t>Πηγή:</w:t>
            </w:r>
            <w:r>
              <w:rPr>
                <w:spacing w:val="-5"/>
                <w:sz w:val="14"/>
              </w:rPr>
              <w:t> </w:t>
            </w:r>
            <w:r>
              <w:rPr>
                <w:sz w:val="14"/>
              </w:rPr>
              <w:t>Οικονομικές</w:t>
            </w:r>
            <w:r>
              <w:rPr>
                <w:spacing w:val="-5"/>
                <w:sz w:val="14"/>
              </w:rPr>
              <w:t> </w:t>
            </w:r>
            <w:r>
              <w:rPr>
                <w:sz w:val="14"/>
              </w:rPr>
              <w:t>καταστάσεις</w:t>
            </w:r>
            <w:r>
              <w:rPr>
                <w:spacing w:val="-4"/>
                <w:sz w:val="14"/>
              </w:rPr>
              <w:t> </w:t>
            </w:r>
            <w:r>
              <w:rPr>
                <w:sz w:val="14"/>
              </w:rPr>
              <w:t>για</w:t>
            </w:r>
            <w:r>
              <w:rPr>
                <w:spacing w:val="-6"/>
                <w:sz w:val="14"/>
              </w:rPr>
              <w:t> </w:t>
            </w:r>
            <w:r>
              <w:rPr>
                <w:sz w:val="14"/>
              </w:rPr>
              <w:t>τις</w:t>
            </w:r>
            <w:r>
              <w:rPr>
                <w:spacing w:val="-5"/>
                <w:sz w:val="14"/>
              </w:rPr>
              <w:t> </w:t>
            </w:r>
            <w:r>
              <w:rPr>
                <w:sz w:val="14"/>
              </w:rPr>
              <w:t>τέσσερις</w:t>
            </w:r>
            <w:r>
              <w:rPr>
                <w:spacing w:val="-4"/>
                <w:sz w:val="14"/>
              </w:rPr>
              <w:t> </w:t>
            </w:r>
            <w:r>
              <w:rPr>
                <w:sz w:val="14"/>
              </w:rPr>
              <w:t>σημαντικές</w:t>
            </w:r>
            <w:r>
              <w:rPr>
                <w:spacing w:val="-5"/>
                <w:sz w:val="14"/>
              </w:rPr>
              <w:t> </w:t>
            </w:r>
            <w:r>
              <w:rPr>
                <w:sz w:val="14"/>
              </w:rPr>
              <w:t>τράπεζες</w:t>
            </w:r>
            <w:r>
              <w:rPr>
                <w:spacing w:val="-5"/>
                <w:sz w:val="14"/>
              </w:rPr>
              <w:t> </w:t>
            </w:r>
            <w:r>
              <w:rPr>
                <w:sz w:val="14"/>
              </w:rPr>
              <w:t>(SIs)</w:t>
            </w:r>
            <w:r>
              <w:rPr>
                <w:spacing w:val="-4"/>
                <w:sz w:val="14"/>
              </w:rPr>
              <w:t> </w:t>
            </w:r>
            <w:r>
              <w:rPr>
                <w:sz w:val="14"/>
              </w:rPr>
              <w:t>και</w:t>
            </w:r>
            <w:r>
              <w:rPr>
                <w:spacing w:val="-4"/>
                <w:sz w:val="14"/>
              </w:rPr>
              <w:t> </w:t>
            </w:r>
            <w:r>
              <w:rPr>
                <w:sz w:val="14"/>
              </w:rPr>
              <w:t>εποπτικά</w:t>
            </w:r>
            <w:r>
              <w:rPr>
                <w:spacing w:val="-6"/>
                <w:sz w:val="14"/>
              </w:rPr>
              <w:t> </w:t>
            </w:r>
            <w:r>
              <w:rPr>
                <w:sz w:val="14"/>
              </w:rPr>
              <w:t>στοιχεία</w:t>
            </w:r>
            <w:r>
              <w:rPr>
                <w:spacing w:val="-5"/>
                <w:sz w:val="14"/>
              </w:rPr>
              <w:t> </w:t>
            </w:r>
            <w:r>
              <w:rPr>
                <w:sz w:val="14"/>
              </w:rPr>
              <w:t>για</w:t>
            </w:r>
            <w:r>
              <w:rPr>
                <w:spacing w:val="-6"/>
                <w:sz w:val="14"/>
              </w:rPr>
              <w:t> </w:t>
            </w:r>
            <w:r>
              <w:rPr>
                <w:sz w:val="14"/>
              </w:rPr>
              <w:t>τις</w:t>
            </w:r>
            <w:r>
              <w:rPr>
                <w:spacing w:val="-4"/>
                <w:sz w:val="14"/>
              </w:rPr>
              <w:t> </w:t>
            </w:r>
            <w:r>
              <w:rPr>
                <w:sz w:val="14"/>
              </w:rPr>
              <w:t>λιγότερο</w:t>
            </w:r>
            <w:r>
              <w:rPr>
                <w:spacing w:val="-4"/>
                <w:sz w:val="14"/>
              </w:rPr>
              <w:t> </w:t>
            </w:r>
            <w:r>
              <w:rPr>
                <w:sz w:val="14"/>
              </w:rPr>
              <w:t>σημαντικές</w:t>
            </w:r>
            <w:r>
              <w:rPr>
                <w:spacing w:val="-5"/>
                <w:sz w:val="14"/>
              </w:rPr>
              <w:t> </w:t>
            </w:r>
            <w:r>
              <w:rPr>
                <w:sz w:val="14"/>
              </w:rPr>
              <w:t>τράπεζες</w:t>
            </w:r>
            <w:r>
              <w:rPr>
                <w:spacing w:val="-5"/>
                <w:sz w:val="14"/>
              </w:rPr>
              <w:t> </w:t>
            </w:r>
            <w:r>
              <w:rPr>
                <w:spacing w:val="-2"/>
                <w:sz w:val="14"/>
              </w:rPr>
              <w:t>(LSIs).</w:t>
            </w:r>
          </w:p>
          <w:p>
            <w:pPr>
              <w:pStyle w:val="TableParagraph"/>
              <w:spacing w:before="119"/>
              <w:ind w:left="220"/>
              <w:rPr>
                <w:sz w:val="14"/>
              </w:rPr>
            </w:pPr>
            <w:r>
              <w:rPr>
                <w:sz w:val="14"/>
              </w:rPr>
              <w:t>*</w:t>
            </w:r>
            <w:r>
              <w:rPr>
                <w:spacing w:val="-3"/>
                <w:sz w:val="14"/>
              </w:rPr>
              <w:t> </w:t>
            </w:r>
            <w:r>
              <w:rPr>
                <w:sz w:val="14"/>
              </w:rPr>
              <w:t>Σημείωση:</w:t>
            </w:r>
            <w:r>
              <w:rPr>
                <w:spacing w:val="-3"/>
                <w:sz w:val="14"/>
              </w:rPr>
              <w:t> </w:t>
            </w:r>
            <w:r>
              <w:rPr>
                <w:sz w:val="14"/>
              </w:rPr>
              <w:t>Τα</w:t>
            </w:r>
            <w:r>
              <w:rPr>
                <w:spacing w:val="-5"/>
                <w:sz w:val="14"/>
              </w:rPr>
              <w:t> </w:t>
            </w:r>
            <w:r>
              <w:rPr>
                <w:sz w:val="14"/>
              </w:rPr>
              <w:t>συγκριτικά</w:t>
            </w:r>
            <w:r>
              <w:rPr>
                <w:spacing w:val="-5"/>
                <w:sz w:val="14"/>
              </w:rPr>
              <w:t> </w:t>
            </w:r>
            <w:r>
              <w:rPr>
                <w:sz w:val="14"/>
              </w:rPr>
              <w:t>οικονομικά</w:t>
            </w:r>
            <w:r>
              <w:rPr>
                <w:spacing w:val="-5"/>
                <w:sz w:val="14"/>
              </w:rPr>
              <w:t> </w:t>
            </w:r>
            <w:r>
              <w:rPr>
                <w:sz w:val="14"/>
              </w:rPr>
              <w:t>μεγέθη</w:t>
            </w:r>
            <w:r>
              <w:rPr>
                <w:spacing w:val="-4"/>
                <w:sz w:val="14"/>
              </w:rPr>
              <w:t> </w:t>
            </w:r>
            <w:r>
              <w:rPr>
                <w:sz w:val="14"/>
              </w:rPr>
              <w:t>εμφανίζονται</w:t>
            </w:r>
            <w:r>
              <w:rPr>
                <w:spacing w:val="-3"/>
                <w:sz w:val="14"/>
              </w:rPr>
              <w:t> </w:t>
            </w:r>
            <w:r>
              <w:rPr>
                <w:sz w:val="14"/>
              </w:rPr>
              <w:t>αναμορφωμένα</w:t>
            </w:r>
            <w:r>
              <w:rPr>
                <w:spacing w:val="-5"/>
                <w:sz w:val="14"/>
              </w:rPr>
              <w:t> </w:t>
            </w:r>
            <w:r>
              <w:rPr>
                <w:sz w:val="14"/>
              </w:rPr>
              <w:t>ως</w:t>
            </w:r>
            <w:r>
              <w:rPr>
                <w:spacing w:val="-4"/>
                <w:sz w:val="14"/>
              </w:rPr>
              <w:t> </w:t>
            </w:r>
            <w:r>
              <w:rPr>
                <w:sz w:val="14"/>
              </w:rPr>
              <w:t>αποτέλεσμα</w:t>
            </w:r>
            <w:r>
              <w:rPr>
                <w:spacing w:val="-5"/>
                <w:sz w:val="14"/>
              </w:rPr>
              <w:t> </w:t>
            </w:r>
            <w:r>
              <w:rPr>
                <w:sz w:val="14"/>
              </w:rPr>
              <w:t>αναταξινομήσεων</w:t>
            </w:r>
            <w:r>
              <w:rPr>
                <w:spacing w:val="-5"/>
                <w:sz w:val="14"/>
              </w:rPr>
              <w:t> </w:t>
            </w:r>
            <w:r>
              <w:rPr>
                <w:sz w:val="14"/>
              </w:rPr>
              <w:t>που</w:t>
            </w:r>
            <w:r>
              <w:rPr>
                <w:spacing w:val="-3"/>
                <w:sz w:val="14"/>
              </w:rPr>
              <w:t> </w:t>
            </w:r>
            <w:r>
              <w:rPr>
                <w:sz w:val="14"/>
              </w:rPr>
              <w:t>πραγματοποιήθηκαν</w:t>
            </w:r>
            <w:r>
              <w:rPr>
                <w:spacing w:val="-4"/>
                <w:sz w:val="14"/>
              </w:rPr>
              <w:t> </w:t>
            </w:r>
            <w:r>
              <w:rPr>
                <w:sz w:val="14"/>
              </w:rPr>
              <w:t>στις</w:t>
            </w:r>
            <w:r>
              <w:rPr>
                <w:spacing w:val="40"/>
                <w:sz w:val="14"/>
              </w:rPr>
              <w:t> </w:t>
            </w:r>
            <w:r>
              <w:rPr>
                <w:sz w:val="14"/>
              </w:rPr>
              <w:t>Οικονομικές</w:t>
            </w:r>
            <w:r>
              <w:rPr>
                <w:spacing w:val="-6"/>
                <w:sz w:val="14"/>
              </w:rPr>
              <w:t> </w:t>
            </w:r>
            <w:r>
              <w:rPr>
                <w:sz w:val="14"/>
              </w:rPr>
              <w:t>Καταστάσεις</w:t>
            </w:r>
          </w:p>
        </w:tc>
      </w:tr>
    </w:tbl>
    <w:p>
      <w:pPr>
        <w:pStyle w:val="BodyText"/>
        <w:spacing w:line="285" w:lineRule="auto" w:before="107"/>
        <w:ind w:left="172" w:right="955"/>
        <w:jc w:val="both"/>
      </w:pPr>
      <w:r>
        <w:rPr/>
        <w:t>Αναλυτικότερα, το 2025 τα</w:t>
      </w:r>
      <w:r>
        <w:rPr>
          <w:spacing w:val="-1"/>
        </w:rPr>
        <w:t> </w:t>
      </w:r>
      <w:r>
        <w:rPr/>
        <w:t>λειτουργικά έσοδα των ελληνικών τραπεζών αυξήθηκαν κατά 0,5% σε σχέση με το 2024 (βλ. Πίνακα ΙΙΙ.6). Τα καθαρά έσοδα από τόκους μειώθηκαν κατά 3,8%, παρά</w:t>
      </w:r>
      <w:r>
        <w:rPr>
          <w:spacing w:val="-8"/>
        </w:rPr>
        <w:t> </w:t>
      </w:r>
      <w:r>
        <w:rPr/>
        <w:t>την</w:t>
      </w:r>
      <w:r>
        <w:rPr>
          <w:spacing w:val="-7"/>
        </w:rPr>
        <w:t> </w:t>
      </w:r>
      <w:r>
        <w:rPr/>
        <w:t>πιστωτική</w:t>
      </w:r>
      <w:r>
        <w:rPr>
          <w:spacing w:val="-8"/>
        </w:rPr>
        <w:t> </w:t>
      </w:r>
      <w:r>
        <w:rPr/>
        <w:t>επέκταση,</w:t>
      </w:r>
      <w:r>
        <w:rPr>
          <w:spacing w:val="-5"/>
        </w:rPr>
        <w:t> </w:t>
      </w:r>
      <w:r>
        <w:rPr/>
        <w:t>επηρεαζόμενα</w:t>
      </w:r>
      <w:r>
        <w:rPr>
          <w:spacing w:val="-8"/>
        </w:rPr>
        <w:t> </w:t>
      </w:r>
      <w:r>
        <w:rPr/>
        <w:t>από</w:t>
      </w:r>
      <w:r>
        <w:rPr>
          <w:spacing w:val="-7"/>
        </w:rPr>
        <w:t> </w:t>
      </w:r>
      <w:r>
        <w:rPr/>
        <w:t>τη</w:t>
      </w:r>
      <w:r>
        <w:rPr>
          <w:spacing w:val="-7"/>
        </w:rPr>
        <w:t> </w:t>
      </w:r>
      <w:r>
        <w:rPr/>
        <w:t>σταδιακή</w:t>
      </w:r>
      <w:r>
        <w:rPr>
          <w:spacing w:val="-7"/>
        </w:rPr>
        <w:t> </w:t>
      </w:r>
      <w:r>
        <w:rPr/>
        <w:t>αποκλιμάκωση</w:t>
      </w:r>
      <w:r>
        <w:rPr>
          <w:spacing w:val="-6"/>
        </w:rPr>
        <w:t> </w:t>
      </w:r>
      <w:r>
        <w:rPr/>
        <w:t>των</w:t>
      </w:r>
      <w:r>
        <w:rPr>
          <w:spacing w:val="-6"/>
        </w:rPr>
        <w:t> </w:t>
      </w:r>
      <w:r>
        <w:rPr/>
        <w:t>βασικών</w:t>
      </w:r>
      <w:r>
        <w:rPr>
          <w:spacing w:val="-7"/>
        </w:rPr>
        <w:t> </w:t>
      </w:r>
      <w:r>
        <w:rPr/>
        <w:t>επι-τοκίων</w:t>
      </w:r>
      <w:r>
        <w:rPr>
          <w:spacing w:val="-14"/>
        </w:rPr>
        <w:t> </w:t>
      </w:r>
      <w:r>
        <w:rPr/>
        <w:t>της</w:t>
      </w:r>
      <w:r>
        <w:rPr>
          <w:spacing w:val="-14"/>
        </w:rPr>
        <w:t> </w:t>
      </w:r>
      <w:r>
        <w:rPr/>
        <w:t>ΕΚΤ,</w:t>
      </w:r>
      <w:r>
        <w:rPr>
          <w:spacing w:val="-14"/>
        </w:rPr>
        <w:t> </w:t>
      </w:r>
      <w:r>
        <w:rPr/>
        <w:t>η</w:t>
      </w:r>
      <w:r>
        <w:rPr>
          <w:spacing w:val="-13"/>
        </w:rPr>
        <w:t> </w:t>
      </w:r>
      <w:r>
        <w:rPr/>
        <w:t>οποία</w:t>
      </w:r>
      <w:r>
        <w:rPr>
          <w:spacing w:val="-14"/>
        </w:rPr>
        <w:t> </w:t>
      </w:r>
      <w:r>
        <w:rPr/>
        <w:t>ξεκίνησε</w:t>
      </w:r>
      <w:r>
        <w:rPr>
          <w:spacing w:val="-14"/>
        </w:rPr>
        <w:t> </w:t>
      </w:r>
      <w:r>
        <w:rPr/>
        <w:t>στα</w:t>
      </w:r>
      <w:r>
        <w:rPr>
          <w:spacing w:val="-14"/>
        </w:rPr>
        <w:t> </w:t>
      </w:r>
      <w:r>
        <w:rPr/>
        <w:t>μέσα</w:t>
      </w:r>
      <w:r>
        <w:rPr>
          <w:spacing w:val="-13"/>
        </w:rPr>
        <w:t> </w:t>
      </w:r>
      <w:r>
        <w:rPr/>
        <w:t>του</w:t>
      </w:r>
      <w:r>
        <w:rPr>
          <w:spacing w:val="-14"/>
        </w:rPr>
        <w:t> </w:t>
      </w:r>
      <w:r>
        <w:rPr/>
        <w:t>2024</w:t>
      </w:r>
      <w:r>
        <w:rPr>
          <w:spacing w:val="-14"/>
        </w:rPr>
        <w:t> </w:t>
      </w:r>
      <w:r>
        <w:rPr/>
        <w:t>και</w:t>
      </w:r>
      <w:r>
        <w:rPr>
          <w:spacing w:val="-13"/>
        </w:rPr>
        <w:t> </w:t>
      </w:r>
      <w:r>
        <w:rPr/>
        <w:t>συνεχίστηκε</w:t>
      </w:r>
      <w:r>
        <w:rPr>
          <w:spacing w:val="-14"/>
        </w:rPr>
        <w:t> </w:t>
      </w:r>
      <w:r>
        <w:rPr/>
        <w:t>έως</w:t>
      </w:r>
      <w:r>
        <w:rPr>
          <w:spacing w:val="-14"/>
        </w:rPr>
        <w:t> </w:t>
      </w:r>
      <w:r>
        <w:rPr/>
        <w:t>και</w:t>
      </w:r>
      <w:r>
        <w:rPr>
          <w:spacing w:val="-13"/>
        </w:rPr>
        <w:t> </w:t>
      </w:r>
      <w:r>
        <w:rPr/>
        <w:t>το</w:t>
      </w:r>
      <w:r>
        <w:rPr>
          <w:spacing w:val="-13"/>
        </w:rPr>
        <w:t> </w:t>
      </w:r>
      <w:r>
        <w:rPr/>
        <w:t>πρώτο</w:t>
      </w:r>
      <w:r>
        <w:rPr>
          <w:spacing w:val="-13"/>
        </w:rPr>
        <w:t> </w:t>
      </w:r>
      <w:r>
        <w:rPr/>
        <w:t>εξάμηνο του</w:t>
      </w:r>
      <w:r>
        <w:rPr>
          <w:spacing w:val="-14"/>
        </w:rPr>
        <w:t> </w:t>
      </w:r>
      <w:r>
        <w:rPr/>
        <w:t>2025.</w:t>
      </w:r>
      <w:r>
        <w:rPr>
          <w:spacing w:val="-14"/>
        </w:rPr>
        <w:t> </w:t>
      </w:r>
      <w:r>
        <w:rPr/>
        <w:t>Εκεί</w:t>
      </w:r>
      <w:r>
        <w:rPr>
          <w:spacing w:val="-14"/>
        </w:rPr>
        <w:t> </w:t>
      </w:r>
      <w:r>
        <w:rPr/>
        <w:t>αποδίδεται</w:t>
      </w:r>
      <w:r>
        <w:rPr>
          <w:spacing w:val="-13"/>
        </w:rPr>
        <w:t> </w:t>
      </w:r>
      <w:r>
        <w:rPr/>
        <w:t>και</w:t>
      </w:r>
      <w:r>
        <w:rPr>
          <w:spacing w:val="-14"/>
        </w:rPr>
        <w:t> </w:t>
      </w:r>
      <w:r>
        <w:rPr/>
        <w:t>η</w:t>
      </w:r>
      <w:r>
        <w:rPr>
          <w:spacing w:val="-14"/>
        </w:rPr>
        <w:t> </w:t>
      </w:r>
      <w:r>
        <w:rPr/>
        <w:t>μείωση</w:t>
      </w:r>
      <w:r>
        <w:rPr>
          <w:spacing w:val="-14"/>
        </w:rPr>
        <w:t> </w:t>
      </w:r>
      <w:r>
        <w:rPr/>
        <w:t>των</w:t>
      </w:r>
      <w:r>
        <w:rPr>
          <w:spacing w:val="-13"/>
        </w:rPr>
        <w:t> </w:t>
      </w:r>
      <w:r>
        <w:rPr/>
        <w:t>εξόδων</w:t>
      </w:r>
      <w:r>
        <w:rPr>
          <w:spacing w:val="-14"/>
        </w:rPr>
        <w:t> </w:t>
      </w:r>
      <w:r>
        <w:rPr/>
        <w:t>για</w:t>
      </w:r>
      <w:r>
        <w:rPr>
          <w:spacing w:val="-14"/>
        </w:rPr>
        <w:t> </w:t>
      </w:r>
      <w:r>
        <w:rPr/>
        <w:t>τόκους.</w:t>
      </w:r>
      <w:r>
        <w:rPr>
          <w:spacing w:val="-14"/>
        </w:rPr>
        <w:t> </w:t>
      </w:r>
      <w:r>
        <w:rPr/>
        <w:t>Το</w:t>
      </w:r>
      <w:r>
        <w:rPr>
          <w:spacing w:val="-13"/>
        </w:rPr>
        <w:t> </w:t>
      </w:r>
      <w:r>
        <w:rPr/>
        <w:t>καθαρό</w:t>
      </w:r>
      <w:r>
        <w:rPr>
          <w:spacing w:val="-14"/>
        </w:rPr>
        <w:t> </w:t>
      </w:r>
      <w:r>
        <w:rPr/>
        <w:t>επιτοκιακό</w:t>
      </w:r>
      <w:r>
        <w:rPr>
          <w:spacing w:val="-14"/>
        </w:rPr>
        <w:t> </w:t>
      </w:r>
      <w:r>
        <w:rPr/>
        <w:t>περιθώριο διαμορφώθηκε σε 2,5%, μειωμένο σε σχέση με το 2024 (2,9%), παραμένοντας ωστόσο υψηλό-τερο</w:t>
      </w:r>
      <w:r>
        <w:rPr>
          <w:spacing w:val="-12"/>
        </w:rPr>
        <w:t> </w:t>
      </w:r>
      <w:r>
        <w:rPr/>
        <w:t>από</w:t>
      </w:r>
      <w:r>
        <w:rPr>
          <w:spacing w:val="-12"/>
        </w:rPr>
        <w:t> </w:t>
      </w:r>
      <w:r>
        <w:rPr/>
        <w:t>τον</w:t>
      </w:r>
      <w:r>
        <w:rPr>
          <w:spacing w:val="-11"/>
        </w:rPr>
        <w:t> </w:t>
      </w:r>
      <w:r>
        <w:rPr/>
        <w:t>μέσο</w:t>
      </w:r>
      <w:r>
        <w:rPr>
          <w:spacing w:val="-12"/>
        </w:rPr>
        <w:t> </w:t>
      </w:r>
      <w:r>
        <w:rPr/>
        <w:t>όρο</w:t>
      </w:r>
      <w:r>
        <w:rPr>
          <w:spacing w:val="-12"/>
        </w:rPr>
        <w:t> </w:t>
      </w:r>
      <w:r>
        <w:rPr/>
        <w:t>των</w:t>
      </w:r>
      <w:r>
        <w:rPr>
          <w:spacing w:val="-13"/>
        </w:rPr>
        <w:t> </w:t>
      </w:r>
      <w:r>
        <w:rPr/>
        <w:t>τραπεζικών</w:t>
      </w:r>
      <w:r>
        <w:rPr>
          <w:spacing w:val="-11"/>
        </w:rPr>
        <w:t> </w:t>
      </w:r>
      <w:r>
        <w:rPr/>
        <w:t>ομίλων</w:t>
      </w:r>
      <w:r>
        <w:rPr>
          <w:spacing w:val="-9"/>
        </w:rPr>
        <w:t> </w:t>
      </w:r>
      <w:r>
        <w:rPr/>
        <w:t>της</w:t>
      </w:r>
      <w:r>
        <w:rPr>
          <w:spacing w:val="-13"/>
        </w:rPr>
        <w:t> </w:t>
      </w:r>
      <w:r>
        <w:rPr/>
        <w:t>Τραπεζικής</w:t>
      </w:r>
      <w:r>
        <w:rPr>
          <w:spacing w:val="-13"/>
        </w:rPr>
        <w:t> </w:t>
      </w:r>
      <w:r>
        <w:rPr/>
        <w:t>Ένωσης</w:t>
      </w:r>
      <w:r>
        <w:rPr>
          <w:spacing w:val="-13"/>
        </w:rPr>
        <w:t> </w:t>
      </w:r>
      <w:r>
        <w:rPr/>
        <w:t>που</w:t>
      </w:r>
      <w:r>
        <w:rPr>
          <w:spacing w:val="-13"/>
        </w:rPr>
        <w:t> </w:t>
      </w:r>
      <w:r>
        <w:rPr/>
        <w:t>εποπτεύονται</w:t>
      </w:r>
      <w:r>
        <w:rPr>
          <w:spacing w:val="-12"/>
        </w:rPr>
        <w:t> </w:t>
      </w:r>
      <w:r>
        <w:rPr/>
        <w:t>άμεσα από την ΕΚΤ. Τα καθαρά έσοδα από προμήθειες ενισχύθηκαν κατά 12,3%, με θετική συμβολή των εσόδων από τη διαχείριση χαρτοφυλακίου, των εσόδων από προμήθειες δανεισμού και των εσόδων</w:t>
      </w:r>
      <w:r>
        <w:rPr>
          <w:spacing w:val="-2"/>
        </w:rPr>
        <w:t> </w:t>
      </w:r>
      <w:r>
        <w:rPr/>
        <w:t>από</w:t>
      </w:r>
      <w:r>
        <w:rPr>
          <w:spacing w:val="-4"/>
        </w:rPr>
        <w:t> </w:t>
      </w:r>
      <w:r>
        <w:rPr/>
        <w:t>λοιπές</w:t>
      </w:r>
      <w:r>
        <w:rPr>
          <w:spacing w:val="-5"/>
        </w:rPr>
        <w:t> </w:t>
      </w:r>
      <w:r>
        <w:rPr/>
        <w:t>προμήθειες.</w:t>
      </w:r>
      <w:r>
        <w:rPr>
          <w:spacing w:val="-4"/>
        </w:rPr>
        <w:t> </w:t>
      </w:r>
      <w:r>
        <w:rPr/>
        <w:t>Ως</w:t>
      </w:r>
      <w:r>
        <w:rPr>
          <w:spacing w:val="-5"/>
        </w:rPr>
        <w:t> </w:t>
      </w:r>
      <w:r>
        <w:rPr/>
        <w:t>αποτέλεσμα</w:t>
      </w:r>
      <w:r>
        <w:rPr>
          <w:spacing w:val="-4"/>
        </w:rPr>
        <w:t> </w:t>
      </w:r>
      <w:r>
        <w:rPr/>
        <w:t>των</w:t>
      </w:r>
      <w:r>
        <w:rPr>
          <w:spacing w:val="-3"/>
        </w:rPr>
        <w:t> </w:t>
      </w:r>
      <w:r>
        <w:rPr/>
        <w:t>παραπάνω,</w:t>
      </w:r>
      <w:r>
        <w:rPr>
          <w:spacing w:val="-4"/>
        </w:rPr>
        <w:t> </w:t>
      </w:r>
      <w:r>
        <w:rPr/>
        <w:t>τα</w:t>
      </w:r>
      <w:r>
        <w:rPr>
          <w:spacing w:val="-4"/>
        </w:rPr>
        <w:t> </w:t>
      </w:r>
      <w:r>
        <w:rPr/>
        <w:t>έσοδα</w:t>
      </w:r>
      <w:r>
        <w:rPr>
          <w:spacing w:val="-4"/>
        </w:rPr>
        <w:t> </w:t>
      </w:r>
      <w:r>
        <w:rPr/>
        <w:t>από</w:t>
      </w:r>
      <w:r>
        <w:rPr>
          <w:spacing w:val="-4"/>
        </w:rPr>
        <w:t> </w:t>
      </w:r>
      <w:r>
        <w:rPr/>
        <w:t>κύριες</w:t>
      </w:r>
      <w:r>
        <w:rPr>
          <w:spacing w:val="-5"/>
        </w:rPr>
        <w:t> </w:t>
      </w:r>
      <w:r>
        <w:rPr/>
        <w:t>τραπεζικές εργασίες</w:t>
      </w:r>
      <w:r>
        <w:rPr>
          <w:spacing w:val="-14"/>
        </w:rPr>
        <w:t> </w:t>
      </w:r>
      <w:r>
        <w:rPr/>
        <w:t>(δηλαδή</w:t>
      </w:r>
      <w:r>
        <w:rPr>
          <w:spacing w:val="-14"/>
        </w:rPr>
        <w:t> </w:t>
      </w:r>
      <w:r>
        <w:rPr/>
        <w:t>τα</w:t>
      </w:r>
      <w:r>
        <w:rPr>
          <w:spacing w:val="-12"/>
        </w:rPr>
        <w:t> </w:t>
      </w:r>
      <w:r>
        <w:rPr/>
        <w:t>καθαρά</w:t>
      </w:r>
      <w:r>
        <w:rPr>
          <w:spacing w:val="-13"/>
        </w:rPr>
        <w:t> </w:t>
      </w:r>
      <w:r>
        <w:rPr/>
        <w:t>έσοδα</w:t>
      </w:r>
      <w:r>
        <w:rPr>
          <w:spacing w:val="-13"/>
        </w:rPr>
        <w:t> </w:t>
      </w:r>
      <w:r>
        <w:rPr/>
        <w:t>από</w:t>
      </w:r>
      <w:r>
        <w:rPr>
          <w:spacing w:val="-13"/>
        </w:rPr>
        <w:t> </w:t>
      </w:r>
      <w:r>
        <w:rPr/>
        <w:t>τόκους</w:t>
      </w:r>
      <w:r>
        <w:rPr>
          <w:spacing w:val="-14"/>
        </w:rPr>
        <w:t> </w:t>
      </w:r>
      <w:r>
        <w:rPr/>
        <w:t>και</w:t>
      </w:r>
      <w:r>
        <w:rPr>
          <w:spacing w:val="-13"/>
        </w:rPr>
        <w:t> </w:t>
      </w:r>
      <w:r>
        <w:rPr/>
        <w:t>προμήθειες)</w:t>
      </w:r>
      <w:r>
        <w:rPr>
          <w:spacing w:val="-9"/>
        </w:rPr>
        <w:t> </w:t>
      </w:r>
      <w:r>
        <w:rPr/>
        <w:t>μειώθηκαν</w:t>
      </w:r>
      <w:r>
        <w:rPr>
          <w:spacing w:val="-12"/>
        </w:rPr>
        <w:t> </w:t>
      </w:r>
      <w:r>
        <w:rPr/>
        <w:t>κατά</w:t>
      </w:r>
      <w:r>
        <w:rPr>
          <w:spacing w:val="-14"/>
        </w:rPr>
        <w:t> </w:t>
      </w:r>
      <w:r>
        <w:rPr/>
        <w:t>0,7%.</w:t>
      </w:r>
      <w:r>
        <w:rPr>
          <w:spacing w:val="-13"/>
        </w:rPr>
        <w:t> </w:t>
      </w:r>
      <w:r>
        <w:rPr/>
        <w:t>Τα</w:t>
      </w:r>
      <w:r>
        <w:rPr>
          <w:spacing w:val="-14"/>
        </w:rPr>
        <w:t> </w:t>
      </w:r>
      <w:r>
        <w:rPr/>
        <w:t>έσοδα από</w:t>
      </w:r>
      <w:r>
        <w:rPr>
          <w:spacing w:val="-7"/>
        </w:rPr>
        <w:t> </w:t>
      </w:r>
      <w:r>
        <w:rPr/>
        <w:t>χρηματοοικονομικές</w:t>
      </w:r>
      <w:r>
        <w:rPr>
          <w:spacing w:val="-4"/>
        </w:rPr>
        <w:t> </w:t>
      </w:r>
      <w:r>
        <w:rPr/>
        <w:t>πράξεις</w:t>
      </w:r>
      <w:r>
        <w:rPr>
          <w:spacing w:val="-6"/>
        </w:rPr>
        <w:t> </w:t>
      </w:r>
      <w:r>
        <w:rPr/>
        <w:t>μειώθηκαν</w:t>
      </w:r>
      <w:r>
        <w:rPr>
          <w:spacing w:val="-3"/>
        </w:rPr>
        <w:t> </w:t>
      </w:r>
      <w:r>
        <w:rPr/>
        <w:t>το</w:t>
      </w:r>
      <w:r>
        <w:rPr>
          <w:spacing w:val="-4"/>
        </w:rPr>
        <w:t> </w:t>
      </w:r>
      <w:r>
        <w:rPr/>
        <w:t>2025</w:t>
      </w:r>
      <w:r>
        <w:rPr>
          <w:spacing w:val="-8"/>
        </w:rPr>
        <w:t> </w:t>
      </w:r>
      <w:r>
        <w:rPr/>
        <w:t>κυρίως</w:t>
      </w:r>
      <w:r>
        <w:rPr>
          <w:spacing w:val="-5"/>
        </w:rPr>
        <w:t> </w:t>
      </w:r>
      <w:r>
        <w:rPr/>
        <w:t>λόγω</w:t>
      </w:r>
      <w:r>
        <w:rPr>
          <w:spacing w:val="-3"/>
        </w:rPr>
        <w:t> </w:t>
      </w:r>
      <w:r>
        <w:rPr/>
        <w:t>συναλλαγών</w:t>
      </w:r>
      <w:r>
        <w:rPr>
          <w:spacing w:val="-3"/>
        </w:rPr>
        <w:t> </w:t>
      </w:r>
      <w:r>
        <w:rPr/>
        <w:t>εμπορικού</w:t>
      </w:r>
      <w:r>
        <w:rPr>
          <w:spacing w:val="-3"/>
        </w:rPr>
        <w:t> </w:t>
      </w:r>
      <w:r>
        <w:rPr>
          <w:spacing w:val="-4"/>
        </w:rPr>
        <w:t>χαρ-</w:t>
      </w:r>
    </w:p>
    <w:p>
      <w:pPr>
        <w:pStyle w:val="BodyText"/>
        <w:spacing w:after="0" w:line="285" w:lineRule="auto"/>
        <w:jc w:val="both"/>
        <w:sectPr>
          <w:pgSz w:w="11910" w:h="16850"/>
          <w:pgMar w:header="0" w:footer="1108" w:top="1800" w:bottom="1300" w:left="1417" w:right="850"/>
        </w:sectPr>
      </w:pPr>
    </w:p>
    <w:p>
      <w:pPr>
        <w:pStyle w:val="BodyText"/>
        <w:spacing w:line="285" w:lineRule="auto" w:before="66"/>
        <w:ind w:left="172" w:right="960"/>
        <w:jc w:val="both"/>
      </w:pPr>
      <w:r>
        <w:rPr/>
        <w:t>τοφυλακίου. Τέλος, τα λοιπά λειτουργικά αποτελέσματα αυξήθηκαν, καθώς το 2024 είχαν επι-βαρυνθεί από μη επαναλαμβανόμενα έξοδα, όπως τα έξοδα διάθεσης του μεριδίου του Ταμείου Χρηματοπιστωτικής Σταθερότητας σε ορισμένες σημαντικές τράπεζες.</w:t>
      </w:r>
    </w:p>
    <w:p>
      <w:pPr>
        <w:pStyle w:val="BodyText"/>
        <w:spacing w:line="285" w:lineRule="auto" w:before="57"/>
        <w:ind w:left="172" w:right="954"/>
        <w:jc w:val="both"/>
      </w:pPr>
      <w:r>
        <w:rPr/>
        <mc:AlternateContent>
          <mc:Choice Requires="wps">
            <w:drawing>
              <wp:anchor distT="0" distB="0" distL="0" distR="0" allowOverlap="1" layoutInCell="1" locked="0" behindDoc="1" simplePos="0" relativeHeight="487634944">
                <wp:simplePos x="0" y="0"/>
                <wp:positionH relativeFrom="page">
                  <wp:posOffset>1009192</wp:posOffset>
                </wp:positionH>
                <wp:positionV relativeFrom="paragraph">
                  <wp:posOffset>1195366</wp:posOffset>
                </wp:positionV>
                <wp:extent cx="5492115" cy="216535"/>
                <wp:effectExtent l="0" t="0" r="0" b="0"/>
                <wp:wrapTopAndBottom/>
                <wp:docPr id="523" name="Textbox 523"/>
                <wp:cNvGraphicFramePr>
                  <a:graphicFrameLocks/>
                </wp:cNvGraphicFramePr>
                <a:graphic>
                  <a:graphicData uri="http://schemas.microsoft.com/office/word/2010/wordprocessingShape">
                    <wps:wsp>
                      <wps:cNvPr id="523" name="Textbox 523"/>
                      <wps:cNvSpPr txBox="1"/>
                      <wps:spPr>
                        <a:xfrm>
                          <a:off x="0" y="0"/>
                          <a:ext cx="5492115" cy="216535"/>
                        </a:xfrm>
                        <a:prstGeom prst="rect">
                          <a:avLst/>
                        </a:prstGeom>
                        <a:solidFill>
                          <a:srgbClr val="1F487C"/>
                        </a:solidFill>
                      </wps:spPr>
                      <wps:txbx>
                        <w:txbxContent>
                          <w:p>
                            <w:pPr>
                              <w:spacing w:before="67"/>
                              <w:ind w:left="220" w:right="0" w:firstLine="0"/>
                              <w:jc w:val="left"/>
                              <w:rPr>
                                <w:b/>
                                <w:color w:val="000000"/>
                                <w:sz w:val="18"/>
                              </w:rPr>
                            </w:pPr>
                            <w:r>
                              <w:rPr>
                                <w:b/>
                                <w:color w:val="FFFFFF"/>
                                <w:sz w:val="18"/>
                              </w:rPr>
                              <w:t>Πίνακας</w:t>
                            </w:r>
                            <w:r>
                              <w:rPr>
                                <w:b/>
                                <w:color w:val="FFFFFF"/>
                                <w:spacing w:val="-2"/>
                                <w:sz w:val="18"/>
                              </w:rPr>
                              <w:t> </w:t>
                            </w:r>
                            <w:r>
                              <w:rPr>
                                <w:b/>
                                <w:color w:val="FFFFFF"/>
                                <w:sz w:val="18"/>
                              </w:rPr>
                              <w:t>III.7</w:t>
                            </w:r>
                            <w:r>
                              <w:rPr>
                                <w:b/>
                                <w:color w:val="FFFFFF"/>
                                <w:spacing w:val="-5"/>
                                <w:sz w:val="18"/>
                              </w:rPr>
                              <w:t> </w:t>
                            </w:r>
                            <w:r>
                              <w:rPr>
                                <w:b/>
                                <w:color w:val="FFFFFF"/>
                                <w:sz w:val="18"/>
                              </w:rPr>
                              <w:t>Δείκτες</w:t>
                            </w:r>
                            <w:r>
                              <w:rPr>
                                <w:b/>
                                <w:color w:val="FFFFFF"/>
                                <w:spacing w:val="-6"/>
                                <w:sz w:val="18"/>
                              </w:rPr>
                              <w:t> </w:t>
                            </w:r>
                            <w:r>
                              <w:rPr>
                                <w:b/>
                                <w:color w:val="FFFFFF"/>
                                <w:sz w:val="18"/>
                              </w:rPr>
                              <w:t>αποδοτ</w:t>
                            </w:r>
                            <w:r>
                              <w:rPr>
                                <w:b/>
                                <w:smallCaps/>
                                <w:color w:val="FFFFFF"/>
                                <w:sz w:val="18"/>
                              </w:rPr>
                              <w:t>ι</w:t>
                            </w:r>
                            <w:r>
                              <w:rPr>
                                <w:b/>
                                <w:smallCaps w:val="0"/>
                                <w:color w:val="FFFFFF"/>
                                <w:sz w:val="18"/>
                              </w:rPr>
                              <w:t>κότητας</w:t>
                            </w:r>
                            <w:r>
                              <w:rPr>
                                <w:b/>
                                <w:smallCaps w:val="0"/>
                                <w:color w:val="FFFFFF"/>
                                <w:spacing w:val="-4"/>
                                <w:sz w:val="18"/>
                              </w:rPr>
                              <w:t> </w:t>
                            </w:r>
                            <w:r>
                              <w:rPr>
                                <w:b/>
                                <w:smallCaps w:val="0"/>
                                <w:color w:val="FFFFFF"/>
                                <w:sz w:val="18"/>
                              </w:rPr>
                              <w:t>τραπεζ</w:t>
                            </w:r>
                            <w:r>
                              <w:rPr>
                                <w:b/>
                                <w:smallCaps/>
                                <w:color w:val="FFFFFF"/>
                                <w:sz w:val="18"/>
                              </w:rPr>
                              <w:t>ι</w:t>
                            </w:r>
                            <w:r>
                              <w:rPr>
                                <w:b/>
                                <w:smallCaps w:val="0"/>
                                <w:color w:val="FFFFFF"/>
                                <w:sz w:val="18"/>
                              </w:rPr>
                              <w:t>κών</w:t>
                            </w:r>
                            <w:r>
                              <w:rPr>
                                <w:b/>
                                <w:smallCaps w:val="0"/>
                                <w:color w:val="FFFFFF"/>
                                <w:spacing w:val="-3"/>
                                <w:sz w:val="18"/>
                              </w:rPr>
                              <w:t> </w:t>
                            </w:r>
                            <w:r>
                              <w:rPr>
                                <w:b/>
                                <w:smallCaps w:val="0"/>
                                <w:color w:val="FFFFFF"/>
                                <w:spacing w:val="-2"/>
                                <w:sz w:val="18"/>
                              </w:rPr>
                              <w:t>ομίλων</w:t>
                            </w:r>
                          </w:p>
                        </w:txbxContent>
                      </wps:txbx>
                      <wps:bodyPr wrap="square" lIns="0" tIns="0" rIns="0" bIns="0" rtlCol="0">
                        <a:noAutofit/>
                      </wps:bodyPr>
                    </wps:wsp>
                  </a:graphicData>
                </a:graphic>
              </wp:anchor>
            </w:drawing>
          </mc:Choice>
          <mc:Fallback>
            <w:pict>
              <v:shape style="position:absolute;margin-left:79.463997pt;margin-top:94.123337pt;width:432.45pt;height:17.05pt;mso-position-horizontal-relative:page;mso-position-vertical-relative:paragraph;z-index:-15681536;mso-wrap-distance-left:0;mso-wrap-distance-right:0" type="#_x0000_t202" id="docshape495" filled="true" fillcolor="#1f487c" stroked="false">
                <v:textbox inset="0,0,0,0">
                  <w:txbxContent>
                    <w:p>
                      <w:pPr>
                        <w:spacing w:before="67"/>
                        <w:ind w:left="220" w:right="0" w:firstLine="0"/>
                        <w:jc w:val="left"/>
                        <w:rPr>
                          <w:b/>
                          <w:color w:val="000000"/>
                          <w:sz w:val="18"/>
                        </w:rPr>
                      </w:pPr>
                      <w:r>
                        <w:rPr>
                          <w:b/>
                          <w:color w:val="FFFFFF"/>
                          <w:sz w:val="18"/>
                        </w:rPr>
                        <w:t>Πίνακας</w:t>
                      </w:r>
                      <w:r>
                        <w:rPr>
                          <w:b/>
                          <w:color w:val="FFFFFF"/>
                          <w:spacing w:val="-2"/>
                          <w:sz w:val="18"/>
                        </w:rPr>
                        <w:t> </w:t>
                      </w:r>
                      <w:r>
                        <w:rPr>
                          <w:b/>
                          <w:color w:val="FFFFFF"/>
                          <w:sz w:val="18"/>
                        </w:rPr>
                        <w:t>III.7</w:t>
                      </w:r>
                      <w:r>
                        <w:rPr>
                          <w:b/>
                          <w:color w:val="FFFFFF"/>
                          <w:spacing w:val="-5"/>
                          <w:sz w:val="18"/>
                        </w:rPr>
                        <w:t> </w:t>
                      </w:r>
                      <w:r>
                        <w:rPr>
                          <w:b/>
                          <w:color w:val="FFFFFF"/>
                          <w:sz w:val="18"/>
                        </w:rPr>
                        <w:t>Δείκτες</w:t>
                      </w:r>
                      <w:r>
                        <w:rPr>
                          <w:b/>
                          <w:color w:val="FFFFFF"/>
                          <w:spacing w:val="-6"/>
                          <w:sz w:val="18"/>
                        </w:rPr>
                        <w:t> </w:t>
                      </w:r>
                      <w:r>
                        <w:rPr>
                          <w:b/>
                          <w:color w:val="FFFFFF"/>
                          <w:sz w:val="18"/>
                        </w:rPr>
                        <w:t>αποδοτ</w:t>
                      </w:r>
                      <w:r>
                        <w:rPr>
                          <w:b/>
                          <w:smallCaps/>
                          <w:color w:val="FFFFFF"/>
                          <w:sz w:val="18"/>
                        </w:rPr>
                        <w:t>ι</w:t>
                      </w:r>
                      <w:r>
                        <w:rPr>
                          <w:b/>
                          <w:smallCaps w:val="0"/>
                          <w:color w:val="FFFFFF"/>
                          <w:sz w:val="18"/>
                        </w:rPr>
                        <w:t>κότητας</w:t>
                      </w:r>
                      <w:r>
                        <w:rPr>
                          <w:b/>
                          <w:smallCaps w:val="0"/>
                          <w:color w:val="FFFFFF"/>
                          <w:spacing w:val="-4"/>
                          <w:sz w:val="18"/>
                        </w:rPr>
                        <w:t> </w:t>
                      </w:r>
                      <w:r>
                        <w:rPr>
                          <w:b/>
                          <w:smallCaps w:val="0"/>
                          <w:color w:val="FFFFFF"/>
                          <w:sz w:val="18"/>
                        </w:rPr>
                        <w:t>τραπεζ</w:t>
                      </w:r>
                      <w:r>
                        <w:rPr>
                          <w:b/>
                          <w:smallCaps/>
                          <w:color w:val="FFFFFF"/>
                          <w:sz w:val="18"/>
                        </w:rPr>
                        <w:t>ι</w:t>
                      </w:r>
                      <w:r>
                        <w:rPr>
                          <w:b/>
                          <w:smallCaps w:val="0"/>
                          <w:color w:val="FFFFFF"/>
                          <w:sz w:val="18"/>
                        </w:rPr>
                        <w:t>κών</w:t>
                      </w:r>
                      <w:r>
                        <w:rPr>
                          <w:b/>
                          <w:smallCaps w:val="0"/>
                          <w:color w:val="FFFFFF"/>
                          <w:spacing w:val="-3"/>
                          <w:sz w:val="18"/>
                        </w:rPr>
                        <w:t> </w:t>
                      </w:r>
                      <w:r>
                        <w:rPr>
                          <w:b/>
                          <w:smallCaps w:val="0"/>
                          <w:color w:val="FFFFFF"/>
                          <w:spacing w:val="-2"/>
                          <w:sz w:val="18"/>
                        </w:rPr>
                        <w:t>ομίλων</w:t>
                      </w:r>
                    </w:p>
                  </w:txbxContent>
                </v:textbox>
                <v:fill type="solid"/>
                <w10:wrap type="topAndBottom"/>
              </v:shape>
            </w:pict>
          </mc:Fallback>
        </mc:AlternateContent>
      </w:r>
      <w:r>
        <w:rPr/>
        <w:t>Τα</w:t>
      </w:r>
      <w:r>
        <w:rPr>
          <w:spacing w:val="-8"/>
        </w:rPr>
        <w:t> </w:t>
      </w:r>
      <w:r>
        <w:rPr/>
        <w:t>λειτουργικά</w:t>
      </w:r>
      <w:r>
        <w:rPr>
          <w:spacing w:val="-8"/>
        </w:rPr>
        <w:t> </w:t>
      </w:r>
      <w:r>
        <w:rPr/>
        <w:t>έξοδα</w:t>
      </w:r>
      <w:r>
        <w:rPr>
          <w:spacing w:val="-8"/>
        </w:rPr>
        <w:t> </w:t>
      </w:r>
      <w:r>
        <w:rPr/>
        <w:t>αυξήθηκαν</w:t>
      </w:r>
      <w:r>
        <w:rPr>
          <w:spacing w:val="-7"/>
        </w:rPr>
        <w:t> </w:t>
      </w:r>
      <w:r>
        <w:rPr/>
        <w:t>κατά</w:t>
      </w:r>
      <w:r>
        <w:rPr>
          <w:spacing w:val="-7"/>
        </w:rPr>
        <w:t> </w:t>
      </w:r>
      <w:r>
        <w:rPr/>
        <w:t>7,2%,</w:t>
      </w:r>
      <w:r>
        <w:rPr>
          <w:spacing w:val="-7"/>
        </w:rPr>
        <w:t> </w:t>
      </w:r>
      <w:r>
        <w:rPr/>
        <w:t>εξαιτίας</w:t>
      </w:r>
      <w:r>
        <w:rPr>
          <w:spacing w:val="-10"/>
        </w:rPr>
        <w:t> </w:t>
      </w:r>
      <w:r>
        <w:rPr/>
        <w:t>κυρίως</w:t>
      </w:r>
      <w:r>
        <w:rPr>
          <w:spacing w:val="-7"/>
        </w:rPr>
        <w:t> </w:t>
      </w:r>
      <w:r>
        <w:rPr/>
        <w:t>της</w:t>
      </w:r>
      <w:r>
        <w:rPr>
          <w:spacing w:val="-8"/>
        </w:rPr>
        <w:t> </w:t>
      </w:r>
      <w:r>
        <w:rPr/>
        <w:t>αύξησης</w:t>
      </w:r>
      <w:r>
        <w:rPr>
          <w:spacing w:val="-8"/>
        </w:rPr>
        <w:t> </w:t>
      </w:r>
      <w:r>
        <w:rPr/>
        <w:t>των</w:t>
      </w:r>
      <w:r>
        <w:rPr>
          <w:spacing w:val="-6"/>
        </w:rPr>
        <w:t> </w:t>
      </w:r>
      <w:r>
        <w:rPr/>
        <w:t>διοικητικών</w:t>
      </w:r>
      <w:r>
        <w:rPr>
          <w:spacing w:val="-9"/>
        </w:rPr>
        <w:t> </w:t>
      </w:r>
      <w:r>
        <w:rPr/>
        <w:t>εξό-δων. Η αύξηση των λειτουργικών εξόδων με ταχύτερο ρυθμό έναντι των λειτουργικών εσόδων είχε ως αποτέλεσμα την επιδείνωση του δείκτη αποτελεσματικότητας (λόγος λειτουργικών εξό-δων προς έσοδα – cost-to-income ratio) των ελληνικών τραπεζικών ομίλων για το 2025 στο 38,4%,</w:t>
      </w:r>
      <w:r>
        <w:rPr>
          <w:spacing w:val="-7"/>
        </w:rPr>
        <w:t> </w:t>
      </w:r>
      <w:r>
        <w:rPr/>
        <w:t>ο</w:t>
      </w:r>
      <w:r>
        <w:rPr>
          <w:spacing w:val="-5"/>
        </w:rPr>
        <w:t> </w:t>
      </w:r>
      <w:r>
        <w:rPr/>
        <w:t>οποίος</w:t>
      </w:r>
      <w:r>
        <w:rPr>
          <w:spacing w:val="-8"/>
        </w:rPr>
        <w:t> </w:t>
      </w:r>
      <w:r>
        <w:rPr/>
        <w:t>ωστόσο</w:t>
      </w:r>
      <w:r>
        <w:rPr>
          <w:spacing w:val="-6"/>
        </w:rPr>
        <w:t> </w:t>
      </w:r>
      <w:r>
        <w:rPr/>
        <w:t>εξακολουθεί</w:t>
      </w:r>
      <w:r>
        <w:rPr>
          <w:spacing w:val="-6"/>
        </w:rPr>
        <w:t> </w:t>
      </w:r>
      <w:r>
        <w:rPr/>
        <w:t>να</w:t>
      </w:r>
      <w:r>
        <w:rPr>
          <w:spacing w:val="-4"/>
        </w:rPr>
        <w:t> </w:t>
      </w:r>
      <w:r>
        <w:rPr/>
        <w:t>παραμένει</w:t>
      </w:r>
      <w:r>
        <w:rPr>
          <w:spacing w:val="-6"/>
        </w:rPr>
        <w:t> </w:t>
      </w:r>
      <w:r>
        <w:rPr/>
        <w:t>σημαντικά</w:t>
      </w:r>
      <w:r>
        <w:rPr>
          <w:spacing w:val="-5"/>
        </w:rPr>
        <w:t> </w:t>
      </w:r>
      <w:r>
        <w:rPr/>
        <w:t>χαμηλότερος</w:t>
      </w:r>
      <w:r>
        <w:rPr>
          <w:spacing w:val="-6"/>
        </w:rPr>
        <w:t> </w:t>
      </w:r>
      <w:r>
        <w:rPr/>
        <w:t>από</w:t>
      </w:r>
      <w:r>
        <w:rPr>
          <w:spacing w:val="-5"/>
        </w:rPr>
        <w:t> </w:t>
      </w:r>
      <w:r>
        <w:rPr/>
        <w:t>τον</w:t>
      </w:r>
      <w:r>
        <w:rPr>
          <w:spacing w:val="-6"/>
        </w:rPr>
        <w:t> </w:t>
      </w:r>
      <w:r>
        <w:rPr/>
        <w:t>ευρωπαϊκό μέσο όρο (55,0%, βλ. Πίνακα ΙΙΙ.7).</w:t>
      </w:r>
    </w:p>
    <w:p>
      <w:pPr>
        <w:spacing w:before="119"/>
        <w:ind w:left="373" w:right="0" w:firstLine="0"/>
        <w:jc w:val="left"/>
        <w:rPr>
          <w:sz w:val="14"/>
        </w:rPr>
      </w:pPr>
      <w:r>
        <w:rPr>
          <w:color w:val="1F487C"/>
          <w:sz w:val="14"/>
        </w:rPr>
        <w:t>(ποσοστά</w:t>
      </w:r>
      <w:r>
        <w:rPr>
          <w:color w:val="1F487C"/>
          <w:spacing w:val="-8"/>
          <w:sz w:val="14"/>
        </w:rPr>
        <w:t> </w:t>
      </w:r>
      <w:r>
        <w:rPr>
          <w:color w:val="1F487C"/>
          <w:spacing w:val="-5"/>
          <w:sz w:val="14"/>
        </w:rPr>
        <w:t>%)</w:t>
      </w:r>
    </w:p>
    <w:p>
      <w:pPr>
        <w:pStyle w:val="BodyText"/>
        <w:spacing w:before="3"/>
        <w:rPr>
          <w:sz w:val="5"/>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37"/>
        <w:gridCol w:w="1410"/>
        <w:gridCol w:w="1640"/>
        <w:gridCol w:w="1764"/>
      </w:tblGrid>
      <w:tr>
        <w:trPr>
          <w:trHeight w:val="251" w:hRule="atLeast"/>
        </w:trPr>
        <w:tc>
          <w:tcPr>
            <w:tcW w:w="6887" w:type="dxa"/>
            <w:gridSpan w:val="3"/>
            <w:tcBorders>
              <w:right w:val="single" w:sz="18" w:space="0" w:color="FFFFFF"/>
            </w:tcBorders>
            <w:shd w:val="clear" w:color="auto" w:fill="BEBEBE"/>
          </w:tcPr>
          <w:p>
            <w:pPr>
              <w:pStyle w:val="TableParagraph"/>
              <w:spacing w:line="171" w:lineRule="exact" w:before="60"/>
              <w:ind w:right="1352"/>
              <w:jc w:val="right"/>
              <w:rPr>
                <w:b/>
                <w:sz w:val="18"/>
              </w:rPr>
            </w:pPr>
            <w:r>
              <w:rPr>
                <w:b/>
                <w:color w:val="1F487C"/>
                <w:spacing w:val="-2"/>
                <w:sz w:val="18"/>
              </w:rPr>
              <w:t>Ελλάδα</w:t>
            </w:r>
          </w:p>
        </w:tc>
        <w:tc>
          <w:tcPr>
            <w:tcW w:w="1764" w:type="dxa"/>
            <w:vMerge w:val="restart"/>
            <w:tcBorders>
              <w:left w:val="single" w:sz="18" w:space="0" w:color="FFFFFF"/>
              <w:bottom w:val="single" w:sz="12" w:space="0" w:color="FFFFFF"/>
            </w:tcBorders>
            <w:shd w:val="clear" w:color="auto" w:fill="BEBEBE"/>
          </w:tcPr>
          <w:p>
            <w:pPr>
              <w:pStyle w:val="TableParagraph"/>
              <w:spacing w:before="60"/>
              <w:ind w:right="28"/>
              <w:jc w:val="center"/>
              <w:rPr>
                <w:b/>
                <w:sz w:val="18"/>
              </w:rPr>
            </w:pPr>
            <w:r>
              <w:rPr>
                <w:b/>
                <w:color w:val="1F487C"/>
                <w:sz w:val="18"/>
              </w:rPr>
              <w:t>Τραπεζ</w:t>
            </w:r>
            <w:r>
              <w:rPr>
                <w:b/>
                <w:smallCaps/>
                <w:color w:val="1F487C"/>
                <w:sz w:val="18"/>
              </w:rPr>
              <w:t>ι</w:t>
            </w:r>
            <w:r>
              <w:rPr>
                <w:b/>
                <w:smallCaps w:val="0"/>
                <w:color w:val="1F487C"/>
                <w:sz w:val="18"/>
              </w:rPr>
              <w:t>κή</w:t>
            </w:r>
            <w:r>
              <w:rPr>
                <w:b/>
                <w:smallCaps w:val="0"/>
                <w:color w:val="1F487C"/>
                <w:spacing w:val="-5"/>
                <w:sz w:val="18"/>
              </w:rPr>
              <w:t> </w:t>
            </w:r>
            <w:r>
              <w:rPr>
                <w:b/>
                <w:smallCaps w:val="0"/>
                <w:color w:val="1F487C"/>
                <w:spacing w:val="-2"/>
                <w:sz w:val="18"/>
              </w:rPr>
              <w:t>Ένωση</w:t>
            </w:r>
            <w:r>
              <w:rPr>
                <w:b/>
                <w:smallCaps w:val="0"/>
                <w:color w:val="1F487C"/>
                <w:spacing w:val="-2"/>
                <w:sz w:val="18"/>
                <w:vertAlign w:val="superscript"/>
              </w:rPr>
              <w:t>1</w:t>
            </w:r>
          </w:p>
          <w:p>
            <w:pPr>
              <w:pStyle w:val="TableParagraph"/>
              <w:spacing w:before="131"/>
              <w:ind w:left="2" w:right="28"/>
              <w:jc w:val="center"/>
              <w:rPr>
                <w:b/>
                <w:sz w:val="18"/>
              </w:rPr>
            </w:pPr>
            <w:r>
              <w:rPr>
                <w:b/>
                <w:color w:val="1F487C"/>
                <w:spacing w:val="-4"/>
                <w:sz w:val="18"/>
              </w:rPr>
              <w:t>2025</w:t>
            </w:r>
          </w:p>
        </w:tc>
      </w:tr>
      <w:tr>
        <w:trPr>
          <w:trHeight w:val="400" w:hRule="atLeast"/>
        </w:trPr>
        <w:tc>
          <w:tcPr>
            <w:tcW w:w="5247" w:type="dxa"/>
            <w:gridSpan w:val="2"/>
            <w:tcBorders>
              <w:bottom w:val="single" w:sz="12" w:space="0" w:color="FFFFFF"/>
              <w:right w:val="single" w:sz="12" w:space="0" w:color="FFFFFF"/>
            </w:tcBorders>
            <w:shd w:val="clear" w:color="auto" w:fill="BEBEBE"/>
          </w:tcPr>
          <w:p>
            <w:pPr>
              <w:pStyle w:val="TableParagraph"/>
              <w:spacing w:before="117"/>
              <w:ind w:right="656"/>
              <w:jc w:val="right"/>
              <w:rPr>
                <w:b/>
                <w:sz w:val="18"/>
              </w:rPr>
            </w:pPr>
            <w:r>
              <w:rPr>
                <w:b/>
                <w:color w:val="1F487C"/>
                <w:spacing w:val="-4"/>
                <w:sz w:val="18"/>
              </w:rPr>
              <w:t>2024</w:t>
            </w:r>
          </w:p>
        </w:tc>
        <w:tc>
          <w:tcPr>
            <w:tcW w:w="1640" w:type="dxa"/>
            <w:tcBorders>
              <w:left w:val="single" w:sz="12" w:space="0" w:color="FFFFFF"/>
              <w:bottom w:val="single" w:sz="12" w:space="0" w:color="FFFFFF"/>
              <w:right w:val="single" w:sz="18" w:space="0" w:color="FFFFFF"/>
            </w:tcBorders>
            <w:shd w:val="clear" w:color="auto" w:fill="BEBEBE"/>
          </w:tcPr>
          <w:p>
            <w:pPr>
              <w:pStyle w:val="TableParagraph"/>
              <w:spacing w:before="117"/>
              <w:ind w:right="673"/>
              <w:jc w:val="right"/>
              <w:rPr>
                <w:b/>
                <w:sz w:val="18"/>
              </w:rPr>
            </w:pPr>
            <w:r>
              <w:rPr>
                <w:b/>
                <w:color w:val="1F487C"/>
                <w:spacing w:val="-4"/>
                <w:sz w:val="18"/>
              </w:rPr>
              <w:t>2025</w:t>
            </w:r>
          </w:p>
        </w:tc>
        <w:tc>
          <w:tcPr>
            <w:tcW w:w="1764" w:type="dxa"/>
            <w:vMerge/>
            <w:tcBorders>
              <w:top w:val="nil"/>
              <w:left w:val="single" w:sz="18" w:space="0" w:color="FFFFFF"/>
              <w:bottom w:val="single" w:sz="12" w:space="0" w:color="FFFFFF"/>
            </w:tcBorders>
            <w:shd w:val="clear" w:color="auto" w:fill="BEBEBE"/>
          </w:tcPr>
          <w:p>
            <w:pPr>
              <w:rPr>
                <w:sz w:val="2"/>
                <w:szCs w:val="2"/>
              </w:rPr>
            </w:pPr>
          </w:p>
        </w:tc>
      </w:tr>
      <w:tr>
        <w:trPr>
          <w:trHeight w:val="528" w:hRule="atLeast"/>
        </w:trPr>
        <w:tc>
          <w:tcPr>
            <w:tcW w:w="3837" w:type="dxa"/>
            <w:tcBorders>
              <w:top w:val="single" w:sz="12" w:space="0" w:color="FFFFFF"/>
            </w:tcBorders>
            <w:shd w:val="clear" w:color="auto" w:fill="D9D9D9"/>
          </w:tcPr>
          <w:p>
            <w:pPr>
              <w:pStyle w:val="TableParagraph"/>
              <w:spacing w:line="266" w:lineRule="exact"/>
              <w:ind w:left="108" w:right="393"/>
              <w:rPr>
                <w:sz w:val="18"/>
              </w:rPr>
            </w:pPr>
            <w:r>
              <w:rPr>
                <w:sz w:val="18"/>
              </w:rPr>
              <w:t>Καθαρά</w:t>
            </w:r>
            <w:r>
              <w:rPr>
                <w:spacing w:val="-12"/>
                <w:sz w:val="18"/>
              </w:rPr>
              <w:t> </w:t>
            </w:r>
            <w:r>
              <w:rPr>
                <w:sz w:val="18"/>
              </w:rPr>
              <w:t>έσοδα</w:t>
            </w:r>
            <w:r>
              <w:rPr>
                <w:spacing w:val="-11"/>
                <w:sz w:val="18"/>
              </w:rPr>
              <w:t> </w:t>
            </w:r>
            <w:r>
              <w:rPr>
                <w:sz w:val="18"/>
              </w:rPr>
              <w:t>από</w:t>
            </w:r>
            <w:r>
              <w:rPr>
                <w:spacing w:val="-11"/>
                <w:sz w:val="18"/>
              </w:rPr>
              <w:t> </w:t>
            </w:r>
            <w:r>
              <w:rPr>
                <w:sz w:val="18"/>
              </w:rPr>
              <w:t>τόκους/ενεργητικό</w:t>
            </w:r>
            <w:r>
              <w:rPr>
                <w:sz w:val="18"/>
                <w:vertAlign w:val="superscript"/>
              </w:rPr>
              <w:t>2</w:t>
            </w:r>
            <w:r>
              <w:rPr>
                <w:sz w:val="18"/>
                <w:vertAlign w:val="baseline"/>
              </w:rPr>
              <w:t> (καθαρό επιτοκιακό περιθώριο)</w:t>
            </w:r>
          </w:p>
        </w:tc>
        <w:tc>
          <w:tcPr>
            <w:tcW w:w="1410" w:type="dxa"/>
            <w:tcBorders>
              <w:top w:val="single" w:sz="12" w:space="0" w:color="FFFFFF"/>
            </w:tcBorders>
            <w:shd w:val="clear" w:color="auto" w:fill="D9D9D9"/>
          </w:tcPr>
          <w:p>
            <w:pPr>
              <w:pStyle w:val="TableParagraph"/>
              <w:spacing w:before="183"/>
              <w:ind w:left="442"/>
              <w:rPr>
                <w:sz w:val="18"/>
              </w:rPr>
            </w:pPr>
            <w:r>
              <w:rPr>
                <w:spacing w:val="-5"/>
                <w:sz w:val="18"/>
              </w:rPr>
              <w:t>2,9</w:t>
            </w:r>
          </w:p>
        </w:tc>
        <w:tc>
          <w:tcPr>
            <w:tcW w:w="1640" w:type="dxa"/>
            <w:tcBorders>
              <w:top w:val="single" w:sz="12" w:space="0" w:color="FFFFFF"/>
              <w:right w:val="single" w:sz="18" w:space="0" w:color="FFFFFF"/>
            </w:tcBorders>
            <w:shd w:val="clear" w:color="auto" w:fill="D9D9D9"/>
          </w:tcPr>
          <w:p>
            <w:pPr>
              <w:pStyle w:val="TableParagraph"/>
              <w:spacing w:before="183"/>
              <w:ind w:right="685"/>
              <w:jc w:val="right"/>
              <w:rPr>
                <w:sz w:val="18"/>
              </w:rPr>
            </w:pPr>
            <w:r>
              <w:rPr>
                <w:spacing w:val="-5"/>
                <w:sz w:val="18"/>
              </w:rPr>
              <w:t>2,5</w:t>
            </w:r>
          </w:p>
        </w:tc>
        <w:tc>
          <w:tcPr>
            <w:tcW w:w="1764" w:type="dxa"/>
            <w:tcBorders>
              <w:top w:val="single" w:sz="12" w:space="0" w:color="FFFFFF"/>
              <w:left w:val="single" w:sz="18" w:space="0" w:color="FFFFFF"/>
            </w:tcBorders>
            <w:shd w:val="clear" w:color="auto" w:fill="D9D9D9"/>
          </w:tcPr>
          <w:p>
            <w:pPr>
              <w:pStyle w:val="TableParagraph"/>
              <w:spacing w:before="183"/>
              <w:ind w:left="3" w:right="30"/>
              <w:jc w:val="center"/>
              <w:rPr>
                <w:sz w:val="18"/>
              </w:rPr>
            </w:pPr>
            <w:r>
              <w:rPr>
                <w:spacing w:val="-5"/>
                <w:sz w:val="18"/>
              </w:rPr>
              <w:t>1,5</w:t>
            </w:r>
          </w:p>
        </w:tc>
      </w:tr>
      <w:tr>
        <w:trPr>
          <w:trHeight w:val="417" w:hRule="atLeast"/>
        </w:trPr>
        <w:tc>
          <w:tcPr>
            <w:tcW w:w="3837" w:type="dxa"/>
            <w:shd w:val="clear" w:color="auto" w:fill="BEBEBE"/>
          </w:tcPr>
          <w:p>
            <w:pPr>
              <w:pStyle w:val="TableParagraph"/>
              <w:spacing w:before="133"/>
              <w:ind w:left="108"/>
              <w:rPr>
                <w:sz w:val="18"/>
              </w:rPr>
            </w:pPr>
            <w:r>
              <w:rPr>
                <w:sz w:val="18"/>
              </w:rPr>
              <w:t>Λειτουργικά</w:t>
            </w:r>
            <w:r>
              <w:rPr>
                <w:spacing w:val="-3"/>
                <w:sz w:val="18"/>
              </w:rPr>
              <w:t> </w:t>
            </w:r>
            <w:r>
              <w:rPr>
                <w:spacing w:val="-2"/>
                <w:sz w:val="18"/>
              </w:rPr>
              <w:t>έξοδα/ενεργητικό</w:t>
            </w:r>
          </w:p>
        </w:tc>
        <w:tc>
          <w:tcPr>
            <w:tcW w:w="1410" w:type="dxa"/>
            <w:shd w:val="clear" w:color="auto" w:fill="BEBEBE"/>
          </w:tcPr>
          <w:p>
            <w:pPr>
              <w:pStyle w:val="TableParagraph"/>
              <w:spacing w:before="128"/>
              <w:ind w:left="442"/>
              <w:rPr>
                <w:sz w:val="18"/>
              </w:rPr>
            </w:pPr>
            <w:r>
              <w:rPr>
                <w:spacing w:val="-5"/>
                <w:sz w:val="18"/>
              </w:rPr>
              <w:t>1,2</w:t>
            </w:r>
          </w:p>
        </w:tc>
        <w:tc>
          <w:tcPr>
            <w:tcW w:w="1640" w:type="dxa"/>
            <w:tcBorders>
              <w:right w:val="single" w:sz="18" w:space="0" w:color="FFFFFF"/>
            </w:tcBorders>
            <w:shd w:val="clear" w:color="auto" w:fill="BEBEBE"/>
          </w:tcPr>
          <w:p>
            <w:pPr>
              <w:pStyle w:val="TableParagraph"/>
              <w:spacing w:before="128"/>
              <w:ind w:right="685"/>
              <w:jc w:val="right"/>
              <w:rPr>
                <w:sz w:val="18"/>
              </w:rPr>
            </w:pPr>
            <w:r>
              <w:rPr>
                <w:spacing w:val="-5"/>
                <w:sz w:val="18"/>
              </w:rPr>
              <w:t>1,2</w:t>
            </w:r>
          </w:p>
        </w:tc>
        <w:tc>
          <w:tcPr>
            <w:tcW w:w="1764" w:type="dxa"/>
            <w:tcBorders>
              <w:left w:val="single" w:sz="18" w:space="0" w:color="FFFFFF"/>
            </w:tcBorders>
            <w:shd w:val="clear" w:color="auto" w:fill="BEBEBE"/>
          </w:tcPr>
          <w:p>
            <w:pPr>
              <w:pStyle w:val="TableParagraph"/>
              <w:spacing w:before="128"/>
              <w:ind w:left="3" w:right="30"/>
              <w:jc w:val="center"/>
              <w:rPr>
                <w:sz w:val="18"/>
              </w:rPr>
            </w:pPr>
            <w:r>
              <w:rPr>
                <w:spacing w:val="-5"/>
                <w:sz w:val="18"/>
              </w:rPr>
              <w:t>1,3</w:t>
            </w:r>
          </w:p>
        </w:tc>
      </w:tr>
      <w:tr>
        <w:trPr>
          <w:trHeight w:val="535" w:hRule="atLeast"/>
        </w:trPr>
        <w:tc>
          <w:tcPr>
            <w:tcW w:w="3837" w:type="dxa"/>
            <w:shd w:val="clear" w:color="auto" w:fill="D9D9D9"/>
          </w:tcPr>
          <w:p>
            <w:pPr>
              <w:pStyle w:val="TableParagraph"/>
              <w:spacing w:line="260" w:lineRule="atLeast"/>
              <w:ind w:left="108" w:right="393"/>
              <w:rPr>
                <w:sz w:val="18"/>
              </w:rPr>
            </w:pPr>
            <w:r>
              <w:rPr>
                <w:sz w:val="18"/>
              </w:rPr>
              <w:t>Λειτουργικά</w:t>
            </w:r>
            <w:r>
              <w:rPr>
                <w:spacing w:val="-12"/>
                <w:sz w:val="18"/>
              </w:rPr>
              <w:t> </w:t>
            </w:r>
            <w:r>
              <w:rPr>
                <w:sz w:val="18"/>
              </w:rPr>
              <w:t>έξοδα/λειτουργικά</w:t>
            </w:r>
            <w:r>
              <w:rPr>
                <w:spacing w:val="-11"/>
                <w:sz w:val="18"/>
              </w:rPr>
              <w:t> </w:t>
            </w:r>
            <w:r>
              <w:rPr>
                <w:sz w:val="18"/>
              </w:rPr>
              <w:t>έσοδα (δείκτης αποτελεσματικότητας)</w:t>
            </w:r>
          </w:p>
        </w:tc>
        <w:tc>
          <w:tcPr>
            <w:tcW w:w="1410" w:type="dxa"/>
            <w:shd w:val="clear" w:color="auto" w:fill="D9D9D9"/>
          </w:tcPr>
          <w:p>
            <w:pPr>
              <w:pStyle w:val="TableParagraph"/>
              <w:spacing w:before="189"/>
              <w:ind w:left="399"/>
              <w:rPr>
                <w:sz w:val="18"/>
              </w:rPr>
            </w:pPr>
            <w:r>
              <w:rPr>
                <w:spacing w:val="-4"/>
                <w:sz w:val="18"/>
              </w:rPr>
              <w:t>36,0</w:t>
            </w:r>
          </w:p>
        </w:tc>
        <w:tc>
          <w:tcPr>
            <w:tcW w:w="1640" w:type="dxa"/>
            <w:tcBorders>
              <w:right w:val="single" w:sz="18" w:space="0" w:color="FFFFFF"/>
            </w:tcBorders>
            <w:shd w:val="clear" w:color="auto" w:fill="D9D9D9"/>
          </w:tcPr>
          <w:p>
            <w:pPr>
              <w:pStyle w:val="TableParagraph"/>
              <w:spacing w:before="189"/>
              <w:ind w:right="639"/>
              <w:jc w:val="right"/>
              <w:rPr>
                <w:sz w:val="18"/>
              </w:rPr>
            </w:pPr>
            <w:r>
              <w:rPr>
                <w:spacing w:val="-4"/>
                <w:sz w:val="18"/>
              </w:rPr>
              <w:t>38,4</w:t>
            </w:r>
          </w:p>
        </w:tc>
        <w:tc>
          <w:tcPr>
            <w:tcW w:w="1764" w:type="dxa"/>
            <w:tcBorders>
              <w:left w:val="single" w:sz="18" w:space="0" w:color="FFFFFF"/>
            </w:tcBorders>
            <w:shd w:val="clear" w:color="auto" w:fill="D9D9D9"/>
          </w:tcPr>
          <w:p>
            <w:pPr>
              <w:pStyle w:val="TableParagraph"/>
              <w:spacing w:before="194"/>
              <w:ind w:right="30"/>
              <w:jc w:val="center"/>
              <w:rPr>
                <w:sz w:val="18"/>
              </w:rPr>
            </w:pPr>
            <w:r>
              <w:rPr>
                <w:spacing w:val="-4"/>
                <w:sz w:val="18"/>
              </w:rPr>
              <w:t>55,0</w:t>
            </w:r>
          </w:p>
        </w:tc>
      </w:tr>
      <w:tr>
        <w:trPr>
          <w:trHeight w:val="679" w:hRule="atLeast"/>
        </w:trPr>
        <w:tc>
          <w:tcPr>
            <w:tcW w:w="3837" w:type="dxa"/>
            <w:shd w:val="clear" w:color="auto" w:fill="BEBEBE"/>
          </w:tcPr>
          <w:p>
            <w:pPr>
              <w:pStyle w:val="TableParagraph"/>
              <w:spacing w:line="206" w:lineRule="exact" w:before="41"/>
              <w:ind w:left="108" w:right="397"/>
              <w:jc w:val="both"/>
              <w:rPr>
                <w:sz w:val="18"/>
              </w:rPr>
            </w:pPr>
            <w:r>
              <w:rPr>
                <w:sz w:val="18"/>
              </w:rPr>
              <w:t>Προβλέψεις</w:t>
            </w:r>
            <w:r>
              <w:rPr>
                <w:spacing w:val="-12"/>
                <w:sz w:val="18"/>
              </w:rPr>
              <w:t> </w:t>
            </w:r>
            <w:r>
              <w:rPr>
                <w:sz w:val="18"/>
              </w:rPr>
              <w:t>για</w:t>
            </w:r>
            <w:r>
              <w:rPr>
                <w:spacing w:val="-11"/>
                <w:sz w:val="18"/>
              </w:rPr>
              <w:t> </w:t>
            </w:r>
            <w:r>
              <w:rPr>
                <w:sz w:val="18"/>
              </w:rPr>
              <w:t>τον</w:t>
            </w:r>
            <w:r>
              <w:rPr>
                <w:spacing w:val="-11"/>
                <w:sz w:val="18"/>
              </w:rPr>
              <w:t> </w:t>
            </w:r>
            <w:r>
              <w:rPr>
                <w:sz w:val="18"/>
              </w:rPr>
              <w:t>πιστωτικό</w:t>
            </w:r>
            <w:r>
              <w:rPr>
                <w:spacing w:val="-11"/>
                <w:sz w:val="18"/>
              </w:rPr>
              <w:t> </w:t>
            </w:r>
            <w:r>
              <w:rPr>
                <w:sz w:val="18"/>
              </w:rPr>
              <w:t>κίνδυνο/δάνεια μετά</w:t>
            </w:r>
            <w:r>
              <w:rPr>
                <w:spacing w:val="-11"/>
                <w:sz w:val="18"/>
              </w:rPr>
              <w:t> </w:t>
            </w:r>
            <w:r>
              <w:rPr>
                <w:sz w:val="18"/>
              </w:rPr>
              <w:t>από</w:t>
            </w:r>
            <w:r>
              <w:rPr>
                <w:spacing w:val="-9"/>
                <w:sz w:val="18"/>
              </w:rPr>
              <w:t> </w:t>
            </w:r>
            <w:r>
              <w:rPr>
                <w:sz w:val="18"/>
              </w:rPr>
              <w:t>προβλέψεις</w:t>
            </w:r>
            <w:r>
              <w:rPr>
                <w:spacing w:val="-10"/>
                <w:sz w:val="18"/>
              </w:rPr>
              <w:t> </w:t>
            </w:r>
            <w:r>
              <w:rPr>
                <w:sz w:val="18"/>
              </w:rPr>
              <w:t>(κόστος</w:t>
            </w:r>
            <w:r>
              <w:rPr>
                <w:spacing w:val="-12"/>
                <w:sz w:val="18"/>
              </w:rPr>
              <w:t> </w:t>
            </w:r>
            <w:r>
              <w:rPr>
                <w:sz w:val="18"/>
              </w:rPr>
              <w:t>πιστωτικού</w:t>
            </w:r>
            <w:r>
              <w:rPr>
                <w:spacing w:val="-10"/>
                <w:sz w:val="18"/>
              </w:rPr>
              <w:t> </w:t>
            </w:r>
            <w:r>
              <w:rPr>
                <w:sz w:val="18"/>
              </w:rPr>
              <w:t>κιν-</w:t>
            </w:r>
            <w:r>
              <w:rPr>
                <w:spacing w:val="-2"/>
                <w:sz w:val="18"/>
              </w:rPr>
              <w:t>δύνου)</w:t>
            </w:r>
          </w:p>
        </w:tc>
        <w:tc>
          <w:tcPr>
            <w:tcW w:w="1410" w:type="dxa"/>
            <w:shd w:val="clear" w:color="auto" w:fill="BEBEBE"/>
          </w:tcPr>
          <w:p>
            <w:pPr>
              <w:pStyle w:val="TableParagraph"/>
              <w:spacing w:before="54"/>
              <w:rPr>
                <w:sz w:val="18"/>
              </w:rPr>
            </w:pPr>
          </w:p>
          <w:p>
            <w:pPr>
              <w:pStyle w:val="TableParagraph"/>
              <w:ind w:left="442"/>
              <w:rPr>
                <w:sz w:val="18"/>
              </w:rPr>
            </w:pPr>
            <w:r>
              <w:rPr>
                <w:spacing w:val="-5"/>
                <w:sz w:val="18"/>
              </w:rPr>
              <w:t>0,7</w:t>
            </w:r>
          </w:p>
        </w:tc>
        <w:tc>
          <w:tcPr>
            <w:tcW w:w="1640" w:type="dxa"/>
            <w:tcBorders>
              <w:right w:val="single" w:sz="18" w:space="0" w:color="FFFFFF"/>
            </w:tcBorders>
            <w:shd w:val="clear" w:color="auto" w:fill="BEBEBE"/>
          </w:tcPr>
          <w:p>
            <w:pPr>
              <w:pStyle w:val="TableParagraph"/>
              <w:spacing w:before="54"/>
              <w:rPr>
                <w:sz w:val="18"/>
              </w:rPr>
            </w:pPr>
          </w:p>
          <w:p>
            <w:pPr>
              <w:pStyle w:val="TableParagraph"/>
              <w:ind w:right="685"/>
              <w:jc w:val="right"/>
              <w:rPr>
                <w:sz w:val="18"/>
              </w:rPr>
            </w:pPr>
            <w:r>
              <w:rPr>
                <w:spacing w:val="-5"/>
                <w:sz w:val="18"/>
              </w:rPr>
              <w:t>0,6</w:t>
            </w:r>
          </w:p>
        </w:tc>
        <w:tc>
          <w:tcPr>
            <w:tcW w:w="1764" w:type="dxa"/>
            <w:tcBorders>
              <w:left w:val="single" w:sz="18" w:space="0" w:color="FFFFFF"/>
            </w:tcBorders>
            <w:shd w:val="clear" w:color="auto" w:fill="BEBEBE"/>
          </w:tcPr>
          <w:p>
            <w:pPr>
              <w:pStyle w:val="TableParagraph"/>
              <w:spacing w:before="54"/>
              <w:rPr>
                <w:sz w:val="18"/>
              </w:rPr>
            </w:pPr>
          </w:p>
          <w:p>
            <w:pPr>
              <w:pStyle w:val="TableParagraph"/>
              <w:ind w:left="3" w:right="30"/>
              <w:jc w:val="center"/>
              <w:rPr>
                <w:sz w:val="18"/>
              </w:rPr>
            </w:pPr>
            <w:r>
              <w:rPr>
                <w:spacing w:val="-5"/>
                <w:sz w:val="18"/>
              </w:rPr>
              <w:t>0,5</w:t>
            </w:r>
          </w:p>
        </w:tc>
      </w:tr>
      <w:tr>
        <w:trPr>
          <w:trHeight w:val="455" w:hRule="atLeast"/>
        </w:trPr>
        <w:tc>
          <w:tcPr>
            <w:tcW w:w="3837" w:type="dxa"/>
            <w:shd w:val="clear" w:color="auto" w:fill="D9D9D9"/>
          </w:tcPr>
          <w:p>
            <w:pPr>
              <w:pStyle w:val="TableParagraph"/>
              <w:spacing w:before="153"/>
              <w:ind w:left="108"/>
              <w:rPr>
                <w:sz w:val="18"/>
              </w:rPr>
            </w:pPr>
            <w:r>
              <w:rPr>
                <w:sz w:val="18"/>
              </w:rPr>
              <w:t>Αποδοτικότητα</w:t>
            </w:r>
            <w:r>
              <w:rPr>
                <w:spacing w:val="-2"/>
                <w:sz w:val="18"/>
              </w:rPr>
              <w:t> ενεργητικού</w:t>
            </w:r>
            <w:r>
              <w:rPr>
                <w:spacing w:val="-2"/>
                <w:sz w:val="18"/>
                <w:vertAlign w:val="superscript"/>
              </w:rPr>
              <w:t>3,4</w:t>
            </w:r>
          </w:p>
        </w:tc>
        <w:tc>
          <w:tcPr>
            <w:tcW w:w="1410" w:type="dxa"/>
            <w:shd w:val="clear" w:color="auto" w:fill="D9D9D9"/>
          </w:tcPr>
          <w:p>
            <w:pPr>
              <w:pStyle w:val="TableParagraph"/>
              <w:spacing w:before="151"/>
              <w:ind w:left="442"/>
              <w:rPr>
                <w:sz w:val="18"/>
              </w:rPr>
            </w:pPr>
            <w:r>
              <w:rPr>
                <w:spacing w:val="-5"/>
                <w:sz w:val="18"/>
              </w:rPr>
              <w:t>1,2</w:t>
            </w:r>
          </w:p>
        </w:tc>
        <w:tc>
          <w:tcPr>
            <w:tcW w:w="1640" w:type="dxa"/>
            <w:tcBorders>
              <w:right w:val="single" w:sz="18" w:space="0" w:color="FFFFFF"/>
            </w:tcBorders>
            <w:shd w:val="clear" w:color="auto" w:fill="D9D9D9"/>
          </w:tcPr>
          <w:p>
            <w:pPr>
              <w:pStyle w:val="TableParagraph"/>
              <w:spacing w:before="151"/>
              <w:ind w:right="685"/>
              <w:jc w:val="right"/>
              <w:rPr>
                <w:sz w:val="18"/>
              </w:rPr>
            </w:pPr>
            <w:r>
              <w:rPr>
                <w:spacing w:val="-5"/>
                <w:sz w:val="18"/>
              </w:rPr>
              <w:t>1,3</w:t>
            </w:r>
          </w:p>
        </w:tc>
        <w:tc>
          <w:tcPr>
            <w:tcW w:w="1764" w:type="dxa"/>
            <w:tcBorders>
              <w:left w:val="single" w:sz="18" w:space="0" w:color="FFFFFF"/>
            </w:tcBorders>
            <w:shd w:val="clear" w:color="auto" w:fill="D9D9D9"/>
          </w:tcPr>
          <w:p>
            <w:pPr>
              <w:pStyle w:val="TableParagraph"/>
              <w:spacing w:before="151"/>
              <w:ind w:left="3" w:right="30"/>
              <w:jc w:val="center"/>
              <w:rPr>
                <w:sz w:val="18"/>
              </w:rPr>
            </w:pPr>
            <w:r>
              <w:rPr>
                <w:spacing w:val="-5"/>
                <w:sz w:val="18"/>
              </w:rPr>
              <w:t>0,7</w:t>
            </w:r>
          </w:p>
        </w:tc>
      </w:tr>
      <w:tr>
        <w:trPr>
          <w:trHeight w:val="454" w:hRule="atLeast"/>
        </w:trPr>
        <w:tc>
          <w:tcPr>
            <w:tcW w:w="3837" w:type="dxa"/>
            <w:shd w:val="clear" w:color="auto" w:fill="BEBEBE"/>
          </w:tcPr>
          <w:p>
            <w:pPr>
              <w:pStyle w:val="TableParagraph"/>
              <w:spacing w:before="154"/>
              <w:ind w:left="108"/>
              <w:rPr>
                <w:sz w:val="18"/>
              </w:rPr>
            </w:pPr>
            <w:r>
              <w:rPr>
                <w:sz w:val="18"/>
              </w:rPr>
              <w:t>Αποδοτικότητα</w:t>
            </w:r>
            <w:r>
              <w:rPr>
                <w:spacing w:val="-7"/>
                <w:sz w:val="18"/>
              </w:rPr>
              <w:t> </w:t>
            </w:r>
            <w:r>
              <w:rPr>
                <w:sz w:val="18"/>
              </w:rPr>
              <w:t>ιδίων</w:t>
            </w:r>
            <w:r>
              <w:rPr>
                <w:spacing w:val="-3"/>
                <w:sz w:val="18"/>
              </w:rPr>
              <w:t> </w:t>
            </w:r>
            <w:r>
              <w:rPr>
                <w:sz w:val="18"/>
              </w:rPr>
              <w:t>κεφαλαίων</w:t>
            </w:r>
            <w:r>
              <w:rPr>
                <w:sz w:val="18"/>
                <w:vertAlign w:val="superscript"/>
              </w:rPr>
              <w:t>3,</w:t>
            </w:r>
            <w:r>
              <w:rPr>
                <w:spacing w:val="-13"/>
                <w:sz w:val="18"/>
                <w:vertAlign w:val="baseline"/>
              </w:rPr>
              <w:t> </w:t>
            </w:r>
            <w:r>
              <w:rPr>
                <w:spacing w:val="-10"/>
                <w:sz w:val="18"/>
                <w:vertAlign w:val="superscript"/>
              </w:rPr>
              <w:t>4</w:t>
            </w:r>
          </w:p>
        </w:tc>
        <w:tc>
          <w:tcPr>
            <w:tcW w:w="1410" w:type="dxa"/>
            <w:shd w:val="clear" w:color="auto" w:fill="BEBEBE"/>
          </w:tcPr>
          <w:p>
            <w:pPr>
              <w:pStyle w:val="TableParagraph"/>
              <w:spacing w:before="149"/>
              <w:ind w:left="399"/>
              <w:rPr>
                <w:sz w:val="18"/>
              </w:rPr>
            </w:pPr>
            <w:r>
              <w:rPr>
                <w:spacing w:val="-4"/>
                <w:sz w:val="18"/>
              </w:rPr>
              <w:t>11,7</w:t>
            </w:r>
          </w:p>
        </w:tc>
        <w:tc>
          <w:tcPr>
            <w:tcW w:w="1640" w:type="dxa"/>
            <w:tcBorders>
              <w:right w:val="single" w:sz="18" w:space="0" w:color="FFFFFF"/>
            </w:tcBorders>
            <w:shd w:val="clear" w:color="auto" w:fill="BEBEBE"/>
          </w:tcPr>
          <w:p>
            <w:pPr>
              <w:pStyle w:val="TableParagraph"/>
              <w:spacing w:before="149"/>
              <w:ind w:right="639"/>
              <w:jc w:val="right"/>
              <w:rPr>
                <w:sz w:val="18"/>
              </w:rPr>
            </w:pPr>
            <w:r>
              <w:rPr>
                <w:spacing w:val="-4"/>
                <w:sz w:val="18"/>
              </w:rPr>
              <w:t>11,8</w:t>
            </w:r>
          </w:p>
        </w:tc>
        <w:tc>
          <w:tcPr>
            <w:tcW w:w="1764" w:type="dxa"/>
            <w:tcBorders>
              <w:left w:val="single" w:sz="18" w:space="0" w:color="FFFFFF"/>
            </w:tcBorders>
            <w:shd w:val="clear" w:color="auto" w:fill="BEBEBE"/>
          </w:tcPr>
          <w:p>
            <w:pPr>
              <w:pStyle w:val="TableParagraph"/>
              <w:spacing w:before="149"/>
              <w:ind w:left="3" w:right="30"/>
              <w:jc w:val="center"/>
              <w:rPr>
                <w:sz w:val="18"/>
              </w:rPr>
            </w:pPr>
            <w:r>
              <w:rPr>
                <w:spacing w:val="-5"/>
                <w:sz w:val="18"/>
              </w:rPr>
              <w:t>9,5</w:t>
            </w:r>
          </w:p>
        </w:tc>
      </w:tr>
      <w:tr>
        <w:trPr>
          <w:trHeight w:val="2347" w:hRule="atLeast"/>
        </w:trPr>
        <w:tc>
          <w:tcPr>
            <w:tcW w:w="8651" w:type="dxa"/>
            <w:gridSpan w:val="4"/>
            <w:shd w:val="clear" w:color="auto" w:fill="D9D9D9"/>
          </w:tcPr>
          <w:p>
            <w:pPr>
              <w:pStyle w:val="TableParagraph"/>
              <w:spacing w:before="119"/>
              <w:ind w:left="220" w:right="199"/>
              <w:rPr>
                <w:sz w:val="14"/>
              </w:rPr>
            </w:pPr>
            <w:r>
              <w:rPr>
                <w:sz w:val="14"/>
              </w:rPr>
              <w:t>Πηγές:</w:t>
            </w:r>
            <w:r>
              <w:rPr>
                <w:spacing w:val="-3"/>
                <w:sz w:val="14"/>
              </w:rPr>
              <w:t> </w:t>
            </w:r>
            <w:r>
              <w:rPr>
                <w:sz w:val="14"/>
              </w:rPr>
              <w:t>Δημοσιευμένες</w:t>
            </w:r>
            <w:r>
              <w:rPr>
                <w:spacing w:val="-3"/>
                <w:sz w:val="14"/>
              </w:rPr>
              <w:t> </w:t>
            </w:r>
            <w:r>
              <w:rPr>
                <w:sz w:val="14"/>
              </w:rPr>
              <w:t>οικονομικές</w:t>
            </w:r>
            <w:r>
              <w:rPr>
                <w:spacing w:val="-3"/>
                <w:sz w:val="14"/>
              </w:rPr>
              <w:t> </w:t>
            </w:r>
            <w:r>
              <w:rPr>
                <w:sz w:val="14"/>
              </w:rPr>
              <w:t>καταστάσεις</w:t>
            </w:r>
            <w:r>
              <w:rPr>
                <w:spacing w:val="-3"/>
                <w:sz w:val="14"/>
              </w:rPr>
              <w:t> </w:t>
            </w:r>
            <w:r>
              <w:rPr>
                <w:sz w:val="14"/>
              </w:rPr>
              <w:t>των</w:t>
            </w:r>
            <w:r>
              <w:rPr>
                <w:spacing w:val="-4"/>
                <w:sz w:val="14"/>
              </w:rPr>
              <w:t> </w:t>
            </w:r>
            <w:r>
              <w:rPr>
                <w:sz w:val="14"/>
              </w:rPr>
              <w:t>τεσσάρων</w:t>
            </w:r>
            <w:r>
              <w:rPr>
                <w:spacing w:val="-4"/>
                <w:sz w:val="14"/>
              </w:rPr>
              <w:t> </w:t>
            </w:r>
            <w:r>
              <w:rPr>
                <w:sz w:val="14"/>
              </w:rPr>
              <w:t>ελληνικών</w:t>
            </w:r>
            <w:r>
              <w:rPr>
                <w:spacing w:val="-4"/>
                <w:sz w:val="14"/>
              </w:rPr>
              <w:t> </w:t>
            </w:r>
            <w:r>
              <w:rPr>
                <w:sz w:val="14"/>
              </w:rPr>
              <w:t>σημαντικών</w:t>
            </w:r>
            <w:r>
              <w:rPr>
                <w:spacing w:val="-3"/>
                <w:sz w:val="14"/>
              </w:rPr>
              <w:t> </w:t>
            </w:r>
            <w:r>
              <w:rPr>
                <w:sz w:val="14"/>
              </w:rPr>
              <w:t>τραπεζών</w:t>
            </w:r>
            <w:r>
              <w:rPr>
                <w:spacing w:val="-4"/>
                <w:sz w:val="14"/>
              </w:rPr>
              <w:t> </w:t>
            </w:r>
            <w:r>
              <w:rPr>
                <w:sz w:val="14"/>
              </w:rPr>
              <w:t>και</w:t>
            </w:r>
            <w:r>
              <w:rPr>
                <w:spacing w:val="-2"/>
                <w:sz w:val="14"/>
              </w:rPr>
              <w:t> </w:t>
            </w:r>
            <w:r>
              <w:rPr>
                <w:sz w:val="14"/>
              </w:rPr>
              <w:t>εποπτικά</w:t>
            </w:r>
            <w:r>
              <w:rPr>
                <w:spacing w:val="-4"/>
                <w:sz w:val="14"/>
              </w:rPr>
              <w:t> </w:t>
            </w:r>
            <w:r>
              <w:rPr>
                <w:sz w:val="14"/>
              </w:rPr>
              <w:t>στοιχεία</w:t>
            </w:r>
            <w:r>
              <w:rPr>
                <w:spacing w:val="-4"/>
                <w:sz w:val="14"/>
              </w:rPr>
              <w:t> </w:t>
            </w:r>
            <w:r>
              <w:rPr>
                <w:sz w:val="14"/>
              </w:rPr>
              <w:t>για</w:t>
            </w:r>
            <w:r>
              <w:rPr>
                <w:spacing w:val="-4"/>
                <w:sz w:val="14"/>
              </w:rPr>
              <w:t> </w:t>
            </w:r>
            <w:r>
              <w:rPr>
                <w:sz w:val="14"/>
              </w:rPr>
              <w:t>τις</w:t>
            </w:r>
            <w:r>
              <w:rPr>
                <w:spacing w:val="-3"/>
                <w:sz w:val="14"/>
              </w:rPr>
              <w:t> </w:t>
            </w:r>
            <w:r>
              <w:rPr>
                <w:sz w:val="14"/>
              </w:rPr>
              <w:t>λιγότερο</w:t>
            </w:r>
            <w:r>
              <w:rPr>
                <w:spacing w:val="-3"/>
                <w:sz w:val="14"/>
              </w:rPr>
              <w:t> </w:t>
            </w:r>
            <w:r>
              <w:rPr>
                <w:sz w:val="14"/>
              </w:rPr>
              <w:t>σημαντι-κές τράπεζες (LSIs), </w:t>
            </w:r>
            <w:r>
              <w:rPr>
                <w:color w:val="0000FF"/>
                <w:sz w:val="14"/>
                <w:u w:val="single" w:color="0000FF"/>
              </w:rPr>
              <w:t>ECB Banking Supeervision, Supervisory data</w:t>
            </w:r>
            <w:r>
              <w:rPr>
                <w:color w:val="0000FF"/>
                <w:sz w:val="14"/>
              </w:rPr>
              <w:t>.</w:t>
            </w:r>
            <w:r>
              <w:rPr>
                <w:sz w:val="14"/>
              </w:rPr>
              <w:t>.</w:t>
            </w:r>
          </w:p>
          <w:p>
            <w:pPr>
              <w:pStyle w:val="TableParagraph"/>
              <w:spacing w:before="18"/>
              <w:rPr>
                <w:sz w:val="14"/>
              </w:rPr>
            </w:pPr>
          </w:p>
          <w:p>
            <w:pPr>
              <w:pStyle w:val="TableParagraph"/>
              <w:ind w:left="220"/>
              <w:rPr>
                <w:sz w:val="14"/>
              </w:rPr>
            </w:pPr>
            <w:r>
              <w:rPr>
                <w:sz w:val="14"/>
                <w:vertAlign w:val="superscript"/>
              </w:rPr>
              <w:t>1</w:t>
            </w:r>
            <w:r>
              <w:rPr>
                <w:spacing w:val="-4"/>
                <w:sz w:val="14"/>
                <w:vertAlign w:val="baseline"/>
              </w:rPr>
              <w:t> </w:t>
            </w:r>
            <w:r>
              <w:rPr>
                <w:sz w:val="14"/>
                <w:vertAlign w:val="baseline"/>
              </w:rPr>
              <w:t>Τραπεζικοί</w:t>
            </w:r>
            <w:r>
              <w:rPr>
                <w:spacing w:val="-3"/>
                <w:sz w:val="14"/>
                <w:vertAlign w:val="baseline"/>
              </w:rPr>
              <w:t> </w:t>
            </w:r>
            <w:r>
              <w:rPr>
                <w:sz w:val="14"/>
                <w:vertAlign w:val="baseline"/>
              </w:rPr>
              <w:t>όμιλοι</w:t>
            </w:r>
            <w:r>
              <w:rPr>
                <w:spacing w:val="-3"/>
                <w:sz w:val="14"/>
                <w:vertAlign w:val="baseline"/>
              </w:rPr>
              <w:t> </w:t>
            </w:r>
            <w:r>
              <w:rPr>
                <w:sz w:val="14"/>
                <w:vertAlign w:val="baseline"/>
              </w:rPr>
              <w:t>που</w:t>
            </w:r>
            <w:r>
              <w:rPr>
                <w:spacing w:val="-3"/>
                <w:sz w:val="14"/>
                <w:vertAlign w:val="baseline"/>
              </w:rPr>
              <w:t> </w:t>
            </w:r>
            <w:r>
              <w:rPr>
                <w:sz w:val="14"/>
                <w:vertAlign w:val="baseline"/>
              </w:rPr>
              <w:t>εποπτεύονται</w:t>
            </w:r>
            <w:r>
              <w:rPr>
                <w:spacing w:val="-4"/>
                <w:sz w:val="14"/>
                <w:vertAlign w:val="baseline"/>
              </w:rPr>
              <w:t> </w:t>
            </w:r>
            <w:r>
              <w:rPr>
                <w:sz w:val="14"/>
                <w:vertAlign w:val="baseline"/>
              </w:rPr>
              <w:t>άμεσα</w:t>
            </w:r>
            <w:r>
              <w:rPr>
                <w:spacing w:val="-5"/>
                <w:sz w:val="14"/>
                <w:vertAlign w:val="baseline"/>
              </w:rPr>
              <w:t> </w:t>
            </w:r>
            <w:r>
              <w:rPr>
                <w:sz w:val="14"/>
                <w:vertAlign w:val="baseline"/>
              </w:rPr>
              <w:t>από</w:t>
            </w:r>
            <w:r>
              <w:rPr>
                <w:spacing w:val="-4"/>
                <w:sz w:val="14"/>
                <w:vertAlign w:val="baseline"/>
              </w:rPr>
              <w:t> </w:t>
            </w:r>
            <w:r>
              <w:rPr>
                <w:sz w:val="14"/>
                <w:vertAlign w:val="baseline"/>
              </w:rPr>
              <w:t>την</w:t>
            </w:r>
            <w:r>
              <w:rPr>
                <w:spacing w:val="-4"/>
                <w:sz w:val="14"/>
                <w:vertAlign w:val="baseline"/>
              </w:rPr>
              <w:t> ΕΚΤ.</w:t>
            </w:r>
          </w:p>
          <w:p>
            <w:pPr>
              <w:pStyle w:val="TableParagraph"/>
              <w:spacing w:before="19"/>
              <w:rPr>
                <w:sz w:val="14"/>
              </w:rPr>
            </w:pPr>
          </w:p>
          <w:p>
            <w:pPr>
              <w:pStyle w:val="TableParagraph"/>
              <w:ind w:left="220"/>
              <w:rPr>
                <w:sz w:val="14"/>
              </w:rPr>
            </w:pPr>
            <w:r>
              <w:rPr>
                <w:sz w:val="14"/>
                <w:vertAlign w:val="superscript"/>
              </w:rPr>
              <w:t>2</w:t>
            </w:r>
            <w:r>
              <w:rPr>
                <w:spacing w:val="-4"/>
                <w:sz w:val="14"/>
                <w:vertAlign w:val="baseline"/>
              </w:rPr>
              <w:t> </w:t>
            </w:r>
            <w:r>
              <w:rPr>
                <w:sz w:val="14"/>
                <w:vertAlign w:val="baseline"/>
              </w:rPr>
              <w:t>Ο</w:t>
            </w:r>
            <w:r>
              <w:rPr>
                <w:spacing w:val="-4"/>
                <w:sz w:val="14"/>
                <w:vertAlign w:val="baseline"/>
              </w:rPr>
              <w:t> </w:t>
            </w:r>
            <w:r>
              <w:rPr>
                <w:sz w:val="14"/>
                <w:vertAlign w:val="baseline"/>
              </w:rPr>
              <w:t>υπολογισμός</w:t>
            </w:r>
            <w:r>
              <w:rPr>
                <w:spacing w:val="-5"/>
                <w:sz w:val="14"/>
                <w:vertAlign w:val="baseline"/>
              </w:rPr>
              <w:t> </w:t>
            </w:r>
            <w:r>
              <w:rPr>
                <w:sz w:val="14"/>
                <w:vertAlign w:val="baseline"/>
              </w:rPr>
              <w:t>του</w:t>
            </w:r>
            <w:r>
              <w:rPr>
                <w:spacing w:val="-4"/>
                <w:sz w:val="14"/>
                <w:vertAlign w:val="baseline"/>
              </w:rPr>
              <w:t> </w:t>
            </w:r>
            <w:r>
              <w:rPr>
                <w:sz w:val="14"/>
                <w:vertAlign w:val="baseline"/>
              </w:rPr>
              <w:t>δείκτη</w:t>
            </w:r>
            <w:r>
              <w:rPr>
                <w:spacing w:val="-5"/>
                <w:sz w:val="14"/>
                <w:vertAlign w:val="baseline"/>
              </w:rPr>
              <w:t> </w:t>
            </w:r>
            <w:r>
              <w:rPr>
                <w:sz w:val="14"/>
                <w:vertAlign w:val="baseline"/>
              </w:rPr>
              <w:t>καθαρού</w:t>
            </w:r>
            <w:r>
              <w:rPr>
                <w:spacing w:val="-4"/>
                <w:sz w:val="14"/>
                <w:vertAlign w:val="baseline"/>
              </w:rPr>
              <w:t> </w:t>
            </w:r>
            <w:r>
              <w:rPr>
                <w:sz w:val="14"/>
                <w:vertAlign w:val="baseline"/>
              </w:rPr>
              <w:t>επιτοκιακού</w:t>
            </w:r>
            <w:r>
              <w:rPr>
                <w:spacing w:val="-4"/>
                <w:sz w:val="14"/>
                <w:vertAlign w:val="baseline"/>
              </w:rPr>
              <w:t> </w:t>
            </w:r>
            <w:r>
              <w:rPr>
                <w:sz w:val="14"/>
                <w:vertAlign w:val="baseline"/>
              </w:rPr>
              <w:t>περιθωρίου</w:t>
            </w:r>
            <w:r>
              <w:rPr>
                <w:spacing w:val="-1"/>
                <w:sz w:val="14"/>
                <w:vertAlign w:val="baseline"/>
              </w:rPr>
              <w:t> </w:t>
            </w:r>
            <w:r>
              <w:rPr>
                <w:sz w:val="14"/>
                <w:vertAlign w:val="baseline"/>
              </w:rPr>
              <w:t>λαμβάνει</w:t>
            </w:r>
            <w:r>
              <w:rPr>
                <w:spacing w:val="-4"/>
                <w:sz w:val="14"/>
                <w:vertAlign w:val="baseline"/>
              </w:rPr>
              <w:t> </w:t>
            </w:r>
            <w:r>
              <w:rPr>
                <w:sz w:val="14"/>
                <w:vertAlign w:val="baseline"/>
              </w:rPr>
              <w:t>υπόψη</w:t>
            </w:r>
            <w:r>
              <w:rPr>
                <w:spacing w:val="-5"/>
                <w:sz w:val="14"/>
                <w:vertAlign w:val="baseline"/>
              </w:rPr>
              <w:t> </w:t>
            </w:r>
            <w:r>
              <w:rPr>
                <w:sz w:val="14"/>
                <w:vertAlign w:val="baseline"/>
              </w:rPr>
              <w:t>τα</w:t>
            </w:r>
            <w:r>
              <w:rPr>
                <w:spacing w:val="-5"/>
                <w:sz w:val="14"/>
                <w:vertAlign w:val="baseline"/>
              </w:rPr>
              <w:t> </w:t>
            </w:r>
            <w:r>
              <w:rPr>
                <w:sz w:val="14"/>
                <w:vertAlign w:val="baseline"/>
              </w:rPr>
              <w:t>έντοκα</w:t>
            </w:r>
            <w:r>
              <w:rPr>
                <w:spacing w:val="-6"/>
                <w:sz w:val="14"/>
                <w:vertAlign w:val="baseline"/>
              </w:rPr>
              <w:t> </w:t>
            </w:r>
            <w:r>
              <w:rPr>
                <w:sz w:val="14"/>
                <w:vertAlign w:val="baseline"/>
              </w:rPr>
              <w:t>στοιχεία</w:t>
            </w:r>
            <w:r>
              <w:rPr>
                <w:spacing w:val="-5"/>
                <w:sz w:val="14"/>
                <w:vertAlign w:val="baseline"/>
              </w:rPr>
              <w:t> </w:t>
            </w:r>
            <w:r>
              <w:rPr>
                <w:spacing w:val="-2"/>
                <w:sz w:val="14"/>
                <w:vertAlign w:val="baseline"/>
              </w:rPr>
              <w:t>ενεργητικού.</w:t>
            </w:r>
          </w:p>
          <w:p>
            <w:pPr>
              <w:pStyle w:val="TableParagraph"/>
              <w:spacing w:before="120"/>
              <w:ind w:left="220"/>
              <w:rPr>
                <w:sz w:val="14"/>
              </w:rPr>
            </w:pPr>
            <w:r>
              <w:rPr>
                <w:sz w:val="14"/>
                <w:vertAlign w:val="superscript"/>
              </w:rPr>
              <w:t>3</w:t>
            </w:r>
            <w:r>
              <w:rPr>
                <w:spacing w:val="-4"/>
                <w:sz w:val="14"/>
                <w:vertAlign w:val="baseline"/>
              </w:rPr>
              <w:t> </w:t>
            </w:r>
            <w:r>
              <w:rPr>
                <w:sz w:val="14"/>
                <w:vertAlign w:val="baseline"/>
              </w:rPr>
              <w:t>Για</w:t>
            </w:r>
            <w:r>
              <w:rPr>
                <w:spacing w:val="-5"/>
                <w:sz w:val="14"/>
                <w:vertAlign w:val="baseline"/>
              </w:rPr>
              <w:t> </w:t>
            </w:r>
            <w:r>
              <w:rPr>
                <w:sz w:val="14"/>
                <w:vertAlign w:val="baseline"/>
              </w:rPr>
              <w:t>τον</w:t>
            </w:r>
            <w:r>
              <w:rPr>
                <w:spacing w:val="-4"/>
                <w:sz w:val="14"/>
                <w:vertAlign w:val="baseline"/>
              </w:rPr>
              <w:t> </w:t>
            </w:r>
            <w:r>
              <w:rPr>
                <w:sz w:val="14"/>
                <w:vertAlign w:val="baseline"/>
              </w:rPr>
              <w:t>υπολογισμό</w:t>
            </w:r>
            <w:r>
              <w:rPr>
                <w:spacing w:val="-5"/>
                <w:sz w:val="14"/>
                <w:vertAlign w:val="baseline"/>
              </w:rPr>
              <w:t> </w:t>
            </w:r>
            <w:r>
              <w:rPr>
                <w:sz w:val="14"/>
                <w:vertAlign w:val="baseline"/>
              </w:rPr>
              <w:t>των</w:t>
            </w:r>
            <w:r>
              <w:rPr>
                <w:spacing w:val="-4"/>
                <w:sz w:val="14"/>
                <w:vertAlign w:val="baseline"/>
              </w:rPr>
              <w:t> </w:t>
            </w:r>
            <w:r>
              <w:rPr>
                <w:sz w:val="14"/>
                <w:vertAlign w:val="baseline"/>
              </w:rPr>
              <w:t>δεικτών</w:t>
            </w:r>
            <w:r>
              <w:rPr>
                <w:spacing w:val="-5"/>
                <w:sz w:val="14"/>
                <w:vertAlign w:val="baseline"/>
              </w:rPr>
              <w:t> </w:t>
            </w:r>
            <w:r>
              <w:rPr>
                <w:sz w:val="14"/>
                <w:vertAlign w:val="baseline"/>
              </w:rPr>
              <w:t>χρησιμοποιείται</w:t>
            </w:r>
            <w:r>
              <w:rPr>
                <w:spacing w:val="-4"/>
                <w:sz w:val="14"/>
                <w:vertAlign w:val="baseline"/>
              </w:rPr>
              <w:t> </w:t>
            </w:r>
            <w:r>
              <w:rPr>
                <w:sz w:val="14"/>
                <w:vertAlign w:val="baseline"/>
              </w:rPr>
              <w:t>το</w:t>
            </w:r>
            <w:r>
              <w:rPr>
                <w:spacing w:val="-4"/>
                <w:sz w:val="14"/>
                <w:vertAlign w:val="baseline"/>
              </w:rPr>
              <w:t> </w:t>
            </w:r>
            <w:r>
              <w:rPr>
                <w:sz w:val="14"/>
                <w:vertAlign w:val="baseline"/>
              </w:rPr>
              <w:t>ενεργητικό</w:t>
            </w:r>
            <w:r>
              <w:rPr>
                <w:spacing w:val="-2"/>
                <w:sz w:val="14"/>
                <w:vertAlign w:val="baseline"/>
              </w:rPr>
              <w:t> </w:t>
            </w:r>
            <w:r>
              <w:rPr>
                <w:sz w:val="14"/>
                <w:vertAlign w:val="baseline"/>
              </w:rPr>
              <w:t>στο</w:t>
            </w:r>
            <w:r>
              <w:rPr>
                <w:spacing w:val="-4"/>
                <w:sz w:val="14"/>
                <w:vertAlign w:val="baseline"/>
              </w:rPr>
              <w:t> </w:t>
            </w:r>
            <w:r>
              <w:rPr>
                <w:sz w:val="14"/>
                <w:vertAlign w:val="baseline"/>
              </w:rPr>
              <w:t>τέλος</w:t>
            </w:r>
            <w:r>
              <w:rPr>
                <w:spacing w:val="-5"/>
                <w:sz w:val="14"/>
                <w:vertAlign w:val="baseline"/>
              </w:rPr>
              <w:t> </w:t>
            </w:r>
            <w:r>
              <w:rPr>
                <w:sz w:val="14"/>
                <w:vertAlign w:val="baseline"/>
              </w:rPr>
              <w:t>της</w:t>
            </w:r>
            <w:r>
              <w:rPr>
                <w:spacing w:val="-4"/>
                <w:sz w:val="14"/>
                <w:vertAlign w:val="baseline"/>
              </w:rPr>
              <w:t> </w:t>
            </w:r>
            <w:r>
              <w:rPr>
                <w:sz w:val="14"/>
                <w:vertAlign w:val="baseline"/>
              </w:rPr>
              <w:t>υπό</w:t>
            </w:r>
            <w:r>
              <w:rPr>
                <w:spacing w:val="-4"/>
                <w:sz w:val="14"/>
                <w:vertAlign w:val="baseline"/>
              </w:rPr>
              <w:t> </w:t>
            </w:r>
            <w:r>
              <w:rPr>
                <w:sz w:val="14"/>
                <w:vertAlign w:val="baseline"/>
              </w:rPr>
              <w:t>εξέταση</w:t>
            </w:r>
            <w:r>
              <w:rPr>
                <w:spacing w:val="-3"/>
                <w:sz w:val="14"/>
                <w:vertAlign w:val="baseline"/>
              </w:rPr>
              <w:t> </w:t>
            </w:r>
            <w:r>
              <w:rPr>
                <w:spacing w:val="-2"/>
                <w:sz w:val="14"/>
                <w:vertAlign w:val="baseline"/>
              </w:rPr>
              <w:t>περιόδου.</w:t>
            </w:r>
          </w:p>
          <w:p>
            <w:pPr>
              <w:pStyle w:val="TableParagraph"/>
              <w:spacing w:before="120"/>
              <w:ind w:left="220" w:right="199"/>
              <w:rPr>
                <w:sz w:val="14"/>
              </w:rPr>
            </w:pPr>
            <w:r>
              <w:rPr>
                <w:sz w:val="14"/>
                <w:vertAlign w:val="superscript"/>
              </w:rPr>
              <w:t>4</w:t>
            </w:r>
            <w:r>
              <w:rPr>
                <w:spacing w:val="-2"/>
                <w:sz w:val="14"/>
                <w:vertAlign w:val="baseline"/>
              </w:rPr>
              <w:t> </w:t>
            </w:r>
            <w:r>
              <w:rPr>
                <w:sz w:val="14"/>
                <w:vertAlign w:val="baseline"/>
              </w:rPr>
              <w:t>Ο</w:t>
            </w:r>
            <w:r>
              <w:rPr>
                <w:spacing w:val="-2"/>
                <w:sz w:val="14"/>
                <w:vertAlign w:val="baseline"/>
              </w:rPr>
              <w:t> </w:t>
            </w:r>
            <w:r>
              <w:rPr>
                <w:sz w:val="14"/>
                <w:vertAlign w:val="baseline"/>
              </w:rPr>
              <w:t>υπολογισμός</w:t>
            </w:r>
            <w:r>
              <w:rPr>
                <w:spacing w:val="-3"/>
                <w:sz w:val="14"/>
                <w:vertAlign w:val="baseline"/>
              </w:rPr>
              <w:t> </w:t>
            </w:r>
            <w:r>
              <w:rPr>
                <w:sz w:val="14"/>
                <w:vertAlign w:val="baseline"/>
              </w:rPr>
              <w:t>των</w:t>
            </w:r>
            <w:r>
              <w:rPr>
                <w:spacing w:val="-4"/>
                <w:sz w:val="14"/>
                <w:vertAlign w:val="baseline"/>
              </w:rPr>
              <w:t> </w:t>
            </w:r>
            <w:r>
              <w:rPr>
                <w:sz w:val="14"/>
                <w:vertAlign w:val="baseline"/>
              </w:rPr>
              <w:t>δεικτών</w:t>
            </w:r>
            <w:r>
              <w:rPr>
                <w:spacing w:val="-4"/>
                <w:sz w:val="14"/>
                <w:vertAlign w:val="baseline"/>
              </w:rPr>
              <w:t> </w:t>
            </w:r>
            <w:r>
              <w:rPr>
                <w:sz w:val="14"/>
                <w:vertAlign w:val="baseline"/>
              </w:rPr>
              <w:t>αποδοτικότητας</w:t>
            </w:r>
            <w:r>
              <w:rPr>
                <w:spacing w:val="-3"/>
                <w:sz w:val="14"/>
                <w:vertAlign w:val="baseline"/>
              </w:rPr>
              <w:t> </w:t>
            </w:r>
            <w:r>
              <w:rPr>
                <w:sz w:val="14"/>
                <w:vertAlign w:val="baseline"/>
              </w:rPr>
              <w:t>ενεργητικού</w:t>
            </w:r>
            <w:r>
              <w:rPr>
                <w:spacing w:val="-2"/>
                <w:sz w:val="14"/>
                <w:vertAlign w:val="baseline"/>
              </w:rPr>
              <w:t> </w:t>
            </w:r>
            <w:r>
              <w:rPr>
                <w:sz w:val="14"/>
                <w:vertAlign w:val="baseline"/>
              </w:rPr>
              <w:t>(ROA)</w:t>
            </w:r>
            <w:r>
              <w:rPr>
                <w:spacing w:val="-3"/>
                <w:sz w:val="14"/>
                <w:vertAlign w:val="baseline"/>
              </w:rPr>
              <w:t> </w:t>
            </w:r>
            <w:r>
              <w:rPr>
                <w:sz w:val="14"/>
                <w:vertAlign w:val="baseline"/>
              </w:rPr>
              <w:t>και</w:t>
            </w:r>
            <w:r>
              <w:rPr>
                <w:spacing w:val="-2"/>
                <w:sz w:val="14"/>
                <w:vertAlign w:val="baseline"/>
              </w:rPr>
              <w:t> </w:t>
            </w:r>
            <w:r>
              <w:rPr>
                <w:sz w:val="14"/>
                <w:vertAlign w:val="baseline"/>
              </w:rPr>
              <w:t>αποδοτικότητας</w:t>
            </w:r>
            <w:r>
              <w:rPr>
                <w:spacing w:val="-3"/>
                <w:sz w:val="14"/>
                <w:vertAlign w:val="baseline"/>
              </w:rPr>
              <w:t> </w:t>
            </w:r>
            <w:r>
              <w:rPr>
                <w:sz w:val="14"/>
                <w:vertAlign w:val="baseline"/>
              </w:rPr>
              <w:t>ιδίων</w:t>
            </w:r>
            <w:r>
              <w:rPr>
                <w:spacing w:val="-4"/>
                <w:sz w:val="14"/>
                <w:vertAlign w:val="baseline"/>
              </w:rPr>
              <w:t> </w:t>
            </w:r>
            <w:r>
              <w:rPr>
                <w:sz w:val="14"/>
                <w:vertAlign w:val="baseline"/>
              </w:rPr>
              <w:t>κεφαλαίων</w:t>
            </w:r>
            <w:r>
              <w:rPr>
                <w:spacing w:val="-4"/>
                <w:sz w:val="14"/>
                <w:vertAlign w:val="baseline"/>
              </w:rPr>
              <w:t> </w:t>
            </w:r>
            <w:r>
              <w:rPr>
                <w:sz w:val="14"/>
                <w:vertAlign w:val="baseline"/>
              </w:rPr>
              <w:t>(ROE)</w:t>
            </w:r>
            <w:r>
              <w:rPr>
                <w:spacing w:val="-3"/>
                <w:sz w:val="14"/>
                <w:vertAlign w:val="baseline"/>
              </w:rPr>
              <w:t> </w:t>
            </w:r>
            <w:r>
              <w:rPr>
                <w:sz w:val="14"/>
                <w:vertAlign w:val="baseline"/>
              </w:rPr>
              <w:t>λαμβάνει</w:t>
            </w:r>
            <w:r>
              <w:rPr>
                <w:spacing w:val="-2"/>
                <w:sz w:val="14"/>
                <w:vertAlign w:val="baseline"/>
              </w:rPr>
              <w:t> </w:t>
            </w:r>
            <w:r>
              <w:rPr>
                <w:sz w:val="14"/>
                <w:vertAlign w:val="baseline"/>
              </w:rPr>
              <w:t>υπόψη</w:t>
            </w:r>
            <w:r>
              <w:rPr>
                <w:spacing w:val="-1"/>
                <w:sz w:val="14"/>
                <w:vertAlign w:val="baseline"/>
              </w:rPr>
              <w:t> </w:t>
            </w:r>
            <w:r>
              <w:rPr>
                <w:sz w:val="14"/>
                <w:vertAlign w:val="baseline"/>
              </w:rPr>
              <w:t>τα</w:t>
            </w:r>
            <w:r>
              <w:rPr>
                <w:spacing w:val="-4"/>
                <w:sz w:val="14"/>
                <w:vertAlign w:val="baseline"/>
              </w:rPr>
              <w:t> </w:t>
            </w:r>
            <w:r>
              <w:rPr>
                <w:sz w:val="14"/>
                <w:vertAlign w:val="baseline"/>
              </w:rPr>
              <w:t>κέρδη</w:t>
            </w:r>
            <w:r>
              <w:rPr>
                <w:spacing w:val="-3"/>
                <w:sz w:val="14"/>
                <w:vertAlign w:val="baseline"/>
              </w:rPr>
              <w:t> </w:t>
            </w:r>
            <w:r>
              <w:rPr>
                <w:sz w:val="14"/>
                <w:vertAlign w:val="baseline"/>
              </w:rPr>
              <w:t>μετά</w:t>
            </w:r>
            <w:r>
              <w:rPr>
                <w:spacing w:val="40"/>
                <w:sz w:val="14"/>
                <w:vertAlign w:val="baseline"/>
              </w:rPr>
              <w:t> </w:t>
            </w:r>
            <w:r>
              <w:rPr>
                <w:sz w:val="14"/>
                <w:vertAlign w:val="baseline"/>
              </w:rPr>
              <w:t>από φόρους και διακοπτόμενες δραστηριότητες.</w:t>
            </w:r>
          </w:p>
          <w:p>
            <w:pPr>
              <w:pStyle w:val="TableParagraph"/>
              <w:spacing w:before="119"/>
              <w:ind w:left="220" w:right="197"/>
              <w:rPr>
                <w:sz w:val="14"/>
              </w:rPr>
            </w:pPr>
            <w:r>
              <w:rPr>
                <w:sz w:val="14"/>
              </w:rPr>
              <w:t>Σημείωση:</w:t>
            </w:r>
            <w:r>
              <w:rPr>
                <w:spacing w:val="-3"/>
                <w:sz w:val="14"/>
              </w:rPr>
              <w:t> </w:t>
            </w:r>
            <w:r>
              <w:rPr>
                <w:sz w:val="14"/>
              </w:rPr>
              <w:t>Τα</w:t>
            </w:r>
            <w:r>
              <w:rPr>
                <w:spacing w:val="-5"/>
                <w:sz w:val="14"/>
              </w:rPr>
              <w:t> </w:t>
            </w:r>
            <w:r>
              <w:rPr>
                <w:sz w:val="14"/>
              </w:rPr>
              <w:t>συγκριτικά</w:t>
            </w:r>
            <w:r>
              <w:rPr>
                <w:spacing w:val="-5"/>
                <w:sz w:val="14"/>
              </w:rPr>
              <w:t> </w:t>
            </w:r>
            <w:r>
              <w:rPr>
                <w:sz w:val="14"/>
              </w:rPr>
              <w:t>οικονομικά</w:t>
            </w:r>
            <w:r>
              <w:rPr>
                <w:spacing w:val="-5"/>
                <w:sz w:val="14"/>
              </w:rPr>
              <w:t> </w:t>
            </w:r>
            <w:r>
              <w:rPr>
                <w:sz w:val="14"/>
              </w:rPr>
              <w:t>μεγέθη</w:t>
            </w:r>
            <w:r>
              <w:rPr>
                <w:spacing w:val="-4"/>
                <w:sz w:val="14"/>
              </w:rPr>
              <w:t> </w:t>
            </w:r>
            <w:r>
              <w:rPr>
                <w:sz w:val="14"/>
              </w:rPr>
              <w:t>εμφανίζονται</w:t>
            </w:r>
            <w:r>
              <w:rPr>
                <w:spacing w:val="-3"/>
                <w:sz w:val="14"/>
              </w:rPr>
              <w:t> </w:t>
            </w:r>
            <w:r>
              <w:rPr>
                <w:sz w:val="14"/>
              </w:rPr>
              <w:t>αναμορφωμένα</w:t>
            </w:r>
            <w:r>
              <w:rPr>
                <w:spacing w:val="-5"/>
                <w:sz w:val="14"/>
              </w:rPr>
              <w:t> </w:t>
            </w:r>
            <w:r>
              <w:rPr>
                <w:sz w:val="14"/>
              </w:rPr>
              <w:t>ως</w:t>
            </w:r>
            <w:r>
              <w:rPr>
                <w:spacing w:val="-4"/>
                <w:sz w:val="14"/>
              </w:rPr>
              <w:t> </w:t>
            </w:r>
            <w:r>
              <w:rPr>
                <w:sz w:val="14"/>
              </w:rPr>
              <w:t>αποτέλεσμα</w:t>
            </w:r>
            <w:r>
              <w:rPr>
                <w:spacing w:val="-5"/>
                <w:sz w:val="14"/>
              </w:rPr>
              <w:t> </w:t>
            </w:r>
            <w:r>
              <w:rPr>
                <w:sz w:val="14"/>
              </w:rPr>
              <w:t>αναταξινομήσεων</w:t>
            </w:r>
            <w:r>
              <w:rPr>
                <w:spacing w:val="-4"/>
                <w:sz w:val="14"/>
              </w:rPr>
              <w:t> </w:t>
            </w:r>
            <w:r>
              <w:rPr>
                <w:sz w:val="14"/>
              </w:rPr>
              <w:t>που</w:t>
            </w:r>
            <w:r>
              <w:rPr>
                <w:spacing w:val="-3"/>
                <w:sz w:val="14"/>
              </w:rPr>
              <w:t> </w:t>
            </w:r>
            <w:r>
              <w:rPr>
                <w:sz w:val="14"/>
              </w:rPr>
              <w:t>πραγματοποιήθηκαν</w:t>
            </w:r>
            <w:r>
              <w:rPr>
                <w:spacing w:val="-4"/>
                <w:sz w:val="14"/>
              </w:rPr>
              <w:t> </w:t>
            </w:r>
            <w:r>
              <w:rPr>
                <w:sz w:val="14"/>
              </w:rPr>
              <w:t>στις</w:t>
            </w:r>
            <w:r>
              <w:rPr>
                <w:spacing w:val="-4"/>
                <w:sz w:val="14"/>
              </w:rPr>
              <w:t> </w:t>
            </w:r>
            <w:r>
              <w:rPr>
                <w:sz w:val="14"/>
              </w:rPr>
              <w:t>Οικο-νομικές</w:t>
            </w:r>
            <w:r>
              <w:rPr>
                <w:spacing w:val="-6"/>
                <w:sz w:val="14"/>
              </w:rPr>
              <w:t> </w:t>
            </w:r>
            <w:r>
              <w:rPr>
                <w:sz w:val="14"/>
              </w:rPr>
              <w:t>Καταστάσεις</w:t>
            </w:r>
          </w:p>
        </w:tc>
      </w:tr>
    </w:tbl>
    <w:p>
      <w:pPr>
        <w:pStyle w:val="BodyText"/>
        <w:spacing w:line="285" w:lineRule="auto" w:before="99"/>
        <w:ind w:left="172" w:right="956"/>
        <w:jc w:val="both"/>
      </w:pPr>
      <w:r>
        <w:rPr/>
        <w:t>Οι</w:t>
      </w:r>
      <w:r>
        <w:rPr>
          <w:spacing w:val="-5"/>
        </w:rPr>
        <w:t> </w:t>
      </w:r>
      <w:r>
        <w:rPr/>
        <w:t>προβλέψεις</w:t>
      </w:r>
      <w:r>
        <w:rPr>
          <w:spacing w:val="-6"/>
        </w:rPr>
        <w:t> </w:t>
      </w:r>
      <w:r>
        <w:rPr/>
        <w:t>για</w:t>
      </w:r>
      <w:r>
        <w:rPr>
          <w:spacing w:val="-8"/>
        </w:rPr>
        <w:t> </w:t>
      </w:r>
      <w:r>
        <w:rPr/>
        <w:t>τον</w:t>
      </w:r>
      <w:r>
        <w:rPr>
          <w:spacing w:val="-5"/>
        </w:rPr>
        <w:t> </w:t>
      </w:r>
      <w:r>
        <w:rPr/>
        <w:t>πιστωτικό</w:t>
      </w:r>
      <w:r>
        <w:rPr>
          <w:spacing w:val="-8"/>
        </w:rPr>
        <w:t> </w:t>
      </w:r>
      <w:r>
        <w:rPr/>
        <w:t>κίνδυνο</w:t>
      </w:r>
      <w:r>
        <w:rPr>
          <w:spacing w:val="-6"/>
        </w:rPr>
        <w:t> </w:t>
      </w:r>
      <w:r>
        <w:rPr/>
        <w:t>μειώθηκαν</w:t>
      </w:r>
      <w:r>
        <w:rPr>
          <w:spacing w:val="-5"/>
        </w:rPr>
        <w:t> </w:t>
      </w:r>
      <w:r>
        <w:rPr/>
        <w:t>το</w:t>
      </w:r>
      <w:r>
        <w:rPr>
          <w:spacing w:val="-6"/>
        </w:rPr>
        <w:t> </w:t>
      </w:r>
      <w:r>
        <w:rPr/>
        <w:t>2025</w:t>
      </w:r>
      <w:r>
        <w:rPr>
          <w:spacing w:val="-8"/>
        </w:rPr>
        <w:t> </w:t>
      </w:r>
      <w:r>
        <w:rPr/>
        <w:t>με</w:t>
      </w:r>
      <w:r>
        <w:rPr>
          <w:spacing w:val="-5"/>
        </w:rPr>
        <w:t> </w:t>
      </w:r>
      <w:r>
        <w:rPr/>
        <w:t>αποτέλεσμα</w:t>
      </w:r>
      <w:r>
        <w:rPr>
          <w:spacing w:val="-5"/>
        </w:rPr>
        <w:t> </w:t>
      </w:r>
      <w:r>
        <w:rPr/>
        <w:t>το</w:t>
      </w:r>
      <w:r>
        <w:rPr>
          <w:spacing w:val="-8"/>
        </w:rPr>
        <w:t> </w:t>
      </w:r>
      <w:r>
        <w:rPr/>
        <w:t>κόστος</w:t>
      </w:r>
      <w:r>
        <w:rPr>
          <w:spacing w:val="-7"/>
        </w:rPr>
        <w:t> </w:t>
      </w:r>
      <w:r>
        <w:rPr/>
        <w:t>πιστωτι-κού</w:t>
      </w:r>
      <w:r>
        <w:rPr>
          <w:spacing w:val="-14"/>
        </w:rPr>
        <w:t> </w:t>
      </w:r>
      <w:r>
        <w:rPr/>
        <w:t>κινδύνου</w:t>
      </w:r>
      <w:r>
        <w:rPr>
          <w:spacing w:val="-14"/>
        </w:rPr>
        <w:t> </w:t>
      </w:r>
      <w:r>
        <w:rPr/>
        <w:t>(cost</w:t>
      </w:r>
      <w:r>
        <w:rPr>
          <w:spacing w:val="-14"/>
        </w:rPr>
        <w:t> </w:t>
      </w:r>
      <w:r>
        <w:rPr/>
        <w:t>of</w:t>
      </w:r>
      <w:r>
        <w:rPr>
          <w:spacing w:val="-8"/>
        </w:rPr>
        <w:t> </w:t>
      </w:r>
      <w:r>
        <w:rPr/>
        <w:t>credit</w:t>
      </w:r>
      <w:r>
        <w:rPr>
          <w:spacing w:val="-10"/>
        </w:rPr>
        <w:t> </w:t>
      </w:r>
      <w:r>
        <w:rPr/>
        <w:t>risk)</w:t>
      </w:r>
      <w:r>
        <w:rPr>
          <w:spacing w:val="-14"/>
        </w:rPr>
        <w:t> </w:t>
      </w:r>
      <w:hyperlink w:history="true" w:anchor="_bookmark79">
        <w:r>
          <w:rPr>
            <w:position w:val="6"/>
            <w:sz w:val="10"/>
          </w:rPr>
          <w:t>55</w:t>
        </w:r>
      </w:hyperlink>
      <w:r>
        <w:rPr>
          <w:spacing w:val="22"/>
          <w:position w:val="6"/>
          <w:sz w:val="10"/>
        </w:rPr>
        <w:t> </w:t>
      </w:r>
      <w:r>
        <w:rPr/>
        <w:t>επίσης</w:t>
      </w:r>
      <w:r>
        <w:rPr>
          <w:spacing w:val="-10"/>
        </w:rPr>
        <w:t> </w:t>
      </w:r>
      <w:r>
        <w:rPr/>
        <w:t>να</w:t>
      </w:r>
      <w:r>
        <w:rPr>
          <w:spacing w:val="-9"/>
        </w:rPr>
        <w:t> </w:t>
      </w:r>
      <w:r>
        <w:rPr/>
        <w:t>μειωθεί</w:t>
      </w:r>
      <w:r>
        <w:rPr>
          <w:spacing w:val="-8"/>
        </w:rPr>
        <w:t> </w:t>
      </w:r>
      <w:r>
        <w:rPr/>
        <w:t>σε</w:t>
      </w:r>
      <w:r>
        <w:rPr>
          <w:spacing w:val="-10"/>
        </w:rPr>
        <w:t> </w:t>
      </w:r>
      <w:r>
        <w:rPr/>
        <w:t>0,6%</w:t>
      </w:r>
      <w:r>
        <w:rPr>
          <w:spacing w:val="-9"/>
        </w:rPr>
        <w:t> </w:t>
      </w:r>
      <w:r>
        <w:rPr/>
        <w:t>των</w:t>
      </w:r>
      <w:r>
        <w:rPr>
          <w:spacing w:val="-9"/>
        </w:rPr>
        <w:t> </w:t>
      </w:r>
      <w:r>
        <w:rPr/>
        <w:t>δανείων</w:t>
      </w:r>
      <w:r>
        <w:rPr>
          <w:spacing w:val="-9"/>
        </w:rPr>
        <w:t> </w:t>
      </w:r>
      <w:r>
        <w:rPr/>
        <w:t>μετά</w:t>
      </w:r>
      <w:r>
        <w:rPr>
          <w:spacing w:val="-9"/>
        </w:rPr>
        <w:t> </w:t>
      </w:r>
      <w:r>
        <w:rPr/>
        <w:t>από</w:t>
      </w:r>
      <w:r>
        <w:rPr>
          <w:spacing w:val="-9"/>
        </w:rPr>
        <w:t> </w:t>
      </w:r>
      <w:r>
        <w:rPr/>
        <w:t>προβλέψεις, εξέλιξη</w:t>
      </w:r>
      <w:r>
        <w:rPr>
          <w:spacing w:val="-5"/>
        </w:rPr>
        <w:t> </w:t>
      </w:r>
      <w:r>
        <w:rPr/>
        <w:t>που</w:t>
      </w:r>
      <w:r>
        <w:rPr>
          <w:spacing w:val="-5"/>
        </w:rPr>
        <w:t> </w:t>
      </w:r>
      <w:r>
        <w:rPr/>
        <w:t>συνδέεται</w:t>
      </w:r>
      <w:r>
        <w:rPr>
          <w:spacing w:val="-5"/>
        </w:rPr>
        <w:t> </w:t>
      </w:r>
      <w:r>
        <w:rPr/>
        <w:t>κυρίως</w:t>
      </w:r>
      <w:r>
        <w:rPr>
          <w:spacing w:val="-7"/>
        </w:rPr>
        <w:t> </w:t>
      </w:r>
      <w:r>
        <w:rPr/>
        <w:t>με</w:t>
      </w:r>
      <w:r>
        <w:rPr>
          <w:spacing w:val="-5"/>
        </w:rPr>
        <w:t> </w:t>
      </w:r>
      <w:r>
        <w:rPr/>
        <w:t>τη</w:t>
      </w:r>
      <w:r>
        <w:rPr>
          <w:spacing w:val="-3"/>
        </w:rPr>
        <w:t> </w:t>
      </w:r>
      <w:r>
        <w:rPr/>
        <w:t>βελτίωση</w:t>
      </w:r>
      <w:r>
        <w:rPr>
          <w:spacing w:val="-6"/>
        </w:rPr>
        <w:t> </w:t>
      </w:r>
      <w:r>
        <w:rPr/>
        <w:t>της</w:t>
      </w:r>
      <w:r>
        <w:rPr>
          <w:spacing w:val="-7"/>
        </w:rPr>
        <w:t> </w:t>
      </w:r>
      <w:r>
        <w:rPr/>
        <w:t>ποιότητας</w:t>
      </w:r>
      <w:r>
        <w:rPr>
          <w:spacing w:val="-7"/>
        </w:rPr>
        <w:t> </w:t>
      </w:r>
      <w:r>
        <w:rPr/>
        <w:t>του</w:t>
      </w:r>
      <w:r>
        <w:rPr>
          <w:spacing w:val="-5"/>
        </w:rPr>
        <w:t> </w:t>
      </w:r>
      <w:r>
        <w:rPr/>
        <w:t>δανειακού</w:t>
      </w:r>
      <w:r>
        <w:rPr>
          <w:spacing w:val="-5"/>
        </w:rPr>
        <w:t> </w:t>
      </w:r>
      <w:r>
        <w:rPr/>
        <w:t>χαρτοφυλακίου</w:t>
      </w:r>
      <w:r>
        <w:rPr>
          <w:spacing w:val="-4"/>
        </w:rPr>
        <w:t> </w:t>
      </w:r>
      <w:r>
        <w:rPr/>
        <w:t>(Πί-νακας ΙΙΙ.7).</w:t>
      </w:r>
    </w:p>
    <w:p>
      <w:pPr>
        <w:pStyle w:val="BodyText"/>
        <w:spacing w:line="285" w:lineRule="auto" w:before="56"/>
        <w:ind w:left="172" w:right="957"/>
        <w:jc w:val="both"/>
      </w:pPr>
      <w:r>
        <w:rPr/>
        <w:t>Ως αποτέλεσμα όλων των παραπάνω, οι τραπεζικοί όμιλοι κατέγραψαν κέρδη μετά από φόρους και διακοπτόμενες δραστηριότητες, ενώ οι δείκτες αποδοτικότητας του ενεργητικού (Return on Assets</w:t>
      </w:r>
      <w:r>
        <w:rPr>
          <w:spacing w:val="-9"/>
        </w:rPr>
        <w:t> </w:t>
      </w:r>
      <w:r>
        <w:rPr/>
        <w:t>–</w:t>
      </w:r>
      <w:r>
        <w:rPr>
          <w:spacing w:val="-9"/>
        </w:rPr>
        <w:t> </w:t>
      </w:r>
      <w:r>
        <w:rPr/>
        <w:t>RoA)</w:t>
      </w:r>
      <w:r>
        <w:rPr>
          <w:spacing w:val="-9"/>
        </w:rPr>
        <w:t> </w:t>
      </w:r>
      <w:r>
        <w:rPr/>
        <w:t>και</w:t>
      </w:r>
      <w:r>
        <w:rPr>
          <w:spacing w:val="-9"/>
        </w:rPr>
        <w:t> </w:t>
      </w:r>
      <w:r>
        <w:rPr/>
        <w:t>των</w:t>
      </w:r>
      <w:r>
        <w:rPr>
          <w:spacing w:val="-11"/>
        </w:rPr>
        <w:t> </w:t>
      </w:r>
      <w:r>
        <w:rPr/>
        <w:t>ιδίων</w:t>
      </w:r>
      <w:r>
        <w:rPr>
          <w:spacing w:val="-9"/>
        </w:rPr>
        <w:t> </w:t>
      </w:r>
      <w:r>
        <w:rPr/>
        <w:t>κεφαλαίων</w:t>
      </w:r>
      <w:r>
        <w:rPr>
          <w:spacing w:val="-9"/>
        </w:rPr>
        <w:t> </w:t>
      </w:r>
      <w:r>
        <w:rPr/>
        <w:t>(Return</w:t>
      </w:r>
      <w:r>
        <w:rPr>
          <w:spacing w:val="-10"/>
        </w:rPr>
        <w:t> </w:t>
      </w:r>
      <w:r>
        <w:rPr/>
        <w:t>on</w:t>
      </w:r>
      <w:r>
        <w:rPr>
          <w:spacing w:val="-10"/>
        </w:rPr>
        <w:t> </w:t>
      </w:r>
      <w:r>
        <w:rPr/>
        <w:t>Equity</w:t>
      </w:r>
      <w:r>
        <w:rPr>
          <w:spacing w:val="-8"/>
        </w:rPr>
        <w:t> </w:t>
      </w:r>
      <w:r>
        <w:rPr/>
        <w:t>–</w:t>
      </w:r>
      <w:r>
        <w:rPr>
          <w:spacing w:val="-9"/>
        </w:rPr>
        <w:t> </w:t>
      </w:r>
      <w:r>
        <w:rPr/>
        <w:t>RoE)</w:t>
      </w:r>
      <w:r>
        <w:rPr>
          <w:spacing w:val="-9"/>
        </w:rPr>
        <w:t> </w:t>
      </w:r>
      <w:r>
        <w:rPr/>
        <w:t>των</w:t>
      </w:r>
      <w:r>
        <w:rPr>
          <w:spacing w:val="-11"/>
        </w:rPr>
        <w:t> </w:t>
      </w:r>
      <w:r>
        <w:rPr/>
        <w:t>τραπεζικών</w:t>
      </w:r>
      <w:r>
        <w:rPr>
          <w:spacing w:val="-8"/>
        </w:rPr>
        <w:t> </w:t>
      </w:r>
      <w:r>
        <w:rPr/>
        <w:t>ομίλων</w:t>
      </w:r>
      <w:r>
        <w:rPr>
          <w:spacing w:val="-9"/>
        </w:rPr>
        <w:t> </w:t>
      </w:r>
      <w:r>
        <w:rPr/>
        <w:t>ανήλ-θαν σε 1,3% και 11,8% αντίστοιχα.</w:t>
      </w:r>
    </w:p>
    <w:p>
      <w:pPr>
        <w:pStyle w:val="BodyText"/>
        <w:rPr>
          <w:sz w:val="20"/>
        </w:rPr>
      </w:pPr>
    </w:p>
    <w:p>
      <w:pPr>
        <w:pStyle w:val="BodyText"/>
        <w:rPr>
          <w:sz w:val="20"/>
        </w:rPr>
      </w:pPr>
    </w:p>
    <w:p>
      <w:pPr>
        <w:pStyle w:val="BodyText"/>
        <w:spacing w:before="3"/>
        <w:rPr>
          <w:sz w:val="20"/>
        </w:rPr>
      </w:pPr>
      <w:r>
        <w:rPr>
          <w:sz w:val="20"/>
        </w:rPr>
        <mc:AlternateContent>
          <mc:Choice Requires="wps">
            <w:drawing>
              <wp:anchor distT="0" distB="0" distL="0" distR="0" allowOverlap="1" layoutInCell="1" locked="0" behindDoc="1" simplePos="0" relativeHeight="487635456">
                <wp:simplePos x="0" y="0"/>
                <wp:positionH relativeFrom="page">
                  <wp:posOffset>1009192</wp:posOffset>
                </wp:positionH>
                <wp:positionV relativeFrom="paragraph">
                  <wp:posOffset>163577</wp:posOffset>
                </wp:positionV>
                <wp:extent cx="1829435" cy="7620"/>
                <wp:effectExtent l="0" t="0" r="0" b="0"/>
                <wp:wrapTopAndBottom/>
                <wp:docPr id="524" name="Graphic 524"/>
                <wp:cNvGraphicFramePr>
                  <a:graphicFrameLocks/>
                </wp:cNvGraphicFramePr>
                <a:graphic>
                  <a:graphicData uri="http://schemas.microsoft.com/office/word/2010/wordprocessingShape">
                    <wps:wsp>
                      <wps:cNvPr id="524" name="Graphic 52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2.880127pt;width:144.020pt;height:.599980pt;mso-position-horizontal-relative:page;mso-position-vertical-relative:paragraph;z-index:-15681024;mso-wrap-distance-left:0;mso-wrap-distance-right:0" id="docshape496" filled="true" fillcolor="#000000" stroked="false">
                <v:fill type="solid"/>
                <w10:wrap type="topAndBottom"/>
              </v:rect>
            </w:pict>
          </mc:Fallback>
        </mc:AlternateContent>
      </w:r>
    </w:p>
    <w:p>
      <w:pPr>
        <w:pStyle w:val="BodyText"/>
        <w:spacing w:before="2"/>
        <w:rPr>
          <w:sz w:val="16"/>
        </w:rPr>
      </w:pPr>
    </w:p>
    <w:p>
      <w:pPr>
        <w:spacing w:before="0"/>
        <w:ind w:left="172" w:right="956" w:firstLine="0"/>
        <w:jc w:val="left"/>
        <w:rPr>
          <w:sz w:val="16"/>
        </w:rPr>
      </w:pPr>
      <w:bookmarkStart w:name="_bookmark79" w:id="80"/>
      <w:bookmarkEnd w:id="80"/>
      <w:r>
        <w:rPr/>
      </w:r>
      <w:r>
        <w:rPr>
          <w:sz w:val="16"/>
          <w:vertAlign w:val="superscript"/>
        </w:rPr>
        <w:t>55</w:t>
      </w:r>
      <w:r>
        <w:rPr>
          <w:sz w:val="16"/>
          <w:vertAlign w:val="baseline"/>
        </w:rPr>
        <w:t> Το κόστος πιστωτικού κινδύνου είναι ο λόγος των προβλέψεων χρήσης για τον πιστωτικό κίνδυνο προς τα δάνεια μετά από τις</w:t>
      </w:r>
      <w:r>
        <w:rPr>
          <w:spacing w:val="40"/>
          <w:sz w:val="16"/>
          <w:vertAlign w:val="baseline"/>
        </w:rPr>
        <w:t> </w:t>
      </w:r>
      <w:r>
        <w:rPr>
          <w:sz w:val="16"/>
          <w:vertAlign w:val="baseline"/>
        </w:rPr>
        <w:t>συσσωρευμένες προβλέψεις.</w:t>
      </w:r>
    </w:p>
    <w:p>
      <w:pPr>
        <w:spacing w:after="0"/>
        <w:jc w:val="left"/>
        <w:rPr>
          <w:sz w:val="16"/>
        </w:rPr>
        <w:sectPr>
          <w:pgSz w:w="11910" w:h="16850"/>
          <w:pgMar w:header="0" w:footer="1108" w:top="1840" w:bottom="1300" w:left="1417" w:right="850"/>
        </w:sectPr>
      </w:pPr>
    </w:p>
    <w:p>
      <w:pPr>
        <w:pStyle w:val="BodyText"/>
        <w:spacing w:line="285" w:lineRule="auto" w:before="66"/>
        <w:ind w:left="172" w:right="956"/>
        <w:jc w:val="both"/>
      </w:pPr>
      <w:r>
        <w:rPr/>
        <w:t>Όσον αφορά τις προοπτικές για την κερδοφορία, μερικοί από τους παράγοντες που αναμένεται να την επηρεάσουν είναι οι εξής: α) η επίτευξη των επιχειρησιακών στόχων των τραπεζών για νέες</w:t>
      </w:r>
      <w:r>
        <w:rPr>
          <w:spacing w:val="-8"/>
        </w:rPr>
        <w:t> </w:t>
      </w:r>
      <w:r>
        <w:rPr/>
        <w:t>εκταμιεύσεις</w:t>
      </w:r>
      <w:r>
        <w:rPr>
          <w:spacing w:val="-8"/>
        </w:rPr>
        <w:t> </w:t>
      </w:r>
      <w:r>
        <w:rPr/>
        <w:t>δανείων</w:t>
      </w:r>
      <w:r>
        <w:rPr>
          <w:spacing w:val="-9"/>
        </w:rPr>
        <w:t> </w:t>
      </w:r>
      <w:r>
        <w:rPr/>
        <w:t>προς</w:t>
      </w:r>
      <w:r>
        <w:rPr>
          <w:spacing w:val="-8"/>
        </w:rPr>
        <w:t> </w:t>
      </w:r>
      <w:r>
        <w:rPr/>
        <w:t>μη</w:t>
      </w:r>
      <w:r>
        <w:rPr>
          <w:spacing w:val="-7"/>
        </w:rPr>
        <w:t> </w:t>
      </w:r>
      <w:r>
        <w:rPr/>
        <w:t>χρηματοπιστωτικές</w:t>
      </w:r>
      <w:r>
        <w:rPr>
          <w:spacing w:val="-8"/>
        </w:rPr>
        <w:t> </w:t>
      </w:r>
      <w:r>
        <w:rPr/>
        <w:t>επιχειρήσεις</w:t>
      </w:r>
      <w:r>
        <w:rPr>
          <w:spacing w:val="-8"/>
        </w:rPr>
        <w:t> </w:t>
      </w:r>
      <w:r>
        <w:rPr/>
        <w:t>και</w:t>
      </w:r>
      <w:r>
        <w:rPr>
          <w:spacing w:val="-7"/>
        </w:rPr>
        <w:t> </w:t>
      </w:r>
      <w:r>
        <w:rPr/>
        <w:t>νοικοκυριά,</w:t>
      </w:r>
      <w:r>
        <w:rPr>
          <w:spacing w:val="-4"/>
        </w:rPr>
        <w:t> </w:t>
      </w:r>
      <w:r>
        <w:rPr/>
        <w:t>β)</w:t>
      </w:r>
      <w:r>
        <w:rPr>
          <w:spacing w:val="-6"/>
        </w:rPr>
        <w:t> </w:t>
      </w:r>
      <w:r>
        <w:rPr/>
        <w:t>η</w:t>
      </w:r>
      <w:r>
        <w:rPr>
          <w:spacing w:val="-10"/>
        </w:rPr>
        <w:t> </w:t>
      </w:r>
      <w:r>
        <w:rPr/>
        <w:t>γεωπο-λιτική αστάθεια, η οποία ενδέχεται να επηρεάσει αρνητικά τη ζήτηση για νέα δάνεια ή/και τον πιστωτικό</w:t>
      </w:r>
      <w:r>
        <w:rPr>
          <w:spacing w:val="-2"/>
        </w:rPr>
        <w:t> </w:t>
      </w:r>
      <w:r>
        <w:rPr/>
        <w:t>κίνδυνο,</w:t>
      </w:r>
      <w:r>
        <w:rPr>
          <w:spacing w:val="-2"/>
        </w:rPr>
        <w:t> </w:t>
      </w:r>
      <w:r>
        <w:rPr/>
        <w:t>γ)</w:t>
      </w:r>
      <w:r>
        <w:rPr>
          <w:spacing w:val="-2"/>
        </w:rPr>
        <w:t> </w:t>
      </w:r>
      <w:r>
        <w:rPr/>
        <w:t>η</w:t>
      </w:r>
      <w:r>
        <w:rPr>
          <w:spacing w:val="-2"/>
        </w:rPr>
        <w:t> </w:t>
      </w:r>
      <w:r>
        <w:rPr/>
        <w:t>διαφοροποίηση</w:t>
      </w:r>
      <w:r>
        <w:rPr>
          <w:spacing w:val="-2"/>
        </w:rPr>
        <w:t> </w:t>
      </w:r>
      <w:r>
        <w:rPr/>
        <w:t>των</w:t>
      </w:r>
      <w:r>
        <w:rPr>
          <w:spacing w:val="-2"/>
        </w:rPr>
        <w:t> </w:t>
      </w:r>
      <w:r>
        <w:rPr/>
        <w:t>πηγών</w:t>
      </w:r>
      <w:r>
        <w:rPr>
          <w:spacing w:val="-2"/>
        </w:rPr>
        <w:t> </w:t>
      </w:r>
      <w:r>
        <w:rPr/>
        <w:t>εσόδων</w:t>
      </w:r>
      <w:r>
        <w:rPr>
          <w:spacing w:val="-2"/>
        </w:rPr>
        <w:t> </w:t>
      </w:r>
      <w:r>
        <w:rPr/>
        <w:t>των</w:t>
      </w:r>
      <w:r>
        <w:rPr>
          <w:spacing w:val="-2"/>
        </w:rPr>
        <w:t> </w:t>
      </w:r>
      <w:r>
        <w:rPr/>
        <w:t>τραπεζών</w:t>
      </w:r>
      <w:r>
        <w:rPr>
          <w:spacing w:val="-2"/>
        </w:rPr>
        <w:t> </w:t>
      </w:r>
      <w:r>
        <w:rPr/>
        <w:t>μέσω</w:t>
      </w:r>
      <w:r>
        <w:rPr>
          <w:spacing w:val="-4"/>
        </w:rPr>
        <w:t> </w:t>
      </w:r>
      <w:r>
        <w:rPr/>
        <w:t>εξαγορών</w:t>
      </w:r>
      <w:r>
        <w:rPr>
          <w:spacing w:val="-2"/>
        </w:rPr>
        <w:t> </w:t>
      </w:r>
      <w:r>
        <w:rPr/>
        <w:t>και</w:t>
      </w:r>
      <w:r>
        <w:rPr>
          <w:spacing w:val="-2"/>
        </w:rPr>
        <w:t> </w:t>
      </w:r>
      <w:r>
        <w:rPr/>
        <w:t>η συμβολή της επέκτασης των διεθνών δραστηριοτήτων, και δ) η χρηματοοικονομική κατάσταση ευάλωτων νοικοκυριών και επιχειρήσεων, που δύναται</w:t>
      </w:r>
      <w:r>
        <w:rPr>
          <w:spacing w:val="-2"/>
        </w:rPr>
        <w:t> </w:t>
      </w:r>
      <w:r>
        <w:rPr/>
        <w:t>να</w:t>
      </w:r>
      <w:r>
        <w:rPr>
          <w:spacing w:val="-1"/>
        </w:rPr>
        <w:t> </w:t>
      </w:r>
      <w:r>
        <w:rPr/>
        <w:t>επηρεάσει το κόστος</w:t>
      </w:r>
      <w:r>
        <w:rPr>
          <w:spacing w:val="-1"/>
        </w:rPr>
        <w:t> </w:t>
      </w:r>
      <w:r>
        <w:rPr/>
        <w:t>πιστωτικού κιν-δύνου των τραπεζών.</w:t>
      </w:r>
    </w:p>
    <w:p>
      <w:pPr>
        <w:pStyle w:val="Heading3"/>
        <w:numPr>
          <w:ilvl w:val="2"/>
          <w:numId w:val="2"/>
        </w:numPr>
        <w:tabs>
          <w:tab w:pos="738" w:val="left" w:leader="none"/>
        </w:tabs>
        <w:spacing w:line="240" w:lineRule="auto" w:before="76" w:after="0"/>
        <w:ind w:left="738" w:right="0" w:hanging="566"/>
        <w:jc w:val="left"/>
        <w:rPr>
          <w:color w:val="1F487C"/>
          <w:sz w:val="24"/>
        </w:rPr>
      </w:pPr>
      <w:r>
        <w:rPr>
          <w:sz w:val="24"/>
        </w:rPr>
        <mc:AlternateContent>
          <mc:Choice Requires="wps">
            <w:drawing>
              <wp:anchor distT="0" distB="0" distL="0" distR="0" allowOverlap="1" layoutInCell="1" locked="0" behindDoc="0" simplePos="0" relativeHeight="15777792">
                <wp:simplePos x="0" y="0"/>
                <wp:positionH relativeFrom="page">
                  <wp:posOffset>3735959</wp:posOffset>
                </wp:positionH>
                <wp:positionV relativeFrom="paragraph">
                  <wp:posOffset>259438</wp:posOffset>
                </wp:positionV>
                <wp:extent cx="2665095" cy="602615"/>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2665095" cy="602615"/>
                        </a:xfrm>
                        <a:prstGeom prst="rect">
                          <a:avLst/>
                        </a:prstGeom>
                        <a:solidFill>
                          <a:srgbClr val="1F487C"/>
                        </a:solidFill>
                      </wps:spPr>
                      <wps:txbx>
                        <w:txbxContent>
                          <w:p>
                            <w:pPr>
                              <w:spacing w:before="60"/>
                              <w:ind w:left="112" w:right="19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III.14</w:t>
                            </w:r>
                            <w:r>
                              <w:rPr>
                                <w:b/>
                                <w:smallCaps w:val="0"/>
                                <w:color w:val="FFFFFF"/>
                                <w:spacing w:val="-8"/>
                                <w:sz w:val="18"/>
                              </w:rPr>
                              <w:t> </w:t>
                            </w:r>
                            <w:r>
                              <w:rPr>
                                <w:b/>
                                <w:smallCaps w:val="0"/>
                                <w:color w:val="FFFFFF"/>
                                <w:sz w:val="18"/>
                              </w:rPr>
                              <w:t>Δείκτες</w:t>
                            </w:r>
                            <w:r>
                              <w:rPr>
                                <w:b/>
                                <w:smallCaps w:val="0"/>
                                <w:color w:val="FFFFFF"/>
                                <w:spacing w:val="-8"/>
                                <w:sz w:val="18"/>
                              </w:rPr>
                              <w:t> </w:t>
                            </w:r>
                            <w:r>
                              <w:rPr>
                                <w:b/>
                                <w:smallCaps w:val="0"/>
                                <w:color w:val="FFFFFF"/>
                                <w:sz w:val="18"/>
                              </w:rPr>
                              <w:t>κεφαλα</w:t>
                            </w:r>
                            <w:r>
                              <w:rPr>
                                <w:b/>
                                <w:smallCaps/>
                                <w:color w:val="FFFFFF"/>
                                <w:sz w:val="18"/>
                              </w:rPr>
                              <w:t>ι</w:t>
                            </w:r>
                            <w:r>
                              <w:rPr>
                                <w:b/>
                                <w:smallCaps w:val="0"/>
                                <w:color w:val="FFFFFF"/>
                                <w:sz w:val="18"/>
                              </w:rPr>
                              <w:t>ακής</w:t>
                            </w:r>
                            <w:r>
                              <w:rPr>
                                <w:b/>
                                <w:smallCaps w:val="0"/>
                                <w:color w:val="FFFFFF"/>
                                <w:spacing w:val="-10"/>
                                <w:sz w:val="18"/>
                              </w:rPr>
                              <w:t> </w:t>
                            </w:r>
                            <w:r>
                              <w:rPr>
                                <w:b/>
                                <w:smallCaps w:val="0"/>
                                <w:color w:val="FFFFFF"/>
                                <w:sz w:val="18"/>
                              </w:rPr>
                              <w:t>επάρκε</w:t>
                            </w:r>
                            <w:r>
                              <w:rPr>
                                <w:b/>
                                <w:smallCaps/>
                                <w:color w:val="FFFFFF"/>
                                <w:sz w:val="18"/>
                              </w:rPr>
                              <w:t>ι</w:t>
                            </w:r>
                            <w:r>
                              <w:rPr>
                                <w:b/>
                                <w:smallCaps w:val="0"/>
                                <w:color w:val="FFFFFF"/>
                                <w:sz w:val="18"/>
                              </w:rPr>
                              <w:t>ας, δείκτης</w:t>
                            </w:r>
                            <w:r>
                              <w:rPr>
                                <w:b/>
                                <w:smallCaps w:val="0"/>
                                <w:color w:val="FFFFFF"/>
                                <w:spacing w:val="-4"/>
                                <w:sz w:val="18"/>
                              </w:rPr>
                              <w:t> </w:t>
                            </w:r>
                            <w:r>
                              <w:rPr>
                                <w:b/>
                                <w:smallCaps w:val="0"/>
                                <w:color w:val="FFFFFF"/>
                                <w:sz w:val="18"/>
                              </w:rPr>
                              <w:t>μόχλευσης</w:t>
                            </w:r>
                            <w:r>
                              <w:rPr>
                                <w:b/>
                                <w:smallCaps w:val="0"/>
                                <w:color w:val="FFFFFF"/>
                                <w:spacing w:val="-4"/>
                                <w:sz w:val="18"/>
                              </w:rPr>
                              <w:t> </w:t>
                            </w:r>
                            <w:r>
                              <w:rPr>
                                <w:b/>
                                <w:smallCaps w:val="0"/>
                                <w:color w:val="FFFFFF"/>
                                <w:sz w:val="18"/>
                              </w:rPr>
                              <w:t>κα</w:t>
                            </w:r>
                            <w:r>
                              <w:rPr>
                                <w:b/>
                                <w:smallCaps/>
                                <w:color w:val="FFFFFF"/>
                                <w:sz w:val="18"/>
                              </w:rPr>
                              <w:t>ι</w:t>
                            </w:r>
                            <w:r>
                              <w:rPr>
                                <w:b/>
                                <w:smallCaps w:val="0"/>
                                <w:color w:val="FFFFFF"/>
                                <w:spacing w:val="-1"/>
                                <w:sz w:val="18"/>
                              </w:rPr>
                              <w:t> </w:t>
                            </w:r>
                            <w:r>
                              <w:rPr>
                                <w:b/>
                                <w:smallCaps w:val="0"/>
                                <w:color w:val="FFFFFF"/>
                                <w:sz w:val="18"/>
                              </w:rPr>
                              <w:t>κατανομή</w:t>
                            </w:r>
                            <w:r>
                              <w:rPr>
                                <w:b/>
                                <w:smallCaps w:val="0"/>
                                <w:color w:val="FFFFFF"/>
                                <w:spacing w:val="-1"/>
                                <w:sz w:val="18"/>
                              </w:rPr>
                              <w:t> </w:t>
                            </w:r>
                            <w:r>
                              <w:rPr>
                                <w:b/>
                                <w:smallCaps w:val="0"/>
                                <w:color w:val="FFFFFF"/>
                                <w:sz w:val="18"/>
                              </w:rPr>
                              <w:t>σταθμ</w:t>
                            </w:r>
                            <w:r>
                              <w:rPr>
                                <w:b/>
                                <w:smallCaps/>
                                <w:color w:val="FFFFFF"/>
                                <w:sz w:val="18"/>
                              </w:rPr>
                              <w:t>ι</w:t>
                            </w:r>
                            <w:r>
                              <w:rPr>
                                <w:b/>
                                <w:smallCaps w:val="0"/>
                                <w:color w:val="FFFFFF"/>
                                <w:sz w:val="18"/>
                              </w:rPr>
                              <w:t>σμένου</w:t>
                            </w:r>
                            <w:r>
                              <w:rPr>
                                <w:b/>
                                <w:smallCaps w:val="0"/>
                                <w:color w:val="FFFFFF"/>
                                <w:spacing w:val="-1"/>
                                <w:sz w:val="18"/>
                              </w:rPr>
                              <w:t> </w:t>
                            </w:r>
                            <w:r>
                              <w:rPr>
                                <w:b/>
                                <w:smallCaps w:val="0"/>
                                <w:color w:val="FFFFFF"/>
                                <w:spacing w:val="-5"/>
                                <w:sz w:val="18"/>
                              </w:rPr>
                              <w:t>ε-</w:t>
                            </w:r>
                          </w:p>
                          <w:p>
                            <w:pPr>
                              <w:spacing w:before="1"/>
                              <w:ind w:left="112" w:right="41" w:firstLine="0"/>
                              <w:jc w:val="left"/>
                              <w:rPr>
                                <w:b/>
                                <w:color w:val="000000"/>
                                <w:sz w:val="18"/>
                              </w:rPr>
                            </w:pPr>
                            <w:r>
                              <w:rPr>
                                <w:b/>
                                <w:color w:val="FFFFFF"/>
                                <w:sz w:val="18"/>
                              </w:rPr>
                              <w:t>νεργητ</w:t>
                            </w:r>
                            <w:r>
                              <w:rPr>
                                <w:b/>
                                <w:smallCaps/>
                                <w:color w:val="FFFFFF"/>
                                <w:sz w:val="18"/>
                              </w:rPr>
                              <w:t>ι</w:t>
                            </w:r>
                            <w:r>
                              <w:rPr>
                                <w:b/>
                                <w:smallCaps w:val="0"/>
                                <w:color w:val="FFFFFF"/>
                                <w:sz w:val="18"/>
                              </w:rPr>
                              <w:t>κού</w:t>
                            </w:r>
                            <w:r>
                              <w:rPr>
                                <w:b/>
                                <w:smallCaps w:val="0"/>
                                <w:color w:val="FFFFFF"/>
                                <w:spacing w:val="-9"/>
                                <w:sz w:val="18"/>
                              </w:rPr>
                              <w:t> </w:t>
                            </w:r>
                            <w:r>
                              <w:rPr>
                                <w:b/>
                                <w:smallCaps w:val="0"/>
                                <w:color w:val="FFFFFF"/>
                                <w:sz w:val="18"/>
                              </w:rPr>
                              <w:t>των</w:t>
                            </w:r>
                            <w:r>
                              <w:rPr>
                                <w:b/>
                                <w:smallCaps w:val="0"/>
                                <w:color w:val="FFFFFF"/>
                                <w:spacing w:val="-8"/>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10"/>
                                <w:sz w:val="18"/>
                              </w:rPr>
                              <w:t> </w:t>
                            </w:r>
                            <w:r>
                              <w:rPr>
                                <w:b/>
                                <w:smallCaps w:val="0"/>
                                <w:color w:val="FFFFFF"/>
                                <w:sz w:val="18"/>
                              </w:rPr>
                              <w:t>τραπεζών</w:t>
                            </w:r>
                            <w:r>
                              <w:rPr>
                                <w:b/>
                                <w:smallCaps w:val="0"/>
                                <w:color w:val="FFFFFF"/>
                                <w:spacing w:val="-8"/>
                                <w:sz w:val="18"/>
                              </w:rPr>
                              <w:t> </w:t>
                            </w:r>
                            <w:r>
                              <w:rPr>
                                <w:b/>
                                <w:smallCaps w:val="0"/>
                                <w:color w:val="FFFFFF"/>
                                <w:sz w:val="18"/>
                              </w:rPr>
                              <w:t>(Ιούν</w:t>
                            </w:r>
                            <w:r>
                              <w:rPr>
                                <w:b/>
                                <w:smallCaps/>
                                <w:color w:val="FFFFFF"/>
                                <w:sz w:val="18"/>
                              </w:rPr>
                              <w:t>ιο</w:t>
                            </w:r>
                            <w:r>
                              <w:rPr>
                                <w:b/>
                                <w:smallCaps w:val="0"/>
                                <w:color w:val="FFFFFF"/>
                                <w:sz w:val="18"/>
                              </w:rPr>
                              <w:t>ς</w:t>
                            </w:r>
                            <w:r>
                              <w:rPr>
                                <w:b/>
                                <w:smallCaps w:val="0"/>
                                <w:color w:val="FFFFFF"/>
                                <w:spacing w:val="-9"/>
                                <w:sz w:val="18"/>
                              </w:rPr>
                              <w:t> </w:t>
                            </w:r>
                            <w:r>
                              <w:rPr>
                                <w:b/>
                                <w:smallCaps w:val="0"/>
                                <w:color w:val="FFFFFF"/>
                                <w:sz w:val="18"/>
                              </w:rPr>
                              <w:t>2024</w:t>
                            </w:r>
                            <w:r>
                              <w:rPr>
                                <w:b/>
                                <w:smallCaps w:val="0"/>
                                <w:color w:val="FFFFFF"/>
                                <w:spacing w:val="-8"/>
                                <w:sz w:val="18"/>
                              </w:rPr>
                              <w:t> </w:t>
                            </w:r>
                            <w:r>
                              <w:rPr>
                                <w:b/>
                                <w:smallCaps w:val="0"/>
                                <w:color w:val="FFFFFF"/>
                                <w:sz w:val="18"/>
                              </w:rPr>
                              <w:t>– Δεκέμβρ</w:t>
                            </w:r>
                            <w:r>
                              <w:rPr>
                                <w:b/>
                                <w:smallCaps/>
                                <w:color w:val="FFFFFF"/>
                                <w:sz w:val="18"/>
                              </w:rPr>
                              <w:t>ιο</w:t>
                            </w:r>
                            <w:r>
                              <w:rPr>
                                <w:b/>
                                <w:smallCaps w:val="0"/>
                                <w:color w:val="FFFFFF"/>
                                <w:sz w:val="18"/>
                              </w:rPr>
                              <w:t>ς 2025)</w:t>
                            </w:r>
                          </w:p>
                        </w:txbxContent>
                      </wps:txbx>
                      <wps:bodyPr wrap="square" lIns="0" tIns="0" rIns="0" bIns="0" rtlCol="0">
                        <a:noAutofit/>
                      </wps:bodyPr>
                    </wps:wsp>
                  </a:graphicData>
                </a:graphic>
              </wp:anchor>
            </w:drawing>
          </mc:Choice>
          <mc:Fallback>
            <w:pict>
              <v:shape style="position:absolute;margin-left:294.170013pt;margin-top:20.428226pt;width:209.85pt;height:47.45pt;mso-position-horizontal-relative:page;mso-position-vertical-relative:paragraph;z-index:15777792" type="#_x0000_t202" id="docshape497" filled="true" fillcolor="#1f487c" stroked="false">
                <v:textbox inset="0,0,0,0">
                  <w:txbxContent>
                    <w:p>
                      <w:pPr>
                        <w:spacing w:before="60"/>
                        <w:ind w:left="112" w:right="19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III.14</w:t>
                      </w:r>
                      <w:r>
                        <w:rPr>
                          <w:b/>
                          <w:smallCaps w:val="0"/>
                          <w:color w:val="FFFFFF"/>
                          <w:spacing w:val="-8"/>
                          <w:sz w:val="18"/>
                        </w:rPr>
                        <w:t> </w:t>
                      </w:r>
                      <w:r>
                        <w:rPr>
                          <w:b/>
                          <w:smallCaps w:val="0"/>
                          <w:color w:val="FFFFFF"/>
                          <w:sz w:val="18"/>
                        </w:rPr>
                        <w:t>Δείκτες</w:t>
                      </w:r>
                      <w:r>
                        <w:rPr>
                          <w:b/>
                          <w:smallCaps w:val="0"/>
                          <w:color w:val="FFFFFF"/>
                          <w:spacing w:val="-8"/>
                          <w:sz w:val="18"/>
                        </w:rPr>
                        <w:t> </w:t>
                      </w:r>
                      <w:r>
                        <w:rPr>
                          <w:b/>
                          <w:smallCaps w:val="0"/>
                          <w:color w:val="FFFFFF"/>
                          <w:sz w:val="18"/>
                        </w:rPr>
                        <w:t>κεφαλα</w:t>
                      </w:r>
                      <w:r>
                        <w:rPr>
                          <w:b/>
                          <w:smallCaps/>
                          <w:color w:val="FFFFFF"/>
                          <w:sz w:val="18"/>
                        </w:rPr>
                        <w:t>ι</w:t>
                      </w:r>
                      <w:r>
                        <w:rPr>
                          <w:b/>
                          <w:smallCaps w:val="0"/>
                          <w:color w:val="FFFFFF"/>
                          <w:sz w:val="18"/>
                        </w:rPr>
                        <w:t>ακής</w:t>
                      </w:r>
                      <w:r>
                        <w:rPr>
                          <w:b/>
                          <w:smallCaps w:val="0"/>
                          <w:color w:val="FFFFFF"/>
                          <w:spacing w:val="-10"/>
                          <w:sz w:val="18"/>
                        </w:rPr>
                        <w:t> </w:t>
                      </w:r>
                      <w:r>
                        <w:rPr>
                          <w:b/>
                          <w:smallCaps w:val="0"/>
                          <w:color w:val="FFFFFF"/>
                          <w:sz w:val="18"/>
                        </w:rPr>
                        <w:t>επάρκε</w:t>
                      </w:r>
                      <w:r>
                        <w:rPr>
                          <w:b/>
                          <w:smallCaps/>
                          <w:color w:val="FFFFFF"/>
                          <w:sz w:val="18"/>
                        </w:rPr>
                        <w:t>ι</w:t>
                      </w:r>
                      <w:r>
                        <w:rPr>
                          <w:b/>
                          <w:smallCaps w:val="0"/>
                          <w:color w:val="FFFFFF"/>
                          <w:sz w:val="18"/>
                        </w:rPr>
                        <w:t>ας, δείκτης</w:t>
                      </w:r>
                      <w:r>
                        <w:rPr>
                          <w:b/>
                          <w:smallCaps w:val="0"/>
                          <w:color w:val="FFFFFF"/>
                          <w:spacing w:val="-4"/>
                          <w:sz w:val="18"/>
                        </w:rPr>
                        <w:t> </w:t>
                      </w:r>
                      <w:r>
                        <w:rPr>
                          <w:b/>
                          <w:smallCaps w:val="0"/>
                          <w:color w:val="FFFFFF"/>
                          <w:sz w:val="18"/>
                        </w:rPr>
                        <w:t>μόχλευσης</w:t>
                      </w:r>
                      <w:r>
                        <w:rPr>
                          <w:b/>
                          <w:smallCaps w:val="0"/>
                          <w:color w:val="FFFFFF"/>
                          <w:spacing w:val="-4"/>
                          <w:sz w:val="18"/>
                        </w:rPr>
                        <w:t> </w:t>
                      </w:r>
                      <w:r>
                        <w:rPr>
                          <w:b/>
                          <w:smallCaps w:val="0"/>
                          <w:color w:val="FFFFFF"/>
                          <w:sz w:val="18"/>
                        </w:rPr>
                        <w:t>κα</w:t>
                      </w:r>
                      <w:r>
                        <w:rPr>
                          <w:b/>
                          <w:smallCaps/>
                          <w:color w:val="FFFFFF"/>
                          <w:sz w:val="18"/>
                        </w:rPr>
                        <w:t>ι</w:t>
                      </w:r>
                      <w:r>
                        <w:rPr>
                          <w:b/>
                          <w:smallCaps w:val="0"/>
                          <w:color w:val="FFFFFF"/>
                          <w:spacing w:val="-1"/>
                          <w:sz w:val="18"/>
                        </w:rPr>
                        <w:t> </w:t>
                      </w:r>
                      <w:r>
                        <w:rPr>
                          <w:b/>
                          <w:smallCaps w:val="0"/>
                          <w:color w:val="FFFFFF"/>
                          <w:sz w:val="18"/>
                        </w:rPr>
                        <w:t>κατανομή</w:t>
                      </w:r>
                      <w:r>
                        <w:rPr>
                          <w:b/>
                          <w:smallCaps w:val="0"/>
                          <w:color w:val="FFFFFF"/>
                          <w:spacing w:val="-1"/>
                          <w:sz w:val="18"/>
                        </w:rPr>
                        <w:t> </w:t>
                      </w:r>
                      <w:r>
                        <w:rPr>
                          <w:b/>
                          <w:smallCaps w:val="0"/>
                          <w:color w:val="FFFFFF"/>
                          <w:sz w:val="18"/>
                        </w:rPr>
                        <w:t>σταθμ</w:t>
                      </w:r>
                      <w:r>
                        <w:rPr>
                          <w:b/>
                          <w:smallCaps/>
                          <w:color w:val="FFFFFF"/>
                          <w:sz w:val="18"/>
                        </w:rPr>
                        <w:t>ι</w:t>
                      </w:r>
                      <w:r>
                        <w:rPr>
                          <w:b/>
                          <w:smallCaps w:val="0"/>
                          <w:color w:val="FFFFFF"/>
                          <w:sz w:val="18"/>
                        </w:rPr>
                        <w:t>σμένου</w:t>
                      </w:r>
                      <w:r>
                        <w:rPr>
                          <w:b/>
                          <w:smallCaps w:val="0"/>
                          <w:color w:val="FFFFFF"/>
                          <w:spacing w:val="-1"/>
                          <w:sz w:val="18"/>
                        </w:rPr>
                        <w:t> </w:t>
                      </w:r>
                      <w:r>
                        <w:rPr>
                          <w:b/>
                          <w:smallCaps w:val="0"/>
                          <w:color w:val="FFFFFF"/>
                          <w:spacing w:val="-5"/>
                          <w:sz w:val="18"/>
                        </w:rPr>
                        <w:t>ε-</w:t>
                      </w:r>
                    </w:p>
                    <w:p>
                      <w:pPr>
                        <w:spacing w:before="1"/>
                        <w:ind w:left="112" w:right="41" w:firstLine="0"/>
                        <w:jc w:val="left"/>
                        <w:rPr>
                          <w:b/>
                          <w:color w:val="000000"/>
                          <w:sz w:val="18"/>
                        </w:rPr>
                      </w:pPr>
                      <w:r>
                        <w:rPr>
                          <w:b/>
                          <w:color w:val="FFFFFF"/>
                          <w:sz w:val="18"/>
                        </w:rPr>
                        <w:t>νεργητ</w:t>
                      </w:r>
                      <w:r>
                        <w:rPr>
                          <w:b/>
                          <w:smallCaps/>
                          <w:color w:val="FFFFFF"/>
                          <w:sz w:val="18"/>
                        </w:rPr>
                        <w:t>ι</w:t>
                      </w:r>
                      <w:r>
                        <w:rPr>
                          <w:b/>
                          <w:smallCaps w:val="0"/>
                          <w:color w:val="FFFFFF"/>
                          <w:sz w:val="18"/>
                        </w:rPr>
                        <w:t>κού</w:t>
                      </w:r>
                      <w:r>
                        <w:rPr>
                          <w:b/>
                          <w:smallCaps w:val="0"/>
                          <w:color w:val="FFFFFF"/>
                          <w:spacing w:val="-9"/>
                          <w:sz w:val="18"/>
                        </w:rPr>
                        <w:t> </w:t>
                      </w:r>
                      <w:r>
                        <w:rPr>
                          <w:b/>
                          <w:smallCaps w:val="0"/>
                          <w:color w:val="FFFFFF"/>
                          <w:sz w:val="18"/>
                        </w:rPr>
                        <w:t>των</w:t>
                      </w:r>
                      <w:r>
                        <w:rPr>
                          <w:b/>
                          <w:smallCaps w:val="0"/>
                          <w:color w:val="FFFFFF"/>
                          <w:spacing w:val="-8"/>
                          <w:sz w:val="18"/>
                        </w:rPr>
                        <w:t> </w:t>
                      </w:r>
                      <w:r>
                        <w:rPr>
                          <w:b/>
                          <w:smallCaps w:val="0"/>
                          <w:color w:val="FFFFFF"/>
                          <w:sz w:val="18"/>
                        </w:rPr>
                        <w:t>ελλην</w:t>
                      </w:r>
                      <w:r>
                        <w:rPr>
                          <w:b/>
                          <w:smallCaps/>
                          <w:color w:val="FFFFFF"/>
                          <w:sz w:val="18"/>
                        </w:rPr>
                        <w:t>ι</w:t>
                      </w:r>
                      <w:r>
                        <w:rPr>
                          <w:b/>
                          <w:smallCaps w:val="0"/>
                          <w:color w:val="FFFFFF"/>
                          <w:sz w:val="18"/>
                        </w:rPr>
                        <w:t>κών</w:t>
                      </w:r>
                      <w:r>
                        <w:rPr>
                          <w:b/>
                          <w:smallCaps w:val="0"/>
                          <w:color w:val="FFFFFF"/>
                          <w:spacing w:val="-10"/>
                          <w:sz w:val="18"/>
                        </w:rPr>
                        <w:t> </w:t>
                      </w:r>
                      <w:r>
                        <w:rPr>
                          <w:b/>
                          <w:smallCaps w:val="0"/>
                          <w:color w:val="FFFFFF"/>
                          <w:sz w:val="18"/>
                        </w:rPr>
                        <w:t>τραπεζών</w:t>
                      </w:r>
                      <w:r>
                        <w:rPr>
                          <w:b/>
                          <w:smallCaps w:val="0"/>
                          <w:color w:val="FFFFFF"/>
                          <w:spacing w:val="-8"/>
                          <w:sz w:val="18"/>
                        </w:rPr>
                        <w:t> </w:t>
                      </w:r>
                      <w:r>
                        <w:rPr>
                          <w:b/>
                          <w:smallCaps w:val="0"/>
                          <w:color w:val="FFFFFF"/>
                          <w:sz w:val="18"/>
                        </w:rPr>
                        <w:t>(Ιούν</w:t>
                      </w:r>
                      <w:r>
                        <w:rPr>
                          <w:b/>
                          <w:smallCaps/>
                          <w:color w:val="FFFFFF"/>
                          <w:sz w:val="18"/>
                        </w:rPr>
                        <w:t>ιο</w:t>
                      </w:r>
                      <w:r>
                        <w:rPr>
                          <w:b/>
                          <w:smallCaps w:val="0"/>
                          <w:color w:val="FFFFFF"/>
                          <w:sz w:val="18"/>
                        </w:rPr>
                        <w:t>ς</w:t>
                      </w:r>
                      <w:r>
                        <w:rPr>
                          <w:b/>
                          <w:smallCaps w:val="0"/>
                          <w:color w:val="FFFFFF"/>
                          <w:spacing w:val="-9"/>
                          <w:sz w:val="18"/>
                        </w:rPr>
                        <w:t> </w:t>
                      </w:r>
                      <w:r>
                        <w:rPr>
                          <w:b/>
                          <w:smallCaps w:val="0"/>
                          <w:color w:val="FFFFFF"/>
                          <w:sz w:val="18"/>
                        </w:rPr>
                        <w:t>2024</w:t>
                      </w:r>
                      <w:r>
                        <w:rPr>
                          <w:b/>
                          <w:smallCaps w:val="0"/>
                          <w:color w:val="FFFFFF"/>
                          <w:spacing w:val="-8"/>
                          <w:sz w:val="18"/>
                        </w:rPr>
                        <w:t> </w:t>
                      </w:r>
                      <w:r>
                        <w:rPr>
                          <w:b/>
                          <w:smallCaps w:val="0"/>
                          <w:color w:val="FFFFFF"/>
                          <w:sz w:val="18"/>
                        </w:rPr>
                        <w:t>– Δεκέμβρ</w:t>
                      </w:r>
                      <w:r>
                        <w:rPr>
                          <w:b/>
                          <w:smallCaps/>
                          <w:color w:val="FFFFFF"/>
                          <w:sz w:val="18"/>
                        </w:rPr>
                        <w:t>ιο</w:t>
                      </w:r>
                      <w:r>
                        <w:rPr>
                          <w:b/>
                          <w:smallCaps w:val="0"/>
                          <w:color w:val="FFFFFF"/>
                          <w:sz w:val="18"/>
                        </w:rPr>
                        <w:t>ς 2025)</w:t>
                      </w:r>
                    </w:p>
                  </w:txbxContent>
                </v:textbox>
                <v:fill type="solid"/>
                <w10:wrap type="none"/>
              </v:shape>
            </w:pict>
          </mc:Fallback>
        </mc:AlternateContent>
      </w:r>
      <w:bookmarkStart w:name="_bookmark80" w:id="81"/>
      <w:bookmarkEnd w:id="81"/>
      <w:r>
        <w:rPr>
          <w:b w:val="0"/>
        </w:rPr>
      </w:r>
      <w:r>
        <w:rPr>
          <w:color w:val="1F487C"/>
        </w:rPr>
        <w:t>ΚΕΦΑΛΑΙΑΚΗ</w:t>
      </w:r>
      <w:r>
        <w:rPr>
          <w:color w:val="1F487C"/>
          <w:spacing w:val="-7"/>
        </w:rPr>
        <w:t> </w:t>
      </w:r>
      <w:r>
        <w:rPr>
          <w:color w:val="1F487C"/>
          <w:spacing w:val="-2"/>
        </w:rPr>
        <w:t>ΕΠΑΡΚΕΙΑ</w:t>
      </w:r>
    </w:p>
    <w:p>
      <w:pPr>
        <w:pStyle w:val="BodyText"/>
        <w:spacing w:line="285" w:lineRule="auto" w:before="151"/>
        <w:ind w:left="172" w:right="5348"/>
        <w:jc w:val="both"/>
      </w:pPr>
      <w:r>
        <w:rPr/>
        <w:t>Οι</w:t>
      </w:r>
      <w:r>
        <w:rPr>
          <w:spacing w:val="-14"/>
        </w:rPr>
        <w:t> </w:t>
      </w:r>
      <w:r>
        <w:rPr/>
        <w:t>δείκτες</w:t>
      </w:r>
      <w:r>
        <w:rPr>
          <w:spacing w:val="-14"/>
        </w:rPr>
        <w:t> </w:t>
      </w:r>
      <w:r>
        <w:rPr/>
        <w:t>κεφαλαιακής</w:t>
      </w:r>
      <w:r>
        <w:rPr>
          <w:spacing w:val="-14"/>
        </w:rPr>
        <w:t> </w:t>
      </w:r>
      <w:r>
        <w:rPr/>
        <w:t>επάρκειας</w:t>
      </w:r>
      <w:r>
        <w:rPr>
          <w:spacing w:val="-13"/>
        </w:rPr>
        <w:t> </w:t>
      </w:r>
      <w:r>
        <w:rPr/>
        <w:t>των</w:t>
      </w:r>
      <w:r>
        <w:rPr>
          <w:spacing w:val="-14"/>
        </w:rPr>
        <w:t> </w:t>
      </w:r>
      <w:r>
        <w:rPr/>
        <w:t>ελληνι-κών</w:t>
      </w:r>
      <w:r>
        <w:rPr>
          <w:spacing w:val="-2"/>
        </w:rPr>
        <w:t> </w:t>
      </w:r>
      <w:r>
        <w:rPr/>
        <w:t>τραπεζικών</w:t>
      </w:r>
      <w:r>
        <w:rPr>
          <w:spacing w:val="-1"/>
        </w:rPr>
        <w:t> </w:t>
      </w:r>
      <w:r>
        <w:rPr/>
        <w:t>ομίλων παρέμειναν σε</w:t>
      </w:r>
      <w:r>
        <w:rPr>
          <w:spacing w:val="-2"/>
        </w:rPr>
        <w:t> </w:t>
      </w:r>
      <w:r>
        <w:rPr/>
        <w:t>ικανο-ποιητικό</w:t>
      </w:r>
      <w:r>
        <w:rPr>
          <w:spacing w:val="51"/>
        </w:rPr>
        <w:t> </w:t>
      </w:r>
      <w:r>
        <w:rPr/>
        <w:t>επίπεδο</w:t>
      </w:r>
      <w:r>
        <w:rPr>
          <w:spacing w:val="54"/>
        </w:rPr>
        <w:t> </w:t>
      </w:r>
      <w:r>
        <w:rPr/>
        <w:t>το</w:t>
      </w:r>
      <w:r>
        <w:rPr>
          <w:spacing w:val="54"/>
        </w:rPr>
        <w:t> </w:t>
      </w:r>
      <w:r>
        <w:rPr/>
        <w:t>2025.</w:t>
      </w:r>
      <w:r>
        <w:rPr>
          <w:spacing w:val="56"/>
        </w:rPr>
        <w:t> </w:t>
      </w:r>
      <w:r>
        <w:rPr/>
        <w:t>Συγκεκριμένα,</w:t>
      </w:r>
      <w:r>
        <w:rPr>
          <w:spacing w:val="54"/>
        </w:rPr>
        <w:t> </w:t>
      </w:r>
      <w:r>
        <w:rPr>
          <w:spacing w:val="-10"/>
        </w:rPr>
        <w:t>ο</w:t>
      </w:r>
    </w:p>
    <w:p>
      <w:pPr>
        <w:pStyle w:val="BodyText"/>
        <w:spacing w:after="0" w:line="285" w:lineRule="auto"/>
        <w:jc w:val="both"/>
        <w:sectPr>
          <w:pgSz w:w="11910" w:h="16850"/>
          <w:pgMar w:header="0" w:footer="1108" w:top="1840" w:bottom="1300" w:left="1417" w:right="850"/>
        </w:sectPr>
      </w:pPr>
    </w:p>
    <w:p>
      <w:pPr>
        <w:pStyle w:val="BodyText"/>
        <w:spacing w:line="285" w:lineRule="auto"/>
        <w:ind w:left="172" w:right="38"/>
        <w:jc w:val="both"/>
        <w:rPr>
          <w:position w:val="6"/>
          <w:sz w:val="10"/>
        </w:rPr>
      </w:pPr>
      <w:r>
        <w:rPr/>
        <w:t>Δείκτης</w:t>
      </w:r>
      <w:r>
        <w:rPr>
          <w:spacing w:val="-5"/>
        </w:rPr>
        <w:t> </w:t>
      </w:r>
      <w:r>
        <w:rPr/>
        <w:t>Κεφαλαίου</w:t>
      </w:r>
      <w:r>
        <w:rPr>
          <w:spacing w:val="-3"/>
        </w:rPr>
        <w:t> </w:t>
      </w:r>
      <w:r>
        <w:rPr/>
        <w:t>Κοινών</w:t>
      </w:r>
      <w:r>
        <w:rPr>
          <w:spacing w:val="-3"/>
        </w:rPr>
        <w:t> </w:t>
      </w:r>
      <w:r>
        <w:rPr/>
        <w:t>Μετοχών</w:t>
      </w:r>
      <w:r>
        <w:rPr>
          <w:spacing w:val="-5"/>
        </w:rPr>
        <w:t> </w:t>
      </w:r>
      <w:r>
        <w:rPr/>
        <w:t>της</w:t>
      </w:r>
      <w:r>
        <w:rPr>
          <w:spacing w:val="-5"/>
        </w:rPr>
        <w:t> </w:t>
      </w:r>
      <w:r>
        <w:rPr/>
        <w:t>Κα-τηγορίας 1 (Common Equity Tier 1 ratio – CET1</w:t>
      </w:r>
      <w:r>
        <w:rPr>
          <w:spacing w:val="-14"/>
        </w:rPr>
        <w:t> </w:t>
      </w:r>
      <w:r>
        <w:rPr/>
        <w:t>ratio)</w:t>
      </w:r>
      <w:r>
        <w:rPr>
          <w:spacing w:val="-14"/>
        </w:rPr>
        <w:t> </w:t>
      </w:r>
      <w:r>
        <w:rPr/>
        <w:t>σε</w:t>
      </w:r>
      <w:r>
        <w:rPr>
          <w:spacing w:val="-14"/>
        </w:rPr>
        <w:t> </w:t>
      </w:r>
      <w:r>
        <w:rPr/>
        <w:t>ενοποιημένη</w:t>
      </w:r>
      <w:r>
        <w:rPr>
          <w:spacing w:val="-13"/>
        </w:rPr>
        <w:t> </w:t>
      </w:r>
      <w:r>
        <w:rPr/>
        <w:t>βάση</w:t>
      </w:r>
      <w:r>
        <w:rPr>
          <w:spacing w:val="-14"/>
        </w:rPr>
        <w:t> </w:t>
      </w:r>
      <w:r>
        <w:rPr/>
        <w:t>μειώθηκε</w:t>
      </w:r>
      <w:r>
        <w:rPr>
          <w:spacing w:val="-14"/>
        </w:rPr>
        <w:t> </w:t>
      </w:r>
      <w:r>
        <w:rPr/>
        <w:t>σε 15,3% τον Δεκέμβριο του 2025, από 16% τον Δεκέμβριο</w:t>
      </w:r>
      <w:r>
        <w:rPr>
          <w:spacing w:val="-1"/>
        </w:rPr>
        <w:t> </w:t>
      </w:r>
      <w:r>
        <w:rPr/>
        <w:t>του</w:t>
      </w:r>
      <w:r>
        <w:rPr>
          <w:spacing w:val="-3"/>
        </w:rPr>
        <w:t> </w:t>
      </w:r>
      <w:r>
        <w:rPr/>
        <w:t>2024,</w:t>
      </w:r>
      <w:r>
        <w:rPr>
          <w:spacing w:val="-1"/>
        </w:rPr>
        <w:t> </w:t>
      </w:r>
      <w:r>
        <w:rPr/>
        <w:t>και</w:t>
      </w:r>
      <w:r>
        <w:rPr>
          <w:spacing w:val="-1"/>
        </w:rPr>
        <w:t> </w:t>
      </w:r>
      <w:r>
        <w:rPr/>
        <w:t>ο</w:t>
      </w:r>
      <w:r>
        <w:rPr>
          <w:spacing w:val="-3"/>
        </w:rPr>
        <w:t> </w:t>
      </w:r>
      <w:r>
        <w:rPr/>
        <w:t>Συνολικός</w:t>
      </w:r>
      <w:r>
        <w:rPr>
          <w:spacing w:val="-3"/>
        </w:rPr>
        <w:t> </w:t>
      </w:r>
      <w:r>
        <w:rPr/>
        <w:t>Δείκτης Κεφαλαίου (Total Capital Ratio – TCR) μειώ-θηκε</w:t>
      </w:r>
      <w:r>
        <w:rPr>
          <w:spacing w:val="-2"/>
        </w:rPr>
        <w:t> </w:t>
      </w:r>
      <w:r>
        <w:rPr/>
        <w:t>οριακά</w:t>
      </w:r>
      <w:r>
        <w:rPr>
          <w:spacing w:val="-3"/>
        </w:rPr>
        <w:t> </w:t>
      </w:r>
      <w:r>
        <w:rPr/>
        <w:t>σε</w:t>
      </w:r>
      <w:r>
        <w:rPr>
          <w:spacing w:val="-2"/>
        </w:rPr>
        <w:t> </w:t>
      </w:r>
      <w:r>
        <w:rPr/>
        <w:t>19,7%,</w:t>
      </w:r>
      <w:r>
        <w:rPr>
          <w:spacing w:val="-3"/>
        </w:rPr>
        <w:t> </w:t>
      </w:r>
      <w:r>
        <w:rPr/>
        <w:t>από</w:t>
      </w:r>
      <w:r>
        <w:rPr>
          <w:spacing w:val="-5"/>
        </w:rPr>
        <w:t> </w:t>
      </w:r>
      <w:r>
        <w:rPr/>
        <w:t>19,8%</w:t>
      </w:r>
      <w:r>
        <w:rPr>
          <w:spacing w:val="-2"/>
        </w:rPr>
        <w:t> </w:t>
      </w:r>
      <w:r>
        <w:rPr/>
        <w:t>τον</w:t>
      </w:r>
      <w:r>
        <w:rPr>
          <w:spacing w:val="-2"/>
        </w:rPr>
        <w:t> </w:t>
      </w:r>
      <w:r>
        <w:rPr/>
        <w:t>Δεκέμ-βριο του 2024 (βλ. Διάγραμμα ΙΙΙ.14)</w:t>
      </w:r>
      <w:hyperlink w:history="true" w:anchor="_bookmark81">
        <w:r>
          <w:rPr/>
          <w:t>.</w:t>
        </w:r>
        <w:r>
          <w:rPr>
            <w:position w:val="6"/>
            <w:sz w:val="10"/>
          </w:rPr>
          <w:t>56</w:t>
        </w:r>
      </w:hyperlink>
      <w:r>
        <w:rPr>
          <w:position w:val="6"/>
          <w:sz w:val="10"/>
        </w:rPr>
        <w:t> </w:t>
      </w:r>
      <w:r>
        <w:rPr/>
        <w:t>Η δια-</w:t>
      </w:r>
      <w:r>
        <w:rPr>
          <w:spacing w:val="-2"/>
        </w:rPr>
        <w:t>φοροποίηση</w:t>
      </w:r>
      <w:r>
        <w:rPr>
          <w:spacing w:val="-5"/>
        </w:rPr>
        <w:t> </w:t>
      </w:r>
      <w:r>
        <w:rPr>
          <w:spacing w:val="-2"/>
        </w:rPr>
        <w:t>οφείλεται</w:t>
      </w:r>
      <w:r>
        <w:rPr>
          <w:spacing w:val="-5"/>
        </w:rPr>
        <w:t> </w:t>
      </w:r>
      <w:r>
        <w:rPr>
          <w:spacing w:val="-2"/>
        </w:rPr>
        <w:t>κυρίως</w:t>
      </w:r>
      <w:r>
        <w:rPr>
          <w:spacing w:val="-6"/>
        </w:rPr>
        <w:t> </w:t>
      </w:r>
      <w:r>
        <w:rPr>
          <w:spacing w:val="-2"/>
        </w:rPr>
        <w:t>στην</w:t>
      </w:r>
      <w:r>
        <w:rPr>
          <w:spacing w:val="-4"/>
        </w:rPr>
        <w:t> </w:t>
      </w:r>
      <w:r>
        <w:rPr>
          <w:spacing w:val="-2"/>
        </w:rPr>
        <w:t>έκδοση</w:t>
      </w:r>
      <w:r>
        <w:rPr>
          <w:spacing w:val="-5"/>
        </w:rPr>
        <w:t> </w:t>
      </w:r>
      <w:r>
        <w:rPr>
          <w:spacing w:val="-2"/>
        </w:rPr>
        <w:t>κε-</w:t>
      </w:r>
      <w:r>
        <w:rPr/>
        <w:t>φαλαιακών μέσων, τα οποία προσμετρούνται μεν στα εποπτικά ίδια κεφάλαια, αλλά δεν α-ποτελούν</w:t>
      </w:r>
      <w:r>
        <w:rPr>
          <w:spacing w:val="-14"/>
        </w:rPr>
        <w:t> </w:t>
      </w:r>
      <w:r>
        <w:rPr/>
        <w:t>μέρος</w:t>
      </w:r>
      <w:r>
        <w:rPr>
          <w:spacing w:val="-14"/>
        </w:rPr>
        <w:t> </w:t>
      </w:r>
      <w:r>
        <w:rPr/>
        <w:t>του</w:t>
      </w:r>
      <w:r>
        <w:rPr>
          <w:spacing w:val="-14"/>
        </w:rPr>
        <w:t> </w:t>
      </w:r>
      <w:r>
        <w:rPr/>
        <w:t>Κεφαλαίου</w:t>
      </w:r>
      <w:r>
        <w:rPr>
          <w:spacing w:val="-13"/>
        </w:rPr>
        <w:t> </w:t>
      </w:r>
      <w:r>
        <w:rPr/>
        <w:t>Κοινών</w:t>
      </w:r>
      <w:r>
        <w:rPr>
          <w:spacing w:val="-14"/>
        </w:rPr>
        <w:t> </w:t>
      </w:r>
      <w:r>
        <w:rPr/>
        <w:t>Μετο-χών</w:t>
      </w:r>
      <w:r>
        <w:rPr>
          <w:spacing w:val="-3"/>
        </w:rPr>
        <w:t> </w:t>
      </w:r>
      <w:r>
        <w:rPr/>
        <w:t>της</w:t>
      </w:r>
      <w:r>
        <w:rPr>
          <w:spacing w:val="-4"/>
        </w:rPr>
        <w:t> </w:t>
      </w:r>
      <w:r>
        <w:rPr/>
        <w:t>Κατηγορίας</w:t>
      </w:r>
      <w:r>
        <w:rPr>
          <w:spacing w:val="-5"/>
        </w:rPr>
        <w:t> </w:t>
      </w:r>
      <w:r>
        <w:rPr/>
        <w:t>1</w:t>
      </w:r>
      <w:r>
        <w:rPr>
          <w:spacing w:val="-4"/>
        </w:rPr>
        <w:t> </w:t>
      </w:r>
      <w:r>
        <w:rPr/>
        <w:t>(CET1).</w:t>
      </w:r>
      <w:r>
        <w:rPr>
          <w:spacing w:val="-4"/>
        </w:rPr>
        <w:t> </w:t>
      </w:r>
      <w:r>
        <w:rPr/>
        <w:t>Συγκεκριμένα, το 2025 εκδόθηκαν πρόσθετα μέσα της κατη-γορίας 1 (Additional Tier 1 - AT1) συνολικής αξίας</w:t>
      </w:r>
      <w:r>
        <w:rPr>
          <w:spacing w:val="-13"/>
        </w:rPr>
        <w:t> </w:t>
      </w:r>
      <w:r>
        <w:rPr/>
        <w:t>2,2</w:t>
      </w:r>
      <w:r>
        <w:rPr>
          <w:spacing w:val="-11"/>
        </w:rPr>
        <w:t> </w:t>
      </w:r>
      <w:r>
        <w:rPr/>
        <w:t>δισεκ.</w:t>
      </w:r>
      <w:r>
        <w:rPr>
          <w:spacing w:val="-12"/>
        </w:rPr>
        <w:t> </w:t>
      </w:r>
      <w:r>
        <w:rPr/>
        <w:t>ευρώ</w:t>
      </w:r>
      <w:r>
        <w:rPr>
          <w:spacing w:val="-11"/>
        </w:rPr>
        <w:t> </w:t>
      </w:r>
      <w:r>
        <w:rPr/>
        <w:t>και</w:t>
      </w:r>
      <w:r>
        <w:rPr>
          <w:spacing w:val="-10"/>
        </w:rPr>
        <w:t> </w:t>
      </w:r>
      <w:r>
        <w:rPr/>
        <w:t>μέσα</w:t>
      </w:r>
      <w:r>
        <w:rPr>
          <w:spacing w:val="-11"/>
        </w:rPr>
        <w:t> </w:t>
      </w:r>
      <w:r>
        <w:rPr/>
        <w:t>της</w:t>
      </w:r>
      <w:r>
        <w:rPr>
          <w:spacing w:val="-13"/>
        </w:rPr>
        <w:t> </w:t>
      </w:r>
      <w:r>
        <w:rPr/>
        <w:t>κατηγορίας 2 (Tier 2) συνολικής αξίας 1,4 δισεκ. ευρώ</w:t>
      </w:r>
      <w:hyperlink w:history="true" w:anchor="_bookmark82">
        <w:r>
          <w:rPr/>
          <w:t>.</w:t>
        </w:r>
        <w:r>
          <w:rPr>
            <w:position w:val="6"/>
            <w:sz w:val="10"/>
          </w:rPr>
          <w:t>57</w:t>
        </w:r>
      </w:hyperlink>
    </w:p>
    <w:p>
      <w:pPr>
        <w:spacing w:before="70"/>
        <w:ind w:left="172" w:right="0" w:firstLine="0"/>
        <w:jc w:val="left"/>
        <w:rPr>
          <w:sz w:val="14"/>
        </w:rPr>
      </w:pPr>
      <w:r>
        <w:rPr/>
        <w:br w:type="column"/>
      </w:r>
      <w:r>
        <w:rPr>
          <w:color w:val="1F487C"/>
          <w:sz w:val="14"/>
        </w:rPr>
        <w:t>(δισεκ.</w:t>
      </w:r>
      <w:r>
        <w:rPr>
          <w:color w:val="1F487C"/>
          <w:spacing w:val="-4"/>
          <w:sz w:val="14"/>
        </w:rPr>
        <w:t> </w:t>
      </w:r>
      <w:r>
        <w:rPr>
          <w:color w:val="1F487C"/>
          <w:sz w:val="14"/>
        </w:rPr>
        <w:t>ευρώ,</w:t>
      </w:r>
      <w:r>
        <w:rPr>
          <w:color w:val="1F487C"/>
          <w:spacing w:val="-4"/>
          <w:sz w:val="14"/>
        </w:rPr>
        <w:t> </w:t>
      </w:r>
      <w:r>
        <w:rPr>
          <w:color w:val="1F487C"/>
          <w:sz w:val="14"/>
        </w:rPr>
        <w:t>ποσοστά</w:t>
      </w:r>
      <w:r>
        <w:rPr>
          <w:color w:val="1F487C"/>
          <w:spacing w:val="-7"/>
          <w:sz w:val="14"/>
        </w:rPr>
        <w:t> </w:t>
      </w:r>
      <w:r>
        <w:rPr>
          <w:color w:val="1F487C"/>
          <w:spacing w:val="-5"/>
          <w:sz w:val="14"/>
        </w:rPr>
        <w:t>%)</w:t>
      </w:r>
    </w:p>
    <w:p>
      <w:pPr>
        <w:pStyle w:val="BodyText"/>
        <w:spacing w:before="3"/>
        <w:rPr>
          <w:sz w:val="5"/>
        </w:rPr>
      </w:pPr>
    </w:p>
    <w:p>
      <w:pPr>
        <w:spacing w:line="240" w:lineRule="auto"/>
        <w:ind w:left="5" w:right="0" w:firstLine="0"/>
        <w:rPr>
          <w:sz w:val="20"/>
        </w:rPr>
      </w:pPr>
      <w:r>
        <w:rPr>
          <w:sz w:val="20"/>
        </w:rPr>
        <mc:AlternateContent>
          <mc:Choice Requires="wps">
            <w:drawing>
              <wp:inline distT="0" distB="0" distL="0" distR="0">
                <wp:extent cx="2665730" cy="2806065"/>
                <wp:effectExtent l="0" t="0" r="0" b="3810"/>
                <wp:docPr id="526" name="Group 526"/>
                <wp:cNvGraphicFramePr>
                  <a:graphicFrameLocks/>
                </wp:cNvGraphicFramePr>
                <a:graphic>
                  <a:graphicData uri="http://schemas.microsoft.com/office/word/2010/wordprocessingGroup">
                    <wpg:wgp>
                      <wpg:cNvPr id="526" name="Group 526"/>
                      <wpg:cNvGrpSpPr/>
                      <wpg:grpSpPr>
                        <a:xfrm>
                          <a:off x="0" y="0"/>
                          <a:ext cx="2665730" cy="2806065"/>
                          <a:chExt cx="2665730" cy="2806065"/>
                        </a:xfrm>
                      </wpg:grpSpPr>
                      <wps:wsp>
                        <wps:cNvPr id="527" name="Graphic 527"/>
                        <wps:cNvSpPr/>
                        <wps:spPr>
                          <a:xfrm>
                            <a:off x="635" y="0"/>
                            <a:ext cx="2665095" cy="2806065"/>
                          </a:xfrm>
                          <a:custGeom>
                            <a:avLst/>
                            <a:gdLst/>
                            <a:ahLst/>
                            <a:cxnLst/>
                            <a:rect l="l" t="t" r="r" b="b"/>
                            <a:pathLst>
                              <a:path w="2665095" h="2806065">
                                <a:moveTo>
                                  <a:pt x="2664587" y="0"/>
                                </a:moveTo>
                                <a:lnTo>
                                  <a:pt x="0" y="0"/>
                                </a:lnTo>
                                <a:lnTo>
                                  <a:pt x="0" y="2589530"/>
                                </a:lnTo>
                                <a:lnTo>
                                  <a:pt x="0" y="2805938"/>
                                </a:lnTo>
                                <a:lnTo>
                                  <a:pt x="2664587" y="2805938"/>
                                </a:lnTo>
                                <a:lnTo>
                                  <a:pt x="2664587" y="2589530"/>
                                </a:lnTo>
                                <a:lnTo>
                                  <a:pt x="2664587" y="0"/>
                                </a:lnTo>
                                <a:close/>
                              </a:path>
                            </a:pathLst>
                          </a:custGeom>
                          <a:solidFill>
                            <a:srgbClr val="D9D9D9"/>
                          </a:solidFill>
                        </wps:spPr>
                        <wps:bodyPr wrap="square" lIns="0" tIns="0" rIns="0" bIns="0" rtlCol="0">
                          <a:prstTxWarp prst="textNoShape">
                            <a:avLst/>
                          </a:prstTxWarp>
                          <a:noAutofit/>
                        </wps:bodyPr>
                      </wps:wsp>
                      <pic:pic>
                        <pic:nvPicPr>
                          <pic:cNvPr id="528" name="Image 528"/>
                          <pic:cNvPicPr/>
                        </pic:nvPicPr>
                        <pic:blipFill>
                          <a:blip r:embed="rId99" cstate="print"/>
                          <a:stretch>
                            <a:fillRect/>
                          </a:stretch>
                        </pic:blipFill>
                        <pic:spPr>
                          <a:xfrm>
                            <a:off x="0" y="37846"/>
                            <a:ext cx="2660396" cy="2536443"/>
                          </a:xfrm>
                          <a:prstGeom prst="rect">
                            <a:avLst/>
                          </a:prstGeom>
                        </pic:spPr>
                      </pic:pic>
                      <wps:wsp>
                        <wps:cNvPr id="529" name="Textbox 529"/>
                        <wps:cNvSpPr txBox="1"/>
                        <wps:spPr>
                          <a:xfrm>
                            <a:off x="635" y="0"/>
                            <a:ext cx="2665095" cy="280606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1"/>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09.9pt;height:220.95pt;mso-position-horizontal-relative:char;mso-position-vertical-relative:line" id="docshapegroup498" coordorigin="0,0" coordsize="4198,4419">
                <v:shape style="position:absolute;left:1;top:0;width:4197;height:4419" id="docshape499" coordorigin="1,0" coordsize="4197,4419" path="m4197,0l1,0,1,4078,1,4419,4197,4419,4197,4078,4197,0xe" filled="true" fillcolor="#d9d9d9" stroked="false">
                  <v:path arrowok="t"/>
                  <v:fill type="solid"/>
                </v:shape>
                <v:shape style="position:absolute;left:0;top:59;width:4190;height:3995" type="#_x0000_t75" id="docshape500" stroked="false">
                  <v:imagedata r:id="rId99" o:title=""/>
                </v:shape>
                <v:shape style="position:absolute;left:1;top:0;width:4197;height:4419" type="#_x0000_t202" id="docshape501"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1"/>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331" w:space="129"/>
            <w:col w:w="5183"/>
          </w:cols>
        </w:sectPr>
      </w:pPr>
    </w:p>
    <w:p>
      <w:pPr>
        <w:pStyle w:val="BodyText"/>
        <w:spacing w:line="285" w:lineRule="auto" w:before="40"/>
        <w:ind w:left="172" w:right="955"/>
        <w:jc w:val="both"/>
      </w:pPr>
      <w:r>
        <w:rPr/>
        <w:t>Αναλυτικότερα, τον Δεκέμβριο του 2025 τα εποπτικά ίδια κεφάλαια των ελληνικών τραπεζών αυξήθηκαν κατά 7,4% και ανήλθαν σε 34,2 δισεκ. ευρώ, καθώς η καταγραφή κερδών μετά από φόρους</w:t>
      </w:r>
      <w:r>
        <w:rPr>
          <w:spacing w:val="-2"/>
        </w:rPr>
        <w:t> </w:t>
      </w:r>
      <w:r>
        <w:rPr/>
        <w:t>και</w:t>
      </w:r>
      <w:r>
        <w:rPr>
          <w:spacing w:val="-3"/>
        </w:rPr>
        <w:t> </w:t>
      </w:r>
      <w:r>
        <w:rPr/>
        <w:t>διακοπτόμενες</w:t>
      </w:r>
      <w:r>
        <w:rPr>
          <w:spacing w:val="-4"/>
        </w:rPr>
        <w:t> </w:t>
      </w:r>
      <w:r>
        <w:rPr/>
        <w:t>δραστηριότητες</w:t>
      </w:r>
      <w:r>
        <w:rPr>
          <w:spacing w:val="-5"/>
        </w:rPr>
        <w:t> </w:t>
      </w:r>
      <w:r>
        <w:rPr/>
        <w:t>και</w:t>
      </w:r>
      <w:r>
        <w:rPr>
          <w:spacing w:val="-1"/>
        </w:rPr>
        <w:t> </w:t>
      </w:r>
      <w:r>
        <w:rPr/>
        <w:t>η</w:t>
      </w:r>
      <w:r>
        <w:rPr>
          <w:spacing w:val="-1"/>
        </w:rPr>
        <w:t> </w:t>
      </w:r>
      <w:r>
        <w:rPr/>
        <w:t>έκδοση κεφαλαιακών</w:t>
      </w:r>
      <w:r>
        <w:rPr>
          <w:spacing w:val="-2"/>
        </w:rPr>
        <w:t> </w:t>
      </w:r>
      <w:r>
        <w:rPr/>
        <w:t>μέσων που προσμετρού-νται στα ίδια κεφάλαια αντιστάθμισαν την αρνητική επίδραση από την αυξημένη δέσμευση μέ-ρους της κερδοφορίας για μελλοντικές διανομές, τις</w:t>
      </w:r>
      <w:r>
        <w:rPr>
          <w:spacing w:val="-1"/>
        </w:rPr>
        <w:t> </w:t>
      </w:r>
      <w:r>
        <w:rPr/>
        <w:t>συγχωνεύσεις και εξαγορές</w:t>
      </w:r>
      <w:r>
        <w:rPr>
          <w:spacing w:val="-1"/>
        </w:rPr>
        <w:t> </w:t>
      </w:r>
      <w:r>
        <w:rPr/>
        <w:t>τρίτων οντοτή-των, αλλά και τη σταδιακή απόσβεση των οριστικών και εκκαθαρισμένων αναβαλλόμενων φο-ρολογικών απαιτήσεων (Deferred Tax Credits – DTCs), η οποία έχει επιταχυνθεί λόγω της</w:t>
      </w:r>
      <w:r>
        <w:rPr>
          <w:spacing w:val="-1"/>
        </w:rPr>
        <w:t> </w:t>
      </w:r>
      <w:r>
        <w:rPr/>
        <w:t>υλο-ποίησης του εθελοντικού προγράμματος ταχύτερης απομείωσης τους. Ωστόσο, οι οριστικές και εκκαθαρισμένες</w:t>
      </w:r>
      <w:r>
        <w:rPr>
          <w:spacing w:val="30"/>
        </w:rPr>
        <w:t> </w:t>
      </w:r>
      <w:r>
        <w:rPr/>
        <w:t>αναβαλλόμενες</w:t>
      </w:r>
      <w:r>
        <w:rPr>
          <w:spacing w:val="30"/>
        </w:rPr>
        <w:t> </w:t>
      </w:r>
      <w:r>
        <w:rPr/>
        <w:t>φορολογικές</w:t>
      </w:r>
      <w:r>
        <w:rPr>
          <w:spacing w:val="30"/>
        </w:rPr>
        <w:t> </w:t>
      </w:r>
      <w:r>
        <w:rPr/>
        <w:t>απαιτήσεις</w:t>
      </w:r>
      <w:r>
        <w:rPr>
          <w:spacing w:val="33"/>
        </w:rPr>
        <w:t> </w:t>
      </w:r>
      <w:r>
        <w:rPr/>
        <w:t>εξακολουθούν</w:t>
      </w:r>
      <w:r>
        <w:rPr>
          <w:spacing w:val="30"/>
        </w:rPr>
        <w:t> </w:t>
      </w:r>
      <w:r>
        <w:rPr/>
        <w:t>να</w:t>
      </w:r>
      <w:r>
        <w:rPr>
          <w:spacing w:val="31"/>
        </w:rPr>
        <w:t> </w:t>
      </w:r>
      <w:r>
        <w:rPr/>
        <w:t>αντιπροσωπεύουν</w:t>
      </w:r>
    </w:p>
    <w:p>
      <w:pPr>
        <w:pStyle w:val="BodyText"/>
        <w:spacing w:before="204"/>
        <w:rPr>
          <w:sz w:val="20"/>
        </w:rPr>
      </w:pPr>
      <w:r>
        <w:rPr>
          <w:sz w:val="20"/>
        </w:rPr>
        <mc:AlternateContent>
          <mc:Choice Requires="wps">
            <w:drawing>
              <wp:anchor distT="0" distB="0" distL="0" distR="0" allowOverlap="1" layoutInCell="1" locked="0" behindDoc="1" simplePos="0" relativeHeight="487636480">
                <wp:simplePos x="0" y="0"/>
                <wp:positionH relativeFrom="page">
                  <wp:posOffset>1009192</wp:posOffset>
                </wp:positionH>
                <wp:positionV relativeFrom="paragraph">
                  <wp:posOffset>291070</wp:posOffset>
                </wp:positionV>
                <wp:extent cx="1829435" cy="7620"/>
                <wp:effectExtent l="0" t="0" r="0" b="0"/>
                <wp:wrapTopAndBottom/>
                <wp:docPr id="530" name="Graphic 530"/>
                <wp:cNvGraphicFramePr>
                  <a:graphicFrameLocks/>
                </wp:cNvGraphicFramePr>
                <a:graphic>
                  <a:graphicData uri="http://schemas.microsoft.com/office/word/2010/wordprocessingShape">
                    <wps:wsp>
                      <wps:cNvPr id="530" name="Graphic 53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2.91893pt;width:144.020pt;height:.60004pt;mso-position-horizontal-relative:page;mso-position-vertical-relative:paragraph;z-index:-15680000;mso-wrap-distance-left:0;mso-wrap-distance-right:0" id="docshape502" filled="true" fillcolor="#000000" stroked="false">
                <v:fill type="solid"/>
                <w10:wrap type="topAndBottom"/>
              </v:rect>
            </w:pict>
          </mc:Fallback>
        </mc:AlternateContent>
      </w:r>
    </w:p>
    <w:p>
      <w:pPr>
        <w:spacing w:before="167"/>
        <w:ind w:left="172" w:right="956" w:firstLine="0"/>
        <w:jc w:val="both"/>
        <w:rPr>
          <w:sz w:val="16"/>
        </w:rPr>
      </w:pPr>
      <w:bookmarkStart w:name="_bookmark81" w:id="82"/>
      <w:bookmarkEnd w:id="82"/>
      <w:r>
        <w:rPr/>
      </w:r>
      <w:r>
        <w:rPr>
          <w:sz w:val="16"/>
          <w:vertAlign w:val="superscript"/>
        </w:rPr>
        <w:t>56</w:t>
      </w:r>
      <w:r>
        <w:rPr>
          <w:spacing w:val="-9"/>
          <w:sz w:val="16"/>
          <w:vertAlign w:val="baseline"/>
        </w:rPr>
        <w:t> </w:t>
      </w:r>
      <w:r>
        <w:rPr>
          <w:sz w:val="16"/>
          <w:vertAlign w:val="baseline"/>
        </w:rPr>
        <w:t>Ο</w:t>
      </w:r>
      <w:r>
        <w:rPr>
          <w:spacing w:val="-10"/>
          <w:sz w:val="16"/>
          <w:vertAlign w:val="baseline"/>
        </w:rPr>
        <w:t> </w:t>
      </w:r>
      <w:r>
        <w:rPr>
          <w:sz w:val="16"/>
          <w:vertAlign w:val="baseline"/>
        </w:rPr>
        <w:t>δείκτης</w:t>
      </w:r>
      <w:r>
        <w:rPr>
          <w:spacing w:val="-8"/>
          <w:sz w:val="16"/>
          <w:vertAlign w:val="baseline"/>
        </w:rPr>
        <w:t> </w:t>
      </w:r>
      <w:r>
        <w:rPr>
          <w:sz w:val="16"/>
          <w:vertAlign w:val="baseline"/>
        </w:rPr>
        <w:t>CET1</w:t>
      </w:r>
      <w:r>
        <w:rPr>
          <w:spacing w:val="-8"/>
          <w:sz w:val="16"/>
          <w:vertAlign w:val="baseline"/>
        </w:rPr>
        <w:t> </w:t>
      </w:r>
      <w:r>
        <w:rPr>
          <w:sz w:val="16"/>
          <w:vertAlign w:val="baseline"/>
        </w:rPr>
        <w:t>υπολείπεται</w:t>
      </w:r>
      <w:r>
        <w:rPr>
          <w:spacing w:val="-9"/>
          <w:sz w:val="16"/>
          <w:vertAlign w:val="baseline"/>
        </w:rPr>
        <w:t> </w:t>
      </w:r>
      <w:r>
        <w:rPr>
          <w:sz w:val="16"/>
          <w:vertAlign w:val="baseline"/>
        </w:rPr>
        <w:t>του</w:t>
      </w:r>
      <w:r>
        <w:rPr>
          <w:spacing w:val="-9"/>
          <w:sz w:val="16"/>
          <w:vertAlign w:val="baseline"/>
        </w:rPr>
        <w:t> </w:t>
      </w:r>
      <w:r>
        <w:rPr>
          <w:sz w:val="16"/>
          <w:vertAlign w:val="baseline"/>
        </w:rPr>
        <w:t>μέσου</w:t>
      </w:r>
      <w:r>
        <w:rPr>
          <w:spacing w:val="-9"/>
          <w:sz w:val="16"/>
          <w:vertAlign w:val="baseline"/>
        </w:rPr>
        <w:t> </w:t>
      </w:r>
      <w:r>
        <w:rPr>
          <w:sz w:val="16"/>
          <w:vertAlign w:val="baseline"/>
        </w:rPr>
        <w:t>όρου</w:t>
      </w:r>
      <w:r>
        <w:rPr>
          <w:spacing w:val="-9"/>
          <w:sz w:val="16"/>
          <w:vertAlign w:val="baseline"/>
        </w:rPr>
        <w:t> </w:t>
      </w:r>
      <w:r>
        <w:rPr>
          <w:sz w:val="16"/>
          <w:vertAlign w:val="baseline"/>
        </w:rPr>
        <w:t>των</w:t>
      </w:r>
      <w:r>
        <w:rPr>
          <w:spacing w:val="-10"/>
          <w:sz w:val="16"/>
          <w:vertAlign w:val="baseline"/>
        </w:rPr>
        <w:t> </w:t>
      </w:r>
      <w:r>
        <w:rPr>
          <w:sz w:val="16"/>
          <w:vertAlign w:val="baseline"/>
        </w:rPr>
        <w:t>ιδρυμάτων</w:t>
      </w:r>
      <w:r>
        <w:rPr>
          <w:spacing w:val="-10"/>
          <w:sz w:val="16"/>
          <w:vertAlign w:val="baseline"/>
        </w:rPr>
        <w:t> </w:t>
      </w:r>
      <w:r>
        <w:rPr>
          <w:sz w:val="16"/>
          <w:vertAlign w:val="baseline"/>
        </w:rPr>
        <w:t>υπό</w:t>
      </w:r>
      <w:r>
        <w:rPr>
          <w:spacing w:val="-8"/>
          <w:sz w:val="16"/>
          <w:vertAlign w:val="baseline"/>
        </w:rPr>
        <w:t> </w:t>
      </w:r>
      <w:r>
        <w:rPr>
          <w:sz w:val="16"/>
          <w:vertAlign w:val="baseline"/>
        </w:rPr>
        <w:t>την</w:t>
      </w:r>
      <w:r>
        <w:rPr>
          <w:spacing w:val="-10"/>
          <w:sz w:val="16"/>
          <w:vertAlign w:val="baseline"/>
        </w:rPr>
        <w:t> </w:t>
      </w:r>
      <w:r>
        <w:rPr>
          <w:sz w:val="16"/>
          <w:vertAlign w:val="baseline"/>
        </w:rPr>
        <w:t>άμεση</w:t>
      </w:r>
      <w:r>
        <w:rPr>
          <w:spacing w:val="-9"/>
          <w:sz w:val="16"/>
          <w:vertAlign w:val="baseline"/>
        </w:rPr>
        <w:t> </w:t>
      </w:r>
      <w:r>
        <w:rPr>
          <w:sz w:val="16"/>
          <w:vertAlign w:val="baseline"/>
        </w:rPr>
        <w:t>εποπτεία</w:t>
      </w:r>
      <w:r>
        <w:rPr>
          <w:spacing w:val="-9"/>
          <w:sz w:val="16"/>
          <w:vertAlign w:val="baseline"/>
        </w:rPr>
        <w:t> </w:t>
      </w:r>
      <w:r>
        <w:rPr>
          <w:sz w:val="16"/>
          <w:vertAlign w:val="baseline"/>
        </w:rPr>
        <w:t>του</w:t>
      </w:r>
      <w:r>
        <w:rPr>
          <w:spacing w:val="-9"/>
          <w:sz w:val="16"/>
          <w:vertAlign w:val="baseline"/>
        </w:rPr>
        <w:t> </w:t>
      </w:r>
      <w:r>
        <w:rPr>
          <w:sz w:val="16"/>
          <w:vertAlign w:val="baseline"/>
        </w:rPr>
        <w:t>Ενιαίου</w:t>
      </w:r>
      <w:r>
        <w:rPr>
          <w:spacing w:val="-9"/>
          <w:sz w:val="16"/>
          <w:vertAlign w:val="baseline"/>
        </w:rPr>
        <w:t> </w:t>
      </w:r>
      <w:r>
        <w:rPr>
          <w:sz w:val="16"/>
          <w:vertAlign w:val="baseline"/>
        </w:rPr>
        <w:t>Εποπτικού</w:t>
      </w:r>
      <w:r>
        <w:rPr>
          <w:spacing w:val="-9"/>
          <w:sz w:val="16"/>
          <w:vertAlign w:val="baseline"/>
        </w:rPr>
        <w:t> </w:t>
      </w:r>
      <w:r>
        <w:rPr>
          <w:sz w:val="16"/>
          <w:vertAlign w:val="baseline"/>
        </w:rPr>
        <w:t>Μηχανισμού</w:t>
      </w:r>
      <w:r>
        <w:rPr>
          <w:spacing w:val="-3"/>
          <w:sz w:val="16"/>
          <w:vertAlign w:val="baseline"/>
        </w:rPr>
        <w:t> </w:t>
      </w:r>
      <w:r>
        <w:rPr>
          <w:sz w:val="16"/>
          <w:vertAlign w:val="baseline"/>
        </w:rPr>
        <w:t>(δείκτες</w:t>
      </w:r>
      <w:r>
        <w:rPr>
          <w:spacing w:val="40"/>
          <w:sz w:val="16"/>
          <w:vertAlign w:val="baseline"/>
        </w:rPr>
        <w:t> </w:t>
      </w:r>
      <w:r>
        <w:rPr>
          <w:sz w:val="16"/>
          <w:vertAlign w:val="baseline"/>
        </w:rPr>
        <w:t>CET1: 16,2% τον Δεκέμβριο του 2025), ενώ ο Συνολικός Δείκτης Κεφαλαίου έχει συγκλίνει προς τον μέσο όρο στην ΕΕ (TCR:</w:t>
      </w:r>
      <w:r>
        <w:rPr>
          <w:spacing w:val="40"/>
          <w:sz w:val="16"/>
          <w:vertAlign w:val="baseline"/>
        </w:rPr>
        <w:t> </w:t>
      </w:r>
      <w:r>
        <w:rPr>
          <w:sz w:val="16"/>
          <w:vertAlign w:val="baseline"/>
        </w:rPr>
        <w:t>20,3% τον Δεκέμβριο του 2025, βλ </w:t>
      </w:r>
      <w:hyperlink r:id="rId90">
        <w:r>
          <w:rPr>
            <w:color w:val="0000FF"/>
            <w:sz w:val="16"/>
            <w:u w:val="single" w:color="0000FF"/>
            <w:vertAlign w:val="baseline"/>
          </w:rPr>
          <w:t>Ενιαίος Εποπτικός Μηχανισμός (Single Supervisory Mechanism ‒ SSM</w:t>
        </w:r>
        <w:r>
          <w:rPr>
            <w:sz w:val="16"/>
            <w:vertAlign w:val="baseline"/>
          </w:rPr>
          <w:t>)</w:t>
        </w:r>
      </w:hyperlink>
    </w:p>
    <w:p>
      <w:pPr>
        <w:spacing w:before="19"/>
        <w:ind w:left="172" w:right="953" w:firstLine="0"/>
        <w:jc w:val="both"/>
        <w:rPr>
          <w:sz w:val="16"/>
        </w:rPr>
      </w:pPr>
      <w:bookmarkStart w:name="_bookmark82" w:id="83"/>
      <w:bookmarkEnd w:id="83"/>
      <w:r>
        <w:rPr/>
      </w:r>
      <w:r>
        <w:rPr>
          <w:sz w:val="16"/>
          <w:vertAlign w:val="superscript"/>
        </w:rPr>
        <w:t>57</w:t>
      </w:r>
      <w:r>
        <w:rPr>
          <w:spacing w:val="-4"/>
          <w:sz w:val="16"/>
          <w:vertAlign w:val="baseline"/>
        </w:rPr>
        <w:t> </w:t>
      </w:r>
      <w:r>
        <w:rPr>
          <w:sz w:val="16"/>
          <w:vertAlign w:val="baseline"/>
        </w:rPr>
        <w:t>Επισημαίνεται</w:t>
      </w:r>
      <w:r>
        <w:rPr>
          <w:spacing w:val="-7"/>
          <w:sz w:val="16"/>
          <w:vertAlign w:val="baseline"/>
        </w:rPr>
        <w:t> </w:t>
      </w:r>
      <w:r>
        <w:rPr>
          <w:sz w:val="16"/>
          <w:vertAlign w:val="baseline"/>
        </w:rPr>
        <w:t>ότι</w:t>
      </w:r>
      <w:r>
        <w:rPr>
          <w:spacing w:val="-9"/>
          <w:sz w:val="16"/>
          <w:vertAlign w:val="baseline"/>
        </w:rPr>
        <w:t> </w:t>
      </w:r>
      <w:r>
        <w:rPr>
          <w:sz w:val="16"/>
          <w:vertAlign w:val="baseline"/>
        </w:rPr>
        <w:t>ορισμένες</w:t>
      </w:r>
      <w:r>
        <w:rPr>
          <w:spacing w:val="-6"/>
          <w:sz w:val="16"/>
          <w:vertAlign w:val="baseline"/>
        </w:rPr>
        <w:t> </w:t>
      </w:r>
      <w:r>
        <w:rPr>
          <w:sz w:val="16"/>
          <w:vertAlign w:val="baseline"/>
        </w:rPr>
        <w:t>από</w:t>
      </w:r>
      <w:r>
        <w:rPr>
          <w:spacing w:val="-3"/>
          <w:sz w:val="16"/>
          <w:vertAlign w:val="baseline"/>
        </w:rPr>
        <w:t> </w:t>
      </w:r>
      <w:r>
        <w:rPr>
          <w:sz w:val="16"/>
          <w:vertAlign w:val="baseline"/>
        </w:rPr>
        <w:t>αυτές</w:t>
      </w:r>
      <w:r>
        <w:rPr>
          <w:spacing w:val="-2"/>
          <w:sz w:val="16"/>
          <w:vertAlign w:val="baseline"/>
        </w:rPr>
        <w:t> </w:t>
      </w:r>
      <w:r>
        <w:rPr>
          <w:sz w:val="16"/>
          <w:vertAlign w:val="baseline"/>
        </w:rPr>
        <w:t>τις</w:t>
      </w:r>
      <w:r>
        <w:rPr>
          <w:spacing w:val="-5"/>
          <w:sz w:val="16"/>
          <w:vertAlign w:val="baseline"/>
        </w:rPr>
        <w:t> </w:t>
      </w:r>
      <w:r>
        <w:rPr>
          <w:sz w:val="16"/>
          <w:vertAlign w:val="baseline"/>
        </w:rPr>
        <w:t>εκδόσεις</w:t>
      </w:r>
      <w:r>
        <w:rPr>
          <w:spacing w:val="-3"/>
          <w:sz w:val="16"/>
          <w:vertAlign w:val="baseline"/>
        </w:rPr>
        <w:t> </w:t>
      </w:r>
      <w:r>
        <w:rPr>
          <w:sz w:val="16"/>
          <w:vertAlign w:val="baseline"/>
        </w:rPr>
        <w:t>αντικατέστησαν</w:t>
      </w:r>
      <w:r>
        <w:rPr>
          <w:spacing w:val="-8"/>
          <w:sz w:val="16"/>
          <w:vertAlign w:val="baseline"/>
        </w:rPr>
        <w:t> </w:t>
      </w:r>
      <w:r>
        <w:rPr>
          <w:sz w:val="16"/>
          <w:vertAlign w:val="baseline"/>
        </w:rPr>
        <w:t>παλαιότερες</w:t>
      </w:r>
      <w:r>
        <w:rPr>
          <w:spacing w:val="-6"/>
          <w:sz w:val="16"/>
          <w:vertAlign w:val="baseline"/>
        </w:rPr>
        <w:t> </w:t>
      </w:r>
      <w:r>
        <w:rPr>
          <w:sz w:val="16"/>
          <w:vertAlign w:val="baseline"/>
        </w:rPr>
        <w:t>(200</w:t>
      </w:r>
      <w:r>
        <w:rPr>
          <w:spacing w:val="-3"/>
          <w:sz w:val="16"/>
          <w:vertAlign w:val="baseline"/>
        </w:rPr>
        <w:t> </w:t>
      </w:r>
      <w:r>
        <w:rPr>
          <w:sz w:val="16"/>
          <w:vertAlign w:val="baseline"/>
        </w:rPr>
        <w:t>εκατ.</w:t>
      </w:r>
      <w:r>
        <w:rPr>
          <w:spacing w:val="-6"/>
          <w:sz w:val="16"/>
          <w:vertAlign w:val="baseline"/>
        </w:rPr>
        <w:t> </w:t>
      </w:r>
      <w:r>
        <w:rPr>
          <w:sz w:val="16"/>
          <w:vertAlign w:val="baseline"/>
        </w:rPr>
        <w:t>ευρώ</w:t>
      </w:r>
      <w:r>
        <w:rPr>
          <w:spacing w:val="-3"/>
          <w:sz w:val="16"/>
          <w:vertAlign w:val="baseline"/>
        </w:rPr>
        <w:t> </w:t>
      </w:r>
      <w:r>
        <w:rPr>
          <w:sz w:val="16"/>
          <w:vertAlign w:val="baseline"/>
        </w:rPr>
        <w:t>Tier</w:t>
      </w:r>
      <w:r>
        <w:rPr>
          <w:spacing w:val="-7"/>
          <w:sz w:val="16"/>
          <w:vertAlign w:val="baseline"/>
        </w:rPr>
        <w:t> </w:t>
      </w:r>
      <w:r>
        <w:rPr>
          <w:sz w:val="16"/>
          <w:vertAlign w:val="baseline"/>
        </w:rPr>
        <w:t>2</w:t>
      </w:r>
      <w:r>
        <w:rPr>
          <w:spacing w:val="-5"/>
          <w:sz w:val="16"/>
          <w:vertAlign w:val="baseline"/>
        </w:rPr>
        <w:t> </w:t>
      </w:r>
      <w:r>
        <w:rPr>
          <w:sz w:val="16"/>
          <w:vertAlign w:val="baseline"/>
        </w:rPr>
        <w:t>και</w:t>
      </w:r>
      <w:r>
        <w:rPr>
          <w:spacing w:val="-7"/>
          <w:sz w:val="16"/>
          <w:vertAlign w:val="baseline"/>
        </w:rPr>
        <w:t> </w:t>
      </w:r>
      <w:r>
        <w:rPr>
          <w:sz w:val="16"/>
          <w:vertAlign w:val="baseline"/>
        </w:rPr>
        <w:t>600</w:t>
      </w:r>
      <w:r>
        <w:rPr>
          <w:spacing w:val="-5"/>
          <w:sz w:val="16"/>
          <w:vertAlign w:val="baseline"/>
        </w:rPr>
        <w:t> </w:t>
      </w:r>
      <w:r>
        <w:rPr>
          <w:sz w:val="16"/>
          <w:vertAlign w:val="baseline"/>
        </w:rPr>
        <w:t>εκατ.</w:t>
      </w:r>
      <w:r>
        <w:rPr>
          <w:spacing w:val="-4"/>
          <w:sz w:val="16"/>
          <w:vertAlign w:val="baseline"/>
        </w:rPr>
        <w:t> </w:t>
      </w:r>
      <w:r>
        <w:rPr>
          <w:sz w:val="16"/>
          <w:vertAlign w:val="baseline"/>
        </w:rPr>
        <w:t>ευρώ</w:t>
      </w:r>
      <w:r>
        <w:rPr>
          <w:spacing w:val="-4"/>
          <w:sz w:val="16"/>
          <w:vertAlign w:val="baseline"/>
        </w:rPr>
        <w:t> </w:t>
      </w:r>
      <w:r>
        <w:rPr>
          <w:sz w:val="16"/>
          <w:vertAlign w:val="baseline"/>
        </w:rPr>
        <w:t>AT1)</w:t>
      </w:r>
      <w:r>
        <w:rPr>
          <w:spacing w:val="40"/>
          <w:sz w:val="16"/>
          <w:vertAlign w:val="baseline"/>
        </w:rPr>
        <w:t> </w:t>
      </w:r>
      <w:r>
        <w:rPr>
          <w:sz w:val="16"/>
          <w:vertAlign w:val="baseline"/>
        </w:rPr>
        <w:t>ενώ</w:t>
      </w:r>
      <w:r>
        <w:rPr>
          <w:spacing w:val="-7"/>
          <w:sz w:val="16"/>
          <w:vertAlign w:val="baseline"/>
        </w:rPr>
        <w:t> </w:t>
      </w:r>
      <w:r>
        <w:rPr>
          <w:sz w:val="16"/>
          <w:vertAlign w:val="baseline"/>
        </w:rPr>
        <w:t>επίσης</w:t>
      </w:r>
      <w:r>
        <w:rPr>
          <w:spacing w:val="-8"/>
          <w:sz w:val="16"/>
          <w:vertAlign w:val="baseline"/>
        </w:rPr>
        <w:t> </w:t>
      </w:r>
      <w:r>
        <w:rPr>
          <w:sz w:val="16"/>
          <w:vertAlign w:val="baseline"/>
        </w:rPr>
        <w:t>η</w:t>
      </w:r>
      <w:r>
        <w:rPr>
          <w:spacing w:val="-9"/>
          <w:sz w:val="16"/>
          <w:vertAlign w:val="baseline"/>
        </w:rPr>
        <w:t> </w:t>
      </w:r>
      <w:r>
        <w:rPr>
          <w:sz w:val="16"/>
          <w:vertAlign w:val="baseline"/>
        </w:rPr>
        <w:t>Eurobank</w:t>
      </w:r>
      <w:r>
        <w:rPr>
          <w:spacing w:val="-7"/>
          <w:sz w:val="16"/>
          <w:vertAlign w:val="baseline"/>
        </w:rPr>
        <w:t> </w:t>
      </w:r>
      <w:r>
        <w:rPr>
          <w:sz w:val="16"/>
          <w:vertAlign w:val="baseline"/>
        </w:rPr>
        <w:t>προχώρησε</w:t>
      </w:r>
      <w:r>
        <w:rPr>
          <w:spacing w:val="-9"/>
          <w:sz w:val="16"/>
          <w:vertAlign w:val="baseline"/>
        </w:rPr>
        <w:t> </w:t>
      </w:r>
      <w:r>
        <w:rPr>
          <w:sz w:val="16"/>
          <w:vertAlign w:val="baseline"/>
        </w:rPr>
        <w:t>σε</w:t>
      </w:r>
      <w:r>
        <w:rPr>
          <w:spacing w:val="-9"/>
          <w:sz w:val="16"/>
          <w:vertAlign w:val="baseline"/>
        </w:rPr>
        <w:t> </w:t>
      </w:r>
      <w:r>
        <w:rPr>
          <w:sz w:val="16"/>
          <w:vertAlign w:val="baseline"/>
        </w:rPr>
        <w:t>πρόωρη</w:t>
      </w:r>
      <w:r>
        <w:rPr>
          <w:spacing w:val="-7"/>
          <w:sz w:val="16"/>
          <w:vertAlign w:val="baseline"/>
        </w:rPr>
        <w:t> </w:t>
      </w:r>
      <w:r>
        <w:rPr>
          <w:sz w:val="16"/>
          <w:vertAlign w:val="baseline"/>
        </w:rPr>
        <w:t>εξόφληση</w:t>
      </w:r>
      <w:r>
        <w:rPr>
          <w:spacing w:val="-7"/>
          <w:sz w:val="16"/>
          <w:vertAlign w:val="baseline"/>
        </w:rPr>
        <w:t> </w:t>
      </w:r>
      <w:r>
        <w:rPr>
          <w:sz w:val="16"/>
          <w:vertAlign w:val="baseline"/>
        </w:rPr>
        <w:t>(early</w:t>
      </w:r>
      <w:r>
        <w:rPr>
          <w:spacing w:val="-8"/>
          <w:sz w:val="16"/>
          <w:vertAlign w:val="baseline"/>
        </w:rPr>
        <w:t> </w:t>
      </w:r>
      <w:r>
        <w:rPr>
          <w:sz w:val="16"/>
          <w:vertAlign w:val="baseline"/>
        </w:rPr>
        <w:t>redemption)</w:t>
      </w:r>
      <w:r>
        <w:rPr>
          <w:spacing w:val="-9"/>
          <w:sz w:val="16"/>
          <w:vertAlign w:val="baseline"/>
        </w:rPr>
        <w:t> </w:t>
      </w:r>
      <w:r>
        <w:rPr>
          <w:sz w:val="16"/>
          <w:vertAlign w:val="baseline"/>
        </w:rPr>
        <w:t>ομολόγου</w:t>
      </w:r>
      <w:r>
        <w:rPr>
          <w:spacing w:val="-9"/>
          <w:sz w:val="16"/>
          <w:vertAlign w:val="baseline"/>
        </w:rPr>
        <w:t> </w:t>
      </w:r>
      <w:r>
        <w:rPr>
          <w:sz w:val="16"/>
          <w:vertAlign w:val="baseline"/>
        </w:rPr>
        <w:t>μειωμένης</w:t>
      </w:r>
      <w:r>
        <w:rPr>
          <w:spacing w:val="-8"/>
          <w:sz w:val="16"/>
          <w:vertAlign w:val="baseline"/>
        </w:rPr>
        <w:t> </w:t>
      </w:r>
      <w:r>
        <w:rPr>
          <w:sz w:val="16"/>
          <w:vertAlign w:val="baseline"/>
        </w:rPr>
        <w:t>εξασφάλισης</w:t>
      </w:r>
      <w:r>
        <w:rPr>
          <w:spacing w:val="-8"/>
          <w:sz w:val="16"/>
          <w:vertAlign w:val="baseline"/>
        </w:rPr>
        <w:t> </w:t>
      </w:r>
      <w:r>
        <w:rPr>
          <w:sz w:val="16"/>
          <w:vertAlign w:val="baseline"/>
        </w:rPr>
        <w:t>(Tier</w:t>
      </w:r>
      <w:r>
        <w:rPr>
          <w:spacing w:val="-9"/>
          <w:sz w:val="16"/>
          <w:vertAlign w:val="baseline"/>
        </w:rPr>
        <w:t> </w:t>
      </w:r>
      <w:r>
        <w:rPr>
          <w:sz w:val="16"/>
          <w:vertAlign w:val="baseline"/>
        </w:rPr>
        <w:t>2)</w:t>
      </w:r>
      <w:r>
        <w:rPr>
          <w:spacing w:val="-9"/>
          <w:sz w:val="16"/>
          <w:vertAlign w:val="baseline"/>
        </w:rPr>
        <w:t> </w:t>
      </w:r>
      <w:r>
        <w:rPr>
          <w:sz w:val="16"/>
          <w:vertAlign w:val="baseline"/>
        </w:rPr>
        <w:t>ονομαστικής</w:t>
      </w:r>
      <w:r>
        <w:rPr>
          <w:spacing w:val="40"/>
          <w:sz w:val="16"/>
          <w:vertAlign w:val="baseline"/>
        </w:rPr>
        <w:t> </w:t>
      </w:r>
      <w:r>
        <w:rPr>
          <w:sz w:val="16"/>
          <w:vertAlign w:val="baseline"/>
        </w:rPr>
        <w:t>αξίας 950 εκατ. ευρώ.</w:t>
      </w:r>
    </w:p>
    <w:p>
      <w:pPr>
        <w:spacing w:after="0"/>
        <w:jc w:val="both"/>
        <w:rPr>
          <w:sz w:val="16"/>
        </w:rPr>
        <w:sectPr>
          <w:type w:val="continuous"/>
          <w:pgSz w:w="11910" w:h="16850"/>
          <w:pgMar w:header="0" w:footer="1108" w:top="1320" w:bottom="280" w:left="1417" w:right="850"/>
        </w:sectPr>
      </w:pPr>
    </w:p>
    <w:p>
      <w:pPr>
        <w:pStyle w:val="BodyText"/>
        <w:spacing w:line="285" w:lineRule="auto" w:before="66"/>
        <w:ind w:left="172" w:right="958"/>
        <w:jc w:val="both"/>
      </w:pPr>
      <w:r>
        <w:rPr/>
        <w:t>ένα</w:t>
      </w:r>
      <w:r>
        <w:rPr>
          <w:spacing w:val="-8"/>
        </w:rPr>
        <w:t> </w:t>
      </w:r>
      <w:r>
        <w:rPr/>
        <w:t>σημαντικό</w:t>
      </w:r>
      <w:r>
        <w:rPr>
          <w:spacing w:val="-6"/>
        </w:rPr>
        <w:t> </w:t>
      </w:r>
      <w:r>
        <w:rPr/>
        <w:t>ποσοστό</w:t>
      </w:r>
      <w:r>
        <w:rPr>
          <w:spacing w:val="-4"/>
        </w:rPr>
        <w:t> </w:t>
      </w:r>
      <w:r>
        <w:rPr/>
        <w:t>των</w:t>
      </w:r>
      <w:r>
        <w:rPr>
          <w:spacing w:val="-4"/>
        </w:rPr>
        <w:t> </w:t>
      </w:r>
      <w:r>
        <w:rPr/>
        <w:t>Κεφαλαίων</w:t>
      </w:r>
      <w:r>
        <w:rPr>
          <w:spacing w:val="-5"/>
        </w:rPr>
        <w:t> </w:t>
      </w:r>
      <w:r>
        <w:rPr/>
        <w:t>Κοινών</w:t>
      </w:r>
      <w:r>
        <w:rPr>
          <w:spacing w:val="-7"/>
        </w:rPr>
        <w:t> </w:t>
      </w:r>
      <w:r>
        <w:rPr/>
        <w:t>Μετοχών</w:t>
      </w:r>
      <w:r>
        <w:rPr>
          <w:spacing w:val="-5"/>
        </w:rPr>
        <w:t> </w:t>
      </w:r>
      <w:r>
        <w:rPr/>
        <w:t>της</w:t>
      </w:r>
      <w:r>
        <w:rPr>
          <w:spacing w:val="-7"/>
        </w:rPr>
        <w:t> </w:t>
      </w:r>
      <w:r>
        <w:rPr/>
        <w:t>Κατηγορίας</w:t>
      </w:r>
      <w:r>
        <w:rPr>
          <w:spacing w:val="-7"/>
        </w:rPr>
        <w:t> </w:t>
      </w:r>
      <w:r>
        <w:rPr/>
        <w:t>1</w:t>
      </w:r>
      <w:r>
        <w:rPr>
          <w:spacing w:val="-6"/>
        </w:rPr>
        <w:t> </w:t>
      </w:r>
      <w:r>
        <w:rPr/>
        <w:t>(Δεκέμβριος</w:t>
      </w:r>
      <w:r>
        <w:rPr>
          <w:spacing w:val="-7"/>
        </w:rPr>
        <w:t> </w:t>
      </w:r>
      <w:r>
        <w:rPr/>
        <w:t>2025: 40,1%, Δεκέμβριος 2024: 47%).</w:t>
      </w:r>
    </w:p>
    <w:p>
      <w:pPr>
        <w:pStyle w:val="BodyText"/>
        <w:spacing w:line="285" w:lineRule="auto" w:before="58"/>
        <w:ind w:left="172" w:right="954"/>
        <w:jc w:val="both"/>
      </w:pPr>
      <w:r>
        <w:rPr/>
        <w:t>Το σταθμισμένο</w:t>
      </w:r>
      <w:r>
        <w:rPr>
          <w:spacing w:val="-3"/>
        </w:rPr>
        <w:t> </w:t>
      </w:r>
      <w:r>
        <w:rPr/>
        <w:t>ως προς τον κίνδυνο ενεργητικό</w:t>
      </w:r>
      <w:r>
        <w:rPr>
          <w:spacing w:val="-1"/>
        </w:rPr>
        <w:t> </w:t>
      </w:r>
      <w:r>
        <w:rPr/>
        <w:t>αυξήθηκε κατά 7,8% τον Δεκέμβριο του 2025 έναντι του Δεκεμβρίου του 2024. Αναλυτικότερα, το σταθμισμένο ως προς τον πιστωτικό κίν-δυνο ενεργητικό αυξήθηκε κατά 8,7% κυρίως λόγω της πιστωτικής επέκτασης αλλά και της ε-φαρμογής του Κανονισμού 2024/1623 (CRR III), ο οποίος, μεταξύ άλλων, χαρακτηρίζεται από μεγαλύτερη</w:t>
      </w:r>
      <w:r>
        <w:rPr>
          <w:spacing w:val="-14"/>
        </w:rPr>
        <w:t> </w:t>
      </w:r>
      <w:r>
        <w:rPr/>
        <w:t>ευαισθησία</w:t>
      </w:r>
      <w:r>
        <w:rPr>
          <w:spacing w:val="-14"/>
        </w:rPr>
        <w:t> </w:t>
      </w:r>
      <w:r>
        <w:rPr/>
        <w:t>στον</w:t>
      </w:r>
      <w:r>
        <w:rPr>
          <w:spacing w:val="-14"/>
        </w:rPr>
        <w:t> </w:t>
      </w:r>
      <w:r>
        <w:rPr/>
        <w:t>υπολογισμό</w:t>
      </w:r>
      <w:r>
        <w:rPr>
          <w:spacing w:val="-13"/>
        </w:rPr>
        <w:t> </w:t>
      </w:r>
      <w:r>
        <w:rPr/>
        <w:t>του</w:t>
      </w:r>
      <w:r>
        <w:rPr>
          <w:spacing w:val="-13"/>
        </w:rPr>
        <w:t> </w:t>
      </w:r>
      <w:r>
        <w:rPr/>
        <w:t>πιστωτικού</w:t>
      </w:r>
      <w:r>
        <w:rPr>
          <w:spacing w:val="-11"/>
        </w:rPr>
        <w:t> </w:t>
      </w:r>
      <w:r>
        <w:rPr/>
        <w:t>κινδύνου.</w:t>
      </w:r>
      <w:r>
        <w:rPr>
          <w:spacing w:val="-12"/>
        </w:rPr>
        <w:t> </w:t>
      </w:r>
      <w:r>
        <w:rPr/>
        <w:t>Το</w:t>
      </w:r>
      <w:r>
        <w:rPr>
          <w:spacing w:val="-14"/>
        </w:rPr>
        <w:t> </w:t>
      </w:r>
      <w:r>
        <w:rPr/>
        <w:t>σταθμισμένο</w:t>
      </w:r>
      <w:r>
        <w:rPr>
          <w:spacing w:val="-14"/>
        </w:rPr>
        <w:t> </w:t>
      </w:r>
      <w:r>
        <w:rPr/>
        <w:t>ως</w:t>
      </w:r>
      <w:r>
        <w:rPr>
          <w:spacing w:val="-13"/>
        </w:rPr>
        <w:t> </w:t>
      </w:r>
      <w:r>
        <w:rPr/>
        <w:t>προς</w:t>
      </w:r>
      <w:r>
        <w:rPr>
          <w:spacing w:val="-13"/>
        </w:rPr>
        <w:t> </w:t>
      </w:r>
      <w:r>
        <w:rPr/>
        <w:t>τον πιστωτικό κίνδυνο ενεργητικό αναλογεί στο 87,3% του συνολικού σταθμισμένου ως προς τον κίνδυνο</w:t>
      </w:r>
      <w:r>
        <w:rPr>
          <w:spacing w:val="-2"/>
        </w:rPr>
        <w:t> </w:t>
      </w:r>
      <w:r>
        <w:rPr/>
        <w:t>ενεργητικού,</w:t>
      </w:r>
      <w:r>
        <w:rPr>
          <w:spacing w:val="-2"/>
        </w:rPr>
        <w:t> </w:t>
      </w:r>
      <w:r>
        <w:rPr/>
        <w:t>γεγονός</w:t>
      </w:r>
      <w:r>
        <w:rPr>
          <w:spacing w:val="-1"/>
        </w:rPr>
        <w:t> </w:t>
      </w:r>
      <w:r>
        <w:rPr/>
        <w:t>που</w:t>
      </w:r>
      <w:r>
        <w:rPr>
          <w:spacing w:val="-1"/>
        </w:rPr>
        <w:t> </w:t>
      </w:r>
      <w:r>
        <w:rPr/>
        <w:t>οφείλεται</w:t>
      </w:r>
      <w:r>
        <w:rPr>
          <w:spacing w:val="-2"/>
        </w:rPr>
        <w:t> </w:t>
      </w:r>
      <w:r>
        <w:rPr/>
        <w:t>στο</w:t>
      </w:r>
      <w:r>
        <w:rPr>
          <w:spacing w:val="-5"/>
        </w:rPr>
        <w:t> </w:t>
      </w:r>
      <w:r>
        <w:rPr/>
        <w:t>επιχειρηματικό μοντέλο</w:t>
      </w:r>
      <w:r>
        <w:rPr>
          <w:spacing w:val="-3"/>
        </w:rPr>
        <w:t> </w:t>
      </w:r>
      <w:r>
        <w:rPr/>
        <w:t>των</w:t>
      </w:r>
      <w:r>
        <w:rPr>
          <w:spacing w:val="-1"/>
        </w:rPr>
        <w:t> </w:t>
      </w:r>
      <w:r>
        <w:rPr/>
        <w:t>ελληνικών</w:t>
      </w:r>
      <w:r>
        <w:rPr>
          <w:spacing w:val="-1"/>
        </w:rPr>
        <w:t> </w:t>
      </w:r>
      <w:r>
        <w:rPr/>
        <w:t>τραπε-ζών, το οποίο είναι επικεντρωμένο σε παραδοσιακές τραπεζικές εργασίες και κυρίως στη χορή-γηση πιστώσεων. Το σταθμισμένο ως προς το λειτουργικό κίνδυνο ενεργητικό αποτελεί το δεύ-τερο μεγαλύτερο τμήμα του συνολικού σταθμισμένου ενεργητικού, καθώς αναλογεί στο 10,3% του συνόλου. Τέλος, το σταθμισμένο ως προς τον κίνδυνο αγοράς ενεργητικό αποτελεί μόνο το 2,5% του συνολικού σταθμισμένου ενεργητικού.</w:t>
      </w:r>
    </w:p>
    <w:p>
      <w:pPr>
        <w:pStyle w:val="BodyText"/>
        <w:spacing w:line="285" w:lineRule="auto" w:before="48"/>
        <w:ind w:left="172" w:right="955"/>
        <w:jc w:val="both"/>
      </w:pPr>
      <w:r>
        <w:rPr/>
        <w:t>Ο δείκτης μόχλευσης</w:t>
      </w:r>
      <w:hyperlink w:history="true" w:anchor="_bookmark83">
        <w:r>
          <w:rPr>
            <w:position w:val="6"/>
            <w:sz w:val="12"/>
          </w:rPr>
          <w:t>58</w:t>
        </w:r>
      </w:hyperlink>
      <w:r>
        <w:rPr>
          <w:spacing w:val="34"/>
          <w:position w:val="6"/>
          <w:sz w:val="12"/>
        </w:rPr>
        <w:t> </w:t>
      </w:r>
      <w:r>
        <w:rPr/>
        <w:t>(leverage ratio) μειώθηκε οριακά σε 7,6% τον Δεκέμβριο του 2025 από 7,7%</w:t>
      </w:r>
      <w:r>
        <w:rPr>
          <w:spacing w:val="-4"/>
        </w:rPr>
        <w:t> </w:t>
      </w:r>
      <w:r>
        <w:rPr/>
        <w:t>τον</w:t>
      </w:r>
      <w:r>
        <w:rPr>
          <w:spacing w:val="-4"/>
        </w:rPr>
        <w:t> </w:t>
      </w:r>
      <w:r>
        <w:rPr/>
        <w:t>Δεκέμβριο</w:t>
      </w:r>
      <w:r>
        <w:rPr>
          <w:spacing w:val="-5"/>
        </w:rPr>
        <w:t> </w:t>
      </w:r>
      <w:r>
        <w:rPr/>
        <w:t>του</w:t>
      </w:r>
      <w:r>
        <w:rPr>
          <w:spacing w:val="-4"/>
        </w:rPr>
        <w:t> </w:t>
      </w:r>
      <w:r>
        <w:rPr/>
        <w:t>2024</w:t>
      </w:r>
      <w:r>
        <w:rPr>
          <w:spacing w:val="-5"/>
        </w:rPr>
        <w:t> </w:t>
      </w:r>
      <w:r>
        <w:rPr/>
        <w:t>λόγω</w:t>
      </w:r>
      <w:r>
        <w:rPr>
          <w:spacing w:val="-3"/>
        </w:rPr>
        <w:t> </w:t>
      </w:r>
      <w:r>
        <w:rPr/>
        <w:t>του</w:t>
      </w:r>
      <w:r>
        <w:rPr>
          <w:spacing w:val="-4"/>
        </w:rPr>
        <w:t> </w:t>
      </w:r>
      <w:r>
        <w:rPr/>
        <w:t>ταχύτερου</w:t>
      </w:r>
      <w:r>
        <w:rPr>
          <w:spacing w:val="-4"/>
        </w:rPr>
        <w:t> </w:t>
      </w:r>
      <w:r>
        <w:rPr/>
        <w:t>ρυθμού</w:t>
      </w:r>
      <w:r>
        <w:rPr>
          <w:spacing w:val="-4"/>
        </w:rPr>
        <w:t> </w:t>
      </w:r>
      <w:r>
        <w:rPr/>
        <w:t>αύξησης</w:t>
      </w:r>
      <w:r>
        <w:rPr>
          <w:spacing w:val="-6"/>
        </w:rPr>
        <w:t> </w:t>
      </w:r>
      <w:r>
        <w:rPr/>
        <w:t>του</w:t>
      </w:r>
      <w:r>
        <w:rPr>
          <w:spacing w:val="-4"/>
        </w:rPr>
        <w:t> </w:t>
      </w:r>
      <w:r>
        <w:rPr/>
        <w:t>ενεργητικού</w:t>
      </w:r>
      <w:r>
        <w:rPr>
          <w:spacing w:val="-4"/>
        </w:rPr>
        <w:t> </w:t>
      </w:r>
      <w:r>
        <w:rPr/>
        <w:t>σε</w:t>
      </w:r>
      <w:r>
        <w:rPr>
          <w:spacing w:val="-4"/>
        </w:rPr>
        <w:t> </w:t>
      </w:r>
      <w:r>
        <w:rPr/>
        <w:t>ενοποι-ημένη</w:t>
      </w:r>
      <w:r>
        <w:rPr>
          <w:spacing w:val="-10"/>
        </w:rPr>
        <w:t> </w:t>
      </w:r>
      <w:r>
        <w:rPr/>
        <w:t>βάση,</w:t>
      </w:r>
      <w:r>
        <w:rPr>
          <w:spacing w:val="-10"/>
        </w:rPr>
        <w:t> </w:t>
      </w:r>
      <w:r>
        <w:rPr/>
        <w:t>όπως</w:t>
      </w:r>
      <w:r>
        <w:rPr>
          <w:spacing w:val="-8"/>
        </w:rPr>
        <w:t> </w:t>
      </w:r>
      <w:r>
        <w:rPr/>
        <w:t>αυτό</w:t>
      </w:r>
      <w:r>
        <w:rPr>
          <w:spacing w:val="-9"/>
        </w:rPr>
        <w:t> </w:t>
      </w:r>
      <w:r>
        <w:rPr/>
        <w:t>υπολογίζεται</w:t>
      </w:r>
      <w:r>
        <w:rPr>
          <w:spacing w:val="-6"/>
        </w:rPr>
        <w:t> </w:t>
      </w:r>
      <w:r>
        <w:rPr/>
        <w:t>για</w:t>
      </w:r>
      <w:r>
        <w:rPr>
          <w:spacing w:val="-9"/>
        </w:rPr>
        <w:t> </w:t>
      </w:r>
      <w:r>
        <w:rPr/>
        <w:t>σκοπούς</w:t>
      </w:r>
      <w:r>
        <w:rPr>
          <w:spacing w:val="-11"/>
        </w:rPr>
        <w:t> </w:t>
      </w:r>
      <w:r>
        <w:rPr/>
        <w:t>υπολογισμού</w:t>
      </w:r>
      <w:r>
        <w:rPr>
          <w:spacing w:val="-6"/>
        </w:rPr>
        <w:t> </w:t>
      </w:r>
      <w:r>
        <w:rPr/>
        <w:t>του</w:t>
      </w:r>
      <w:r>
        <w:rPr>
          <w:spacing w:val="-6"/>
        </w:rPr>
        <w:t> </w:t>
      </w:r>
      <w:r>
        <w:rPr/>
        <w:t>δείκτη</w:t>
      </w:r>
      <w:r>
        <w:rPr>
          <w:spacing w:val="-8"/>
        </w:rPr>
        <w:t> </w:t>
      </w:r>
      <w:r>
        <w:rPr/>
        <w:t>μόχλευσης,</w:t>
      </w:r>
      <w:r>
        <w:rPr>
          <w:spacing w:val="-10"/>
        </w:rPr>
        <w:t> </w:t>
      </w:r>
      <w:r>
        <w:rPr/>
        <w:t>σε</w:t>
      </w:r>
      <w:r>
        <w:rPr>
          <w:spacing w:val="-9"/>
        </w:rPr>
        <w:t> </w:t>
      </w:r>
      <w:r>
        <w:rPr/>
        <w:t>σχέση με</w:t>
      </w:r>
      <w:r>
        <w:rPr>
          <w:spacing w:val="-11"/>
        </w:rPr>
        <w:t> </w:t>
      </w:r>
      <w:r>
        <w:rPr/>
        <w:t>τον</w:t>
      </w:r>
      <w:r>
        <w:rPr>
          <w:spacing w:val="-11"/>
        </w:rPr>
        <w:t> </w:t>
      </w:r>
      <w:r>
        <w:rPr/>
        <w:t>ρυθμό</w:t>
      </w:r>
      <w:r>
        <w:rPr>
          <w:spacing w:val="-12"/>
        </w:rPr>
        <w:t> </w:t>
      </w:r>
      <w:r>
        <w:rPr/>
        <w:t>αύξησης</w:t>
      </w:r>
      <w:r>
        <w:rPr>
          <w:spacing w:val="-13"/>
        </w:rPr>
        <w:t> </w:t>
      </w:r>
      <w:r>
        <w:rPr/>
        <w:t>των</w:t>
      </w:r>
      <w:r>
        <w:rPr>
          <w:spacing w:val="-10"/>
        </w:rPr>
        <w:t> </w:t>
      </w:r>
      <w:r>
        <w:rPr/>
        <w:t>Βασικών</w:t>
      </w:r>
      <w:r>
        <w:rPr>
          <w:spacing w:val="-11"/>
        </w:rPr>
        <w:t> </w:t>
      </w:r>
      <w:r>
        <w:rPr/>
        <w:t>Ιδίων</w:t>
      </w:r>
      <w:r>
        <w:rPr>
          <w:spacing w:val="-10"/>
        </w:rPr>
        <w:t> </w:t>
      </w:r>
      <w:r>
        <w:rPr/>
        <w:t>Κεφαλαίων</w:t>
      </w:r>
      <w:r>
        <w:rPr>
          <w:spacing w:val="-10"/>
        </w:rPr>
        <w:t> </w:t>
      </w:r>
      <w:r>
        <w:rPr/>
        <w:t>(Tier</w:t>
      </w:r>
      <w:r>
        <w:rPr>
          <w:spacing w:val="-11"/>
        </w:rPr>
        <w:t> </w:t>
      </w:r>
      <w:r>
        <w:rPr/>
        <w:t>Ι</w:t>
      </w:r>
      <w:r>
        <w:rPr>
          <w:spacing w:val="-13"/>
        </w:rPr>
        <w:t> </w:t>
      </w:r>
      <w:r>
        <w:rPr/>
        <w:t>Capital).</w:t>
      </w:r>
      <w:r>
        <w:rPr>
          <w:spacing w:val="-12"/>
        </w:rPr>
        <w:t> </w:t>
      </w:r>
      <w:r>
        <w:rPr/>
        <w:t>Σημειώνεται</w:t>
      </w:r>
      <w:r>
        <w:rPr>
          <w:spacing w:val="-12"/>
        </w:rPr>
        <w:t> </w:t>
      </w:r>
      <w:r>
        <w:rPr/>
        <w:t>ότι</w:t>
      </w:r>
      <w:r>
        <w:rPr>
          <w:spacing w:val="-11"/>
        </w:rPr>
        <w:t> </w:t>
      </w:r>
      <w:r>
        <w:rPr/>
        <w:t>ο</w:t>
      </w:r>
      <w:r>
        <w:rPr>
          <w:spacing w:val="-12"/>
        </w:rPr>
        <w:t> </w:t>
      </w:r>
      <w:r>
        <w:rPr/>
        <w:t>δείκτης μόχλευσης</w:t>
      </w:r>
      <w:r>
        <w:rPr>
          <w:spacing w:val="-6"/>
        </w:rPr>
        <w:t> </w:t>
      </w:r>
      <w:r>
        <w:rPr/>
        <w:t>του</w:t>
      </w:r>
      <w:r>
        <w:rPr>
          <w:spacing w:val="-4"/>
        </w:rPr>
        <w:t> </w:t>
      </w:r>
      <w:r>
        <w:rPr/>
        <w:t>ελληνικού</w:t>
      </w:r>
      <w:r>
        <w:rPr>
          <w:spacing w:val="-4"/>
        </w:rPr>
        <w:t> </w:t>
      </w:r>
      <w:r>
        <w:rPr/>
        <w:t>τραπεζικού</w:t>
      </w:r>
      <w:r>
        <w:rPr>
          <w:spacing w:val="-4"/>
        </w:rPr>
        <w:t> </w:t>
      </w:r>
      <w:r>
        <w:rPr/>
        <w:t>τομέα</w:t>
      </w:r>
      <w:r>
        <w:rPr>
          <w:spacing w:val="-2"/>
        </w:rPr>
        <w:t> </w:t>
      </w:r>
      <w:r>
        <w:rPr/>
        <w:t>υπερβαίνει</w:t>
      </w:r>
      <w:r>
        <w:rPr>
          <w:spacing w:val="-4"/>
        </w:rPr>
        <w:t> </w:t>
      </w:r>
      <w:r>
        <w:rPr/>
        <w:t>κατά</w:t>
      </w:r>
      <w:r>
        <w:rPr>
          <w:spacing w:val="-6"/>
        </w:rPr>
        <w:t> </w:t>
      </w:r>
      <w:r>
        <w:rPr/>
        <w:t>πολύ</w:t>
      </w:r>
      <w:r>
        <w:rPr>
          <w:spacing w:val="-4"/>
        </w:rPr>
        <w:t> </w:t>
      </w:r>
      <w:r>
        <w:rPr/>
        <w:t>τον</w:t>
      </w:r>
      <w:r>
        <w:rPr>
          <w:spacing w:val="-4"/>
        </w:rPr>
        <w:t> </w:t>
      </w:r>
      <w:r>
        <w:rPr/>
        <w:t>μέσο</w:t>
      </w:r>
      <w:r>
        <w:rPr>
          <w:spacing w:val="-5"/>
        </w:rPr>
        <w:t> </w:t>
      </w:r>
      <w:r>
        <w:rPr/>
        <w:t>όρο</w:t>
      </w:r>
      <w:r>
        <w:rPr>
          <w:spacing w:val="-5"/>
        </w:rPr>
        <w:t> </w:t>
      </w:r>
      <w:r>
        <w:rPr/>
        <w:t>των</w:t>
      </w:r>
      <w:r>
        <w:rPr>
          <w:spacing w:val="-4"/>
        </w:rPr>
        <w:t> </w:t>
      </w:r>
      <w:r>
        <w:rPr/>
        <w:t>ιδρυμάτων υπό την άμεση εποπτεία του Ενιαίου Εποπτικού Μηχανισμού (Δεκέμβριος 2025: 5,9%</w:t>
      </w:r>
      <w:hyperlink w:history="true" w:anchor="_bookmark84">
        <w:r>
          <w:rPr>
            <w:position w:val="6"/>
            <w:sz w:val="10"/>
          </w:rPr>
          <w:t>59</w:t>
        </w:r>
      </w:hyperlink>
      <w:r>
        <w:rPr/>
        <w:t>).</w:t>
      </w:r>
    </w:p>
    <w:p>
      <w:pPr>
        <w:pStyle w:val="BodyText"/>
        <w:spacing w:line="285" w:lineRule="auto" w:before="54"/>
        <w:ind w:left="172" w:right="956"/>
        <w:jc w:val="both"/>
      </w:pPr>
      <w:r>
        <w:rPr/>
        <w:t>Παράλληλα, οι τράπεζες καλύπτουν τις ελάχιστες απαιτήσεις ιδίων κεφαλαίων και επιλέξιμων υποχρεώσεων (Minimum Requirements for Own Funds and Eligible Liabilities – MREL). Στο πλαίσιο αυτό, πέραν των εκδόσεων κεφαλαιακών μέσων (ΑΤ1 και Tier 2), οι τράπεζες προβαί-νουν</w:t>
      </w:r>
      <w:r>
        <w:rPr>
          <w:spacing w:val="-9"/>
        </w:rPr>
        <w:t> </w:t>
      </w:r>
      <w:r>
        <w:rPr/>
        <w:t>τακτικά</w:t>
      </w:r>
      <w:r>
        <w:rPr>
          <w:spacing w:val="-10"/>
        </w:rPr>
        <w:t> </w:t>
      </w:r>
      <w:r>
        <w:rPr/>
        <w:t>σε</w:t>
      </w:r>
      <w:r>
        <w:rPr>
          <w:spacing w:val="-9"/>
        </w:rPr>
        <w:t> </w:t>
      </w:r>
      <w:r>
        <w:rPr/>
        <w:t>εκδόσεις</w:t>
      </w:r>
      <w:r>
        <w:rPr>
          <w:spacing w:val="-10"/>
        </w:rPr>
        <w:t> </w:t>
      </w:r>
      <w:r>
        <w:rPr/>
        <w:t>χρεογράφων</w:t>
      </w:r>
      <w:r>
        <w:rPr>
          <w:spacing w:val="-9"/>
        </w:rPr>
        <w:t> </w:t>
      </w:r>
      <w:r>
        <w:rPr/>
        <w:t>χωρίς</w:t>
      </w:r>
      <w:r>
        <w:rPr>
          <w:spacing w:val="-11"/>
        </w:rPr>
        <w:t> </w:t>
      </w:r>
      <w:r>
        <w:rPr/>
        <w:t>εξασφαλίσεις</w:t>
      </w:r>
      <w:r>
        <w:rPr>
          <w:spacing w:val="-10"/>
        </w:rPr>
        <w:t> </w:t>
      </w:r>
      <w:r>
        <w:rPr/>
        <w:t>(senior</w:t>
      </w:r>
      <w:r>
        <w:rPr>
          <w:spacing w:val="-9"/>
        </w:rPr>
        <w:t> </w:t>
      </w:r>
      <w:r>
        <w:rPr/>
        <w:t>unsecured</w:t>
      </w:r>
      <w:r>
        <w:rPr>
          <w:spacing w:val="-10"/>
        </w:rPr>
        <w:t> </w:t>
      </w:r>
      <w:r>
        <w:rPr/>
        <w:t>bonds),</w:t>
      </w:r>
      <w:r>
        <w:rPr>
          <w:spacing w:val="-10"/>
        </w:rPr>
        <w:t> </w:t>
      </w:r>
      <w:r>
        <w:rPr/>
        <w:t>επιλέξιμων για σκοπούς MREL, διαφοροποιώντας ταυτόχρονα τις πηγές χρηματοδότησης τους.</w:t>
      </w:r>
    </w:p>
    <w:p>
      <w:pPr>
        <w:pStyle w:val="BodyText"/>
        <w:spacing w:line="285" w:lineRule="auto" w:before="115"/>
        <w:ind w:left="172" w:right="955"/>
        <w:jc w:val="both"/>
      </w:pPr>
      <w:r>
        <w:rPr/>
        <w:t>Όσον αφορά τις</w:t>
      </w:r>
      <w:r>
        <w:rPr>
          <w:spacing w:val="-1"/>
        </w:rPr>
        <w:t> </w:t>
      </w:r>
      <w:r>
        <w:rPr/>
        <w:t>προοπτικές</w:t>
      </w:r>
      <w:r>
        <w:rPr>
          <w:spacing w:val="-1"/>
        </w:rPr>
        <w:t> </w:t>
      </w:r>
      <w:r>
        <w:rPr/>
        <w:t>για την κεφαλαιακή επάρκεια, μερικοί από τους</w:t>
      </w:r>
      <w:r>
        <w:rPr>
          <w:spacing w:val="-1"/>
        </w:rPr>
        <w:t> </w:t>
      </w:r>
      <w:r>
        <w:rPr/>
        <w:t>παράγοντες</w:t>
      </w:r>
      <w:r>
        <w:rPr>
          <w:spacing w:val="-1"/>
        </w:rPr>
        <w:t> </w:t>
      </w:r>
      <w:r>
        <w:rPr/>
        <w:t>που θα την</w:t>
      </w:r>
      <w:r>
        <w:rPr>
          <w:spacing w:val="-16"/>
        </w:rPr>
        <w:t> </w:t>
      </w:r>
      <w:r>
        <w:rPr/>
        <w:t>επηρεάσουν</w:t>
      </w:r>
      <w:r>
        <w:rPr>
          <w:spacing w:val="-14"/>
        </w:rPr>
        <w:t> </w:t>
      </w:r>
      <w:r>
        <w:rPr/>
        <w:t>είναι</w:t>
      </w:r>
      <w:r>
        <w:rPr>
          <w:spacing w:val="-14"/>
        </w:rPr>
        <w:t> </w:t>
      </w:r>
      <w:r>
        <w:rPr/>
        <w:t>οι</w:t>
      </w:r>
      <w:r>
        <w:rPr>
          <w:spacing w:val="-13"/>
        </w:rPr>
        <w:t> </w:t>
      </w:r>
      <w:r>
        <w:rPr/>
        <w:t>εξής:</w:t>
      </w:r>
      <w:r>
        <w:rPr>
          <w:spacing w:val="-14"/>
        </w:rPr>
        <w:t> </w:t>
      </w:r>
      <w:r>
        <w:rPr/>
        <w:t>α)</w:t>
      </w:r>
      <w:r>
        <w:rPr>
          <w:spacing w:val="-14"/>
        </w:rPr>
        <w:t> </w:t>
      </w:r>
      <w:r>
        <w:rPr/>
        <w:t>η</w:t>
      </w:r>
      <w:r>
        <w:rPr>
          <w:spacing w:val="-14"/>
        </w:rPr>
        <w:t> </w:t>
      </w:r>
      <w:r>
        <w:rPr/>
        <w:t>διατήρηση</w:t>
      </w:r>
      <w:r>
        <w:rPr>
          <w:spacing w:val="-13"/>
        </w:rPr>
        <w:t> </w:t>
      </w:r>
      <w:r>
        <w:rPr/>
        <w:t>της</w:t>
      </w:r>
      <w:r>
        <w:rPr>
          <w:spacing w:val="-14"/>
        </w:rPr>
        <w:t> </w:t>
      </w:r>
      <w:r>
        <w:rPr/>
        <w:t>ικανότητας</w:t>
      </w:r>
      <w:r>
        <w:rPr>
          <w:spacing w:val="-14"/>
        </w:rPr>
        <w:t> </w:t>
      </w:r>
      <w:r>
        <w:rPr/>
        <w:t>εσωτερικής</w:t>
      </w:r>
      <w:r>
        <w:rPr>
          <w:spacing w:val="-14"/>
        </w:rPr>
        <w:t> </w:t>
      </w:r>
      <w:r>
        <w:rPr/>
        <w:t>δημιουργίας</w:t>
      </w:r>
      <w:r>
        <w:rPr>
          <w:spacing w:val="-13"/>
        </w:rPr>
        <w:t> </w:t>
      </w:r>
      <w:r>
        <w:rPr/>
        <w:t>κεφαλαίου και επιτάχυνσης της απόσβεσης των DTC, β) η υλοποίηση εταιρικών ενεργειών που ενισχύουν την</w:t>
      </w:r>
      <w:r>
        <w:rPr>
          <w:spacing w:val="-13"/>
        </w:rPr>
        <w:t> </w:t>
      </w:r>
      <w:r>
        <w:rPr/>
        <w:t>κεφαλαιακή</w:t>
      </w:r>
      <w:r>
        <w:rPr>
          <w:spacing w:val="-12"/>
        </w:rPr>
        <w:t> </w:t>
      </w:r>
      <w:r>
        <w:rPr/>
        <w:t>επάρκεια</w:t>
      </w:r>
      <w:r>
        <w:rPr>
          <w:spacing w:val="-13"/>
        </w:rPr>
        <w:t> </w:t>
      </w:r>
      <w:r>
        <w:rPr/>
        <w:t>(π.χ.</w:t>
      </w:r>
      <w:r>
        <w:rPr>
          <w:spacing w:val="-13"/>
        </w:rPr>
        <w:t> </w:t>
      </w:r>
      <w:r>
        <w:rPr/>
        <w:t>συνθετικές</w:t>
      </w:r>
      <w:r>
        <w:rPr>
          <w:spacing w:val="-13"/>
        </w:rPr>
        <w:t> </w:t>
      </w:r>
      <w:r>
        <w:rPr/>
        <w:t>τιτλοποιήσεις)</w:t>
      </w:r>
      <w:r>
        <w:rPr>
          <w:spacing w:val="-12"/>
        </w:rPr>
        <w:t> </w:t>
      </w:r>
      <w:r>
        <w:rPr/>
        <w:t>και</w:t>
      </w:r>
      <w:r>
        <w:rPr>
          <w:spacing w:val="-13"/>
        </w:rPr>
        <w:t> </w:t>
      </w:r>
      <w:r>
        <w:rPr/>
        <w:t>η</w:t>
      </w:r>
      <w:r>
        <w:rPr>
          <w:spacing w:val="-13"/>
        </w:rPr>
        <w:t> </w:t>
      </w:r>
      <w:r>
        <w:rPr/>
        <w:t>ικανότητα</w:t>
      </w:r>
      <w:r>
        <w:rPr>
          <w:spacing w:val="-13"/>
        </w:rPr>
        <w:t> </w:t>
      </w:r>
      <w:r>
        <w:rPr/>
        <w:t>έκδοσης</w:t>
      </w:r>
      <w:r>
        <w:rPr>
          <w:spacing w:val="-14"/>
        </w:rPr>
        <w:t> </w:t>
      </w:r>
      <w:r>
        <w:rPr/>
        <w:t>κεφαλαιακών μέσων (Additional Tier 1, Tier 2), γ) η ποιότητα του δανειακού χαρτοφυλακίου και η συνακό-λουθη επίδρασή της στο σταθμισμένο για τον κίνδυνο ενεργητικό και δ) η πολιτική διανομής </w:t>
      </w:r>
      <w:r>
        <w:rPr>
          <w:spacing w:val="-2"/>
        </w:rPr>
        <w:t>κερδών.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0"/>
        <w:rPr>
          <w:sz w:val="20"/>
        </w:rPr>
      </w:pPr>
      <w:r>
        <w:rPr>
          <w:sz w:val="20"/>
        </w:rPr>
        <mc:AlternateContent>
          <mc:Choice Requires="wps">
            <w:drawing>
              <wp:anchor distT="0" distB="0" distL="0" distR="0" allowOverlap="1" layoutInCell="1" locked="0" behindDoc="1" simplePos="0" relativeHeight="487637504">
                <wp:simplePos x="0" y="0"/>
                <wp:positionH relativeFrom="page">
                  <wp:posOffset>1009192</wp:posOffset>
                </wp:positionH>
                <wp:positionV relativeFrom="paragraph">
                  <wp:posOffset>206345</wp:posOffset>
                </wp:positionV>
                <wp:extent cx="1829435" cy="7620"/>
                <wp:effectExtent l="0" t="0" r="0" b="0"/>
                <wp:wrapTopAndBottom/>
                <wp:docPr id="531" name="Graphic 531"/>
                <wp:cNvGraphicFramePr>
                  <a:graphicFrameLocks/>
                </wp:cNvGraphicFramePr>
                <a:graphic>
                  <a:graphicData uri="http://schemas.microsoft.com/office/word/2010/wordprocessingShape">
                    <wps:wsp>
                      <wps:cNvPr id="531" name="Graphic 53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6.247715pt;width:144.020pt;height:.599980pt;mso-position-horizontal-relative:page;mso-position-vertical-relative:paragraph;z-index:-15678976;mso-wrap-distance-left:0;mso-wrap-distance-right:0" id="docshape503" filled="true" fillcolor="#000000" stroked="false">
                <v:fill type="solid"/>
                <w10:wrap type="topAndBottom"/>
              </v:rect>
            </w:pict>
          </mc:Fallback>
        </mc:AlternateContent>
      </w:r>
    </w:p>
    <w:p>
      <w:pPr>
        <w:spacing w:before="167"/>
        <w:ind w:left="172" w:right="961" w:firstLine="0"/>
        <w:jc w:val="both"/>
        <w:rPr>
          <w:sz w:val="16"/>
        </w:rPr>
      </w:pPr>
      <w:bookmarkStart w:name="_bookmark83" w:id="84"/>
      <w:bookmarkEnd w:id="84"/>
      <w:r>
        <w:rPr/>
      </w:r>
      <w:r>
        <w:rPr>
          <w:sz w:val="16"/>
          <w:vertAlign w:val="superscript"/>
        </w:rPr>
        <w:t>58</w:t>
      </w:r>
      <w:r>
        <w:rPr>
          <w:sz w:val="16"/>
          <w:vertAlign w:val="baseline"/>
        </w:rPr>
        <w:t> Λόγος των στοιχείων κεφαλαίου της Κατηγορίας 1 (στοιχεία κεφαλαίου Tier 1) που</w:t>
      </w:r>
      <w:r>
        <w:rPr>
          <w:spacing w:val="-1"/>
          <w:sz w:val="16"/>
          <w:vertAlign w:val="baseline"/>
        </w:rPr>
        <w:t> </w:t>
      </w:r>
      <w:r>
        <w:rPr>
          <w:sz w:val="16"/>
          <w:vertAlign w:val="baseline"/>
        </w:rPr>
        <w:t>διαθέτει μία τράπεζα (με</w:t>
      </w:r>
      <w:r>
        <w:rPr>
          <w:spacing w:val="-1"/>
          <w:sz w:val="16"/>
          <w:vertAlign w:val="baseline"/>
        </w:rPr>
        <w:t> </w:t>
      </w:r>
      <w:r>
        <w:rPr>
          <w:sz w:val="16"/>
          <w:vertAlign w:val="baseline"/>
        </w:rPr>
        <w:t>χρήση του</w:t>
      </w:r>
      <w:r>
        <w:rPr>
          <w:spacing w:val="-1"/>
          <w:sz w:val="16"/>
          <w:vertAlign w:val="baseline"/>
        </w:rPr>
        <w:t> </w:t>
      </w:r>
      <w:r>
        <w:rPr>
          <w:sz w:val="16"/>
          <w:vertAlign w:val="baseline"/>
        </w:rPr>
        <w:t>ορισμού</w:t>
      </w:r>
      <w:r>
        <w:rPr>
          <w:spacing w:val="40"/>
          <w:sz w:val="16"/>
          <w:vertAlign w:val="baseline"/>
        </w:rPr>
        <w:t> </w:t>
      </w:r>
      <w:r>
        <w:rPr>
          <w:sz w:val="16"/>
          <w:vertAlign w:val="baseline"/>
        </w:rPr>
        <w:t>της</w:t>
      </w:r>
      <w:r>
        <w:rPr>
          <w:spacing w:val="-1"/>
          <w:sz w:val="16"/>
          <w:vertAlign w:val="baseline"/>
        </w:rPr>
        <w:t> </w:t>
      </w:r>
      <w:r>
        <w:rPr>
          <w:sz w:val="16"/>
          <w:vertAlign w:val="baseline"/>
        </w:rPr>
        <w:t>μεταβατικής</w:t>
      </w:r>
      <w:r>
        <w:rPr>
          <w:spacing w:val="-1"/>
          <w:sz w:val="16"/>
          <w:vertAlign w:val="baseline"/>
        </w:rPr>
        <w:t> </w:t>
      </w:r>
      <w:r>
        <w:rPr>
          <w:sz w:val="16"/>
          <w:vertAlign w:val="baseline"/>
        </w:rPr>
        <w:t>περιόδου</w:t>
      </w:r>
      <w:r>
        <w:rPr>
          <w:spacing w:val="-2"/>
          <w:sz w:val="16"/>
          <w:vertAlign w:val="baseline"/>
        </w:rPr>
        <w:t> </w:t>
      </w:r>
      <w:r>
        <w:rPr>
          <w:sz w:val="16"/>
          <w:vertAlign w:val="baseline"/>
        </w:rPr>
        <w:t>των</w:t>
      </w:r>
      <w:r>
        <w:rPr>
          <w:spacing w:val="-2"/>
          <w:sz w:val="16"/>
          <w:vertAlign w:val="baseline"/>
        </w:rPr>
        <w:t> </w:t>
      </w:r>
      <w:r>
        <w:rPr>
          <w:sz w:val="16"/>
          <w:vertAlign w:val="baseline"/>
        </w:rPr>
        <w:t>στοιχείων</w:t>
      </w:r>
      <w:r>
        <w:rPr>
          <w:spacing w:val="-3"/>
          <w:sz w:val="16"/>
          <w:vertAlign w:val="baseline"/>
        </w:rPr>
        <w:t> </w:t>
      </w:r>
      <w:r>
        <w:rPr>
          <w:sz w:val="16"/>
          <w:vertAlign w:val="baseline"/>
        </w:rPr>
        <w:t>κεφαλαίου</w:t>
      </w:r>
      <w:r>
        <w:rPr>
          <w:spacing w:val="-2"/>
          <w:sz w:val="16"/>
          <w:vertAlign w:val="baseline"/>
        </w:rPr>
        <w:t> </w:t>
      </w:r>
      <w:r>
        <w:rPr>
          <w:sz w:val="16"/>
          <w:vertAlign w:val="baseline"/>
        </w:rPr>
        <w:t>Tier</w:t>
      </w:r>
      <w:r>
        <w:rPr>
          <w:spacing w:val="-3"/>
          <w:sz w:val="16"/>
          <w:vertAlign w:val="baseline"/>
        </w:rPr>
        <w:t> </w:t>
      </w:r>
      <w:r>
        <w:rPr>
          <w:sz w:val="16"/>
          <w:vertAlign w:val="baseline"/>
        </w:rPr>
        <w:t>1)</w:t>
      </w:r>
      <w:r>
        <w:rPr>
          <w:spacing w:val="-3"/>
          <w:sz w:val="16"/>
          <w:vertAlign w:val="baseline"/>
        </w:rPr>
        <w:t> </w:t>
      </w:r>
      <w:r>
        <w:rPr>
          <w:sz w:val="16"/>
          <w:vertAlign w:val="baseline"/>
        </w:rPr>
        <w:t>προς</w:t>
      </w:r>
      <w:r>
        <w:rPr>
          <w:spacing w:val="-1"/>
          <w:sz w:val="16"/>
          <w:vertAlign w:val="baseline"/>
        </w:rPr>
        <w:t> </w:t>
      </w:r>
      <w:r>
        <w:rPr>
          <w:sz w:val="16"/>
          <w:vertAlign w:val="baseline"/>
        </w:rPr>
        <w:t>το</w:t>
      </w:r>
      <w:r>
        <w:rPr>
          <w:spacing w:val="-1"/>
          <w:sz w:val="16"/>
          <w:vertAlign w:val="baseline"/>
        </w:rPr>
        <w:t> </w:t>
      </w:r>
      <w:r>
        <w:rPr>
          <w:sz w:val="16"/>
          <w:vertAlign w:val="baseline"/>
        </w:rPr>
        <w:t>συνολικό</w:t>
      </w:r>
      <w:r>
        <w:rPr>
          <w:spacing w:val="-1"/>
          <w:sz w:val="16"/>
          <w:vertAlign w:val="baseline"/>
        </w:rPr>
        <w:t> </w:t>
      </w:r>
      <w:r>
        <w:rPr>
          <w:sz w:val="16"/>
          <w:vertAlign w:val="baseline"/>
        </w:rPr>
        <w:t>ενοποιημένο</w:t>
      </w:r>
      <w:r>
        <w:rPr>
          <w:spacing w:val="-1"/>
          <w:sz w:val="16"/>
          <w:vertAlign w:val="baseline"/>
        </w:rPr>
        <w:t> </w:t>
      </w:r>
      <w:r>
        <w:rPr>
          <w:sz w:val="16"/>
          <w:vertAlign w:val="baseline"/>
        </w:rPr>
        <w:t>ενεργητικό</w:t>
      </w:r>
      <w:r>
        <w:rPr>
          <w:spacing w:val="-1"/>
          <w:sz w:val="16"/>
          <w:vertAlign w:val="baseline"/>
        </w:rPr>
        <w:t> </w:t>
      </w:r>
      <w:r>
        <w:rPr>
          <w:sz w:val="16"/>
          <w:vertAlign w:val="baseline"/>
        </w:rPr>
        <w:t>της,</w:t>
      </w:r>
      <w:r>
        <w:rPr>
          <w:spacing w:val="-4"/>
          <w:sz w:val="16"/>
          <w:vertAlign w:val="baseline"/>
        </w:rPr>
        <w:t> </w:t>
      </w:r>
      <w:r>
        <w:rPr>
          <w:sz w:val="16"/>
          <w:vertAlign w:val="baseline"/>
        </w:rPr>
        <w:t>όπως</w:t>
      </w:r>
      <w:r>
        <w:rPr>
          <w:spacing w:val="-3"/>
          <w:sz w:val="16"/>
          <w:vertAlign w:val="baseline"/>
        </w:rPr>
        <w:t> </w:t>
      </w:r>
      <w:r>
        <w:rPr>
          <w:sz w:val="16"/>
          <w:vertAlign w:val="baseline"/>
        </w:rPr>
        <w:t>αυτό</w:t>
      </w:r>
      <w:r>
        <w:rPr>
          <w:spacing w:val="-1"/>
          <w:sz w:val="16"/>
          <w:vertAlign w:val="baseline"/>
        </w:rPr>
        <w:t> </w:t>
      </w:r>
      <w:r>
        <w:rPr>
          <w:sz w:val="16"/>
          <w:vertAlign w:val="baseline"/>
        </w:rPr>
        <w:t>υπολογίζεται</w:t>
      </w:r>
      <w:r>
        <w:rPr>
          <w:spacing w:val="40"/>
          <w:sz w:val="16"/>
          <w:vertAlign w:val="baseline"/>
        </w:rPr>
        <w:t> </w:t>
      </w:r>
      <w:r>
        <w:rPr>
          <w:sz w:val="16"/>
          <w:vertAlign w:val="baseline"/>
        </w:rPr>
        <w:t>για σκοπούς μέτρησης του σχετικού Δείκτη σύμφωνα με την εποπτική οδηγία (CRR575/2013 και 2019/876).</w:t>
      </w:r>
    </w:p>
    <w:p>
      <w:pPr>
        <w:spacing w:before="22"/>
        <w:ind w:left="172" w:right="0" w:firstLine="0"/>
        <w:jc w:val="both"/>
        <w:rPr>
          <w:sz w:val="16"/>
        </w:rPr>
      </w:pPr>
      <w:bookmarkStart w:name="_bookmark84" w:id="85"/>
      <w:bookmarkEnd w:id="85"/>
      <w:r>
        <w:rPr/>
      </w:r>
      <w:r>
        <w:rPr>
          <w:sz w:val="16"/>
          <w:vertAlign w:val="superscript"/>
        </w:rPr>
        <w:t>59</w:t>
      </w:r>
      <w:r>
        <w:rPr>
          <w:spacing w:val="-5"/>
          <w:sz w:val="16"/>
          <w:vertAlign w:val="baseline"/>
        </w:rPr>
        <w:t> </w:t>
      </w:r>
      <w:r>
        <w:rPr>
          <w:sz w:val="16"/>
          <w:vertAlign w:val="baseline"/>
        </w:rPr>
        <w:t>Πηγή:</w:t>
      </w:r>
      <w:r>
        <w:rPr>
          <w:spacing w:val="-6"/>
          <w:sz w:val="16"/>
          <w:vertAlign w:val="baseline"/>
        </w:rPr>
        <w:t> </w:t>
      </w:r>
      <w:hyperlink r:id="rId90">
        <w:r>
          <w:rPr>
            <w:color w:val="0000FF"/>
            <w:sz w:val="16"/>
            <w:u w:val="single" w:color="0000FF"/>
            <w:vertAlign w:val="baseline"/>
          </w:rPr>
          <w:t>Ενιαίος</w:t>
        </w:r>
        <w:r>
          <w:rPr>
            <w:color w:val="0000FF"/>
            <w:spacing w:val="-6"/>
            <w:sz w:val="16"/>
            <w:u w:val="single" w:color="0000FF"/>
            <w:vertAlign w:val="baseline"/>
          </w:rPr>
          <w:t> </w:t>
        </w:r>
        <w:r>
          <w:rPr>
            <w:color w:val="0000FF"/>
            <w:sz w:val="16"/>
            <w:u w:val="single" w:color="0000FF"/>
            <w:vertAlign w:val="baseline"/>
          </w:rPr>
          <w:t>Εποπτικός</w:t>
        </w:r>
        <w:r>
          <w:rPr>
            <w:color w:val="0000FF"/>
            <w:spacing w:val="-6"/>
            <w:sz w:val="16"/>
            <w:u w:val="single" w:color="0000FF"/>
            <w:vertAlign w:val="baseline"/>
          </w:rPr>
          <w:t> </w:t>
        </w:r>
        <w:r>
          <w:rPr>
            <w:color w:val="0000FF"/>
            <w:sz w:val="16"/>
            <w:u w:val="single" w:color="0000FF"/>
            <w:vertAlign w:val="baseline"/>
          </w:rPr>
          <w:t>Μηχανισμός</w:t>
        </w:r>
        <w:r>
          <w:rPr>
            <w:color w:val="0000FF"/>
            <w:spacing w:val="-6"/>
            <w:sz w:val="16"/>
            <w:u w:val="single" w:color="0000FF"/>
            <w:vertAlign w:val="baseline"/>
          </w:rPr>
          <w:t> </w:t>
        </w:r>
        <w:r>
          <w:rPr>
            <w:color w:val="0000FF"/>
            <w:sz w:val="16"/>
            <w:u w:val="single" w:color="0000FF"/>
            <w:vertAlign w:val="baseline"/>
          </w:rPr>
          <w:t>(Single</w:t>
        </w:r>
        <w:r>
          <w:rPr>
            <w:color w:val="0000FF"/>
            <w:spacing w:val="-4"/>
            <w:sz w:val="16"/>
            <w:u w:val="single" w:color="0000FF"/>
            <w:vertAlign w:val="baseline"/>
          </w:rPr>
          <w:t> </w:t>
        </w:r>
        <w:r>
          <w:rPr>
            <w:color w:val="0000FF"/>
            <w:sz w:val="16"/>
            <w:u w:val="single" w:color="0000FF"/>
            <w:vertAlign w:val="baseline"/>
          </w:rPr>
          <w:t>Supervisory</w:t>
        </w:r>
        <w:r>
          <w:rPr>
            <w:color w:val="0000FF"/>
            <w:spacing w:val="-5"/>
            <w:sz w:val="16"/>
            <w:u w:val="single" w:color="0000FF"/>
            <w:vertAlign w:val="baseline"/>
          </w:rPr>
          <w:t> </w:t>
        </w:r>
        <w:r>
          <w:rPr>
            <w:color w:val="0000FF"/>
            <w:sz w:val="16"/>
            <w:u w:val="single" w:color="0000FF"/>
            <w:vertAlign w:val="baseline"/>
          </w:rPr>
          <w:t>Mechanism</w:t>
        </w:r>
        <w:r>
          <w:rPr>
            <w:color w:val="0000FF"/>
            <w:spacing w:val="-7"/>
            <w:sz w:val="16"/>
            <w:u w:val="single" w:color="0000FF"/>
            <w:vertAlign w:val="baseline"/>
          </w:rPr>
          <w:t> </w:t>
        </w:r>
        <w:r>
          <w:rPr>
            <w:color w:val="0000FF"/>
            <w:sz w:val="16"/>
            <w:u w:val="single" w:color="0000FF"/>
            <w:vertAlign w:val="baseline"/>
          </w:rPr>
          <w:t>‒</w:t>
        </w:r>
        <w:r>
          <w:rPr>
            <w:color w:val="0000FF"/>
            <w:spacing w:val="-7"/>
            <w:sz w:val="16"/>
            <w:u w:val="single" w:color="0000FF"/>
            <w:vertAlign w:val="baseline"/>
          </w:rPr>
          <w:t> </w:t>
        </w:r>
        <w:r>
          <w:rPr>
            <w:color w:val="0000FF"/>
            <w:spacing w:val="-4"/>
            <w:sz w:val="16"/>
            <w:u w:val="single" w:color="0000FF"/>
            <w:vertAlign w:val="baseline"/>
          </w:rPr>
          <w:t>SSM</w:t>
        </w:r>
        <w:r>
          <w:rPr>
            <w:spacing w:val="-4"/>
            <w:sz w:val="16"/>
            <w:vertAlign w:val="baseline"/>
          </w:rPr>
          <w:t>)</w:t>
        </w:r>
      </w:hyperlink>
    </w:p>
    <w:p>
      <w:pPr>
        <w:spacing w:after="0"/>
        <w:jc w:val="both"/>
        <w:rPr>
          <w:sz w:val="16"/>
        </w:rPr>
        <w:sectPr>
          <w:pgSz w:w="11910" w:h="16850"/>
          <w:pgMar w:header="0" w:footer="1108" w:top="1840" w:bottom="1300" w:left="1417" w:right="850"/>
        </w:sectPr>
      </w:pPr>
    </w:p>
    <w:p>
      <w:pPr>
        <w:pStyle w:val="Heading1"/>
        <w:numPr>
          <w:ilvl w:val="0"/>
          <w:numId w:val="2"/>
        </w:numPr>
        <w:tabs>
          <w:tab w:pos="892" w:val="left" w:leader="none"/>
        </w:tabs>
        <w:spacing w:line="240" w:lineRule="auto" w:before="71" w:after="0"/>
        <w:ind w:left="892" w:right="0" w:hanging="720"/>
        <w:jc w:val="left"/>
      </w:pPr>
      <w:bookmarkStart w:name="_bookmark85" w:id="86"/>
      <w:bookmarkEnd w:id="86"/>
      <w:r>
        <w:rPr>
          <w:b w:val="0"/>
        </w:rPr>
      </w:r>
      <w:r>
        <w:rPr>
          <w:color w:val="1F487C"/>
          <w:spacing w:val="26"/>
        </w:rPr>
        <w:t>ΜΑΚΡΟΠΡΟΛΗΠΤΙΚΗ</w:t>
      </w:r>
      <w:r>
        <w:rPr>
          <w:color w:val="1F487C"/>
          <w:spacing w:val="72"/>
        </w:rPr>
        <w:t> </w:t>
      </w:r>
      <w:r>
        <w:rPr>
          <w:color w:val="1F487C"/>
          <w:spacing w:val="23"/>
        </w:rPr>
        <w:t>ΠΟΛΙΤΙΚΗ</w:t>
      </w:r>
    </w:p>
    <w:p>
      <w:pPr>
        <w:pStyle w:val="Heading2"/>
        <w:numPr>
          <w:ilvl w:val="1"/>
          <w:numId w:val="2"/>
        </w:numPr>
        <w:tabs>
          <w:tab w:pos="568" w:val="left" w:leader="none"/>
        </w:tabs>
        <w:spacing w:line="240" w:lineRule="auto" w:before="239" w:after="0"/>
        <w:ind w:left="568" w:right="1066" w:hanging="396"/>
        <w:jc w:val="left"/>
        <w:rPr>
          <w:color w:val="1F487C"/>
        </w:rPr>
      </w:pPr>
      <w:bookmarkStart w:name="_bookmark86" w:id="87"/>
      <w:bookmarkEnd w:id="87"/>
      <w:r>
        <w:rPr>
          <w:b w:val="0"/>
        </w:rPr>
      </w:r>
      <w:r>
        <w:rPr>
          <w:color w:val="1F487C"/>
        </w:rPr>
        <w:t>ΚΑΘΟΡΙΣΜΟΣ</w:t>
      </w:r>
      <w:r>
        <w:rPr>
          <w:color w:val="1F487C"/>
          <w:spacing w:val="-7"/>
        </w:rPr>
        <w:t> </w:t>
      </w:r>
      <w:r>
        <w:rPr>
          <w:color w:val="1F487C"/>
        </w:rPr>
        <w:t>ΤΟΥ</w:t>
      </w:r>
      <w:r>
        <w:rPr>
          <w:color w:val="1F487C"/>
          <w:spacing w:val="-8"/>
        </w:rPr>
        <w:t> </w:t>
      </w:r>
      <w:r>
        <w:rPr>
          <w:color w:val="1F487C"/>
        </w:rPr>
        <w:t>ΠΟΣΟΣΤΟΥ</w:t>
      </w:r>
      <w:r>
        <w:rPr>
          <w:color w:val="1F487C"/>
          <w:spacing w:val="-8"/>
        </w:rPr>
        <w:t> </w:t>
      </w:r>
      <w:r>
        <w:rPr>
          <w:color w:val="1F487C"/>
        </w:rPr>
        <w:t>ΑΝΤΙΚΥΚΛΙΚΟΥ</w:t>
      </w:r>
      <w:r>
        <w:rPr>
          <w:color w:val="1F487C"/>
          <w:spacing w:val="-8"/>
        </w:rPr>
        <w:t> </w:t>
      </w:r>
      <w:r>
        <w:rPr>
          <w:color w:val="1F487C"/>
        </w:rPr>
        <w:t>ΚΕΦΑΛΑΙΑΚΟΥ</w:t>
      </w:r>
      <w:r>
        <w:rPr>
          <w:color w:val="1F487C"/>
          <w:spacing w:val="-8"/>
        </w:rPr>
        <w:t> </w:t>
      </w:r>
      <w:r>
        <w:rPr>
          <w:color w:val="1F487C"/>
        </w:rPr>
        <w:t>Α-ΠΟΘΕΜΑΤΟΣ ΑΣΦΑΛΕΙΑΣ</w:t>
      </w:r>
    </w:p>
    <w:p>
      <w:pPr>
        <w:pStyle w:val="Heading3"/>
        <w:numPr>
          <w:ilvl w:val="2"/>
          <w:numId w:val="2"/>
        </w:numPr>
        <w:tabs>
          <w:tab w:pos="738" w:val="left" w:leader="none"/>
        </w:tabs>
        <w:spacing w:line="240" w:lineRule="auto" w:before="120" w:after="0"/>
        <w:ind w:left="738" w:right="1091" w:hanging="567"/>
        <w:jc w:val="left"/>
        <w:rPr>
          <w:color w:val="1F487C"/>
        </w:rPr>
      </w:pPr>
      <w:bookmarkStart w:name="_bookmark87" w:id="88"/>
      <w:bookmarkEnd w:id="88"/>
      <w:r>
        <w:rPr>
          <w:b w:val="0"/>
        </w:rPr>
      </w:r>
      <w:r>
        <w:rPr>
          <w:color w:val="1F487C"/>
        </w:rPr>
        <w:t>ΜΕΘΟΔΟΛΟΓΙΑ</w:t>
      </w:r>
      <w:r>
        <w:rPr>
          <w:color w:val="1F487C"/>
          <w:spacing w:val="-8"/>
        </w:rPr>
        <w:t> </w:t>
      </w:r>
      <w:r>
        <w:rPr>
          <w:color w:val="1F487C"/>
        </w:rPr>
        <w:t>ΕΦΑΡΜΟΓΗΣ</w:t>
      </w:r>
      <w:r>
        <w:rPr>
          <w:color w:val="1F487C"/>
          <w:spacing w:val="-8"/>
        </w:rPr>
        <w:t> </w:t>
      </w:r>
      <w:r>
        <w:rPr>
          <w:color w:val="1F487C"/>
        </w:rPr>
        <w:t>ΑΝΤΙΚΥΚΛΙΚΟΥ</w:t>
      </w:r>
      <w:r>
        <w:rPr>
          <w:color w:val="1F487C"/>
          <w:spacing w:val="-9"/>
        </w:rPr>
        <w:t> </w:t>
      </w:r>
      <w:r>
        <w:rPr>
          <w:color w:val="1F487C"/>
        </w:rPr>
        <w:t>ΚΕΦΑΛΑΙΑΚΟΥ</w:t>
      </w:r>
      <w:r>
        <w:rPr>
          <w:color w:val="1F487C"/>
          <w:spacing w:val="-9"/>
        </w:rPr>
        <w:t> </w:t>
      </w:r>
      <w:r>
        <w:rPr>
          <w:color w:val="1F487C"/>
        </w:rPr>
        <w:t>ΑΠΟΘΕ-ΜΑΤΟΣ ΑΣΦΑΛΕΙΑΣ ΣΤΗΝ ΕΛΛΑΔΑ</w:t>
      </w:r>
    </w:p>
    <w:p>
      <w:pPr>
        <w:pStyle w:val="BodyText"/>
        <w:spacing w:line="285" w:lineRule="auto" w:before="96"/>
        <w:ind w:left="172" w:right="957"/>
        <w:jc w:val="both"/>
      </w:pPr>
      <w:r>
        <w:rPr/>
        <w:t>Η</w:t>
      </w:r>
      <w:r>
        <w:rPr>
          <w:spacing w:val="-9"/>
        </w:rPr>
        <w:t> </w:t>
      </w:r>
      <w:r>
        <w:rPr/>
        <w:t>Τράπεζα της Ελλάδος, σύμφωνα με την Πράξη Εκτελεστικής Επιτροπής 235/1/07.10.2024,</w:t>
      </w:r>
      <w:r>
        <w:rPr>
          <w:spacing w:val="-14"/>
        </w:rPr>
        <w:t> </w:t>
      </w:r>
      <w:hyperlink w:history="true" w:anchor="_bookmark88">
        <w:r>
          <w:rPr>
            <w:position w:val="6"/>
            <w:sz w:val="10"/>
          </w:rPr>
          <w:t>60</w:t>
        </w:r>
      </w:hyperlink>
      <w:r>
        <w:rPr>
          <w:spacing w:val="40"/>
          <w:position w:val="6"/>
          <w:sz w:val="10"/>
        </w:rPr>
        <w:t> </w:t>
      </w:r>
      <w:r>
        <w:rPr/>
        <w:t>αξιολογεί ανά</w:t>
      </w:r>
      <w:r>
        <w:rPr>
          <w:spacing w:val="-1"/>
        </w:rPr>
        <w:t> </w:t>
      </w:r>
      <w:r>
        <w:rPr/>
        <w:t>τρίμηνο</w:t>
      </w:r>
      <w:r>
        <w:rPr>
          <w:spacing w:val="-1"/>
        </w:rPr>
        <w:t> </w:t>
      </w:r>
      <w:r>
        <w:rPr/>
        <w:t>την</w:t>
      </w:r>
      <w:r>
        <w:rPr>
          <w:spacing w:val="-3"/>
        </w:rPr>
        <w:t> </w:t>
      </w:r>
      <w:r>
        <w:rPr/>
        <w:t>ένταση</w:t>
      </w:r>
      <w:r>
        <w:rPr>
          <w:spacing w:val="-1"/>
        </w:rPr>
        <w:t> </w:t>
      </w:r>
      <w:r>
        <w:rPr/>
        <w:t>των κυκλικών</w:t>
      </w:r>
      <w:r>
        <w:rPr>
          <w:spacing w:val="-2"/>
        </w:rPr>
        <w:t> </w:t>
      </w:r>
      <w:r>
        <w:rPr/>
        <w:t>συστημικών κινδύνων και</w:t>
      </w:r>
      <w:r>
        <w:rPr>
          <w:spacing w:val="-1"/>
        </w:rPr>
        <w:t> </w:t>
      </w:r>
      <w:r>
        <w:rPr/>
        <w:t>την</w:t>
      </w:r>
      <w:r>
        <w:rPr>
          <w:spacing w:val="-1"/>
        </w:rPr>
        <w:t> </w:t>
      </w:r>
      <w:r>
        <w:rPr/>
        <w:t>καταλληλότητα του</w:t>
      </w:r>
      <w:r>
        <w:rPr>
          <w:spacing w:val="-9"/>
        </w:rPr>
        <w:t> </w:t>
      </w:r>
      <w:r>
        <w:rPr/>
        <w:t>ποσοστού</w:t>
      </w:r>
      <w:r>
        <w:rPr>
          <w:spacing w:val="-7"/>
        </w:rPr>
        <w:t> </w:t>
      </w:r>
      <w:r>
        <w:rPr/>
        <w:t>αντικυκλικού</w:t>
      </w:r>
      <w:r>
        <w:rPr>
          <w:spacing w:val="-7"/>
        </w:rPr>
        <w:t> </w:t>
      </w:r>
      <w:r>
        <w:rPr/>
        <w:t>κεφαλαιακού</w:t>
      </w:r>
      <w:r>
        <w:rPr>
          <w:spacing w:val="-7"/>
        </w:rPr>
        <w:t> </w:t>
      </w:r>
      <w:r>
        <w:rPr/>
        <w:t>αποθέματος</w:t>
      </w:r>
      <w:r>
        <w:rPr>
          <w:spacing w:val="-11"/>
        </w:rPr>
        <w:t> </w:t>
      </w:r>
      <w:r>
        <w:rPr/>
        <w:t>ασφαλείας</w:t>
      </w:r>
      <w:r>
        <w:rPr>
          <w:spacing w:val="-5"/>
        </w:rPr>
        <w:t> </w:t>
      </w:r>
      <w:r>
        <w:rPr/>
        <w:t>(countercyclical</w:t>
      </w:r>
      <w:r>
        <w:rPr>
          <w:spacing w:val="-7"/>
        </w:rPr>
        <w:t> </w:t>
      </w:r>
      <w:r>
        <w:rPr/>
        <w:t>capital</w:t>
      </w:r>
      <w:r>
        <w:rPr>
          <w:spacing w:val="-6"/>
        </w:rPr>
        <w:t> </w:t>
      </w:r>
      <w:r>
        <w:rPr>
          <w:spacing w:val="-2"/>
        </w:rPr>
        <w:t>buffer</w:t>
      </w:r>
    </w:p>
    <w:p>
      <w:pPr>
        <w:pStyle w:val="BodyText"/>
        <w:spacing w:line="285" w:lineRule="auto"/>
        <w:ind w:left="172" w:right="962"/>
        <w:jc w:val="both"/>
      </w:pPr>
      <w:r>
        <w:rPr/>
        <w:t>– CCyB) για την Ελλάδα και καθορίζει ή προσαρμόζει το ποσοστό αντικυκλικού κεφαλαιακού αποθέματος ασφαλείας, εφόσον αυτό είναι αναγκαίο.</w:t>
      </w:r>
    </w:p>
    <w:p>
      <w:pPr>
        <w:pStyle w:val="BodyText"/>
        <w:spacing w:line="285" w:lineRule="auto" w:before="55"/>
        <w:ind w:left="172" w:right="954"/>
        <w:jc w:val="both"/>
        <w:rPr>
          <w:position w:val="6"/>
          <w:sz w:val="10"/>
        </w:rPr>
      </w:pPr>
      <w:r>
        <w:rPr/>
        <w:t>Το αντικυκλικό κεφαλαιακό απόθεμα ασφαλείας αποβλέπει στην αποτροπή ή μείωση της συσ-σώρευσης κυκλικών συστημικών κινδύνων και στην αντιμετώπιση της υπερκυκλικότητας (procyclicality)</w:t>
      </w:r>
      <w:r>
        <w:rPr>
          <w:spacing w:val="-7"/>
        </w:rPr>
        <w:t> </w:t>
      </w:r>
      <w:r>
        <w:rPr/>
        <w:t>της</w:t>
      </w:r>
      <w:r>
        <w:rPr>
          <w:spacing w:val="-7"/>
        </w:rPr>
        <w:t> </w:t>
      </w:r>
      <w:r>
        <w:rPr/>
        <w:t>πιστωτικής</w:t>
      </w:r>
      <w:r>
        <w:rPr>
          <w:spacing w:val="-7"/>
        </w:rPr>
        <w:t> </w:t>
      </w:r>
      <w:r>
        <w:rPr/>
        <w:t>επέκτασης</w:t>
      </w:r>
      <w:r>
        <w:rPr>
          <w:spacing w:val="-9"/>
        </w:rPr>
        <w:t> </w:t>
      </w:r>
      <w:r>
        <w:rPr/>
        <w:t>και</w:t>
      </w:r>
      <w:r>
        <w:rPr>
          <w:spacing w:val="-6"/>
        </w:rPr>
        <w:t> </w:t>
      </w:r>
      <w:r>
        <w:rPr/>
        <w:t>μόχλευσης,</w:t>
      </w:r>
      <w:r>
        <w:rPr>
          <w:spacing w:val="-6"/>
        </w:rPr>
        <w:t> </w:t>
      </w:r>
      <w:r>
        <w:rPr/>
        <w:t>δηλαδή</w:t>
      </w:r>
      <w:r>
        <w:rPr>
          <w:spacing w:val="-8"/>
        </w:rPr>
        <w:t> </w:t>
      </w:r>
      <w:r>
        <w:rPr/>
        <w:t>στη</w:t>
      </w:r>
      <w:r>
        <w:rPr>
          <w:spacing w:val="-8"/>
        </w:rPr>
        <w:t> </w:t>
      </w:r>
      <w:r>
        <w:rPr/>
        <w:t>διαμόρφωση</w:t>
      </w:r>
      <w:r>
        <w:rPr>
          <w:spacing w:val="-6"/>
        </w:rPr>
        <w:t> </w:t>
      </w:r>
      <w:r>
        <w:rPr/>
        <w:t>κατάλληλου επιπέδου</w:t>
      </w:r>
      <w:r>
        <w:rPr>
          <w:spacing w:val="-10"/>
        </w:rPr>
        <w:t> </w:t>
      </w:r>
      <w:r>
        <w:rPr/>
        <w:t>πιστωτικής</w:t>
      </w:r>
      <w:r>
        <w:rPr>
          <w:spacing w:val="-10"/>
        </w:rPr>
        <w:t> </w:t>
      </w:r>
      <w:r>
        <w:rPr/>
        <w:t>επέκτασης</w:t>
      </w:r>
      <w:r>
        <w:rPr>
          <w:spacing w:val="-9"/>
        </w:rPr>
        <w:t> </w:t>
      </w:r>
      <w:r>
        <w:rPr/>
        <w:t>και</w:t>
      </w:r>
      <w:r>
        <w:rPr>
          <w:spacing w:val="-8"/>
        </w:rPr>
        <w:t> </w:t>
      </w:r>
      <w:r>
        <w:rPr/>
        <w:t>μόχλευσης</w:t>
      </w:r>
      <w:r>
        <w:rPr>
          <w:spacing w:val="-7"/>
        </w:rPr>
        <w:t> </w:t>
      </w:r>
      <w:r>
        <w:rPr/>
        <w:t>σε</w:t>
      </w:r>
      <w:r>
        <w:rPr>
          <w:spacing w:val="-7"/>
        </w:rPr>
        <w:t> </w:t>
      </w:r>
      <w:r>
        <w:rPr/>
        <w:t>όλες</w:t>
      </w:r>
      <w:r>
        <w:rPr>
          <w:spacing w:val="-9"/>
        </w:rPr>
        <w:t> </w:t>
      </w:r>
      <w:r>
        <w:rPr/>
        <w:t>τις</w:t>
      </w:r>
      <w:r>
        <w:rPr>
          <w:spacing w:val="-7"/>
        </w:rPr>
        <w:t> </w:t>
      </w:r>
      <w:r>
        <w:rPr/>
        <w:t>φάσεις</w:t>
      </w:r>
      <w:r>
        <w:rPr>
          <w:spacing w:val="-8"/>
        </w:rPr>
        <w:t> </w:t>
      </w:r>
      <w:r>
        <w:rPr/>
        <w:t>του</w:t>
      </w:r>
      <w:r>
        <w:rPr>
          <w:spacing w:val="-10"/>
        </w:rPr>
        <w:t> </w:t>
      </w:r>
      <w:r>
        <w:rPr/>
        <w:t>οικονομικού</w:t>
      </w:r>
      <w:r>
        <w:rPr>
          <w:spacing w:val="-6"/>
        </w:rPr>
        <w:t> </w:t>
      </w:r>
      <w:r>
        <w:rPr/>
        <w:t>και</w:t>
      </w:r>
      <w:r>
        <w:rPr>
          <w:spacing w:val="-10"/>
        </w:rPr>
        <w:t> </w:t>
      </w:r>
      <w:r>
        <w:rPr/>
        <w:t>χρηματο-πιστωτικού κύκλου. Το ποσοστό του αντικυκλικού κεφαλαιακού αποθέματος ασφαλείας κυμαί-νεται μεταξύ 0% και 2,5%, βαθμονομημένο σε βήματα του 0,25% ή πολλαπλάσια του 0,25%.</w:t>
      </w:r>
      <w:hyperlink w:history="true" w:anchor="_bookmark89">
        <w:r>
          <w:rPr>
            <w:position w:val="6"/>
            <w:sz w:val="10"/>
          </w:rPr>
          <w:t>61</w:t>
        </w:r>
      </w:hyperlink>
      <w:r>
        <w:rPr>
          <w:spacing w:val="40"/>
          <w:position w:val="6"/>
          <w:sz w:val="10"/>
        </w:rPr>
        <w:t> </w:t>
      </w:r>
      <w:r>
        <w:rPr/>
        <w:t>Το</w:t>
      </w:r>
      <w:r>
        <w:rPr>
          <w:spacing w:val="-1"/>
        </w:rPr>
        <w:t> </w:t>
      </w:r>
      <w:r>
        <w:rPr/>
        <w:t>αντικυκλικό κεφαλαιακό απόθεμα</w:t>
      </w:r>
      <w:r>
        <w:rPr>
          <w:spacing w:val="-1"/>
        </w:rPr>
        <w:t> </w:t>
      </w:r>
      <w:r>
        <w:rPr/>
        <w:t>ασφαλείας</w:t>
      </w:r>
      <w:r>
        <w:rPr>
          <w:spacing w:val="-1"/>
        </w:rPr>
        <w:t> </w:t>
      </w:r>
      <w:r>
        <w:rPr/>
        <w:t>καλύπτεται από κεφάλαιο κοινών μετοχών της Κατηγορίας</w:t>
      </w:r>
      <w:r>
        <w:rPr>
          <w:spacing w:val="-8"/>
        </w:rPr>
        <w:t> </w:t>
      </w:r>
      <w:r>
        <w:rPr/>
        <w:t>1</w:t>
      </w:r>
      <w:r>
        <w:rPr>
          <w:spacing w:val="-9"/>
        </w:rPr>
        <w:t> </w:t>
      </w:r>
      <w:r>
        <w:rPr/>
        <w:t>(CET1)</w:t>
      </w:r>
      <w:r>
        <w:rPr>
          <w:spacing w:val="-8"/>
        </w:rPr>
        <w:t> </w:t>
      </w:r>
      <w:r>
        <w:rPr/>
        <w:t>και</w:t>
      </w:r>
      <w:r>
        <w:rPr>
          <w:spacing w:val="-7"/>
        </w:rPr>
        <w:t> </w:t>
      </w:r>
      <w:r>
        <w:rPr/>
        <w:t>εκφράζεται</w:t>
      </w:r>
      <w:r>
        <w:rPr>
          <w:spacing w:val="-8"/>
        </w:rPr>
        <w:t> </w:t>
      </w:r>
      <w:r>
        <w:rPr/>
        <w:t>ως</w:t>
      </w:r>
      <w:r>
        <w:rPr>
          <w:spacing w:val="-7"/>
        </w:rPr>
        <w:t> </w:t>
      </w:r>
      <w:r>
        <w:rPr/>
        <w:t>ποσοστό</w:t>
      </w:r>
      <w:r>
        <w:rPr>
          <w:spacing w:val="-9"/>
        </w:rPr>
        <w:t> </w:t>
      </w:r>
      <w:r>
        <w:rPr/>
        <w:t>του</w:t>
      </w:r>
      <w:r>
        <w:rPr>
          <w:spacing w:val="-8"/>
        </w:rPr>
        <w:t> </w:t>
      </w:r>
      <w:r>
        <w:rPr/>
        <w:t>συνολικού</w:t>
      </w:r>
      <w:r>
        <w:rPr>
          <w:spacing w:val="-8"/>
        </w:rPr>
        <w:t> </w:t>
      </w:r>
      <w:r>
        <w:rPr/>
        <w:t>ποσού</w:t>
      </w:r>
      <w:r>
        <w:rPr>
          <w:spacing w:val="-2"/>
        </w:rPr>
        <w:t> </w:t>
      </w:r>
      <w:r>
        <w:rPr/>
        <w:t>των</w:t>
      </w:r>
      <w:r>
        <w:rPr>
          <w:spacing w:val="-7"/>
        </w:rPr>
        <w:t> </w:t>
      </w:r>
      <w:r>
        <w:rPr/>
        <w:t>ανοιγμάτων</w:t>
      </w:r>
      <w:r>
        <w:rPr>
          <w:spacing w:val="-7"/>
        </w:rPr>
        <w:t> </w:t>
      </w:r>
      <w:r>
        <w:rPr/>
        <w:t>σε</w:t>
      </w:r>
      <w:r>
        <w:rPr>
          <w:spacing w:val="-8"/>
        </w:rPr>
        <w:t> </w:t>
      </w:r>
      <w:r>
        <w:rPr/>
        <w:t>κίν-δυνο των πιστωτικών ιδρυμάτων που είναι εκτεθειμένα σε πιστωτικό κίνδυνο στην Ελλάδα</w:t>
      </w:r>
      <w:hyperlink w:history="true" w:anchor="_bookmark90">
        <w:r>
          <w:rPr/>
          <w:t>.</w:t>
        </w:r>
        <w:r>
          <w:rPr>
            <w:position w:val="6"/>
            <w:sz w:val="10"/>
          </w:rPr>
          <w:t>62</w:t>
        </w:r>
      </w:hyperlink>
    </w:p>
    <w:p>
      <w:pPr>
        <w:pStyle w:val="BodyText"/>
        <w:spacing w:line="285" w:lineRule="auto" w:before="51"/>
        <w:ind w:left="172" w:right="954"/>
        <w:jc w:val="both"/>
      </w:pPr>
      <w:r>
        <w:rPr/>
        <w:t>Ο</w:t>
      </w:r>
      <w:r>
        <w:rPr>
          <w:spacing w:val="-14"/>
        </w:rPr>
        <w:t> </w:t>
      </w:r>
      <w:r>
        <w:rPr/>
        <w:t>καθορισμός</w:t>
      </w:r>
      <w:r>
        <w:rPr>
          <w:spacing w:val="-13"/>
        </w:rPr>
        <w:t> </w:t>
      </w:r>
      <w:r>
        <w:rPr/>
        <w:t>του</w:t>
      </w:r>
      <w:r>
        <w:rPr>
          <w:spacing w:val="-12"/>
        </w:rPr>
        <w:t> </w:t>
      </w:r>
      <w:r>
        <w:rPr/>
        <w:t>ποσοστού</w:t>
      </w:r>
      <w:r>
        <w:rPr>
          <w:spacing w:val="-12"/>
        </w:rPr>
        <w:t> </w:t>
      </w:r>
      <w:r>
        <w:rPr/>
        <w:t>του</w:t>
      </w:r>
      <w:r>
        <w:rPr>
          <w:spacing w:val="-12"/>
        </w:rPr>
        <w:t> </w:t>
      </w:r>
      <w:r>
        <w:rPr/>
        <w:t>αντικυκλικού</w:t>
      </w:r>
      <w:r>
        <w:rPr>
          <w:spacing w:val="-12"/>
        </w:rPr>
        <w:t> </w:t>
      </w:r>
      <w:r>
        <w:rPr/>
        <w:t>κεφαλαιακού</w:t>
      </w:r>
      <w:r>
        <w:rPr>
          <w:spacing w:val="-12"/>
        </w:rPr>
        <w:t> </w:t>
      </w:r>
      <w:r>
        <w:rPr/>
        <w:t>αποθέματος</w:t>
      </w:r>
      <w:r>
        <w:rPr>
          <w:spacing w:val="-14"/>
        </w:rPr>
        <w:t> </w:t>
      </w:r>
      <w:r>
        <w:rPr/>
        <w:t>ασφαλείας</w:t>
      </w:r>
      <w:r>
        <w:rPr>
          <w:spacing w:val="-13"/>
        </w:rPr>
        <w:t> </w:t>
      </w:r>
      <w:r>
        <w:rPr/>
        <w:t>άνω</w:t>
      </w:r>
      <w:r>
        <w:rPr>
          <w:spacing w:val="-12"/>
        </w:rPr>
        <w:t> </w:t>
      </w:r>
      <w:r>
        <w:rPr/>
        <w:t>του</w:t>
      </w:r>
      <w:r>
        <w:rPr>
          <w:spacing w:val="-12"/>
        </w:rPr>
        <w:t> </w:t>
      </w:r>
      <w:r>
        <w:rPr/>
        <w:t>0% ξεκινά</w:t>
      </w:r>
      <w:r>
        <w:rPr>
          <w:spacing w:val="-5"/>
        </w:rPr>
        <w:t> </w:t>
      </w:r>
      <w:r>
        <w:rPr/>
        <w:t>στο</w:t>
      </w:r>
      <w:r>
        <w:rPr>
          <w:spacing w:val="-5"/>
        </w:rPr>
        <w:t> </w:t>
      </w:r>
      <w:r>
        <w:rPr/>
        <w:t>στάδιο</w:t>
      </w:r>
      <w:r>
        <w:rPr>
          <w:spacing w:val="-3"/>
        </w:rPr>
        <w:t> </w:t>
      </w:r>
      <w:r>
        <w:rPr/>
        <w:t>του</w:t>
      </w:r>
      <w:r>
        <w:rPr>
          <w:spacing w:val="-4"/>
        </w:rPr>
        <w:t> </w:t>
      </w:r>
      <w:r>
        <w:rPr/>
        <w:t>οικονομικού</w:t>
      </w:r>
      <w:r>
        <w:rPr>
          <w:spacing w:val="-4"/>
        </w:rPr>
        <w:t> </w:t>
      </w:r>
      <w:r>
        <w:rPr/>
        <w:t>και</w:t>
      </w:r>
      <w:r>
        <w:rPr>
          <w:spacing w:val="-5"/>
        </w:rPr>
        <w:t> </w:t>
      </w:r>
      <w:r>
        <w:rPr/>
        <w:t>χρηματοπιστωτικού</w:t>
      </w:r>
      <w:r>
        <w:rPr>
          <w:spacing w:val="-4"/>
        </w:rPr>
        <w:t> </w:t>
      </w:r>
      <w:r>
        <w:rPr/>
        <w:t>κύκλου</w:t>
      </w:r>
      <w:r>
        <w:rPr>
          <w:spacing w:val="-4"/>
        </w:rPr>
        <w:t> </w:t>
      </w:r>
      <w:r>
        <w:rPr/>
        <w:t>κατά</w:t>
      </w:r>
      <w:r>
        <w:rPr>
          <w:spacing w:val="-3"/>
        </w:rPr>
        <w:t> </w:t>
      </w:r>
      <w:r>
        <w:rPr/>
        <w:t>το</w:t>
      </w:r>
      <w:r>
        <w:rPr>
          <w:spacing w:val="-5"/>
        </w:rPr>
        <w:t> </w:t>
      </w:r>
      <w:r>
        <w:rPr/>
        <w:t>οποίο</w:t>
      </w:r>
      <w:r>
        <w:rPr>
          <w:spacing w:val="-2"/>
        </w:rPr>
        <w:t> </w:t>
      </w:r>
      <w:r>
        <w:rPr/>
        <w:t>επικρατεί</w:t>
      </w:r>
      <w:r>
        <w:rPr>
          <w:spacing w:val="-1"/>
        </w:rPr>
        <w:t> </w:t>
      </w:r>
      <w:r>
        <w:rPr/>
        <w:t>ου-δέτερο περιβάλλον κινδύνου (standard risk environment), δηλαδή όταν οι κυκλικοί συστημικοί κίνδυνοι δεν είναι ούτε υποτονικοί ούτε ιδιαίτερα αυξημένοι, προκειμένου να παρέχει τη δυνα-τότητα στα ιδρύματα να απορροφήσουν τυχόν ζημίες και να διασφαλίσει την ομαλή ροή της χρηματοδότησης</w:t>
      </w:r>
      <w:r>
        <w:rPr>
          <w:spacing w:val="-13"/>
        </w:rPr>
        <w:t> </w:t>
      </w:r>
      <w:r>
        <w:rPr/>
        <w:t>προς</w:t>
      </w:r>
      <w:r>
        <w:rPr>
          <w:spacing w:val="-13"/>
        </w:rPr>
        <w:t> </w:t>
      </w:r>
      <w:r>
        <w:rPr/>
        <w:t>την</w:t>
      </w:r>
      <w:r>
        <w:rPr>
          <w:spacing w:val="-11"/>
        </w:rPr>
        <w:t> </w:t>
      </w:r>
      <w:r>
        <w:rPr/>
        <w:t>πραγματική</w:t>
      </w:r>
      <w:r>
        <w:rPr>
          <w:spacing w:val="-12"/>
        </w:rPr>
        <w:t> </w:t>
      </w:r>
      <w:r>
        <w:rPr/>
        <w:t>οικονομία</w:t>
      </w:r>
      <w:r>
        <w:rPr>
          <w:spacing w:val="-12"/>
        </w:rPr>
        <w:t> </w:t>
      </w:r>
      <w:r>
        <w:rPr/>
        <w:t>αν</w:t>
      </w:r>
      <w:r>
        <w:rPr>
          <w:spacing w:val="-11"/>
        </w:rPr>
        <w:t> </w:t>
      </w:r>
      <w:r>
        <w:rPr/>
        <w:t>επέλθουν</w:t>
      </w:r>
      <w:r>
        <w:rPr>
          <w:spacing w:val="-11"/>
        </w:rPr>
        <w:t> </w:t>
      </w:r>
      <w:r>
        <w:rPr/>
        <w:t>απρόβλεπτες</w:t>
      </w:r>
      <w:r>
        <w:rPr>
          <w:spacing w:val="-13"/>
        </w:rPr>
        <w:t> </w:t>
      </w:r>
      <w:r>
        <w:rPr/>
        <w:t>διαταραχές</w:t>
      </w:r>
      <w:r>
        <w:rPr>
          <w:spacing w:val="-12"/>
        </w:rPr>
        <w:t> </w:t>
      </w:r>
      <w:r>
        <w:rPr/>
        <w:t>(βλ.</w:t>
      </w:r>
      <w:r>
        <w:rPr>
          <w:spacing w:val="-12"/>
        </w:rPr>
        <w:t> </w:t>
      </w:r>
      <w:r>
        <w:rPr/>
        <w:t>Διά-γραμμα IV.1). Η σταδιακή δημιουργία ενός θετικού αντικυκλικού κεφαλαιακού αποθέματος α-σφαλείας σε ουδέτερο περιβάλλον κινδύνου (positive neutral rate of the countercyclical capital buffer – PN CCyB) συνεχίζεται μέχρι να ανέλθει στο επιδιωκόμενο ποσοστό.</w:t>
      </w:r>
    </w:p>
    <w:p>
      <w:pPr>
        <w:pStyle w:val="BodyText"/>
        <w:spacing w:line="285" w:lineRule="auto" w:before="51"/>
        <w:ind w:left="172" w:right="954"/>
        <w:jc w:val="both"/>
      </w:pPr>
      <w:r>
        <w:rPr/>
        <w:t>Στην ανοδική φάση του οικονομικού κύκλου, ο καθορισμός του ποσοστού αντικυκλικού κεφα-λαιακού αποθέματος</w:t>
      </w:r>
      <w:r>
        <w:rPr>
          <w:spacing w:val="-2"/>
        </w:rPr>
        <w:t> </w:t>
      </w:r>
      <w:r>
        <w:rPr/>
        <w:t>ασφαλείας</w:t>
      </w:r>
      <w:r>
        <w:rPr>
          <w:spacing w:val="-1"/>
        </w:rPr>
        <w:t> </w:t>
      </w:r>
      <w:r>
        <w:rPr/>
        <w:t>λαμβάνει</w:t>
      </w:r>
      <w:r>
        <w:rPr>
          <w:spacing w:val="-2"/>
        </w:rPr>
        <w:t> </w:t>
      </w:r>
      <w:r>
        <w:rPr/>
        <w:t>υπόψη</w:t>
      </w:r>
      <w:r>
        <w:rPr>
          <w:spacing w:val="-2"/>
        </w:rPr>
        <w:t> </w:t>
      </w:r>
      <w:r>
        <w:rPr/>
        <w:t>το επιδιωκόμενο ποσοστό</w:t>
      </w:r>
      <w:r>
        <w:rPr>
          <w:spacing w:val="-3"/>
        </w:rPr>
        <w:t> </w:t>
      </w:r>
      <w:r>
        <w:rPr/>
        <w:t>του</w:t>
      </w:r>
      <w:r>
        <w:rPr>
          <w:spacing w:val="-4"/>
        </w:rPr>
        <w:t> </w:t>
      </w:r>
      <w:r>
        <w:rPr/>
        <w:t>θετικού αντικυ-κλικού</w:t>
      </w:r>
      <w:r>
        <w:rPr>
          <w:spacing w:val="-10"/>
        </w:rPr>
        <w:t> </w:t>
      </w:r>
      <w:r>
        <w:rPr/>
        <w:t>κεφαλαιακού</w:t>
      </w:r>
      <w:r>
        <w:rPr>
          <w:spacing w:val="-10"/>
        </w:rPr>
        <w:t> </w:t>
      </w:r>
      <w:r>
        <w:rPr/>
        <w:t>αποθέματος</w:t>
      </w:r>
      <w:r>
        <w:rPr>
          <w:spacing w:val="-11"/>
        </w:rPr>
        <w:t> </w:t>
      </w:r>
      <w:r>
        <w:rPr/>
        <w:t>ασφαλείας</w:t>
      </w:r>
      <w:r>
        <w:rPr>
          <w:spacing w:val="-10"/>
        </w:rPr>
        <w:t> </w:t>
      </w:r>
      <w:r>
        <w:rPr/>
        <w:t>σε</w:t>
      </w:r>
      <w:r>
        <w:rPr>
          <w:spacing w:val="-10"/>
        </w:rPr>
        <w:t> </w:t>
      </w:r>
      <w:r>
        <w:rPr/>
        <w:t>ουδέτερο</w:t>
      </w:r>
      <w:r>
        <w:rPr>
          <w:spacing w:val="-10"/>
        </w:rPr>
        <w:t> </w:t>
      </w:r>
      <w:r>
        <w:rPr/>
        <w:t>περιβάλλον</w:t>
      </w:r>
      <w:r>
        <w:rPr>
          <w:spacing w:val="-10"/>
        </w:rPr>
        <w:t> </w:t>
      </w:r>
      <w:r>
        <w:rPr/>
        <w:t>κινδύνου</w:t>
      </w:r>
      <w:r>
        <w:rPr>
          <w:spacing w:val="-10"/>
        </w:rPr>
        <w:t> </w:t>
      </w:r>
      <w:r>
        <w:rPr/>
        <w:t>(PN</w:t>
      </w:r>
      <w:r>
        <w:rPr>
          <w:spacing w:val="-11"/>
        </w:rPr>
        <w:t> </w:t>
      </w:r>
      <w:r>
        <w:rPr/>
        <w:t>CCyB</w:t>
      </w:r>
      <w:r>
        <w:rPr>
          <w:spacing w:val="-10"/>
        </w:rPr>
        <w:t> </w:t>
      </w:r>
      <w:r>
        <w:rPr/>
        <w:t>target rate).</w:t>
      </w:r>
      <w:r>
        <w:rPr>
          <w:spacing w:val="-3"/>
        </w:rPr>
        <w:t> </w:t>
      </w:r>
      <w:r>
        <w:rPr/>
        <w:t>Εφόσον</w:t>
      </w:r>
      <w:r>
        <w:rPr>
          <w:spacing w:val="-1"/>
        </w:rPr>
        <w:t> </w:t>
      </w:r>
      <w:r>
        <w:rPr/>
        <w:t>η αξιολόγηση της</w:t>
      </w:r>
      <w:r>
        <w:rPr>
          <w:spacing w:val="-1"/>
        </w:rPr>
        <w:t> </w:t>
      </w:r>
      <w:r>
        <w:rPr/>
        <w:t>έντασης</w:t>
      </w:r>
      <w:r>
        <w:rPr>
          <w:spacing w:val="-1"/>
        </w:rPr>
        <w:t> </w:t>
      </w:r>
      <w:r>
        <w:rPr/>
        <w:t>των κυκλικών</w:t>
      </w:r>
      <w:r>
        <w:rPr>
          <w:spacing w:val="-1"/>
        </w:rPr>
        <w:t> </w:t>
      </w:r>
      <w:r>
        <w:rPr/>
        <w:t>συστημικών</w:t>
      </w:r>
      <w:r>
        <w:rPr>
          <w:spacing w:val="-1"/>
        </w:rPr>
        <w:t> </w:t>
      </w:r>
      <w:r>
        <w:rPr/>
        <w:t>κινδύνων</w:t>
      </w:r>
      <w:r>
        <w:rPr>
          <w:spacing w:val="-1"/>
        </w:rPr>
        <w:t> </w:t>
      </w:r>
      <w:r>
        <w:rPr/>
        <w:t>από την</w:t>
      </w:r>
      <w:r>
        <w:rPr>
          <w:spacing w:val="-2"/>
        </w:rPr>
        <w:t> </w:t>
      </w:r>
      <w:r>
        <w:rPr/>
        <w:t>Τράπεζα της Ελλάδος διαπιστώνει τη συσσώρευσή τους, η Τράπεζα της Ελλάδος μπορεί να αποφασίσει την αύξηση του ποσοστού αντικυκλικού κεφαλαιακού αποθέματος ασφαλείας σε επίπεδο υψη-λότερο από το επιδιωκόμενο ποσοστό θετικού αντικυκλικού κεφαλαιακού αποθέματος ασφα-λείας</w:t>
      </w:r>
      <w:r>
        <w:rPr>
          <w:spacing w:val="-3"/>
        </w:rPr>
        <w:t> </w:t>
      </w:r>
      <w:r>
        <w:rPr/>
        <w:t>σε ουδέτερο περιβάλλον κινδύνου με σκοπό την</w:t>
      </w:r>
      <w:r>
        <w:rPr>
          <w:spacing w:val="-1"/>
        </w:rPr>
        <w:t> </w:t>
      </w:r>
      <w:r>
        <w:rPr/>
        <w:t>αποτροπή ή τη μείωση της</w:t>
      </w:r>
      <w:r>
        <w:rPr>
          <w:spacing w:val="-4"/>
        </w:rPr>
        <w:t> </w:t>
      </w:r>
      <w:r>
        <w:rPr/>
        <w:t>συσσώρευσης</w:t>
      </w:r>
    </w:p>
    <w:p>
      <w:pPr>
        <w:pStyle w:val="BodyText"/>
        <w:rPr>
          <w:sz w:val="20"/>
        </w:rPr>
      </w:pPr>
    </w:p>
    <w:p>
      <w:pPr>
        <w:pStyle w:val="BodyText"/>
        <w:spacing w:before="162"/>
        <w:rPr>
          <w:sz w:val="20"/>
        </w:rPr>
      </w:pPr>
      <w:r>
        <w:rPr>
          <w:sz w:val="20"/>
        </w:rPr>
        <mc:AlternateContent>
          <mc:Choice Requires="wps">
            <w:drawing>
              <wp:anchor distT="0" distB="0" distL="0" distR="0" allowOverlap="1" layoutInCell="1" locked="0" behindDoc="1" simplePos="0" relativeHeight="487638016">
                <wp:simplePos x="0" y="0"/>
                <wp:positionH relativeFrom="page">
                  <wp:posOffset>1009192</wp:posOffset>
                </wp:positionH>
                <wp:positionV relativeFrom="paragraph">
                  <wp:posOffset>264641</wp:posOffset>
                </wp:positionV>
                <wp:extent cx="1829435" cy="7620"/>
                <wp:effectExtent l="0" t="0" r="0" b="0"/>
                <wp:wrapTopAndBottom/>
                <wp:docPr id="532" name="Graphic 532"/>
                <wp:cNvGraphicFramePr>
                  <a:graphicFrameLocks/>
                </wp:cNvGraphicFramePr>
                <a:graphic>
                  <a:graphicData uri="http://schemas.microsoft.com/office/word/2010/wordprocessingShape">
                    <wps:wsp>
                      <wps:cNvPr id="532" name="Graphic 53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0.837923pt;width:144.020pt;height:.60004pt;mso-position-horizontal-relative:page;mso-position-vertical-relative:paragraph;z-index:-15678464;mso-wrap-distance-left:0;mso-wrap-distance-right:0" id="docshape504" filled="true" fillcolor="#000000" stroked="false">
                <v:fill type="solid"/>
                <w10:wrap type="topAndBottom"/>
              </v:rect>
            </w:pict>
          </mc:Fallback>
        </mc:AlternateContent>
      </w:r>
    </w:p>
    <w:p>
      <w:pPr>
        <w:spacing w:before="167"/>
        <w:ind w:left="172" w:right="956" w:firstLine="0"/>
        <w:jc w:val="both"/>
        <w:rPr>
          <w:sz w:val="16"/>
        </w:rPr>
      </w:pPr>
      <w:bookmarkStart w:name="_bookmark88" w:id="89"/>
      <w:bookmarkEnd w:id="89"/>
      <w:r>
        <w:rPr/>
      </w:r>
      <w:r>
        <w:rPr>
          <w:sz w:val="16"/>
          <w:vertAlign w:val="superscript"/>
        </w:rPr>
        <w:t>60</w:t>
      </w:r>
      <w:r>
        <w:rPr>
          <w:sz w:val="16"/>
          <w:vertAlign w:val="baseline"/>
        </w:rPr>
        <w:t> “Εφαρμογή αντικυκλικού κεφαλαιακού αποθέματος ασφαλείας στην Ελλάδα – Κατάργηση της Πράξης Εκτελεστικής Επιτροπής</w:t>
      </w:r>
      <w:r>
        <w:rPr>
          <w:spacing w:val="40"/>
          <w:sz w:val="16"/>
          <w:vertAlign w:val="baseline"/>
        </w:rPr>
        <w:t> </w:t>
      </w:r>
      <w:r>
        <w:rPr>
          <w:spacing w:val="-2"/>
          <w:sz w:val="16"/>
          <w:vertAlign w:val="baseline"/>
        </w:rPr>
        <w:t>202/1/11.03.2022”.</w:t>
      </w:r>
    </w:p>
    <w:p>
      <w:pPr>
        <w:spacing w:before="19"/>
        <w:ind w:left="172" w:right="959" w:firstLine="0"/>
        <w:jc w:val="both"/>
        <w:rPr>
          <w:sz w:val="16"/>
        </w:rPr>
      </w:pPr>
      <w:bookmarkStart w:name="_bookmark89" w:id="90"/>
      <w:bookmarkEnd w:id="90"/>
      <w:r>
        <w:rPr/>
      </w:r>
      <w:r>
        <w:rPr>
          <w:sz w:val="16"/>
          <w:vertAlign w:val="superscript"/>
        </w:rPr>
        <w:t>61</w:t>
      </w:r>
      <w:r>
        <w:rPr>
          <w:sz w:val="16"/>
          <w:vertAlign w:val="baseline"/>
        </w:rPr>
        <w:t> Η Τράπεζα της Ελλάδος ως εντεταλμένη αρχή δύναται να καθορίζει ποσοστό αντικυκλικού κεφαλαιακού αποθέματος ασφαλείας</w:t>
      </w:r>
      <w:r>
        <w:rPr>
          <w:spacing w:val="40"/>
          <w:sz w:val="16"/>
          <w:vertAlign w:val="baseline"/>
        </w:rPr>
        <w:t> </w:t>
      </w:r>
      <w:r>
        <w:rPr>
          <w:sz w:val="16"/>
          <w:vertAlign w:val="baseline"/>
        </w:rPr>
        <w:t>σε</w:t>
      </w:r>
      <w:r>
        <w:rPr>
          <w:spacing w:val="-4"/>
          <w:sz w:val="16"/>
          <w:vertAlign w:val="baseline"/>
        </w:rPr>
        <w:t> </w:t>
      </w:r>
      <w:r>
        <w:rPr>
          <w:sz w:val="16"/>
          <w:vertAlign w:val="baseline"/>
        </w:rPr>
        <w:t>ύψος</w:t>
      </w:r>
      <w:r>
        <w:rPr>
          <w:spacing w:val="-2"/>
          <w:sz w:val="16"/>
          <w:vertAlign w:val="baseline"/>
        </w:rPr>
        <w:t> </w:t>
      </w:r>
      <w:r>
        <w:rPr>
          <w:sz w:val="16"/>
          <w:vertAlign w:val="baseline"/>
        </w:rPr>
        <w:t>άνω</w:t>
      </w:r>
      <w:r>
        <w:rPr>
          <w:spacing w:val="-6"/>
          <w:sz w:val="16"/>
          <w:vertAlign w:val="baseline"/>
        </w:rPr>
        <w:t> </w:t>
      </w:r>
      <w:r>
        <w:rPr>
          <w:sz w:val="16"/>
          <w:vertAlign w:val="baseline"/>
        </w:rPr>
        <w:t>του</w:t>
      </w:r>
      <w:r>
        <w:rPr>
          <w:spacing w:val="-6"/>
          <w:sz w:val="16"/>
          <w:vertAlign w:val="baseline"/>
        </w:rPr>
        <w:t> </w:t>
      </w:r>
      <w:r>
        <w:rPr>
          <w:sz w:val="16"/>
          <w:vertAlign w:val="baseline"/>
        </w:rPr>
        <w:t>2,5%,</w:t>
      </w:r>
      <w:r>
        <w:rPr>
          <w:spacing w:val="-4"/>
          <w:sz w:val="16"/>
          <w:vertAlign w:val="baseline"/>
        </w:rPr>
        <w:t> </w:t>
      </w:r>
      <w:r>
        <w:rPr>
          <w:sz w:val="16"/>
          <w:vertAlign w:val="baseline"/>
        </w:rPr>
        <w:t>περίπτωση</w:t>
      </w:r>
      <w:r>
        <w:rPr>
          <w:spacing w:val="-6"/>
          <w:sz w:val="16"/>
          <w:vertAlign w:val="baseline"/>
        </w:rPr>
        <w:t> </w:t>
      </w:r>
      <w:r>
        <w:rPr>
          <w:sz w:val="16"/>
          <w:vertAlign w:val="baseline"/>
        </w:rPr>
        <w:t>για</w:t>
      </w:r>
      <w:r>
        <w:rPr>
          <w:spacing w:val="-6"/>
          <w:sz w:val="16"/>
          <w:vertAlign w:val="baseline"/>
        </w:rPr>
        <w:t> </w:t>
      </w:r>
      <w:r>
        <w:rPr>
          <w:sz w:val="16"/>
          <w:vertAlign w:val="baseline"/>
        </w:rPr>
        <w:t>την</w:t>
      </w:r>
      <w:r>
        <w:rPr>
          <w:spacing w:val="-6"/>
          <w:sz w:val="16"/>
          <w:vertAlign w:val="baseline"/>
        </w:rPr>
        <w:t> </w:t>
      </w:r>
      <w:r>
        <w:rPr>
          <w:sz w:val="16"/>
          <w:vertAlign w:val="baseline"/>
        </w:rPr>
        <w:t>οποία</w:t>
      </w:r>
      <w:r>
        <w:rPr>
          <w:spacing w:val="-3"/>
          <w:sz w:val="16"/>
          <w:vertAlign w:val="baseline"/>
        </w:rPr>
        <w:t> </w:t>
      </w:r>
      <w:r>
        <w:rPr>
          <w:sz w:val="16"/>
          <w:vertAlign w:val="baseline"/>
        </w:rPr>
        <w:t>ισχύουν</w:t>
      </w:r>
      <w:r>
        <w:rPr>
          <w:spacing w:val="-7"/>
          <w:sz w:val="16"/>
          <w:vertAlign w:val="baseline"/>
        </w:rPr>
        <w:t> </w:t>
      </w:r>
      <w:r>
        <w:rPr>
          <w:sz w:val="16"/>
          <w:vertAlign w:val="baseline"/>
        </w:rPr>
        <w:t>οι</w:t>
      </w:r>
      <w:r>
        <w:rPr>
          <w:spacing w:val="-5"/>
          <w:sz w:val="16"/>
          <w:vertAlign w:val="baseline"/>
        </w:rPr>
        <w:t> </w:t>
      </w:r>
      <w:r>
        <w:rPr>
          <w:sz w:val="16"/>
          <w:vertAlign w:val="baseline"/>
        </w:rPr>
        <w:t>διατάξεις</w:t>
      </w:r>
      <w:r>
        <w:rPr>
          <w:spacing w:val="-2"/>
          <w:sz w:val="16"/>
          <w:vertAlign w:val="baseline"/>
        </w:rPr>
        <w:t> </w:t>
      </w:r>
      <w:r>
        <w:rPr>
          <w:sz w:val="16"/>
          <w:vertAlign w:val="baseline"/>
        </w:rPr>
        <w:t>του</w:t>
      </w:r>
      <w:r>
        <w:rPr>
          <w:spacing w:val="-4"/>
          <w:sz w:val="16"/>
          <w:vertAlign w:val="baseline"/>
        </w:rPr>
        <w:t> </w:t>
      </w:r>
      <w:r>
        <w:rPr>
          <w:sz w:val="16"/>
          <w:vertAlign w:val="baseline"/>
        </w:rPr>
        <w:t>άρθρου</w:t>
      </w:r>
      <w:r>
        <w:rPr>
          <w:spacing w:val="-4"/>
          <w:sz w:val="16"/>
          <w:vertAlign w:val="baseline"/>
        </w:rPr>
        <w:t> </w:t>
      </w:r>
      <w:r>
        <w:rPr>
          <w:sz w:val="16"/>
          <w:vertAlign w:val="baseline"/>
        </w:rPr>
        <w:t>130</w:t>
      </w:r>
      <w:r>
        <w:rPr>
          <w:spacing w:val="-2"/>
          <w:sz w:val="16"/>
          <w:vertAlign w:val="baseline"/>
        </w:rPr>
        <w:t> </w:t>
      </w:r>
      <w:r>
        <w:rPr>
          <w:sz w:val="16"/>
          <w:vertAlign w:val="baseline"/>
        </w:rPr>
        <w:t>του</w:t>
      </w:r>
      <w:r>
        <w:rPr>
          <w:spacing w:val="-4"/>
          <w:sz w:val="16"/>
          <w:vertAlign w:val="baseline"/>
        </w:rPr>
        <w:t> </w:t>
      </w:r>
      <w:r>
        <w:rPr>
          <w:sz w:val="16"/>
          <w:vertAlign w:val="baseline"/>
        </w:rPr>
        <w:t>ν.</w:t>
      </w:r>
      <w:r>
        <w:rPr>
          <w:spacing w:val="-5"/>
          <w:sz w:val="16"/>
          <w:vertAlign w:val="baseline"/>
        </w:rPr>
        <w:t> </w:t>
      </w:r>
      <w:r>
        <w:rPr>
          <w:sz w:val="16"/>
          <w:vertAlign w:val="baseline"/>
        </w:rPr>
        <w:t>4261/2014</w:t>
      </w:r>
      <w:r>
        <w:rPr>
          <w:spacing w:val="-4"/>
          <w:sz w:val="16"/>
          <w:vertAlign w:val="baseline"/>
        </w:rPr>
        <w:t> </w:t>
      </w:r>
      <w:r>
        <w:rPr>
          <w:sz w:val="16"/>
          <w:vertAlign w:val="baseline"/>
        </w:rPr>
        <w:t>ως</w:t>
      </w:r>
      <w:r>
        <w:rPr>
          <w:spacing w:val="-2"/>
          <w:sz w:val="16"/>
          <w:vertAlign w:val="baseline"/>
        </w:rPr>
        <w:t> </w:t>
      </w:r>
      <w:r>
        <w:rPr>
          <w:sz w:val="16"/>
          <w:vertAlign w:val="baseline"/>
        </w:rPr>
        <w:t>προς</w:t>
      </w:r>
      <w:r>
        <w:rPr>
          <w:spacing w:val="-4"/>
          <w:sz w:val="16"/>
          <w:vertAlign w:val="baseline"/>
        </w:rPr>
        <w:t> </w:t>
      </w:r>
      <w:r>
        <w:rPr>
          <w:sz w:val="16"/>
          <w:vertAlign w:val="baseline"/>
        </w:rPr>
        <w:t>τον</w:t>
      </w:r>
      <w:r>
        <w:rPr>
          <w:spacing w:val="-4"/>
          <w:sz w:val="16"/>
          <w:vertAlign w:val="baseline"/>
        </w:rPr>
        <w:t> </w:t>
      </w:r>
      <w:r>
        <w:rPr>
          <w:sz w:val="16"/>
          <w:vertAlign w:val="baseline"/>
        </w:rPr>
        <w:t>υπολογισμό</w:t>
      </w:r>
      <w:r>
        <w:rPr>
          <w:spacing w:val="-2"/>
          <w:sz w:val="16"/>
          <w:vertAlign w:val="baseline"/>
        </w:rPr>
        <w:t> </w:t>
      </w:r>
      <w:r>
        <w:rPr>
          <w:sz w:val="16"/>
          <w:vertAlign w:val="baseline"/>
        </w:rPr>
        <w:t>του</w:t>
      </w:r>
      <w:r>
        <w:rPr>
          <w:spacing w:val="40"/>
          <w:sz w:val="16"/>
          <w:vertAlign w:val="baseline"/>
        </w:rPr>
        <w:t> </w:t>
      </w:r>
      <w:r>
        <w:rPr>
          <w:sz w:val="16"/>
          <w:vertAlign w:val="baseline"/>
        </w:rPr>
        <w:t>ποσοστού ειδικού αντικυκλικού κεφαλαιακού αποθέματος ασφαλείας κάθε ιδρύματος.</w:t>
      </w:r>
    </w:p>
    <w:p>
      <w:pPr>
        <w:spacing w:before="21"/>
        <w:ind w:left="172" w:right="0" w:firstLine="0"/>
        <w:jc w:val="both"/>
        <w:rPr>
          <w:sz w:val="16"/>
        </w:rPr>
      </w:pPr>
      <w:bookmarkStart w:name="_bookmark90" w:id="91"/>
      <w:bookmarkEnd w:id="91"/>
      <w:r>
        <w:rPr/>
      </w:r>
      <w:r>
        <w:rPr>
          <w:sz w:val="16"/>
          <w:vertAlign w:val="superscript"/>
        </w:rPr>
        <w:t>62</w:t>
      </w:r>
      <w:r>
        <w:rPr>
          <w:spacing w:val="-6"/>
          <w:sz w:val="16"/>
          <w:vertAlign w:val="baseline"/>
        </w:rPr>
        <w:t> </w:t>
      </w:r>
      <w:r>
        <w:rPr>
          <w:sz w:val="16"/>
          <w:vertAlign w:val="baseline"/>
        </w:rPr>
        <w:t>Το</w:t>
      </w:r>
      <w:r>
        <w:rPr>
          <w:spacing w:val="-3"/>
          <w:sz w:val="16"/>
          <w:vertAlign w:val="baseline"/>
        </w:rPr>
        <w:t> </w:t>
      </w:r>
      <w:r>
        <w:rPr>
          <w:sz w:val="16"/>
          <w:vertAlign w:val="baseline"/>
        </w:rPr>
        <w:t>συνολικό</w:t>
      </w:r>
      <w:r>
        <w:rPr>
          <w:spacing w:val="-5"/>
          <w:sz w:val="16"/>
          <w:vertAlign w:val="baseline"/>
        </w:rPr>
        <w:t> </w:t>
      </w:r>
      <w:r>
        <w:rPr>
          <w:sz w:val="16"/>
          <w:vertAlign w:val="baseline"/>
        </w:rPr>
        <w:t>ποσό</w:t>
      </w:r>
      <w:r>
        <w:rPr>
          <w:spacing w:val="-4"/>
          <w:sz w:val="16"/>
          <w:vertAlign w:val="baseline"/>
        </w:rPr>
        <w:t> </w:t>
      </w:r>
      <w:r>
        <w:rPr>
          <w:sz w:val="16"/>
          <w:vertAlign w:val="baseline"/>
        </w:rPr>
        <w:t>ανοιγμάτων</w:t>
      </w:r>
      <w:r>
        <w:rPr>
          <w:spacing w:val="-5"/>
          <w:sz w:val="16"/>
          <w:vertAlign w:val="baseline"/>
        </w:rPr>
        <w:t> </w:t>
      </w:r>
      <w:r>
        <w:rPr>
          <w:sz w:val="16"/>
          <w:vertAlign w:val="baseline"/>
        </w:rPr>
        <w:t>σε</w:t>
      </w:r>
      <w:r>
        <w:rPr>
          <w:spacing w:val="-7"/>
          <w:sz w:val="16"/>
          <w:vertAlign w:val="baseline"/>
        </w:rPr>
        <w:t> </w:t>
      </w:r>
      <w:r>
        <w:rPr>
          <w:sz w:val="16"/>
          <w:vertAlign w:val="baseline"/>
        </w:rPr>
        <w:t>κίνδυνο</w:t>
      </w:r>
      <w:r>
        <w:rPr>
          <w:spacing w:val="-4"/>
          <w:sz w:val="16"/>
          <w:vertAlign w:val="baseline"/>
        </w:rPr>
        <w:t> </w:t>
      </w:r>
      <w:r>
        <w:rPr>
          <w:sz w:val="16"/>
          <w:vertAlign w:val="baseline"/>
        </w:rPr>
        <w:t>υπολογίζεται</w:t>
      </w:r>
      <w:r>
        <w:rPr>
          <w:spacing w:val="-7"/>
          <w:sz w:val="16"/>
          <w:vertAlign w:val="baseline"/>
        </w:rPr>
        <w:t> </w:t>
      </w:r>
      <w:r>
        <w:rPr>
          <w:sz w:val="16"/>
          <w:vertAlign w:val="baseline"/>
        </w:rPr>
        <w:t>σύμφωνα</w:t>
      </w:r>
      <w:r>
        <w:rPr>
          <w:spacing w:val="-6"/>
          <w:sz w:val="16"/>
          <w:vertAlign w:val="baseline"/>
        </w:rPr>
        <w:t> </w:t>
      </w:r>
      <w:r>
        <w:rPr>
          <w:sz w:val="16"/>
          <w:vertAlign w:val="baseline"/>
        </w:rPr>
        <w:t>με</w:t>
      </w:r>
      <w:r>
        <w:rPr>
          <w:spacing w:val="-6"/>
          <w:sz w:val="16"/>
          <w:vertAlign w:val="baseline"/>
        </w:rPr>
        <w:t> </w:t>
      </w:r>
      <w:r>
        <w:rPr>
          <w:sz w:val="16"/>
          <w:vertAlign w:val="baseline"/>
        </w:rPr>
        <w:t>την</w:t>
      </w:r>
      <w:r>
        <w:rPr>
          <w:spacing w:val="-6"/>
          <w:sz w:val="16"/>
          <w:vertAlign w:val="baseline"/>
        </w:rPr>
        <w:t> </w:t>
      </w:r>
      <w:r>
        <w:rPr>
          <w:sz w:val="16"/>
          <w:vertAlign w:val="baseline"/>
        </w:rPr>
        <w:t>παράγραφο</w:t>
      </w:r>
      <w:r>
        <w:rPr>
          <w:spacing w:val="-7"/>
          <w:sz w:val="16"/>
          <w:vertAlign w:val="baseline"/>
        </w:rPr>
        <w:t> </w:t>
      </w:r>
      <w:r>
        <w:rPr>
          <w:sz w:val="16"/>
          <w:vertAlign w:val="baseline"/>
        </w:rPr>
        <w:t>3</w:t>
      </w:r>
      <w:r>
        <w:rPr>
          <w:spacing w:val="-4"/>
          <w:sz w:val="16"/>
          <w:vertAlign w:val="baseline"/>
        </w:rPr>
        <w:t> </w:t>
      </w:r>
      <w:r>
        <w:rPr>
          <w:sz w:val="16"/>
          <w:vertAlign w:val="baseline"/>
        </w:rPr>
        <w:t>του</w:t>
      </w:r>
      <w:r>
        <w:rPr>
          <w:spacing w:val="-7"/>
          <w:sz w:val="16"/>
          <w:vertAlign w:val="baseline"/>
        </w:rPr>
        <w:t> </w:t>
      </w:r>
      <w:r>
        <w:rPr>
          <w:sz w:val="16"/>
          <w:vertAlign w:val="baseline"/>
        </w:rPr>
        <w:t>άρθρου</w:t>
      </w:r>
      <w:r>
        <w:rPr>
          <w:spacing w:val="-8"/>
          <w:sz w:val="16"/>
          <w:vertAlign w:val="baseline"/>
        </w:rPr>
        <w:t> </w:t>
      </w:r>
      <w:r>
        <w:rPr>
          <w:sz w:val="16"/>
          <w:vertAlign w:val="baseline"/>
        </w:rPr>
        <w:t>92</w:t>
      </w:r>
      <w:r>
        <w:rPr>
          <w:spacing w:val="-5"/>
          <w:sz w:val="16"/>
          <w:vertAlign w:val="baseline"/>
        </w:rPr>
        <w:t> </w:t>
      </w:r>
      <w:r>
        <w:rPr>
          <w:sz w:val="16"/>
          <w:vertAlign w:val="baseline"/>
        </w:rPr>
        <w:t>του</w:t>
      </w:r>
      <w:r>
        <w:rPr>
          <w:spacing w:val="-6"/>
          <w:sz w:val="16"/>
          <w:vertAlign w:val="baseline"/>
        </w:rPr>
        <w:t> </w:t>
      </w:r>
      <w:r>
        <w:rPr>
          <w:sz w:val="16"/>
          <w:vertAlign w:val="baseline"/>
        </w:rPr>
        <w:t>Κανονισμού</w:t>
      </w:r>
      <w:r>
        <w:rPr>
          <w:spacing w:val="-7"/>
          <w:sz w:val="16"/>
          <w:vertAlign w:val="baseline"/>
        </w:rPr>
        <w:t> </w:t>
      </w:r>
      <w:r>
        <w:rPr>
          <w:sz w:val="16"/>
          <w:vertAlign w:val="baseline"/>
        </w:rPr>
        <w:t>(ΕΕ)</w:t>
      </w:r>
      <w:r>
        <w:rPr>
          <w:spacing w:val="-3"/>
          <w:sz w:val="16"/>
          <w:vertAlign w:val="baseline"/>
        </w:rPr>
        <w:t> </w:t>
      </w:r>
      <w:r>
        <w:rPr>
          <w:spacing w:val="-2"/>
          <w:sz w:val="16"/>
          <w:vertAlign w:val="baseline"/>
        </w:rPr>
        <w:t>αριθ.</w:t>
      </w:r>
    </w:p>
    <w:p>
      <w:pPr>
        <w:spacing w:before="1"/>
        <w:ind w:left="172" w:right="0" w:firstLine="0"/>
        <w:jc w:val="left"/>
        <w:rPr>
          <w:sz w:val="16"/>
        </w:rPr>
      </w:pPr>
      <w:r>
        <w:rPr>
          <w:spacing w:val="-2"/>
          <w:sz w:val="16"/>
        </w:rPr>
        <w:t>575/2013.</w:t>
      </w:r>
    </w:p>
    <w:p>
      <w:pPr>
        <w:spacing w:after="0"/>
        <w:jc w:val="left"/>
        <w:rPr>
          <w:sz w:val="16"/>
        </w:rPr>
        <w:sectPr>
          <w:pgSz w:w="11910" w:h="16850"/>
          <w:pgMar w:header="0" w:footer="1108" w:top="1800" w:bottom="1300" w:left="1417" w:right="850"/>
        </w:sectPr>
      </w:pPr>
    </w:p>
    <w:p>
      <w:pPr>
        <w:pStyle w:val="BodyText"/>
        <w:spacing w:line="285" w:lineRule="auto" w:before="66"/>
        <w:ind w:left="172" w:right="958"/>
        <w:jc w:val="both"/>
      </w:pPr>
      <w:r>
        <w:rPr/>
        <w:t>κυκλικών</w:t>
      </w:r>
      <w:r>
        <w:rPr>
          <w:spacing w:val="-2"/>
        </w:rPr>
        <w:t> </w:t>
      </w:r>
      <w:r>
        <w:rPr/>
        <w:t>συστημικών</w:t>
      </w:r>
      <w:r>
        <w:rPr>
          <w:spacing w:val="-2"/>
        </w:rPr>
        <w:t> </w:t>
      </w:r>
      <w:r>
        <w:rPr/>
        <w:t>κινδύνων</w:t>
      </w:r>
      <w:r>
        <w:rPr>
          <w:spacing w:val="-2"/>
        </w:rPr>
        <w:t> </w:t>
      </w:r>
      <w:r>
        <w:rPr/>
        <w:t>και</w:t>
      </w:r>
      <w:r>
        <w:rPr>
          <w:spacing w:val="-1"/>
        </w:rPr>
        <w:t> </w:t>
      </w:r>
      <w:r>
        <w:rPr/>
        <w:t>την</w:t>
      </w:r>
      <w:r>
        <w:rPr>
          <w:spacing w:val="-2"/>
        </w:rPr>
        <w:t> </w:t>
      </w:r>
      <w:r>
        <w:rPr/>
        <w:t>πρόληψη</w:t>
      </w:r>
      <w:r>
        <w:rPr>
          <w:spacing w:val="-3"/>
        </w:rPr>
        <w:t> </w:t>
      </w:r>
      <w:r>
        <w:rPr/>
        <w:t>και</w:t>
      </w:r>
      <w:r>
        <w:rPr>
          <w:spacing w:val="-3"/>
        </w:rPr>
        <w:t> </w:t>
      </w:r>
      <w:r>
        <w:rPr/>
        <w:t>τον</w:t>
      </w:r>
      <w:r>
        <w:rPr>
          <w:spacing w:val="-2"/>
        </w:rPr>
        <w:t> </w:t>
      </w:r>
      <w:r>
        <w:rPr/>
        <w:t>περιορισμό</w:t>
      </w:r>
      <w:r>
        <w:rPr>
          <w:spacing w:val="-3"/>
        </w:rPr>
        <w:t> </w:t>
      </w:r>
      <w:r>
        <w:rPr/>
        <w:t>της</w:t>
      </w:r>
      <w:r>
        <w:rPr>
          <w:spacing w:val="-5"/>
        </w:rPr>
        <w:t> </w:t>
      </w:r>
      <w:r>
        <w:rPr/>
        <w:t>υπερβολικής</w:t>
      </w:r>
      <w:r>
        <w:rPr>
          <w:spacing w:val="-5"/>
        </w:rPr>
        <w:t> </w:t>
      </w:r>
      <w:r>
        <w:rPr/>
        <w:t>πιστωτι-κής επέκτασης και μόχλευσης.</w:t>
      </w:r>
    </w:p>
    <w:p>
      <w:pPr>
        <w:pStyle w:val="BodyText"/>
        <w:spacing w:line="285" w:lineRule="auto" w:before="58"/>
        <w:ind w:left="172" w:right="955"/>
        <w:jc w:val="both"/>
      </w:pPr>
      <w:r>
        <w:rPr/>
        <w:t>Αντίθετα,</w:t>
      </w:r>
      <w:r>
        <w:rPr>
          <w:spacing w:val="-1"/>
        </w:rPr>
        <w:t> </w:t>
      </w:r>
      <w:r>
        <w:rPr/>
        <w:t>στην καθοδική</w:t>
      </w:r>
      <w:r>
        <w:rPr>
          <w:spacing w:val="-1"/>
        </w:rPr>
        <w:t> </w:t>
      </w:r>
      <w:r>
        <w:rPr/>
        <w:t>φάση του οικονομικού κύκλου ή σε περίπτωση διαταραχών, η μείωση του ποσοστού αντικυκλικού κεφαλαιακού αποθέματος</w:t>
      </w:r>
      <w:r>
        <w:rPr>
          <w:spacing w:val="-3"/>
        </w:rPr>
        <w:t> </w:t>
      </w:r>
      <w:r>
        <w:rPr/>
        <w:t>ασφαλείας ή</w:t>
      </w:r>
      <w:r>
        <w:rPr>
          <w:spacing w:val="-1"/>
        </w:rPr>
        <w:t> </w:t>
      </w:r>
      <w:r>
        <w:rPr/>
        <w:t>η πλήρης αποδέσμευσή</w:t>
      </w:r>
      <w:r>
        <w:rPr>
          <w:spacing w:val="-1"/>
        </w:rPr>
        <w:t> </w:t>
      </w:r>
      <w:r>
        <w:rPr/>
        <w:t>του (δηλ. ο καθορισμός σε μηδενικό επίπεδο) δύναται να ενθαρρύνει την παροχή πιστώσεων, συμ-βάλλοντας</w:t>
      </w:r>
      <w:r>
        <w:rPr>
          <w:spacing w:val="-4"/>
        </w:rPr>
        <w:t> </w:t>
      </w:r>
      <w:r>
        <w:rPr/>
        <w:t>έτσι</w:t>
      </w:r>
      <w:r>
        <w:rPr>
          <w:spacing w:val="-2"/>
        </w:rPr>
        <w:t> </w:t>
      </w:r>
      <w:r>
        <w:rPr/>
        <w:t>στην ομαλή</w:t>
      </w:r>
      <w:r>
        <w:rPr>
          <w:spacing w:val="-3"/>
        </w:rPr>
        <w:t> </w:t>
      </w:r>
      <w:r>
        <w:rPr/>
        <w:t>χρηματοδότηση της</w:t>
      </w:r>
      <w:r>
        <w:rPr>
          <w:spacing w:val="-1"/>
        </w:rPr>
        <w:t> </w:t>
      </w:r>
      <w:r>
        <w:rPr/>
        <w:t>πραγματικής</w:t>
      </w:r>
      <w:r>
        <w:rPr>
          <w:spacing w:val="-1"/>
        </w:rPr>
        <w:t> </w:t>
      </w:r>
      <w:r>
        <w:rPr/>
        <w:t>οικονομίας. Η</w:t>
      </w:r>
      <w:r>
        <w:rPr>
          <w:spacing w:val="-1"/>
        </w:rPr>
        <w:t> </w:t>
      </w:r>
      <w:r>
        <w:rPr/>
        <w:t>μείωση ή η</w:t>
      </w:r>
      <w:r>
        <w:rPr>
          <w:spacing w:val="-3"/>
        </w:rPr>
        <w:t> </w:t>
      </w:r>
      <w:r>
        <w:rPr/>
        <w:t>πλήρης αποδέσμευση του ισχύοντος ποσοστού αντικυκλικού κεφαλαιακού αποθέματος ασφαλείας έχει άμεση</w:t>
      </w:r>
      <w:r>
        <w:rPr>
          <w:spacing w:val="-6"/>
        </w:rPr>
        <w:t> </w:t>
      </w:r>
      <w:r>
        <w:rPr/>
        <w:t>εφαρμογή</w:t>
      </w:r>
      <w:r>
        <w:rPr>
          <w:spacing w:val="-3"/>
        </w:rPr>
        <w:t> </w:t>
      </w:r>
      <w:r>
        <w:rPr/>
        <w:t>από</w:t>
      </w:r>
      <w:r>
        <w:rPr>
          <w:spacing w:val="-3"/>
        </w:rPr>
        <w:t> </w:t>
      </w:r>
      <w:r>
        <w:rPr/>
        <w:t>την</w:t>
      </w:r>
      <w:r>
        <w:rPr>
          <w:spacing w:val="-2"/>
        </w:rPr>
        <w:t> </w:t>
      </w:r>
      <w:r>
        <w:rPr/>
        <w:t>ημερομηνία</w:t>
      </w:r>
      <w:r>
        <w:rPr>
          <w:spacing w:val="-3"/>
        </w:rPr>
        <w:t> </w:t>
      </w:r>
      <w:r>
        <w:rPr/>
        <w:t>της</w:t>
      </w:r>
      <w:r>
        <w:rPr>
          <w:spacing w:val="-4"/>
        </w:rPr>
        <w:t> </w:t>
      </w:r>
      <w:r>
        <w:rPr/>
        <w:t>ανακοίνωσής</w:t>
      </w:r>
      <w:r>
        <w:rPr>
          <w:spacing w:val="-4"/>
        </w:rPr>
        <w:t> </w:t>
      </w:r>
      <w:r>
        <w:rPr/>
        <w:t>της,</w:t>
      </w:r>
      <w:r>
        <w:rPr>
          <w:spacing w:val="-3"/>
        </w:rPr>
        <w:t> </w:t>
      </w:r>
      <w:r>
        <w:rPr/>
        <w:t>ενώ</w:t>
      </w:r>
      <w:r>
        <w:rPr>
          <w:spacing w:val="-2"/>
        </w:rPr>
        <w:t> </w:t>
      </w:r>
      <w:r>
        <w:rPr/>
        <w:t>τυχόν</w:t>
      </w:r>
      <w:r>
        <w:rPr>
          <w:spacing w:val="-2"/>
        </w:rPr>
        <w:t> </w:t>
      </w:r>
      <w:r>
        <w:rPr/>
        <w:t>αύξηση</w:t>
      </w:r>
      <w:r>
        <w:rPr>
          <w:spacing w:val="-3"/>
        </w:rPr>
        <w:t> </w:t>
      </w:r>
      <w:r>
        <w:rPr/>
        <w:t>τίθεται</w:t>
      </w:r>
      <w:r>
        <w:rPr>
          <w:spacing w:val="-6"/>
        </w:rPr>
        <w:t> </w:t>
      </w:r>
      <w:r>
        <w:rPr/>
        <w:t>σε</w:t>
      </w:r>
      <w:r>
        <w:rPr>
          <w:spacing w:val="-5"/>
        </w:rPr>
        <w:t> </w:t>
      </w:r>
      <w:r>
        <w:rPr/>
        <w:t>εφαρ-μογή το αργότερο 12 μήνες από την ημερομηνία ανακοίνωσής της.</w:t>
      </w:r>
    </w:p>
    <w:p>
      <w:pPr>
        <w:pStyle w:val="BodyText"/>
        <w:spacing w:before="1"/>
        <w:rPr>
          <w:sz w:val="15"/>
        </w:rPr>
      </w:pPr>
      <w:r>
        <w:rPr>
          <w:sz w:val="15"/>
        </w:rPr>
        <mc:AlternateContent>
          <mc:Choice Requires="wps">
            <w:drawing>
              <wp:anchor distT="0" distB="0" distL="0" distR="0" allowOverlap="1" layoutInCell="1" locked="0" behindDoc="1" simplePos="0" relativeHeight="487638528">
                <wp:simplePos x="0" y="0"/>
                <wp:positionH relativeFrom="page">
                  <wp:posOffset>998524</wp:posOffset>
                </wp:positionH>
                <wp:positionV relativeFrom="paragraph">
                  <wp:posOffset>125933</wp:posOffset>
                </wp:positionV>
                <wp:extent cx="5401945" cy="2998470"/>
                <wp:effectExtent l="0" t="0" r="0" b="0"/>
                <wp:wrapTopAndBottom/>
                <wp:docPr id="533" name="Group 533"/>
                <wp:cNvGraphicFramePr>
                  <a:graphicFrameLocks/>
                </wp:cNvGraphicFramePr>
                <a:graphic>
                  <a:graphicData uri="http://schemas.microsoft.com/office/word/2010/wordprocessingGroup">
                    <wpg:wgp>
                      <wpg:cNvPr id="533" name="Group 533"/>
                      <wpg:cNvGrpSpPr/>
                      <wpg:grpSpPr>
                        <a:xfrm>
                          <a:off x="0" y="0"/>
                          <a:ext cx="5401945" cy="2998470"/>
                          <a:chExt cx="5401945" cy="2998470"/>
                        </a:xfrm>
                      </wpg:grpSpPr>
                      <wps:wsp>
                        <wps:cNvPr id="534" name="Graphic 534"/>
                        <wps:cNvSpPr/>
                        <wps:spPr>
                          <a:xfrm>
                            <a:off x="0" y="471220"/>
                            <a:ext cx="5401945" cy="2527300"/>
                          </a:xfrm>
                          <a:custGeom>
                            <a:avLst/>
                            <a:gdLst/>
                            <a:ahLst/>
                            <a:cxnLst/>
                            <a:rect l="l" t="t" r="r" b="b"/>
                            <a:pathLst>
                              <a:path w="5401945" h="2527300">
                                <a:moveTo>
                                  <a:pt x="5401945" y="0"/>
                                </a:moveTo>
                                <a:lnTo>
                                  <a:pt x="0" y="0"/>
                                </a:lnTo>
                                <a:lnTo>
                                  <a:pt x="0" y="2310638"/>
                                </a:lnTo>
                                <a:lnTo>
                                  <a:pt x="0" y="2527046"/>
                                </a:lnTo>
                                <a:lnTo>
                                  <a:pt x="5401945" y="2527046"/>
                                </a:lnTo>
                                <a:lnTo>
                                  <a:pt x="5401945" y="2310638"/>
                                </a:lnTo>
                                <a:lnTo>
                                  <a:pt x="5401945" y="0"/>
                                </a:lnTo>
                                <a:close/>
                              </a:path>
                            </a:pathLst>
                          </a:custGeom>
                          <a:solidFill>
                            <a:srgbClr val="D9D9D9"/>
                          </a:solidFill>
                        </wps:spPr>
                        <wps:bodyPr wrap="square" lIns="0" tIns="0" rIns="0" bIns="0" rtlCol="0">
                          <a:prstTxWarp prst="textNoShape">
                            <a:avLst/>
                          </a:prstTxWarp>
                          <a:noAutofit/>
                        </wps:bodyPr>
                      </wps:wsp>
                      <pic:pic>
                        <pic:nvPicPr>
                          <pic:cNvPr id="535" name="Image 535" descr="A diagram of a graph  AI-generated content may be incorrect."/>
                          <pic:cNvPicPr/>
                        </pic:nvPicPr>
                        <pic:blipFill>
                          <a:blip r:embed="rId100" cstate="print"/>
                          <a:stretch>
                            <a:fillRect/>
                          </a:stretch>
                        </pic:blipFill>
                        <pic:spPr>
                          <a:xfrm>
                            <a:off x="52717" y="508304"/>
                            <a:ext cx="5291074" cy="2248535"/>
                          </a:xfrm>
                          <a:prstGeom prst="rect">
                            <a:avLst/>
                          </a:prstGeom>
                        </pic:spPr>
                      </pic:pic>
                      <wps:wsp>
                        <wps:cNvPr id="536" name="Textbox 536"/>
                        <wps:cNvSpPr txBox="1"/>
                        <wps:spPr>
                          <a:xfrm>
                            <a:off x="71627" y="2861587"/>
                            <a:ext cx="1056640" cy="98425"/>
                          </a:xfrm>
                          <a:prstGeom prst="rect">
                            <a:avLst/>
                          </a:prstGeom>
                        </wps:spPr>
                        <wps:txbx>
                          <w:txbxContent>
                            <w:p>
                              <w:pPr>
                                <w:spacing w:line="154" w:lineRule="exact" w:before="0"/>
                                <w:ind w:left="0"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s:wsp>
                        <wps:cNvPr id="537" name="Textbox 537"/>
                        <wps:cNvSpPr txBox="1"/>
                        <wps:spPr>
                          <a:xfrm>
                            <a:off x="0" y="0"/>
                            <a:ext cx="5401945" cy="471805"/>
                          </a:xfrm>
                          <a:prstGeom prst="rect">
                            <a:avLst/>
                          </a:prstGeom>
                          <a:solidFill>
                            <a:srgbClr val="1F487C"/>
                          </a:solidFill>
                        </wps:spPr>
                        <wps:txbx>
                          <w:txbxContent>
                            <w:p>
                              <w:pPr>
                                <w:spacing w:before="60"/>
                                <w:ind w:left="112" w:right="49"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IV.1</w:t>
                              </w:r>
                              <w:r>
                                <w:rPr>
                                  <w:b/>
                                  <w:smallCaps w:val="0"/>
                                  <w:color w:val="FFFFFF"/>
                                  <w:spacing w:val="-4"/>
                                  <w:sz w:val="18"/>
                                </w:rPr>
                                <w:t> </w:t>
                              </w:r>
                              <w:r>
                                <w:rPr>
                                  <w:b/>
                                  <w:smallCaps w:val="0"/>
                                  <w:color w:val="FFFFFF"/>
                                  <w:sz w:val="18"/>
                                </w:rPr>
                                <w:t>Γραφ</w:t>
                              </w:r>
                              <w:r>
                                <w:rPr>
                                  <w:b/>
                                  <w:smallCaps/>
                                  <w:color w:val="FFFFFF"/>
                                  <w:sz w:val="18"/>
                                </w:rPr>
                                <w:t>ι</w:t>
                              </w:r>
                              <w:r>
                                <w:rPr>
                                  <w:b/>
                                  <w:smallCaps w:val="0"/>
                                  <w:color w:val="FFFFFF"/>
                                  <w:sz w:val="18"/>
                                </w:rPr>
                                <w:t>κή</w:t>
                              </w:r>
                              <w:r>
                                <w:rPr>
                                  <w:b/>
                                  <w:smallCaps w:val="0"/>
                                  <w:color w:val="FFFFFF"/>
                                  <w:spacing w:val="-4"/>
                                  <w:sz w:val="18"/>
                                </w:rPr>
                                <w:t> </w:t>
                              </w:r>
                              <w:r>
                                <w:rPr>
                                  <w:b/>
                                  <w:smallCaps w:val="0"/>
                                  <w:color w:val="FFFFFF"/>
                                  <w:sz w:val="18"/>
                                </w:rPr>
                                <w:t>παρουσίαση</w:t>
                              </w:r>
                              <w:r>
                                <w:rPr>
                                  <w:b/>
                                  <w:smallCaps w:val="0"/>
                                  <w:color w:val="FFFFFF"/>
                                  <w:spacing w:val="-4"/>
                                  <w:sz w:val="18"/>
                                </w:rPr>
                                <w:t> </w:t>
                              </w:r>
                              <w:r>
                                <w:rPr>
                                  <w:b/>
                                  <w:smallCaps w:val="0"/>
                                  <w:color w:val="FFFFFF"/>
                                  <w:sz w:val="18"/>
                                </w:rPr>
                                <w:t>της</w:t>
                              </w:r>
                              <w:r>
                                <w:rPr>
                                  <w:b/>
                                  <w:smallCaps w:val="0"/>
                                  <w:color w:val="FFFFFF"/>
                                  <w:spacing w:val="-7"/>
                                  <w:sz w:val="18"/>
                                </w:rPr>
                                <w:t> </w:t>
                              </w:r>
                              <w:r>
                                <w:rPr>
                                  <w:b/>
                                  <w:smallCaps w:val="0"/>
                                  <w:color w:val="FFFFFF"/>
                                  <w:sz w:val="18"/>
                                </w:rPr>
                                <w:t>δημ</w:t>
                              </w:r>
                              <w:r>
                                <w:rPr>
                                  <w:b/>
                                  <w:smallCaps/>
                                  <w:color w:val="FFFFFF"/>
                                  <w:sz w:val="18"/>
                                </w:rPr>
                                <w:t>ιο</w:t>
                              </w:r>
                              <w:r>
                                <w:rPr>
                                  <w:b/>
                                  <w:smallCaps w:val="0"/>
                                  <w:color w:val="FFFFFF"/>
                                  <w:sz w:val="18"/>
                                </w:rPr>
                                <w:t>υργίας</w:t>
                              </w:r>
                              <w:r>
                                <w:rPr>
                                  <w:b/>
                                  <w:smallCaps w:val="0"/>
                                  <w:color w:val="FFFFFF"/>
                                  <w:spacing w:val="-4"/>
                                  <w:sz w:val="18"/>
                                </w:rPr>
                                <w:t> </w:t>
                              </w:r>
                              <w:r>
                                <w:rPr>
                                  <w:b/>
                                  <w:smallCaps w:val="0"/>
                                  <w:color w:val="FFFFFF"/>
                                  <w:sz w:val="18"/>
                                </w:rPr>
                                <w:t>κα</w:t>
                              </w:r>
                              <w:r>
                                <w:rPr>
                                  <w:b/>
                                  <w:smallCaps/>
                                  <w:color w:val="FFFFFF"/>
                                  <w:sz w:val="18"/>
                                </w:rPr>
                                <w:t>ι</w:t>
                              </w:r>
                              <w:r>
                                <w:rPr>
                                  <w:b/>
                                  <w:smallCaps w:val="0"/>
                                  <w:color w:val="FFFFFF"/>
                                  <w:spacing w:val="-7"/>
                                  <w:sz w:val="18"/>
                                </w:rPr>
                                <w:t> </w:t>
                              </w:r>
                              <w:r>
                                <w:rPr>
                                  <w:b/>
                                  <w:smallCaps w:val="0"/>
                                  <w:color w:val="FFFFFF"/>
                                  <w:sz w:val="18"/>
                                </w:rPr>
                                <w:t>αποδέσμευσης</w:t>
                              </w:r>
                              <w:r>
                                <w:rPr>
                                  <w:b/>
                                  <w:smallCaps w:val="0"/>
                                  <w:color w:val="FFFFFF"/>
                                  <w:spacing w:val="-7"/>
                                  <w:sz w:val="18"/>
                                </w:rPr>
                                <w:t> </w:t>
                              </w:r>
                              <w:r>
                                <w:rPr>
                                  <w:b/>
                                  <w:smallCaps w:val="0"/>
                                  <w:color w:val="FFFFFF"/>
                                  <w:sz w:val="18"/>
                                </w:rPr>
                                <w:t>του</w:t>
                              </w:r>
                              <w:r>
                                <w:rPr>
                                  <w:b/>
                                  <w:smallCaps w:val="0"/>
                                  <w:color w:val="FFFFFF"/>
                                  <w:spacing w:val="-7"/>
                                  <w:sz w:val="18"/>
                                </w:rPr>
                                <w:t> </w:t>
                              </w:r>
                              <w:r>
                                <w:rPr>
                                  <w:b/>
                                  <w:smallCaps w:val="0"/>
                                  <w:color w:val="FFFFFF"/>
                                  <w:sz w:val="18"/>
                                </w:rPr>
                                <w:t>αντ</w:t>
                              </w:r>
                              <w:r>
                                <w:rPr>
                                  <w:b/>
                                  <w:smallCaps/>
                                  <w:color w:val="FFFFFF"/>
                                  <w:sz w:val="18"/>
                                </w:rPr>
                                <w:t>ι</w:t>
                              </w:r>
                              <w:r>
                                <w:rPr>
                                  <w:b/>
                                  <w:smallCaps w:val="0"/>
                                  <w:color w:val="FFFFFF"/>
                                  <w:sz w:val="18"/>
                                </w:rPr>
                                <w:t>κυκλ</w:t>
                              </w:r>
                              <w:r>
                                <w:rPr>
                                  <w:b/>
                                  <w:smallCaps/>
                                  <w:color w:val="FFFFFF"/>
                                  <w:sz w:val="18"/>
                                </w:rPr>
                                <w:t>ι</w:t>
                              </w:r>
                              <w:r>
                                <w:rPr>
                                  <w:b/>
                                  <w:smallCaps w:val="0"/>
                                  <w:color w:val="FFFFFF"/>
                                  <w:sz w:val="18"/>
                                </w:rPr>
                                <w:t>κού</w:t>
                              </w:r>
                              <w:r>
                                <w:rPr>
                                  <w:b/>
                                  <w:smallCaps w:val="0"/>
                                  <w:color w:val="FFFFFF"/>
                                  <w:spacing w:val="-7"/>
                                  <w:sz w:val="18"/>
                                </w:rPr>
                                <w:t> </w:t>
                              </w:r>
                              <w:r>
                                <w:rPr>
                                  <w:b/>
                                  <w:smallCaps w:val="0"/>
                                  <w:color w:val="FFFFFF"/>
                                  <w:sz w:val="18"/>
                                </w:rPr>
                                <w:t>κεφαλα</w:t>
                              </w:r>
                              <w:r>
                                <w:rPr>
                                  <w:b/>
                                  <w:smallCaps/>
                                  <w:color w:val="FFFFFF"/>
                                  <w:sz w:val="18"/>
                                </w:rPr>
                                <w:t>ι</w:t>
                              </w:r>
                              <w:r>
                                <w:rPr>
                                  <w:b/>
                                  <w:smallCaps w:val="0"/>
                                  <w:color w:val="FFFFFF"/>
                                  <w:sz w:val="18"/>
                                </w:rPr>
                                <w:t>ακού αποθέματος ασφαλείας ανάλογα με την ένταση των κυκλ</w:t>
                              </w:r>
                              <w:r>
                                <w:rPr>
                                  <w:b/>
                                  <w:smallCaps/>
                                  <w:color w:val="FFFFFF"/>
                                  <w:sz w:val="18"/>
                                </w:rPr>
                                <w:t>ι</w:t>
                              </w:r>
                              <w:r>
                                <w:rPr>
                                  <w:b/>
                                  <w:smallCaps w:val="0"/>
                                  <w:color w:val="FFFFFF"/>
                                  <w:sz w:val="18"/>
                                </w:rPr>
                                <w:t>κών συστημ</w:t>
                              </w:r>
                              <w:r>
                                <w:rPr>
                                  <w:b/>
                                  <w:smallCaps/>
                                  <w:color w:val="FFFFFF"/>
                                  <w:sz w:val="18"/>
                                </w:rPr>
                                <w:t>ι</w:t>
                              </w:r>
                              <w:r>
                                <w:rPr>
                                  <w:b/>
                                  <w:smallCaps w:val="0"/>
                                  <w:color w:val="FFFFFF"/>
                                  <w:sz w:val="18"/>
                                </w:rPr>
                                <w:t>κών κ</w:t>
                              </w:r>
                              <w:r>
                                <w:rPr>
                                  <w:b/>
                                  <w:smallCaps/>
                                  <w:color w:val="FFFFFF"/>
                                  <w:sz w:val="18"/>
                                </w:rPr>
                                <w:t>ιν</w:t>
                              </w:r>
                              <w:r>
                                <w:rPr>
                                  <w:b/>
                                  <w:smallCaps w:val="0"/>
                                  <w:color w:val="FFFFFF"/>
                                  <w:sz w:val="18"/>
                                </w:rPr>
                                <w:t>δύνων στ</w:t>
                              </w:r>
                              <w:r>
                                <w:rPr>
                                  <w:b/>
                                  <w:smallCaps/>
                                  <w:color w:val="FFFFFF"/>
                                  <w:sz w:val="18"/>
                                </w:rPr>
                                <w:t>ι</w:t>
                              </w:r>
                              <w:r>
                                <w:rPr>
                                  <w:b/>
                                  <w:smallCaps w:val="0"/>
                                  <w:color w:val="FFFFFF"/>
                                  <w:sz w:val="18"/>
                                </w:rPr>
                                <w:t>ς τέσσερ</w:t>
                              </w:r>
                              <w:r>
                                <w:rPr>
                                  <w:b/>
                                  <w:smallCaps/>
                                  <w:color w:val="FFFFFF"/>
                                  <w:sz w:val="18"/>
                                </w:rPr>
                                <w:t>ι</w:t>
                              </w:r>
                              <w:r>
                                <w:rPr>
                                  <w:b/>
                                  <w:smallCaps w:val="0"/>
                                  <w:color w:val="FFFFFF"/>
                                  <w:sz w:val="18"/>
                                </w:rPr>
                                <w:t>ς φάσε</w:t>
                              </w:r>
                              <w:r>
                                <w:rPr>
                                  <w:b/>
                                  <w:smallCaps/>
                                  <w:color w:val="FFFFFF"/>
                                  <w:sz w:val="18"/>
                                </w:rPr>
                                <w:t>ι</w:t>
                              </w:r>
                              <w:r>
                                <w:rPr>
                                  <w:b/>
                                  <w:smallCaps w:val="0"/>
                                  <w:color w:val="FFFFFF"/>
                                  <w:sz w:val="18"/>
                                </w:rPr>
                                <w:t>ς του ο</w:t>
                              </w:r>
                              <w:r>
                                <w:rPr>
                                  <w:b/>
                                  <w:smallCaps/>
                                  <w:color w:val="FFFFFF"/>
                                  <w:sz w:val="18"/>
                                </w:rPr>
                                <w:t>ι</w:t>
                              </w:r>
                              <w:r>
                                <w:rPr>
                                  <w:b/>
                                  <w:smallCaps w:val="0"/>
                                  <w:color w:val="FFFFFF"/>
                                  <w:sz w:val="18"/>
                                </w:rPr>
                                <w:t>κονομ</w:t>
                              </w:r>
                              <w:r>
                                <w:rPr>
                                  <w:b/>
                                  <w:smallCaps/>
                                  <w:color w:val="FFFFFF"/>
                                  <w:sz w:val="18"/>
                                </w:rPr>
                                <w:t>ι</w:t>
                              </w:r>
                              <w:r>
                                <w:rPr>
                                  <w:b/>
                                  <w:smallCaps w:val="0"/>
                                  <w:color w:val="FFFFFF"/>
                                  <w:sz w:val="18"/>
                                </w:rPr>
                                <w:t>κού κα</w:t>
                              </w:r>
                              <w:r>
                                <w:rPr>
                                  <w:b/>
                                  <w:smallCaps/>
                                  <w:color w:val="FFFFFF"/>
                                  <w:sz w:val="18"/>
                                </w:rPr>
                                <w:t>ι</w:t>
                              </w:r>
                              <w:r>
                                <w:rPr>
                                  <w:b/>
                                  <w:smallCaps w:val="0"/>
                                  <w:color w:val="FFFFFF"/>
                                  <w:sz w:val="18"/>
                                </w:rPr>
                                <w:t> 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κού κύκλου</w:t>
                              </w:r>
                            </w:p>
                          </w:txbxContent>
                        </wps:txbx>
                        <wps:bodyPr wrap="square" lIns="0" tIns="0" rIns="0" bIns="0" rtlCol="0">
                          <a:noAutofit/>
                        </wps:bodyPr>
                      </wps:wsp>
                    </wpg:wgp>
                  </a:graphicData>
                </a:graphic>
              </wp:anchor>
            </w:drawing>
          </mc:Choice>
          <mc:Fallback>
            <w:pict>
              <v:group style="position:absolute;margin-left:78.624001pt;margin-top:9.916005pt;width:425.35pt;height:236.1pt;mso-position-horizontal-relative:page;mso-position-vertical-relative:paragraph;z-index:-15677952;mso-wrap-distance-left:0;mso-wrap-distance-right:0" id="docshapegroup505" coordorigin="1572,198" coordsize="8507,4722">
                <v:shape style="position:absolute;left:1572;top:940;width:8507;height:3980" id="docshape506" coordorigin="1572,940" coordsize="8507,3980" path="m10079,940l1572,940,1572,4579,1572,4920,10079,4920,10079,4579,10079,940xe" filled="true" fillcolor="#d9d9d9" stroked="false">
                  <v:path arrowok="t"/>
                  <v:fill type="solid"/>
                </v:shape>
                <v:shape style="position:absolute;left:1655;top:998;width:8333;height:3541" type="#_x0000_t75" id="docshape507" alt="A diagram of a graph  AI-generated content may be incorrect." stroked="false">
                  <v:imagedata r:id="rId100" o:title=""/>
                </v:shape>
                <v:shape style="position:absolute;left:1685;top:4704;width:1664;height:155" type="#_x0000_t202" id="docshape508" filled="false" stroked="false">
                  <v:textbox inset="0,0,0,0">
                    <w:txbxContent>
                      <w:p>
                        <w:pPr>
                          <w:spacing w:line="154" w:lineRule="exact" w:before="0"/>
                          <w:ind w:left="0"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v:textbox>
                  <w10:wrap type="none"/>
                </v:shape>
                <v:shape style="position:absolute;left:1572;top:198;width:8507;height:743" type="#_x0000_t202" id="docshape509" filled="true" fillcolor="#1f487c" stroked="false">
                  <v:textbox inset="0,0,0,0">
                    <w:txbxContent>
                      <w:p>
                        <w:pPr>
                          <w:spacing w:before="60"/>
                          <w:ind w:left="112" w:right="49"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IV.1</w:t>
                        </w:r>
                        <w:r>
                          <w:rPr>
                            <w:b/>
                            <w:smallCaps w:val="0"/>
                            <w:color w:val="FFFFFF"/>
                            <w:spacing w:val="-4"/>
                            <w:sz w:val="18"/>
                          </w:rPr>
                          <w:t> </w:t>
                        </w:r>
                        <w:r>
                          <w:rPr>
                            <w:b/>
                            <w:smallCaps w:val="0"/>
                            <w:color w:val="FFFFFF"/>
                            <w:sz w:val="18"/>
                          </w:rPr>
                          <w:t>Γραφ</w:t>
                        </w:r>
                        <w:r>
                          <w:rPr>
                            <w:b/>
                            <w:smallCaps/>
                            <w:color w:val="FFFFFF"/>
                            <w:sz w:val="18"/>
                          </w:rPr>
                          <w:t>ι</w:t>
                        </w:r>
                        <w:r>
                          <w:rPr>
                            <w:b/>
                            <w:smallCaps w:val="0"/>
                            <w:color w:val="FFFFFF"/>
                            <w:sz w:val="18"/>
                          </w:rPr>
                          <w:t>κή</w:t>
                        </w:r>
                        <w:r>
                          <w:rPr>
                            <w:b/>
                            <w:smallCaps w:val="0"/>
                            <w:color w:val="FFFFFF"/>
                            <w:spacing w:val="-4"/>
                            <w:sz w:val="18"/>
                          </w:rPr>
                          <w:t> </w:t>
                        </w:r>
                        <w:r>
                          <w:rPr>
                            <w:b/>
                            <w:smallCaps w:val="0"/>
                            <w:color w:val="FFFFFF"/>
                            <w:sz w:val="18"/>
                          </w:rPr>
                          <w:t>παρουσίαση</w:t>
                        </w:r>
                        <w:r>
                          <w:rPr>
                            <w:b/>
                            <w:smallCaps w:val="0"/>
                            <w:color w:val="FFFFFF"/>
                            <w:spacing w:val="-4"/>
                            <w:sz w:val="18"/>
                          </w:rPr>
                          <w:t> </w:t>
                        </w:r>
                        <w:r>
                          <w:rPr>
                            <w:b/>
                            <w:smallCaps w:val="0"/>
                            <w:color w:val="FFFFFF"/>
                            <w:sz w:val="18"/>
                          </w:rPr>
                          <w:t>της</w:t>
                        </w:r>
                        <w:r>
                          <w:rPr>
                            <w:b/>
                            <w:smallCaps w:val="0"/>
                            <w:color w:val="FFFFFF"/>
                            <w:spacing w:val="-7"/>
                            <w:sz w:val="18"/>
                          </w:rPr>
                          <w:t> </w:t>
                        </w:r>
                        <w:r>
                          <w:rPr>
                            <w:b/>
                            <w:smallCaps w:val="0"/>
                            <w:color w:val="FFFFFF"/>
                            <w:sz w:val="18"/>
                          </w:rPr>
                          <w:t>δημ</w:t>
                        </w:r>
                        <w:r>
                          <w:rPr>
                            <w:b/>
                            <w:smallCaps/>
                            <w:color w:val="FFFFFF"/>
                            <w:sz w:val="18"/>
                          </w:rPr>
                          <w:t>ιο</w:t>
                        </w:r>
                        <w:r>
                          <w:rPr>
                            <w:b/>
                            <w:smallCaps w:val="0"/>
                            <w:color w:val="FFFFFF"/>
                            <w:sz w:val="18"/>
                          </w:rPr>
                          <w:t>υργίας</w:t>
                        </w:r>
                        <w:r>
                          <w:rPr>
                            <w:b/>
                            <w:smallCaps w:val="0"/>
                            <w:color w:val="FFFFFF"/>
                            <w:spacing w:val="-4"/>
                            <w:sz w:val="18"/>
                          </w:rPr>
                          <w:t> </w:t>
                        </w:r>
                        <w:r>
                          <w:rPr>
                            <w:b/>
                            <w:smallCaps w:val="0"/>
                            <w:color w:val="FFFFFF"/>
                            <w:sz w:val="18"/>
                          </w:rPr>
                          <w:t>κα</w:t>
                        </w:r>
                        <w:r>
                          <w:rPr>
                            <w:b/>
                            <w:smallCaps/>
                            <w:color w:val="FFFFFF"/>
                            <w:sz w:val="18"/>
                          </w:rPr>
                          <w:t>ι</w:t>
                        </w:r>
                        <w:r>
                          <w:rPr>
                            <w:b/>
                            <w:smallCaps w:val="0"/>
                            <w:color w:val="FFFFFF"/>
                            <w:spacing w:val="-7"/>
                            <w:sz w:val="18"/>
                          </w:rPr>
                          <w:t> </w:t>
                        </w:r>
                        <w:r>
                          <w:rPr>
                            <w:b/>
                            <w:smallCaps w:val="0"/>
                            <w:color w:val="FFFFFF"/>
                            <w:sz w:val="18"/>
                          </w:rPr>
                          <w:t>αποδέσμευσης</w:t>
                        </w:r>
                        <w:r>
                          <w:rPr>
                            <w:b/>
                            <w:smallCaps w:val="0"/>
                            <w:color w:val="FFFFFF"/>
                            <w:spacing w:val="-7"/>
                            <w:sz w:val="18"/>
                          </w:rPr>
                          <w:t> </w:t>
                        </w:r>
                        <w:r>
                          <w:rPr>
                            <w:b/>
                            <w:smallCaps w:val="0"/>
                            <w:color w:val="FFFFFF"/>
                            <w:sz w:val="18"/>
                          </w:rPr>
                          <w:t>του</w:t>
                        </w:r>
                        <w:r>
                          <w:rPr>
                            <w:b/>
                            <w:smallCaps w:val="0"/>
                            <w:color w:val="FFFFFF"/>
                            <w:spacing w:val="-7"/>
                            <w:sz w:val="18"/>
                          </w:rPr>
                          <w:t> </w:t>
                        </w:r>
                        <w:r>
                          <w:rPr>
                            <w:b/>
                            <w:smallCaps w:val="0"/>
                            <w:color w:val="FFFFFF"/>
                            <w:sz w:val="18"/>
                          </w:rPr>
                          <w:t>αντ</w:t>
                        </w:r>
                        <w:r>
                          <w:rPr>
                            <w:b/>
                            <w:smallCaps/>
                            <w:color w:val="FFFFFF"/>
                            <w:sz w:val="18"/>
                          </w:rPr>
                          <w:t>ι</w:t>
                        </w:r>
                        <w:r>
                          <w:rPr>
                            <w:b/>
                            <w:smallCaps w:val="0"/>
                            <w:color w:val="FFFFFF"/>
                            <w:sz w:val="18"/>
                          </w:rPr>
                          <w:t>κυκλ</w:t>
                        </w:r>
                        <w:r>
                          <w:rPr>
                            <w:b/>
                            <w:smallCaps/>
                            <w:color w:val="FFFFFF"/>
                            <w:sz w:val="18"/>
                          </w:rPr>
                          <w:t>ι</w:t>
                        </w:r>
                        <w:r>
                          <w:rPr>
                            <w:b/>
                            <w:smallCaps w:val="0"/>
                            <w:color w:val="FFFFFF"/>
                            <w:sz w:val="18"/>
                          </w:rPr>
                          <w:t>κού</w:t>
                        </w:r>
                        <w:r>
                          <w:rPr>
                            <w:b/>
                            <w:smallCaps w:val="0"/>
                            <w:color w:val="FFFFFF"/>
                            <w:spacing w:val="-7"/>
                            <w:sz w:val="18"/>
                          </w:rPr>
                          <w:t> </w:t>
                        </w:r>
                        <w:r>
                          <w:rPr>
                            <w:b/>
                            <w:smallCaps w:val="0"/>
                            <w:color w:val="FFFFFF"/>
                            <w:sz w:val="18"/>
                          </w:rPr>
                          <w:t>κεφαλα</w:t>
                        </w:r>
                        <w:r>
                          <w:rPr>
                            <w:b/>
                            <w:smallCaps/>
                            <w:color w:val="FFFFFF"/>
                            <w:sz w:val="18"/>
                          </w:rPr>
                          <w:t>ι</w:t>
                        </w:r>
                        <w:r>
                          <w:rPr>
                            <w:b/>
                            <w:smallCaps w:val="0"/>
                            <w:color w:val="FFFFFF"/>
                            <w:sz w:val="18"/>
                          </w:rPr>
                          <w:t>ακού αποθέματος ασφαλείας ανάλογα με την ένταση των κυκλ</w:t>
                        </w:r>
                        <w:r>
                          <w:rPr>
                            <w:b/>
                            <w:smallCaps/>
                            <w:color w:val="FFFFFF"/>
                            <w:sz w:val="18"/>
                          </w:rPr>
                          <w:t>ι</w:t>
                        </w:r>
                        <w:r>
                          <w:rPr>
                            <w:b/>
                            <w:smallCaps w:val="0"/>
                            <w:color w:val="FFFFFF"/>
                            <w:sz w:val="18"/>
                          </w:rPr>
                          <w:t>κών συστημ</w:t>
                        </w:r>
                        <w:r>
                          <w:rPr>
                            <w:b/>
                            <w:smallCaps/>
                            <w:color w:val="FFFFFF"/>
                            <w:sz w:val="18"/>
                          </w:rPr>
                          <w:t>ι</w:t>
                        </w:r>
                        <w:r>
                          <w:rPr>
                            <w:b/>
                            <w:smallCaps w:val="0"/>
                            <w:color w:val="FFFFFF"/>
                            <w:sz w:val="18"/>
                          </w:rPr>
                          <w:t>κών κ</w:t>
                        </w:r>
                        <w:r>
                          <w:rPr>
                            <w:b/>
                            <w:smallCaps/>
                            <w:color w:val="FFFFFF"/>
                            <w:sz w:val="18"/>
                          </w:rPr>
                          <w:t>ιν</w:t>
                        </w:r>
                        <w:r>
                          <w:rPr>
                            <w:b/>
                            <w:smallCaps w:val="0"/>
                            <w:color w:val="FFFFFF"/>
                            <w:sz w:val="18"/>
                          </w:rPr>
                          <w:t>δύνων στ</w:t>
                        </w:r>
                        <w:r>
                          <w:rPr>
                            <w:b/>
                            <w:smallCaps/>
                            <w:color w:val="FFFFFF"/>
                            <w:sz w:val="18"/>
                          </w:rPr>
                          <w:t>ι</w:t>
                        </w:r>
                        <w:r>
                          <w:rPr>
                            <w:b/>
                            <w:smallCaps w:val="0"/>
                            <w:color w:val="FFFFFF"/>
                            <w:sz w:val="18"/>
                          </w:rPr>
                          <w:t>ς τέσσερ</w:t>
                        </w:r>
                        <w:r>
                          <w:rPr>
                            <w:b/>
                            <w:smallCaps/>
                            <w:color w:val="FFFFFF"/>
                            <w:sz w:val="18"/>
                          </w:rPr>
                          <w:t>ι</w:t>
                        </w:r>
                        <w:r>
                          <w:rPr>
                            <w:b/>
                            <w:smallCaps w:val="0"/>
                            <w:color w:val="FFFFFF"/>
                            <w:sz w:val="18"/>
                          </w:rPr>
                          <w:t>ς φάσε</w:t>
                        </w:r>
                        <w:r>
                          <w:rPr>
                            <w:b/>
                            <w:smallCaps/>
                            <w:color w:val="FFFFFF"/>
                            <w:sz w:val="18"/>
                          </w:rPr>
                          <w:t>ι</w:t>
                        </w:r>
                        <w:r>
                          <w:rPr>
                            <w:b/>
                            <w:smallCaps w:val="0"/>
                            <w:color w:val="FFFFFF"/>
                            <w:sz w:val="18"/>
                          </w:rPr>
                          <w:t>ς του ο</w:t>
                        </w:r>
                        <w:r>
                          <w:rPr>
                            <w:b/>
                            <w:smallCaps/>
                            <w:color w:val="FFFFFF"/>
                            <w:sz w:val="18"/>
                          </w:rPr>
                          <w:t>ι</w:t>
                        </w:r>
                        <w:r>
                          <w:rPr>
                            <w:b/>
                            <w:smallCaps w:val="0"/>
                            <w:color w:val="FFFFFF"/>
                            <w:sz w:val="18"/>
                          </w:rPr>
                          <w:t>κονομ</w:t>
                        </w:r>
                        <w:r>
                          <w:rPr>
                            <w:b/>
                            <w:smallCaps/>
                            <w:color w:val="FFFFFF"/>
                            <w:sz w:val="18"/>
                          </w:rPr>
                          <w:t>ι</w:t>
                        </w:r>
                        <w:r>
                          <w:rPr>
                            <w:b/>
                            <w:smallCaps w:val="0"/>
                            <w:color w:val="FFFFFF"/>
                            <w:sz w:val="18"/>
                          </w:rPr>
                          <w:t>κού κα</w:t>
                        </w:r>
                        <w:r>
                          <w:rPr>
                            <w:b/>
                            <w:smallCaps/>
                            <w:color w:val="FFFFFF"/>
                            <w:sz w:val="18"/>
                          </w:rPr>
                          <w:t>ι</w:t>
                        </w:r>
                        <w:r>
                          <w:rPr>
                            <w:b/>
                            <w:smallCaps w:val="0"/>
                            <w:color w:val="FFFFFF"/>
                            <w:sz w:val="18"/>
                          </w:rPr>
                          <w:t> 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κού κύκλου</w:t>
                        </w:r>
                      </w:p>
                    </w:txbxContent>
                  </v:textbox>
                  <v:fill type="solid"/>
                  <w10:wrap type="none"/>
                </v:shape>
                <w10:wrap type="topAndBottom"/>
              </v:group>
            </w:pict>
          </mc:Fallback>
        </mc:AlternateContent>
      </w:r>
    </w:p>
    <w:p>
      <w:pPr>
        <w:pStyle w:val="BodyText"/>
        <w:spacing w:before="21"/>
      </w:pPr>
    </w:p>
    <w:p>
      <w:pPr>
        <w:pStyle w:val="BodyText"/>
        <w:spacing w:line="285" w:lineRule="auto"/>
        <w:ind w:left="172" w:right="955"/>
        <w:jc w:val="both"/>
      </w:pPr>
      <w:r>
        <w:rPr/>
        <w:t>Στη φάση που η οικονομία ή το χρηματοπιστωτικό σύστημα ανακάμπτει μετά από σοβαρές, εν-δογενείς ή εξωγενείς, διαταραχές ή μετά από μια συστημική κρίση, το αντικυκλικό κεφαλαιακό απόθεμα ασφαλείας διατηρείται σε μηδενικό επίπεδο</w:t>
      </w:r>
      <w:r>
        <w:rPr>
          <w:spacing w:val="-1"/>
        </w:rPr>
        <w:t> </w:t>
      </w:r>
      <w:r>
        <w:rPr/>
        <w:t>προκειμένου να ενθαρρυνθεί η παροχή πι-στώσεων</w:t>
      </w:r>
      <w:r>
        <w:rPr>
          <w:spacing w:val="-2"/>
        </w:rPr>
        <w:t> </w:t>
      </w:r>
      <w:r>
        <w:rPr/>
        <w:t>και</w:t>
      </w:r>
      <w:r>
        <w:rPr>
          <w:spacing w:val="-6"/>
        </w:rPr>
        <w:t> </w:t>
      </w:r>
      <w:r>
        <w:rPr/>
        <w:t>να</w:t>
      </w:r>
      <w:r>
        <w:rPr>
          <w:spacing w:val="-3"/>
        </w:rPr>
        <w:t> </w:t>
      </w:r>
      <w:r>
        <w:rPr/>
        <w:t>διασφαλιστεί</w:t>
      </w:r>
      <w:r>
        <w:rPr>
          <w:spacing w:val="-3"/>
        </w:rPr>
        <w:t> </w:t>
      </w:r>
      <w:r>
        <w:rPr/>
        <w:t>η</w:t>
      </w:r>
      <w:r>
        <w:rPr>
          <w:spacing w:val="-5"/>
        </w:rPr>
        <w:t> </w:t>
      </w:r>
      <w:r>
        <w:rPr/>
        <w:t>ομαλή</w:t>
      </w:r>
      <w:r>
        <w:rPr>
          <w:spacing w:val="-5"/>
        </w:rPr>
        <w:t> </w:t>
      </w:r>
      <w:r>
        <w:rPr/>
        <w:t>χρηματοδότηση</w:t>
      </w:r>
      <w:r>
        <w:rPr>
          <w:spacing w:val="-3"/>
        </w:rPr>
        <w:t> </w:t>
      </w:r>
      <w:r>
        <w:rPr/>
        <w:t>της</w:t>
      </w:r>
      <w:r>
        <w:rPr>
          <w:spacing w:val="-5"/>
        </w:rPr>
        <w:t> </w:t>
      </w:r>
      <w:r>
        <w:rPr/>
        <w:t>πραγματικής</w:t>
      </w:r>
      <w:r>
        <w:rPr>
          <w:spacing w:val="-5"/>
        </w:rPr>
        <w:t> </w:t>
      </w:r>
      <w:r>
        <w:rPr/>
        <w:t>οικονομίας.</w:t>
      </w:r>
      <w:r>
        <w:rPr>
          <w:spacing w:val="-3"/>
        </w:rPr>
        <w:t> </w:t>
      </w:r>
      <w:r>
        <w:rPr/>
        <w:t>Το</w:t>
      </w:r>
      <w:r>
        <w:rPr>
          <w:spacing w:val="-3"/>
        </w:rPr>
        <w:t> </w:t>
      </w:r>
      <w:r>
        <w:rPr/>
        <w:t>αντικυ-κλικό κεφαλαιακό απόθεμα ασφαλείας παραμένει σε μηδενικό επίπεδο έως ότου η ένταση των κυκλικών συστημικών κινδύνων αξιολογηθεί ότι βρίσκεται σε ουδέτερο επίπεδο.</w:t>
      </w:r>
    </w:p>
    <w:p>
      <w:pPr>
        <w:pStyle w:val="BodyText"/>
        <w:spacing w:line="285" w:lineRule="auto" w:before="54"/>
        <w:ind w:left="172" w:right="957"/>
        <w:jc w:val="both"/>
      </w:pPr>
      <w:r>
        <w:rPr/>
        <w:t>Η Τράπεζα της Ελλάδος με την Πράξη Εκτελεστικής Επιτροπής 235/1/07.10.2024 προσδιόρισε τη διαδικασία εφαρμογής και τη μεθοδολογία καθορισμού του ποσοστού αντικυκλικού κεφα-λαιακού</w:t>
      </w:r>
      <w:r>
        <w:rPr>
          <w:spacing w:val="-1"/>
        </w:rPr>
        <w:t> </w:t>
      </w:r>
      <w:r>
        <w:rPr/>
        <w:t>αποθέματος</w:t>
      </w:r>
      <w:r>
        <w:rPr>
          <w:spacing w:val="-2"/>
        </w:rPr>
        <w:t> </w:t>
      </w:r>
      <w:r>
        <w:rPr/>
        <w:t>ασφαλείας</w:t>
      </w:r>
      <w:r>
        <w:rPr>
          <w:spacing w:val="-3"/>
        </w:rPr>
        <w:t> </w:t>
      </w:r>
      <w:r>
        <w:rPr/>
        <w:t>στην Ελλάδα</w:t>
      </w:r>
      <w:r>
        <w:rPr>
          <w:spacing w:val="-1"/>
        </w:rPr>
        <w:t> </w:t>
      </w:r>
      <w:r>
        <w:rPr/>
        <w:t>και</w:t>
      </w:r>
      <w:r>
        <w:rPr>
          <w:spacing w:val="-2"/>
        </w:rPr>
        <w:t> </w:t>
      </w:r>
      <w:r>
        <w:rPr/>
        <w:t>όρισε</w:t>
      </w:r>
      <w:r>
        <w:rPr>
          <w:spacing w:val="-2"/>
        </w:rPr>
        <w:t> </w:t>
      </w:r>
      <w:r>
        <w:rPr/>
        <w:t>το</w:t>
      </w:r>
      <w:r>
        <w:rPr>
          <w:spacing w:val="-2"/>
        </w:rPr>
        <w:t> </w:t>
      </w:r>
      <w:r>
        <w:rPr/>
        <w:t>επιδιωκόμενο ποσοστό θετικού</w:t>
      </w:r>
      <w:r>
        <w:rPr>
          <w:spacing w:val="-2"/>
        </w:rPr>
        <w:t> </w:t>
      </w:r>
      <w:r>
        <w:rPr/>
        <w:t>αντι-κυκλικού κεφαλαιακού αποθέματος ασφαλείας σε ουδέτερο περιβάλλον κινδύνου για την Ελ-λάδα στο 0,5%.</w:t>
      </w:r>
    </w:p>
    <w:p>
      <w:pPr>
        <w:pStyle w:val="BodyText"/>
        <w:spacing w:after="0" w:line="285" w:lineRule="auto"/>
        <w:jc w:val="both"/>
        <w:sectPr>
          <w:pgSz w:w="11910" w:h="16850"/>
          <w:pgMar w:header="0" w:footer="1108" w:top="1840" w:bottom="1300" w:left="1417" w:right="850"/>
        </w:sectPr>
      </w:pPr>
    </w:p>
    <w:p>
      <w:pPr>
        <w:pStyle w:val="Heading3"/>
        <w:numPr>
          <w:ilvl w:val="2"/>
          <w:numId w:val="2"/>
        </w:numPr>
        <w:tabs>
          <w:tab w:pos="738" w:val="left" w:leader="none"/>
        </w:tabs>
        <w:spacing w:line="240" w:lineRule="auto" w:before="72" w:after="0"/>
        <w:ind w:left="738" w:right="0" w:hanging="566"/>
        <w:jc w:val="both"/>
        <w:rPr>
          <w:color w:val="1F487C"/>
        </w:rPr>
      </w:pPr>
      <w:bookmarkStart w:name="_bookmark91" w:id="92"/>
      <w:bookmarkEnd w:id="92"/>
      <w:r>
        <w:rPr>
          <w:b w:val="0"/>
        </w:rPr>
      </w:r>
      <w:r>
        <w:rPr>
          <w:color w:val="1F487C"/>
        </w:rPr>
        <w:t>ΑΞΙΟΛΟΓΗΣΗ</w:t>
      </w:r>
      <w:r>
        <w:rPr>
          <w:color w:val="1F487C"/>
          <w:spacing w:val="-9"/>
        </w:rPr>
        <w:t> </w:t>
      </w:r>
      <w:r>
        <w:rPr>
          <w:color w:val="1F487C"/>
        </w:rPr>
        <w:t>ΤΩΝ</w:t>
      </w:r>
      <w:r>
        <w:rPr>
          <w:color w:val="1F487C"/>
          <w:spacing w:val="-11"/>
        </w:rPr>
        <w:t> </w:t>
      </w:r>
      <w:r>
        <w:rPr>
          <w:color w:val="1F487C"/>
        </w:rPr>
        <w:t>ΚΥΚΛΙΚΩΝ</w:t>
      </w:r>
      <w:r>
        <w:rPr>
          <w:color w:val="1F487C"/>
          <w:spacing w:val="-9"/>
        </w:rPr>
        <w:t> </w:t>
      </w:r>
      <w:r>
        <w:rPr>
          <w:color w:val="1F487C"/>
        </w:rPr>
        <w:t>ΣΥΣΤΗΜΙΚΩΝ</w:t>
      </w:r>
      <w:r>
        <w:rPr>
          <w:color w:val="1F487C"/>
          <w:spacing w:val="-8"/>
        </w:rPr>
        <w:t> </w:t>
      </w:r>
      <w:r>
        <w:rPr>
          <w:color w:val="1F487C"/>
          <w:spacing w:val="-2"/>
        </w:rPr>
        <w:t>ΚΙΝΔΥΝΩΝ</w:t>
      </w:r>
    </w:p>
    <w:p>
      <w:pPr>
        <w:pStyle w:val="BodyText"/>
        <w:spacing w:line="285" w:lineRule="auto" w:before="93"/>
        <w:ind w:left="172" w:right="954"/>
        <w:jc w:val="both"/>
      </w:pPr>
      <w:r>
        <w:rPr/>
        <w:t>Η</w:t>
      </w:r>
      <w:r>
        <w:rPr>
          <w:spacing w:val="-1"/>
        </w:rPr>
        <w:t> </w:t>
      </w:r>
      <w:r>
        <w:rPr/>
        <w:t>τριμηνιαία αξιολόγηση της</w:t>
      </w:r>
      <w:r>
        <w:rPr>
          <w:spacing w:val="-1"/>
        </w:rPr>
        <w:t> </w:t>
      </w:r>
      <w:r>
        <w:rPr/>
        <w:t>έντασης των κυκλικών συστημικών κινδύνων και της</w:t>
      </w:r>
      <w:r>
        <w:rPr>
          <w:spacing w:val="-1"/>
        </w:rPr>
        <w:t> </w:t>
      </w:r>
      <w:r>
        <w:rPr/>
        <w:t>καταλληλό-τητας</w:t>
      </w:r>
      <w:r>
        <w:rPr>
          <w:spacing w:val="-2"/>
        </w:rPr>
        <w:t> </w:t>
      </w:r>
      <w:r>
        <w:rPr/>
        <w:t>του ποσοστού αντικυκλικού κεφαλαιακού αποθέματος</w:t>
      </w:r>
      <w:r>
        <w:rPr>
          <w:spacing w:val="-3"/>
        </w:rPr>
        <w:t> </w:t>
      </w:r>
      <w:r>
        <w:rPr/>
        <w:t>ασφαλείας</w:t>
      </w:r>
      <w:r>
        <w:rPr>
          <w:spacing w:val="-2"/>
        </w:rPr>
        <w:t> </w:t>
      </w:r>
      <w:r>
        <w:rPr/>
        <w:t>για</w:t>
      </w:r>
      <w:r>
        <w:rPr>
          <w:spacing w:val="-1"/>
        </w:rPr>
        <w:t> </w:t>
      </w:r>
      <w:r>
        <w:rPr/>
        <w:t>την</w:t>
      </w:r>
      <w:r>
        <w:rPr>
          <w:spacing w:val="-1"/>
        </w:rPr>
        <w:t> </w:t>
      </w:r>
      <w:r>
        <w:rPr/>
        <w:t>Ελλάδα λαμβά-νει υπόψη, μεταξύ άλλων, την τιμή του δείκτη “τυποποιημένη διαφορά των πιστώσεων προς το ΑΕΠ”, όπως αυτός ορίζεται στη Σύσταση του Ευρωπαϊκού Συμβουλίου Συστημικού Κινδύνου ΕΣΣΚ/2014/1. Ο</w:t>
      </w:r>
      <w:r>
        <w:rPr>
          <w:spacing w:val="-3"/>
        </w:rPr>
        <w:t> </w:t>
      </w:r>
      <w:r>
        <w:rPr/>
        <w:t>δείκτης</w:t>
      </w:r>
      <w:r>
        <w:rPr>
          <w:spacing w:val="-2"/>
        </w:rPr>
        <w:t> </w:t>
      </w:r>
      <w:r>
        <w:rPr/>
        <w:t>αυτός</w:t>
      </w:r>
      <w:r>
        <w:rPr>
          <w:spacing w:val="-3"/>
        </w:rPr>
        <w:t> </w:t>
      </w:r>
      <w:r>
        <w:rPr/>
        <w:t>εκφράζει την απόκλιση του</w:t>
      </w:r>
      <w:r>
        <w:rPr>
          <w:spacing w:val="-1"/>
        </w:rPr>
        <w:t> </w:t>
      </w:r>
      <w:r>
        <w:rPr/>
        <w:t>λόγου των</w:t>
      </w:r>
      <w:r>
        <w:rPr>
          <w:spacing w:val="-1"/>
        </w:rPr>
        <w:t> </w:t>
      </w:r>
      <w:r>
        <w:rPr/>
        <w:t>πιστώσεων προς</w:t>
      </w:r>
      <w:r>
        <w:rPr>
          <w:spacing w:val="-1"/>
        </w:rPr>
        <w:t> </w:t>
      </w:r>
      <w:r>
        <w:rPr/>
        <w:t>το</w:t>
      </w:r>
      <w:r>
        <w:rPr>
          <w:spacing w:val="-3"/>
        </w:rPr>
        <w:t> </w:t>
      </w:r>
      <w:r>
        <w:rPr/>
        <w:t>ΑΕΠ από τη μακροχρόνια τάση του. Αναλυτικότερα, σε πρώτη φάση υπολογίζεται ο λόγος των βρα-χυπρόθεσμων και μακροπρόθεσμων χρεογράφων και δανείων (δηλαδή των πιστώσεων), όπως προκύπτουν από τα χρηματοoικονομικά στοιχεία παθητικού του ιδιωτικού μη χρηματοπιστωτι-κού τομέα, προς το άθροισμα των τεσσάρων τελευταίων τριμηνιαίων παρατηρήσεων του ΑΕΠ (υπολογιζόμενου</w:t>
      </w:r>
      <w:r>
        <w:rPr>
          <w:spacing w:val="-4"/>
        </w:rPr>
        <w:t> </w:t>
      </w:r>
      <w:r>
        <w:rPr/>
        <w:t>σε</w:t>
      </w:r>
      <w:r>
        <w:rPr>
          <w:spacing w:val="-2"/>
        </w:rPr>
        <w:t> </w:t>
      </w:r>
      <w:r>
        <w:rPr/>
        <w:t>ονομαστική</w:t>
      </w:r>
      <w:r>
        <w:rPr>
          <w:spacing w:val="-2"/>
        </w:rPr>
        <w:t> </w:t>
      </w:r>
      <w:r>
        <w:rPr/>
        <w:t>αξία,</w:t>
      </w:r>
      <w:r>
        <w:rPr>
          <w:spacing w:val="-5"/>
        </w:rPr>
        <w:t> </w:t>
      </w:r>
      <w:r>
        <w:rPr/>
        <w:t>χωρίς</w:t>
      </w:r>
      <w:r>
        <w:rPr>
          <w:spacing w:val="-2"/>
        </w:rPr>
        <w:t> </w:t>
      </w:r>
      <w:r>
        <w:rPr/>
        <w:t>εποχική</w:t>
      </w:r>
      <w:r>
        <w:rPr>
          <w:spacing w:val="-2"/>
        </w:rPr>
        <w:t> </w:t>
      </w:r>
      <w:r>
        <w:rPr/>
        <w:t>διόρθωση).</w:t>
      </w:r>
      <w:r>
        <w:rPr>
          <w:spacing w:val="-2"/>
        </w:rPr>
        <w:t> </w:t>
      </w:r>
      <w:r>
        <w:rPr/>
        <w:t>Σε</w:t>
      </w:r>
      <w:r>
        <w:rPr>
          <w:spacing w:val="-2"/>
        </w:rPr>
        <w:t> </w:t>
      </w:r>
      <w:r>
        <w:rPr/>
        <w:t>δεύτερη</w:t>
      </w:r>
      <w:r>
        <w:rPr>
          <w:spacing w:val="-2"/>
        </w:rPr>
        <w:t> </w:t>
      </w:r>
      <w:r>
        <w:rPr/>
        <w:t>φάση</w:t>
      </w:r>
      <w:r>
        <w:rPr>
          <w:spacing w:val="-2"/>
        </w:rPr>
        <w:t> </w:t>
      </w:r>
      <w:r>
        <w:rPr/>
        <w:t>υπολογίζεται η</w:t>
      </w:r>
      <w:r>
        <w:rPr>
          <w:spacing w:val="-5"/>
        </w:rPr>
        <w:t> </w:t>
      </w:r>
      <w:r>
        <w:rPr/>
        <w:t>μακροχρόνια</w:t>
      </w:r>
      <w:r>
        <w:rPr>
          <w:spacing w:val="-4"/>
        </w:rPr>
        <w:t> </w:t>
      </w:r>
      <w:r>
        <w:rPr/>
        <w:t>τάση</w:t>
      </w:r>
      <w:r>
        <w:rPr>
          <w:spacing w:val="-5"/>
        </w:rPr>
        <w:t> </w:t>
      </w:r>
      <w:r>
        <w:rPr/>
        <w:t>του</w:t>
      </w:r>
      <w:r>
        <w:rPr>
          <w:spacing w:val="-4"/>
        </w:rPr>
        <w:t> </w:t>
      </w:r>
      <w:r>
        <w:rPr/>
        <w:t>λόγου</w:t>
      </w:r>
      <w:r>
        <w:rPr>
          <w:spacing w:val="-4"/>
        </w:rPr>
        <w:t> </w:t>
      </w:r>
      <w:r>
        <w:rPr/>
        <w:t>των</w:t>
      </w:r>
      <w:r>
        <w:rPr>
          <w:spacing w:val="-4"/>
        </w:rPr>
        <w:t> </w:t>
      </w:r>
      <w:r>
        <w:rPr/>
        <w:t>πιστώσεων</w:t>
      </w:r>
      <w:r>
        <w:rPr>
          <w:spacing w:val="-5"/>
        </w:rPr>
        <w:t> </w:t>
      </w:r>
      <w:r>
        <w:rPr/>
        <w:t>προς</w:t>
      </w:r>
      <w:r>
        <w:rPr>
          <w:spacing w:val="-6"/>
        </w:rPr>
        <w:t> </w:t>
      </w:r>
      <w:r>
        <w:rPr/>
        <w:t>το</w:t>
      </w:r>
      <w:r>
        <w:rPr>
          <w:spacing w:val="-6"/>
        </w:rPr>
        <w:t> </w:t>
      </w:r>
      <w:r>
        <w:rPr/>
        <w:t>ΑΕΠ</w:t>
      </w:r>
      <w:r>
        <w:rPr>
          <w:spacing w:val="-5"/>
        </w:rPr>
        <w:t> </w:t>
      </w:r>
      <w:r>
        <w:rPr/>
        <w:t>με</w:t>
      </w:r>
      <w:r>
        <w:rPr>
          <w:spacing w:val="-4"/>
        </w:rPr>
        <w:t> </w:t>
      </w:r>
      <w:r>
        <w:rPr/>
        <w:t>την</w:t>
      </w:r>
      <w:r>
        <w:rPr>
          <w:spacing w:val="-4"/>
        </w:rPr>
        <w:t> </w:t>
      </w:r>
      <w:r>
        <w:rPr/>
        <w:t>εφαρμογή</w:t>
      </w:r>
      <w:r>
        <w:rPr>
          <w:spacing w:val="-6"/>
        </w:rPr>
        <w:t> </w:t>
      </w:r>
      <w:r>
        <w:rPr/>
        <w:t>του</w:t>
      </w:r>
      <w:r>
        <w:rPr>
          <w:spacing w:val="-5"/>
        </w:rPr>
        <w:t> </w:t>
      </w:r>
      <w:r>
        <w:rPr/>
        <w:t>φίλτρου</w:t>
      </w:r>
      <w:r>
        <w:rPr>
          <w:spacing w:val="-6"/>
        </w:rPr>
        <w:t> </w:t>
      </w:r>
      <w:r>
        <w:rPr/>
        <w:t>εξο-μάλυνσης Hodrick-Prescott. Ο δείκτης “τυποποιημένη διαφορά των πιστώσεων προς το ΑΕΠ” προκύπτει</w:t>
      </w:r>
      <w:r>
        <w:rPr>
          <w:spacing w:val="-5"/>
        </w:rPr>
        <w:t> </w:t>
      </w:r>
      <w:r>
        <w:rPr/>
        <w:t>ως</w:t>
      </w:r>
      <w:r>
        <w:rPr>
          <w:spacing w:val="-5"/>
        </w:rPr>
        <w:t> </w:t>
      </w:r>
      <w:r>
        <w:rPr/>
        <w:t>η</w:t>
      </w:r>
      <w:r>
        <w:rPr>
          <w:spacing w:val="-4"/>
        </w:rPr>
        <w:t> </w:t>
      </w:r>
      <w:r>
        <w:rPr/>
        <w:t>διαφορά</w:t>
      </w:r>
      <w:r>
        <w:rPr>
          <w:spacing w:val="-4"/>
        </w:rPr>
        <w:t> </w:t>
      </w:r>
      <w:r>
        <w:rPr/>
        <w:t>του</w:t>
      </w:r>
      <w:r>
        <w:rPr>
          <w:spacing w:val="-3"/>
        </w:rPr>
        <w:t> </w:t>
      </w:r>
      <w:r>
        <w:rPr/>
        <w:t>λόγου</w:t>
      </w:r>
      <w:r>
        <w:rPr>
          <w:spacing w:val="-3"/>
        </w:rPr>
        <w:t> </w:t>
      </w:r>
      <w:r>
        <w:rPr/>
        <w:t>των</w:t>
      </w:r>
      <w:r>
        <w:rPr>
          <w:spacing w:val="-3"/>
        </w:rPr>
        <w:t> </w:t>
      </w:r>
      <w:r>
        <w:rPr/>
        <w:t>πιστώσεων</w:t>
      </w:r>
      <w:r>
        <w:rPr>
          <w:spacing w:val="-3"/>
        </w:rPr>
        <w:t> </w:t>
      </w:r>
      <w:r>
        <w:rPr/>
        <w:t>προς</w:t>
      </w:r>
      <w:r>
        <w:rPr>
          <w:spacing w:val="-5"/>
        </w:rPr>
        <w:t> </w:t>
      </w:r>
      <w:r>
        <w:rPr/>
        <w:t>το</w:t>
      </w:r>
      <w:r>
        <w:rPr>
          <w:spacing w:val="-4"/>
        </w:rPr>
        <w:t> </w:t>
      </w:r>
      <w:r>
        <w:rPr/>
        <w:t>ΑΕΠ</w:t>
      </w:r>
      <w:r>
        <w:rPr>
          <w:spacing w:val="-5"/>
        </w:rPr>
        <w:t> </w:t>
      </w:r>
      <w:r>
        <w:rPr/>
        <w:t>από</w:t>
      </w:r>
      <w:r>
        <w:rPr>
          <w:spacing w:val="-2"/>
        </w:rPr>
        <w:t> </w:t>
      </w:r>
      <w:r>
        <w:rPr/>
        <w:t>τη</w:t>
      </w:r>
      <w:r>
        <w:rPr>
          <w:spacing w:val="-4"/>
        </w:rPr>
        <w:t> </w:t>
      </w:r>
      <w:r>
        <w:rPr/>
        <w:t>μακροχρόνια</w:t>
      </w:r>
      <w:r>
        <w:rPr>
          <w:spacing w:val="-3"/>
        </w:rPr>
        <w:t> </w:t>
      </w:r>
      <w:r>
        <w:rPr/>
        <w:t>τάση</w:t>
      </w:r>
      <w:r>
        <w:rPr>
          <w:spacing w:val="-3"/>
        </w:rPr>
        <w:t> </w:t>
      </w:r>
      <w:r>
        <w:rPr/>
        <w:t>του. Υψηλή</w:t>
      </w:r>
      <w:r>
        <w:rPr>
          <w:spacing w:val="-12"/>
        </w:rPr>
        <w:t> </w:t>
      </w:r>
      <w:r>
        <w:rPr/>
        <w:t>θετική</w:t>
      </w:r>
      <w:r>
        <w:rPr>
          <w:spacing w:val="-10"/>
        </w:rPr>
        <w:t> </w:t>
      </w:r>
      <w:r>
        <w:rPr/>
        <w:t>τιμή</w:t>
      </w:r>
      <w:r>
        <w:rPr>
          <w:spacing w:val="-9"/>
        </w:rPr>
        <w:t> </w:t>
      </w:r>
      <w:r>
        <w:rPr/>
        <w:t>του</w:t>
      </w:r>
      <w:r>
        <w:rPr>
          <w:spacing w:val="-9"/>
        </w:rPr>
        <w:t> </w:t>
      </w:r>
      <w:r>
        <w:rPr/>
        <w:t>δείκτη</w:t>
      </w:r>
      <w:r>
        <w:rPr>
          <w:spacing w:val="-9"/>
        </w:rPr>
        <w:t> </w:t>
      </w:r>
      <w:r>
        <w:rPr/>
        <w:t>δηλώνει</w:t>
      </w:r>
      <w:r>
        <w:rPr>
          <w:spacing w:val="-11"/>
        </w:rPr>
        <w:t> </w:t>
      </w:r>
      <w:r>
        <w:rPr/>
        <w:t>υπερβολική</w:t>
      </w:r>
      <w:r>
        <w:rPr>
          <w:spacing w:val="-12"/>
        </w:rPr>
        <w:t> </w:t>
      </w:r>
      <w:r>
        <w:rPr/>
        <w:t>πιστωτική</w:t>
      </w:r>
      <w:r>
        <w:rPr>
          <w:spacing w:val="-12"/>
        </w:rPr>
        <w:t> </w:t>
      </w:r>
      <w:r>
        <w:rPr/>
        <w:t>επέκταση</w:t>
      </w:r>
      <w:r>
        <w:rPr>
          <w:spacing w:val="-12"/>
        </w:rPr>
        <w:t> </w:t>
      </w:r>
      <w:r>
        <w:rPr/>
        <w:t>σε</w:t>
      </w:r>
      <w:r>
        <w:rPr>
          <w:spacing w:val="-11"/>
        </w:rPr>
        <w:t> </w:t>
      </w:r>
      <w:r>
        <w:rPr/>
        <w:t>σχέση</w:t>
      </w:r>
      <w:r>
        <w:rPr>
          <w:spacing w:val="-14"/>
        </w:rPr>
        <w:t> </w:t>
      </w:r>
      <w:r>
        <w:rPr/>
        <w:t>με</w:t>
      </w:r>
      <w:r>
        <w:rPr>
          <w:spacing w:val="-9"/>
        </w:rPr>
        <w:t> </w:t>
      </w:r>
      <w:r>
        <w:rPr/>
        <w:t>την</w:t>
      </w:r>
      <w:r>
        <w:rPr>
          <w:spacing w:val="-9"/>
        </w:rPr>
        <w:t> </w:t>
      </w:r>
      <w:r>
        <w:rPr/>
        <w:t>αύξηση του ΑΕΠ, η οποία δημιουργεί αυξημένους κινδύνους για το χρηματοπιστωτικό σύστημα, συνη-γορώντας</w:t>
      </w:r>
      <w:r>
        <w:rPr>
          <w:spacing w:val="-1"/>
        </w:rPr>
        <w:t> </w:t>
      </w:r>
      <w:r>
        <w:rPr/>
        <w:t>στον καθορισμό του ποσοστού αντικυκλικού κεφαλαιακού αποθέματος</w:t>
      </w:r>
      <w:r>
        <w:rPr>
          <w:spacing w:val="-2"/>
        </w:rPr>
        <w:t> </w:t>
      </w:r>
      <w:r>
        <w:rPr/>
        <w:t>ασφαλείας</w:t>
      </w:r>
      <w:r>
        <w:rPr>
          <w:spacing w:val="-1"/>
        </w:rPr>
        <w:t> </w:t>
      </w:r>
      <w:r>
        <w:rPr/>
        <w:t>σε ύψος άνω του 0%. Πέραν της “τυποποιημένης διαφοράς των πιστώσεων προς το ΑΕΠ”, η Τρά-πεζα της Ελλάδος εξετάζει συμπληρωματικά πρόσθετους δείκτες για την παρακολούθηση της δημιουργίας</w:t>
      </w:r>
      <w:r>
        <w:rPr>
          <w:spacing w:val="-3"/>
        </w:rPr>
        <w:t> </w:t>
      </w:r>
      <w:r>
        <w:rPr/>
        <w:t>και</w:t>
      </w:r>
      <w:r>
        <w:rPr>
          <w:spacing w:val="-1"/>
        </w:rPr>
        <w:t> </w:t>
      </w:r>
      <w:r>
        <w:rPr/>
        <w:t>συσσώρευσης</w:t>
      </w:r>
      <w:r>
        <w:rPr>
          <w:spacing w:val="-2"/>
        </w:rPr>
        <w:t> </w:t>
      </w:r>
      <w:r>
        <w:rPr/>
        <w:t>κυκλικών συστημικών</w:t>
      </w:r>
      <w:r>
        <w:rPr>
          <w:spacing w:val="-2"/>
        </w:rPr>
        <w:t> </w:t>
      </w:r>
      <w:r>
        <w:rPr/>
        <w:t>κινδύνων</w:t>
      </w:r>
      <w:hyperlink w:history="true" w:anchor="_bookmark92">
        <w:r>
          <w:rPr/>
          <w:t>.</w:t>
        </w:r>
        <w:r>
          <w:rPr>
            <w:position w:val="6"/>
            <w:sz w:val="10"/>
          </w:rPr>
          <w:t>63</w:t>
        </w:r>
      </w:hyperlink>
      <w:r>
        <w:rPr>
          <w:spacing w:val="29"/>
          <w:position w:val="6"/>
          <w:sz w:val="10"/>
        </w:rPr>
        <w:t> </w:t>
      </w:r>
      <w:r>
        <w:rPr/>
        <w:t>Οι δείκτες</w:t>
      </w:r>
      <w:r>
        <w:rPr>
          <w:spacing w:val="-2"/>
        </w:rPr>
        <w:t> </w:t>
      </w:r>
      <w:r>
        <w:rPr/>
        <w:t>αυτοί</w:t>
      </w:r>
      <w:r>
        <w:rPr>
          <w:spacing w:val="-3"/>
        </w:rPr>
        <w:t> </w:t>
      </w:r>
      <w:r>
        <w:rPr/>
        <w:t>ομαδοποιού-νται σε έξι περιοχές:</w:t>
      </w:r>
    </w:p>
    <w:p>
      <w:pPr>
        <w:pStyle w:val="ListParagraph"/>
        <w:numPr>
          <w:ilvl w:val="3"/>
          <w:numId w:val="2"/>
        </w:numPr>
        <w:tabs>
          <w:tab w:pos="529" w:val="left" w:leader="none"/>
        </w:tabs>
        <w:spacing w:line="283" w:lineRule="auto" w:before="24" w:after="0"/>
        <w:ind w:left="529" w:right="961" w:hanging="358"/>
        <w:jc w:val="both"/>
        <w:rPr>
          <w:sz w:val="22"/>
        </w:rPr>
      </w:pPr>
      <w:r>
        <w:rPr>
          <w:sz w:val="22"/>
        </w:rPr>
        <w:t>Πιστωτικές</w:t>
      </w:r>
      <w:r>
        <w:rPr>
          <w:spacing w:val="-3"/>
          <w:sz w:val="22"/>
        </w:rPr>
        <w:t> </w:t>
      </w:r>
      <w:r>
        <w:rPr>
          <w:sz w:val="22"/>
        </w:rPr>
        <w:t>εξελίξεις, όπου</w:t>
      </w:r>
      <w:r>
        <w:rPr>
          <w:spacing w:val="-1"/>
          <w:sz w:val="22"/>
        </w:rPr>
        <w:t> </w:t>
      </w:r>
      <w:r>
        <w:rPr>
          <w:sz w:val="22"/>
        </w:rPr>
        <w:t>παρακολουθούνται ο</w:t>
      </w:r>
      <w:r>
        <w:rPr>
          <w:spacing w:val="-2"/>
          <w:sz w:val="22"/>
        </w:rPr>
        <w:t> </w:t>
      </w:r>
      <w:r>
        <w:rPr>
          <w:sz w:val="22"/>
        </w:rPr>
        <w:t>λόγος</w:t>
      </w:r>
      <w:r>
        <w:rPr>
          <w:spacing w:val="-1"/>
          <w:sz w:val="22"/>
        </w:rPr>
        <w:t> </w:t>
      </w:r>
      <w:r>
        <w:rPr>
          <w:sz w:val="22"/>
        </w:rPr>
        <w:t>του</w:t>
      </w:r>
      <w:r>
        <w:rPr>
          <w:spacing w:val="-1"/>
          <w:sz w:val="22"/>
        </w:rPr>
        <w:t> </w:t>
      </w:r>
      <w:r>
        <w:rPr>
          <w:sz w:val="22"/>
        </w:rPr>
        <w:t>υπολοίπου της</w:t>
      </w:r>
      <w:r>
        <w:rPr>
          <w:spacing w:val="-3"/>
          <w:sz w:val="22"/>
        </w:rPr>
        <w:t> </w:t>
      </w:r>
      <w:r>
        <w:rPr>
          <w:sz w:val="22"/>
        </w:rPr>
        <w:t>χρηματοδότησης προς το ΑΕΠ</w:t>
      </w:r>
      <w:r>
        <w:rPr>
          <w:spacing w:val="-1"/>
          <w:sz w:val="22"/>
        </w:rPr>
        <w:t> </w:t>
      </w:r>
      <w:r>
        <w:rPr>
          <w:sz w:val="22"/>
        </w:rPr>
        <w:t>σε τρέχουσες τιμές, η εξέλιξη των δανείων προς νοικοκυριά και η εξέλιξη της χρηματοδότησης των μη χρηματοπιστωτικών επιχειρήσεων.</w:t>
      </w:r>
    </w:p>
    <w:p>
      <w:pPr>
        <w:pStyle w:val="ListParagraph"/>
        <w:numPr>
          <w:ilvl w:val="3"/>
          <w:numId w:val="2"/>
        </w:numPr>
        <w:tabs>
          <w:tab w:pos="529" w:val="left" w:leader="none"/>
        </w:tabs>
        <w:spacing w:line="255" w:lineRule="exact" w:before="0" w:after="0"/>
        <w:ind w:left="529" w:right="0" w:hanging="357"/>
        <w:jc w:val="both"/>
        <w:rPr>
          <w:sz w:val="22"/>
        </w:rPr>
      </w:pPr>
      <w:r>
        <w:rPr>
          <w:sz w:val="22"/>
        </w:rPr>
        <w:t>Δανειακή</w:t>
      </w:r>
      <w:r>
        <w:rPr>
          <w:spacing w:val="-15"/>
          <w:sz w:val="22"/>
        </w:rPr>
        <w:t> </w:t>
      </w:r>
      <w:r>
        <w:rPr>
          <w:sz w:val="22"/>
        </w:rPr>
        <w:t>επιβάρυνση</w:t>
      </w:r>
      <w:r>
        <w:rPr>
          <w:spacing w:val="-9"/>
          <w:sz w:val="22"/>
        </w:rPr>
        <w:t> </w:t>
      </w:r>
      <w:r>
        <w:rPr>
          <w:sz w:val="22"/>
        </w:rPr>
        <w:t>του</w:t>
      </w:r>
      <w:r>
        <w:rPr>
          <w:spacing w:val="-9"/>
          <w:sz w:val="22"/>
        </w:rPr>
        <w:t> </w:t>
      </w:r>
      <w:r>
        <w:rPr>
          <w:sz w:val="22"/>
        </w:rPr>
        <w:t>ιδιωτικού</w:t>
      </w:r>
      <w:r>
        <w:rPr>
          <w:spacing w:val="-8"/>
          <w:sz w:val="22"/>
        </w:rPr>
        <w:t> </w:t>
      </w:r>
      <w:r>
        <w:rPr>
          <w:sz w:val="22"/>
        </w:rPr>
        <w:t>τομέα,</w:t>
      </w:r>
      <w:r>
        <w:rPr>
          <w:spacing w:val="-10"/>
          <w:sz w:val="22"/>
        </w:rPr>
        <w:t> </w:t>
      </w:r>
      <w:r>
        <w:rPr>
          <w:sz w:val="22"/>
        </w:rPr>
        <w:t>όπου</w:t>
      </w:r>
      <w:r>
        <w:rPr>
          <w:spacing w:val="-9"/>
          <w:sz w:val="22"/>
        </w:rPr>
        <w:t> </w:t>
      </w:r>
      <w:r>
        <w:rPr>
          <w:sz w:val="22"/>
        </w:rPr>
        <w:t>παρακολουθούνται</w:t>
      </w:r>
      <w:r>
        <w:rPr>
          <w:spacing w:val="-6"/>
          <w:sz w:val="22"/>
        </w:rPr>
        <w:t> </w:t>
      </w:r>
      <w:r>
        <w:rPr>
          <w:sz w:val="22"/>
        </w:rPr>
        <w:t>η</w:t>
      </w:r>
      <w:r>
        <w:rPr>
          <w:spacing w:val="-9"/>
          <w:sz w:val="22"/>
        </w:rPr>
        <w:t> </w:t>
      </w:r>
      <w:r>
        <w:rPr>
          <w:sz w:val="22"/>
        </w:rPr>
        <w:t>εξέλιξη</w:t>
      </w:r>
      <w:r>
        <w:rPr>
          <w:spacing w:val="-9"/>
          <w:sz w:val="22"/>
        </w:rPr>
        <w:t> </w:t>
      </w:r>
      <w:r>
        <w:rPr>
          <w:sz w:val="22"/>
        </w:rPr>
        <w:t>της</w:t>
      </w:r>
      <w:r>
        <w:rPr>
          <w:spacing w:val="-13"/>
          <w:sz w:val="22"/>
        </w:rPr>
        <w:t> </w:t>
      </w:r>
      <w:r>
        <w:rPr>
          <w:spacing w:val="-2"/>
          <w:sz w:val="22"/>
        </w:rPr>
        <w:t>χρηματο-</w:t>
      </w:r>
    </w:p>
    <w:p>
      <w:pPr>
        <w:pStyle w:val="BodyText"/>
        <w:spacing w:line="285" w:lineRule="auto" w:before="46"/>
        <w:ind w:left="529" w:right="959"/>
        <w:jc w:val="both"/>
      </w:pPr>
      <w:r>
        <w:rPr/>
        <w:t>δότησης</w:t>
      </w:r>
      <w:r>
        <w:rPr>
          <w:spacing w:val="-6"/>
        </w:rPr>
        <w:t> </w:t>
      </w:r>
      <w:r>
        <w:rPr/>
        <w:t>του</w:t>
      </w:r>
      <w:r>
        <w:rPr>
          <w:spacing w:val="-4"/>
        </w:rPr>
        <w:t> </w:t>
      </w:r>
      <w:r>
        <w:rPr/>
        <w:t>ιδιωτικού</w:t>
      </w:r>
      <w:r>
        <w:rPr>
          <w:spacing w:val="-4"/>
        </w:rPr>
        <w:t> </w:t>
      </w:r>
      <w:r>
        <w:rPr/>
        <w:t>τομέα,</w:t>
      </w:r>
      <w:r>
        <w:rPr>
          <w:spacing w:val="-3"/>
        </w:rPr>
        <w:t> </w:t>
      </w:r>
      <w:r>
        <w:rPr/>
        <w:t>ο</w:t>
      </w:r>
      <w:r>
        <w:rPr>
          <w:spacing w:val="-5"/>
        </w:rPr>
        <w:t> </w:t>
      </w:r>
      <w:r>
        <w:rPr/>
        <w:t>λόγος</w:t>
      </w:r>
      <w:r>
        <w:rPr>
          <w:spacing w:val="-6"/>
        </w:rPr>
        <w:t> </w:t>
      </w:r>
      <w:r>
        <w:rPr/>
        <w:t>του</w:t>
      </w:r>
      <w:r>
        <w:rPr>
          <w:spacing w:val="-4"/>
        </w:rPr>
        <w:t> </w:t>
      </w:r>
      <w:r>
        <w:rPr/>
        <w:t>υπολοίπου</w:t>
      </w:r>
      <w:r>
        <w:rPr>
          <w:spacing w:val="-6"/>
        </w:rPr>
        <w:t> </w:t>
      </w:r>
      <w:r>
        <w:rPr/>
        <w:t>της</w:t>
      </w:r>
      <w:r>
        <w:rPr>
          <w:spacing w:val="-6"/>
        </w:rPr>
        <w:t> </w:t>
      </w:r>
      <w:r>
        <w:rPr/>
        <w:t>χρηματοδότησης</w:t>
      </w:r>
      <w:r>
        <w:rPr>
          <w:spacing w:val="-6"/>
        </w:rPr>
        <w:t> </w:t>
      </w:r>
      <w:r>
        <w:rPr/>
        <w:t>των</w:t>
      </w:r>
      <w:r>
        <w:rPr>
          <w:spacing w:val="-4"/>
        </w:rPr>
        <w:t> </w:t>
      </w:r>
      <w:r>
        <w:rPr/>
        <w:t>μη</w:t>
      </w:r>
      <w:r>
        <w:rPr>
          <w:spacing w:val="-5"/>
        </w:rPr>
        <w:t> </w:t>
      </w:r>
      <w:r>
        <w:rPr/>
        <w:t>χρηματο-πιστωτικών επιχειρήσεων προς</w:t>
      </w:r>
      <w:r>
        <w:rPr>
          <w:spacing w:val="-1"/>
        </w:rPr>
        <w:t> </w:t>
      </w:r>
      <w:r>
        <w:rPr/>
        <w:t>το ΑΕΠ, ο λόγος</w:t>
      </w:r>
      <w:r>
        <w:rPr>
          <w:spacing w:val="-1"/>
        </w:rPr>
        <w:t> </w:t>
      </w:r>
      <w:r>
        <w:rPr/>
        <w:t>του</w:t>
      </w:r>
      <w:r>
        <w:rPr>
          <w:spacing w:val="-1"/>
        </w:rPr>
        <w:t> </w:t>
      </w:r>
      <w:r>
        <w:rPr/>
        <w:t>υπολοίπου</w:t>
      </w:r>
      <w:r>
        <w:rPr>
          <w:spacing w:val="-2"/>
        </w:rPr>
        <w:t> </w:t>
      </w:r>
      <w:r>
        <w:rPr/>
        <w:t>των δανείων</w:t>
      </w:r>
      <w:r>
        <w:rPr>
          <w:spacing w:val="-1"/>
        </w:rPr>
        <w:t> </w:t>
      </w:r>
      <w:r>
        <w:rPr/>
        <w:t>σε</w:t>
      </w:r>
      <w:r>
        <w:rPr>
          <w:spacing w:val="-2"/>
        </w:rPr>
        <w:t> </w:t>
      </w:r>
      <w:r>
        <w:rPr/>
        <w:t>νοικοκυριά προς</w:t>
      </w:r>
      <w:r>
        <w:rPr>
          <w:spacing w:val="-8"/>
        </w:rPr>
        <w:t> </w:t>
      </w:r>
      <w:r>
        <w:rPr/>
        <w:t>το</w:t>
      </w:r>
      <w:r>
        <w:rPr>
          <w:spacing w:val="-7"/>
        </w:rPr>
        <w:t> </w:t>
      </w:r>
      <w:r>
        <w:rPr/>
        <w:t>ακαθάριστο</w:t>
      </w:r>
      <w:r>
        <w:rPr>
          <w:spacing w:val="-10"/>
        </w:rPr>
        <w:t> </w:t>
      </w:r>
      <w:r>
        <w:rPr/>
        <w:t>διαθέσιμο</w:t>
      </w:r>
      <w:r>
        <w:rPr>
          <w:spacing w:val="-7"/>
        </w:rPr>
        <w:t> </w:t>
      </w:r>
      <w:r>
        <w:rPr/>
        <w:t>εισόδημά</w:t>
      </w:r>
      <w:r>
        <w:rPr>
          <w:spacing w:val="-10"/>
        </w:rPr>
        <w:t> </w:t>
      </w:r>
      <w:r>
        <w:rPr/>
        <w:t>τους</w:t>
      </w:r>
      <w:r>
        <w:rPr>
          <w:spacing w:val="-8"/>
        </w:rPr>
        <w:t> </w:t>
      </w:r>
      <w:r>
        <w:rPr/>
        <w:t>και</w:t>
      </w:r>
      <w:r>
        <w:rPr>
          <w:spacing w:val="-9"/>
        </w:rPr>
        <w:t> </w:t>
      </w:r>
      <w:r>
        <w:rPr/>
        <w:t>ο</w:t>
      </w:r>
      <w:r>
        <w:rPr>
          <w:spacing w:val="-7"/>
        </w:rPr>
        <w:t> </w:t>
      </w:r>
      <w:r>
        <w:rPr/>
        <w:t>δείκτης</w:t>
      </w:r>
      <w:r>
        <w:rPr>
          <w:spacing w:val="-8"/>
        </w:rPr>
        <w:t> </w:t>
      </w:r>
      <w:r>
        <w:rPr/>
        <w:t>εξυπηρέτησης</w:t>
      </w:r>
      <w:r>
        <w:rPr>
          <w:spacing w:val="-8"/>
        </w:rPr>
        <w:t> </w:t>
      </w:r>
      <w:r>
        <w:rPr/>
        <w:t>χρέους</w:t>
      </w:r>
      <w:r>
        <w:rPr>
          <w:spacing w:val="-11"/>
        </w:rPr>
        <w:t> </w:t>
      </w:r>
      <w:r>
        <w:rPr/>
        <w:t>προς</w:t>
      </w:r>
      <w:r>
        <w:rPr>
          <w:spacing w:val="-8"/>
        </w:rPr>
        <w:t> </w:t>
      </w:r>
      <w:r>
        <w:rPr/>
        <w:t>εισό-δημα κατά την έγκριση για τα δάνεια που εξασφαλίζονται από οικιστικά ακίνητα.</w:t>
      </w:r>
    </w:p>
    <w:p>
      <w:pPr>
        <w:pStyle w:val="ListParagraph"/>
        <w:numPr>
          <w:ilvl w:val="3"/>
          <w:numId w:val="2"/>
        </w:numPr>
        <w:tabs>
          <w:tab w:pos="529" w:val="left" w:leader="none"/>
        </w:tabs>
        <w:spacing w:line="250" w:lineRule="exact" w:before="0" w:after="0"/>
        <w:ind w:left="529" w:right="0" w:hanging="357"/>
        <w:jc w:val="both"/>
        <w:rPr>
          <w:sz w:val="22"/>
        </w:rPr>
      </w:pPr>
      <w:r>
        <w:rPr>
          <w:sz w:val="22"/>
        </w:rPr>
        <w:t>Δυνητική</w:t>
      </w:r>
      <w:r>
        <w:rPr>
          <w:spacing w:val="4"/>
          <w:sz w:val="22"/>
        </w:rPr>
        <w:t> </w:t>
      </w:r>
      <w:r>
        <w:rPr>
          <w:sz w:val="22"/>
        </w:rPr>
        <w:t>υπερτίμηση</w:t>
      </w:r>
      <w:r>
        <w:rPr>
          <w:spacing w:val="4"/>
          <w:sz w:val="22"/>
        </w:rPr>
        <w:t> </w:t>
      </w:r>
      <w:r>
        <w:rPr>
          <w:sz w:val="22"/>
        </w:rPr>
        <w:t>των</w:t>
      </w:r>
      <w:r>
        <w:rPr>
          <w:spacing w:val="6"/>
          <w:sz w:val="22"/>
        </w:rPr>
        <w:t> </w:t>
      </w:r>
      <w:r>
        <w:rPr>
          <w:sz w:val="22"/>
        </w:rPr>
        <w:t>ακινήτων,</w:t>
      </w:r>
      <w:r>
        <w:rPr>
          <w:spacing w:val="4"/>
          <w:sz w:val="22"/>
        </w:rPr>
        <w:t> </w:t>
      </w:r>
      <w:r>
        <w:rPr>
          <w:sz w:val="22"/>
        </w:rPr>
        <w:t>όπου</w:t>
      </w:r>
      <w:r>
        <w:rPr>
          <w:spacing w:val="7"/>
          <w:sz w:val="22"/>
        </w:rPr>
        <w:t> </w:t>
      </w:r>
      <w:r>
        <w:rPr>
          <w:sz w:val="22"/>
        </w:rPr>
        <w:t>παρακολουθείται</w:t>
      </w:r>
      <w:r>
        <w:rPr>
          <w:spacing w:val="7"/>
          <w:sz w:val="22"/>
        </w:rPr>
        <w:t> </w:t>
      </w:r>
      <w:r>
        <w:rPr>
          <w:sz w:val="22"/>
        </w:rPr>
        <w:t>η</w:t>
      </w:r>
      <w:r>
        <w:rPr>
          <w:spacing w:val="5"/>
          <w:sz w:val="22"/>
        </w:rPr>
        <w:t> </w:t>
      </w:r>
      <w:r>
        <w:rPr>
          <w:sz w:val="22"/>
        </w:rPr>
        <w:t>εξέλιξη</w:t>
      </w:r>
      <w:r>
        <w:rPr>
          <w:spacing w:val="7"/>
          <w:sz w:val="22"/>
        </w:rPr>
        <w:t> </w:t>
      </w:r>
      <w:r>
        <w:rPr>
          <w:sz w:val="22"/>
        </w:rPr>
        <w:t>των</w:t>
      </w:r>
      <w:r>
        <w:rPr>
          <w:spacing w:val="7"/>
          <w:sz w:val="22"/>
        </w:rPr>
        <w:t> </w:t>
      </w:r>
      <w:r>
        <w:rPr>
          <w:sz w:val="22"/>
        </w:rPr>
        <w:t>τιμών</w:t>
      </w:r>
      <w:r>
        <w:rPr>
          <w:spacing w:val="7"/>
          <w:sz w:val="22"/>
        </w:rPr>
        <w:t> </w:t>
      </w:r>
      <w:r>
        <w:rPr>
          <w:sz w:val="22"/>
        </w:rPr>
        <w:t>των</w:t>
      </w:r>
      <w:r>
        <w:rPr>
          <w:spacing w:val="6"/>
          <w:sz w:val="22"/>
        </w:rPr>
        <w:t> </w:t>
      </w:r>
      <w:r>
        <w:rPr>
          <w:spacing w:val="-2"/>
          <w:sz w:val="22"/>
        </w:rPr>
        <w:t>οικι-</w:t>
      </w:r>
    </w:p>
    <w:p>
      <w:pPr>
        <w:pStyle w:val="BodyText"/>
        <w:spacing w:before="46"/>
        <w:ind w:left="529"/>
        <w:jc w:val="both"/>
      </w:pPr>
      <w:r>
        <w:rPr/>
        <w:t>στικών</w:t>
      </w:r>
      <w:r>
        <w:rPr>
          <w:spacing w:val="-5"/>
        </w:rPr>
        <w:t> </w:t>
      </w:r>
      <w:r>
        <w:rPr/>
        <w:t>και</w:t>
      </w:r>
      <w:r>
        <w:rPr>
          <w:spacing w:val="-8"/>
        </w:rPr>
        <w:t> </w:t>
      </w:r>
      <w:r>
        <w:rPr/>
        <w:t>επαγγελματικών</w:t>
      </w:r>
      <w:r>
        <w:rPr>
          <w:spacing w:val="-4"/>
        </w:rPr>
        <w:t> </w:t>
      </w:r>
      <w:r>
        <w:rPr/>
        <w:t>ακινήτων</w:t>
      </w:r>
      <w:r>
        <w:rPr>
          <w:spacing w:val="-5"/>
        </w:rPr>
        <w:t> </w:t>
      </w:r>
      <w:r>
        <w:rPr/>
        <w:t>(γραφείων</w:t>
      </w:r>
      <w:r>
        <w:rPr>
          <w:spacing w:val="-4"/>
        </w:rPr>
        <w:t> </w:t>
      </w:r>
      <w:r>
        <w:rPr/>
        <w:t>και</w:t>
      </w:r>
      <w:r>
        <w:rPr>
          <w:spacing w:val="-8"/>
        </w:rPr>
        <w:t> </w:t>
      </w:r>
      <w:r>
        <w:rPr>
          <w:spacing w:val="-2"/>
        </w:rPr>
        <w:t>καταστημάτων).</w:t>
      </w:r>
    </w:p>
    <w:p>
      <w:pPr>
        <w:pStyle w:val="ListParagraph"/>
        <w:numPr>
          <w:ilvl w:val="3"/>
          <w:numId w:val="2"/>
        </w:numPr>
        <w:tabs>
          <w:tab w:pos="529" w:val="left" w:leader="none"/>
        </w:tabs>
        <w:spacing w:line="283" w:lineRule="auto" w:before="32" w:after="0"/>
        <w:ind w:left="529" w:right="964" w:hanging="358"/>
        <w:jc w:val="both"/>
        <w:rPr>
          <w:sz w:val="22"/>
        </w:rPr>
      </w:pPr>
      <w:r>
        <w:rPr>
          <w:sz w:val="22"/>
        </w:rPr>
        <w:t>Ευρωστία των πιστωτικών ιδρυμάτων, όπου παρακολουθείται το καθαρό περιθώριο επιτο-κίου,</w:t>
      </w:r>
      <w:r>
        <w:rPr>
          <w:spacing w:val="-1"/>
          <w:sz w:val="22"/>
        </w:rPr>
        <w:t> </w:t>
      </w:r>
      <w:r>
        <w:rPr>
          <w:sz w:val="22"/>
        </w:rPr>
        <w:t>η</w:t>
      </w:r>
      <w:r>
        <w:rPr>
          <w:spacing w:val="-4"/>
          <w:sz w:val="22"/>
        </w:rPr>
        <w:t> </w:t>
      </w:r>
      <w:r>
        <w:rPr>
          <w:sz w:val="22"/>
        </w:rPr>
        <w:t>εξέλιξη</w:t>
      </w:r>
      <w:r>
        <w:rPr>
          <w:spacing w:val="-1"/>
          <w:sz w:val="22"/>
        </w:rPr>
        <w:t> </w:t>
      </w:r>
      <w:r>
        <w:rPr>
          <w:sz w:val="22"/>
        </w:rPr>
        <w:t>των</w:t>
      </w:r>
      <w:r>
        <w:rPr>
          <w:spacing w:val="-2"/>
          <w:sz w:val="22"/>
        </w:rPr>
        <w:t> </w:t>
      </w:r>
      <w:r>
        <w:rPr>
          <w:sz w:val="22"/>
        </w:rPr>
        <w:t>σταθμισμένων</w:t>
      </w:r>
      <w:r>
        <w:rPr>
          <w:spacing w:val="-2"/>
          <w:sz w:val="22"/>
        </w:rPr>
        <w:t> </w:t>
      </w:r>
      <w:r>
        <w:rPr>
          <w:sz w:val="22"/>
        </w:rPr>
        <w:t>στοιχείων ενεργητικού,</w:t>
      </w:r>
      <w:r>
        <w:rPr>
          <w:spacing w:val="-1"/>
          <w:sz w:val="22"/>
        </w:rPr>
        <w:t> </w:t>
      </w:r>
      <w:r>
        <w:rPr>
          <w:sz w:val="22"/>
        </w:rPr>
        <w:t>ο</w:t>
      </w:r>
      <w:r>
        <w:rPr>
          <w:spacing w:val="-4"/>
          <w:sz w:val="22"/>
        </w:rPr>
        <w:t> </w:t>
      </w:r>
      <w:r>
        <w:rPr>
          <w:sz w:val="22"/>
        </w:rPr>
        <w:t>δείκτης</w:t>
      </w:r>
      <w:r>
        <w:rPr>
          <w:spacing w:val="-3"/>
          <w:sz w:val="22"/>
        </w:rPr>
        <w:t> </w:t>
      </w:r>
      <w:r>
        <w:rPr>
          <w:sz w:val="22"/>
        </w:rPr>
        <w:t>μόχλευσης</w:t>
      </w:r>
      <w:r>
        <w:rPr>
          <w:spacing w:val="-2"/>
          <w:sz w:val="22"/>
        </w:rPr>
        <w:t> </w:t>
      </w:r>
      <w:r>
        <w:rPr>
          <w:sz w:val="22"/>
        </w:rPr>
        <w:t>και</w:t>
      </w:r>
      <w:r>
        <w:rPr>
          <w:spacing w:val="-1"/>
          <w:sz w:val="22"/>
        </w:rPr>
        <w:t> </w:t>
      </w:r>
      <w:r>
        <w:rPr>
          <w:sz w:val="22"/>
        </w:rPr>
        <w:t>ο</w:t>
      </w:r>
      <w:r>
        <w:rPr>
          <w:spacing w:val="-3"/>
          <w:sz w:val="22"/>
        </w:rPr>
        <w:t> </w:t>
      </w:r>
      <w:r>
        <w:rPr>
          <w:sz w:val="22"/>
        </w:rPr>
        <w:t>λόγος δανείων προς καταθέσεις.</w:t>
      </w:r>
    </w:p>
    <w:p>
      <w:pPr>
        <w:pStyle w:val="ListParagraph"/>
        <w:numPr>
          <w:ilvl w:val="3"/>
          <w:numId w:val="2"/>
        </w:numPr>
        <w:tabs>
          <w:tab w:pos="529" w:val="left" w:leader="none"/>
        </w:tabs>
        <w:spacing w:line="255" w:lineRule="exact" w:before="0" w:after="0"/>
        <w:ind w:left="529" w:right="0" w:hanging="357"/>
        <w:jc w:val="both"/>
        <w:rPr>
          <w:sz w:val="22"/>
        </w:rPr>
      </w:pPr>
      <w:r>
        <w:rPr>
          <w:sz w:val="22"/>
        </w:rPr>
        <w:t>Εξωτερικές</w:t>
      </w:r>
      <w:r>
        <w:rPr>
          <w:spacing w:val="1"/>
          <w:sz w:val="22"/>
        </w:rPr>
        <w:t> </w:t>
      </w:r>
      <w:r>
        <w:rPr>
          <w:sz w:val="22"/>
        </w:rPr>
        <w:t>ανισορροπίες,</w:t>
      </w:r>
      <w:r>
        <w:rPr>
          <w:spacing w:val="-1"/>
          <w:sz w:val="22"/>
        </w:rPr>
        <w:t> </w:t>
      </w:r>
      <w:r>
        <w:rPr>
          <w:sz w:val="22"/>
        </w:rPr>
        <w:t>όπως</w:t>
      </w:r>
      <w:r>
        <w:rPr>
          <w:spacing w:val="2"/>
          <w:sz w:val="22"/>
        </w:rPr>
        <w:t> </w:t>
      </w:r>
      <w:r>
        <w:rPr>
          <w:sz w:val="22"/>
        </w:rPr>
        <w:t>αντανακλώνται</w:t>
      </w:r>
      <w:r>
        <w:rPr>
          <w:spacing w:val="-1"/>
          <w:sz w:val="22"/>
        </w:rPr>
        <w:t> </w:t>
      </w:r>
      <w:r>
        <w:rPr>
          <w:sz w:val="22"/>
        </w:rPr>
        <w:t>στην εξέλιξη</w:t>
      </w:r>
      <w:r>
        <w:rPr>
          <w:spacing w:val="3"/>
          <w:sz w:val="22"/>
        </w:rPr>
        <w:t> </w:t>
      </w:r>
      <w:r>
        <w:rPr>
          <w:sz w:val="22"/>
        </w:rPr>
        <w:t>του λόγου</w:t>
      </w:r>
      <w:r>
        <w:rPr>
          <w:spacing w:val="3"/>
          <w:sz w:val="22"/>
        </w:rPr>
        <w:t> </w:t>
      </w:r>
      <w:r>
        <w:rPr>
          <w:sz w:val="22"/>
        </w:rPr>
        <w:t>του</w:t>
      </w:r>
      <w:r>
        <w:rPr>
          <w:spacing w:val="3"/>
          <w:sz w:val="22"/>
        </w:rPr>
        <w:t> </w:t>
      </w:r>
      <w:r>
        <w:rPr>
          <w:sz w:val="22"/>
        </w:rPr>
        <w:t>ισοζυγίου</w:t>
      </w:r>
      <w:r>
        <w:rPr>
          <w:spacing w:val="4"/>
          <w:sz w:val="22"/>
        </w:rPr>
        <w:t> </w:t>
      </w:r>
      <w:r>
        <w:rPr>
          <w:spacing w:val="-4"/>
          <w:sz w:val="22"/>
        </w:rPr>
        <w:t>τρε-</w:t>
      </w:r>
    </w:p>
    <w:p>
      <w:pPr>
        <w:pStyle w:val="BodyText"/>
        <w:spacing w:before="46"/>
        <w:ind w:left="529"/>
        <w:jc w:val="both"/>
      </w:pPr>
      <w:r>
        <w:rPr/>
        <w:t>χουσών</w:t>
      </w:r>
      <w:r>
        <w:rPr>
          <w:spacing w:val="-6"/>
        </w:rPr>
        <w:t> </w:t>
      </w:r>
      <w:r>
        <w:rPr/>
        <w:t>συναλλαγών</w:t>
      </w:r>
      <w:r>
        <w:rPr>
          <w:spacing w:val="-5"/>
        </w:rPr>
        <w:t> </w:t>
      </w:r>
      <w:r>
        <w:rPr/>
        <w:t>προς</w:t>
      </w:r>
      <w:r>
        <w:rPr>
          <w:spacing w:val="-4"/>
        </w:rPr>
        <w:t> </w:t>
      </w:r>
      <w:r>
        <w:rPr/>
        <w:t>το</w:t>
      </w:r>
      <w:r>
        <w:rPr>
          <w:spacing w:val="-3"/>
        </w:rPr>
        <w:t> </w:t>
      </w:r>
      <w:r>
        <w:rPr>
          <w:spacing w:val="-4"/>
        </w:rPr>
        <w:t>ΑΕΠ.</w:t>
      </w:r>
    </w:p>
    <w:p>
      <w:pPr>
        <w:pStyle w:val="ListParagraph"/>
        <w:numPr>
          <w:ilvl w:val="3"/>
          <w:numId w:val="2"/>
        </w:numPr>
        <w:tabs>
          <w:tab w:pos="529" w:val="left" w:leader="none"/>
        </w:tabs>
        <w:spacing w:line="280" w:lineRule="auto" w:before="31" w:after="0"/>
        <w:ind w:left="529" w:right="962" w:hanging="358"/>
        <w:jc w:val="both"/>
        <w:rPr>
          <w:sz w:val="22"/>
        </w:rPr>
      </w:pPr>
      <w:r>
        <w:rPr>
          <w:sz w:val="22"/>
        </w:rPr>
        <w:t>Τιμολόγηση</w:t>
      </w:r>
      <w:r>
        <w:rPr>
          <w:spacing w:val="-11"/>
          <w:sz w:val="22"/>
        </w:rPr>
        <w:t> </w:t>
      </w:r>
      <w:r>
        <w:rPr>
          <w:sz w:val="22"/>
        </w:rPr>
        <w:t>του</w:t>
      </w:r>
      <w:r>
        <w:rPr>
          <w:spacing w:val="-9"/>
          <w:sz w:val="22"/>
        </w:rPr>
        <w:t> </w:t>
      </w:r>
      <w:r>
        <w:rPr>
          <w:sz w:val="22"/>
        </w:rPr>
        <w:t>κινδύνου,</w:t>
      </w:r>
      <w:r>
        <w:rPr>
          <w:spacing w:val="-13"/>
          <w:sz w:val="22"/>
        </w:rPr>
        <w:t> </w:t>
      </w:r>
      <w:r>
        <w:rPr>
          <w:sz w:val="22"/>
        </w:rPr>
        <w:t>όπου</w:t>
      </w:r>
      <w:r>
        <w:rPr>
          <w:spacing w:val="-7"/>
          <w:sz w:val="22"/>
        </w:rPr>
        <w:t> </w:t>
      </w:r>
      <w:r>
        <w:rPr>
          <w:sz w:val="22"/>
        </w:rPr>
        <w:t>παρακολουθείται</w:t>
      </w:r>
      <w:r>
        <w:rPr>
          <w:spacing w:val="-7"/>
          <w:sz w:val="22"/>
        </w:rPr>
        <w:t> </w:t>
      </w:r>
      <w:r>
        <w:rPr>
          <w:sz w:val="22"/>
        </w:rPr>
        <w:t>η</w:t>
      </w:r>
      <w:r>
        <w:rPr>
          <w:spacing w:val="-11"/>
          <w:sz w:val="22"/>
        </w:rPr>
        <w:t> </w:t>
      </w:r>
      <w:r>
        <w:rPr>
          <w:sz w:val="22"/>
        </w:rPr>
        <w:t>εξέλιξη</w:t>
      </w:r>
      <w:r>
        <w:rPr>
          <w:spacing w:val="-8"/>
          <w:sz w:val="22"/>
        </w:rPr>
        <w:t> </w:t>
      </w:r>
      <w:r>
        <w:rPr>
          <w:sz w:val="22"/>
        </w:rPr>
        <w:t>του</w:t>
      </w:r>
      <w:r>
        <w:rPr>
          <w:spacing w:val="-7"/>
          <w:sz w:val="22"/>
        </w:rPr>
        <w:t> </w:t>
      </w:r>
      <w:r>
        <w:rPr>
          <w:sz w:val="22"/>
        </w:rPr>
        <w:t>Γενικού</w:t>
      </w:r>
      <w:r>
        <w:rPr>
          <w:spacing w:val="-8"/>
          <w:sz w:val="22"/>
        </w:rPr>
        <w:t> </w:t>
      </w:r>
      <w:r>
        <w:rPr>
          <w:sz w:val="22"/>
        </w:rPr>
        <w:t>Δείκτη</w:t>
      </w:r>
      <w:r>
        <w:rPr>
          <w:spacing w:val="-11"/>
          <w:sz w:val="22"/>
        </w:rPr>
        <w:t> </w:t>
      </w:r>
      <w:r>
        <w:rPr>
          <w:sz w:val="22"/>
        </w:rPr>
        <w:t>του</w:t>
      </w:r>
      <w:r>
        <w:rPr>
          <w:spacing w:val="-7"/>
          <w:sz w:val="22"/>
        </w:rPr>
        <w:t> </w:t>
      </w:r>
      <w:r>
        <w:rPr>
          <w:sz w:val="22"/>
        </w:rPr>
        <w:t>Χρημα-τιστηρίου Αθηνών, καθώς και του κλαδικού δείκτη των τραπεζών.</w:t>
      </w:r>
    </w:p>
    <w:p>
      <w:pPr>
        <w:pStyle w:val="BodyText"/>
        <w:spacing w:line="285" w:lineRule="auto" w:before="65"/>
        <w:ind w:left="172" w:right="958"/>
        <w:jc w:val="both"/>
      </w:pPr>
      <w:r>
        <w:rPr/>
        <w:t>Στην Ελλάδα, η “τυποποιημένη διαφορά των πιστώσεων προς το ΑΕΠ” παραμένει σε αρνητικό έδαφος</w:t>
      </w:r>
      <w:r>
        <w:rPr>
          <w:spacing w:val="-14"/>
        </w:rPr>
        <w:t> </w:t>
      </w:r>
      <w:r>
        <w:rPr/>
        <w:t>από</w:t>
      </w:r>
      <w:r>
        <w:rPr>
          <w:spacing w:val="-14"/>
        </w:rPr>
        <w:t> </w:t>
      </w:r>
      <w:r>
        <w:rPr/>
        <w:t>το</w:t>
      </w:r>
      <w:r>
        <w:rPr>
          <w:spacing w:val="-14"/>
        </w:rPr>
        <w:t> </w:t>
      </w:r>
      <w:r>
        <w:rPr/>
        <w:t>2012.</w:t>
      </w:r>
      <w:r>
        <w:rPr>
          <w:spacing w:val="-13"/>
        </w:rPr>
        <w:t> </w:t>
      </w:r>
      <w:r>
        <w:rPr/>
        <w:t>Το</w:t>
      </w:r>
      <w:r>
        <w:rPr>
          <w:spacing w:val="-14"/>
        </w:rPr>
        <w:t> </w:t>
      </w:r>
      <w:r>
        <w:rPr/>
        <w:t>δ΄</w:t>
      </w:r>
      <w:r>
        <w:rPr>
          <w:spacing w:val="-14"/>
        </w:rPr>
        <w:t> </w:t>
      </w:r>
      <w:r>
        <w:rPr/>
        <w:t>τρίμηνο</w:t>
      </w:r>
      <w:r>
        <w:rPr>
          <w:spacing w:val="-15"/>
        </w:rPr>
        <w:t> </w:t>
      </w:r>
      <w:r>
        <w:rPr/>
        <w:t>του</w:t>
      </w:r>
      <w:r>
        <w:rPr>
          <w:spacing w:val="-14"/>
        </w:rPr>
        <w:t> </w:t>
      </w:r>
      <w:r>
        <w:rPr/>
        <w:t>2025</w:t>
      </w:r>
      <w:r>
        <w:rPr>
          <w:spacing w:val="-14"/>
        </w:rPr>
        <w:t> </w:t>
      </w:r>
      <w:r>
        <w:rPr/>
        <w:t>διαμορφώθηκε</w:t>
      </w:r>
      <w:r>
        <w:rPr>
          <w:spacing w:val="-14"/>
        </w:rPr>
        <w:t> </w:t>
      </w:r>
      <w:r>
        <w:rPr/>
        <w:t>σε</w:t>
      </w:r>
      <w:r>
        <w:rPr>
          <w:spacing w:val="-13"/>
        </w:rPr>
        <w:t> </w:t>
      </w:r>
      <w:r>
        <w:rPr/>
        <w:t>-18,1</w:t>
      </w:r>
      <w:r>
        <w:rPr>
          <w:spacing w:val="-14"/>
        </w:rPr>
        <w:t> </w:t>
      </w:r>
      <w:r>
        <w:rPr/>
        <w:t>ποσοστιαίες</w:t>
      </w:r>
      <w:r>
        <w:rPr>
          <w:spacing w:val="-14"/>
        </w:rPr>
        <w:t> </w:t>
      </w:r>
      <w:r>
        <w:rPr/>
        <w:t>μονάδες,</w:t>
      </w:r>
      <w:r>
        <w:rPr>
          <w:spacing w:val="-15"/>
        </w:rPr>
        <w:t> </w:t>
      </w:r>
      <w:r>
        <w:rPr/>
        <w:t>έναντι</w:t>
      </w:r>
    </w:p>
    <w:p>
      <w:pPr>
        <w:pStyle w:val="BodyText"/>
        <w:spacing w:line="285" w:lineRule="auto"/>
        <w:ind w:left="172" w:right="958"/>
        <w:jc w:val="both"/>
      </w:pPr>
      <w:r>
        <w:rPr/>
        <w:t>-20,8 ποσοστιαίων μονάδων το προηγούμενο τρίμηνο (βλ. Διάγραμμα IV.2). Επισημαίνεται ότι </w:t>
      </w:r>
      <w:r>
        <w:rPr>
          <w:spacing w:val="-2"/>
        </w:rPr>
        <w:t>το</w:t>
      </w:r>
      <w:r>
        <w:rPr>
          <w:spacing w:val="-6"/>
        </w:rPr>
        <w:t> </w:t>
      </w:r>
      <w:r>
        <w:rPr>
          <w:spacing w:val="-2"/>
        </w:rPr>
        <w:t>δ΄</w:t>
      </w:r>
      <w:r>
        <w:rPr>
          <w:spacing w:val="-4"/>
        </w:rPr>
        <w:t> </w:t>
      </w:r>
      <w:r>
        <w:rPr>
          <w:spacing w:val="-2"/>
        </w:rPr>
        <w:t>τρίμηνο</w:t>
      </w:r>
      <w:r>
        <w:rPr>
          <w:spacing w:val="-3"/>
        </w:rPr>
        <w:t> </w:t>
      </w:r>
      <w:r>
        <w:rPr>
          <w:spacing w:val="-2"/>
        </w:rPr>
        <w:t>του</w:t>
      </w:r>
      <w:r>
        <w:rPr>
          <w:spacing w:val="-3"/>
        </w:rPr>
        <w:t> </w:t>
      </w:r>
      <w:r>
        <w:rPr>
          <w:spacing w:val="-2"/>
        </w:rPr>
        <w:t>2025</w:t>
      </w:r>
      <w:r>
        <w:rPr>
          <w:spacing w:val="-7"/>
        </w:rPr>
        <w:t> </w:t>
      </w:r>
      <w:r>
        <w:rPr>
          <w:spacing w:val="-2"/>
        </w:rPr>
        <w:t>είναι</w:t>
      </w:r>
      <w:r>
        <w:rPr>
          <w:spacing w:val="-3"/>
        </w:rPr>
        <w:t> </w:t>
      </w:r>
      <w:r>
        <w:rPr>
          <w:spacing w:val="-2"/>
        </w:rPr>
        <w:t>το</w:t>
      </w:r>
      <w:r>
        <w:rPr>
          <w:spacing w:val="-4"/>
        </w:rPr>
        <w:t> </w:t>
      </w:r>
      <w:r>
        <w:rPr>
          <w:spacing w:val="-2"/>
        </w:rPr>
        <w:t>τελευταίο</w:t>
      </w:r>
      <w:r>
        <w:rPr>
          <w:spacing w:val="-4"/>
        </w:rPr>
        <w:t> </w:t>
      </w:r>
      <w:r>
        <w:rPr>
          <w:spacing w:val="-2"/>
        </w:rPr>
        <w:t>διαθέσιμο</w:t>
      </w:r>
      <w:r>
        <w:rPr>
          <w:spacing w:val="-3"/>
        </w:rPr>
        <w:t> </w:t>
      </w:r>
      <w:r>
        <w:rPr>
          <w:spacing w:val="-2"/>
        </w:rPr>
        <w:t>τρίμηνο</w:t>
      </w:r>
      <w:r>
        <w:rPr>
          <w:spacing w:val="-4"/>
        </w:rPr>
        <w:t> </w:t>
      </w:r>
      <w:r>
        <w:rPr>
          <w:spacing w:val="-2"/>
        </w:rPr>
        <w:t>των χρηματοοικονομικών στοιχείων</w:t>
      </w:r>
    </w:p>
    <w:p>
      <w:pPr>
        <w:pStyle w:val="BodyText"/>
        <w:spacing w:before="88"/>
        <w:rPr>
          <w:sz w:val="20"/>
        </w:rPr>
      </w:pPr>
      <w:r>
        <w:rPr>
          <w:sz w:val="20"/>
        </w:rPr>
        <mc:AlternateContent>
          <mc:Choice Requires="wps">
            <w:drawing>
              <wp:anchor distT="0" distB="0" distL="0" distR="0" allowOverlap="1" layoutInCell="1" locked="0" behindDoc="1" simplePos="0" relativeHeight="487639040">
                <wp:simplePos x="0" y="0"/>
                <wp:positionH relativeFrom="page">
                  <wp:posOffset>1009192</wp:posOffset>
                </wp:positionH>
                <wp:positionV relativeFrom="paragraph">
                  <wp:posOffset>217562</wp:posOffset>
                </wp:positionV>
                <wp:extent cx="1829435" cy="7620"/>
                <wp:effectExtent l="0" t="0" r="0" b="0"/>
                <wp:wrapTopAndBottom/>
                <wp:docPr id="538" name="Graphic 538"/>
                <wp:cNvGraphicFramePr>
                  <a:graphicFrameLocks/>
                </wp:cNvGraphicFramePr>
                <a:graphic>
                  <a:graphicData uri="http://schemas.microsoft.com/office/word/2010/wordprocessingShape">
                    <wps:wsp>
                      <wps:cNvPr id="538" name="Graphic 53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7.130938pt;width:144.020pt;height:.60004pt;mso-position-horizontal-relative:page;mso-position-vertical-relative:paragraph;z-index:-15677440;mso-wrap-distance-left:0;mso-wrap-distance-right:0" id="docshape510" filled="true" fillcolor="#000000" stroked="false">
                <v:fill type="solid"/>
                <w10:wrap type="topAndBottom"/>
              </v:rect>
            </w:pict>
          </mc:Fallback>
        </mc:AlternateContent>
      </w:r>
    </w:p>
    <w:p>
      <w:pPr>
        <w:spacing w:before="167"/>
        <w:ind w:left="172" w:right="0" w:firstLine="0"/>
        <w:jc w:val="left"/>
        <w:rPr>
          <w:sz w:val="16"/>
        </w:rPr>
      </w:pPr>
      <w:bookmarkStart w:name="_bookmark92" w:id="93"/>
      <w:bookmarkEnd w:id="93"/>
      <w:r>
        <w:rPr/>
      </w:r>
      <w:r>
        <w:rPr>
          <w:sz w:val="16"/>
          <w:vertAlign w:val="superscript"/>
        </w:rPr>
        <w:t>63</w:t>
      </w:r>
      <w:r>
        <w:rPr>
          <w:spacing w:val="-5"/>
          <w:sz w:val="16"/>
          <w:vertAlign w:val="baseline"/>
        </w:rPr>
        <w:t> </w:t>
      </w:r>
      <w:r>
        <w:rPr>
          <w:sz w:val="16"/>
          <w:vertAlign w:val="baseline"/>
        </w:rPr>
        <w:t>Για</w:t>
      </w:r>
      <w:r>
        <w:rPr>
          <w:spacing w:val="-4"/>
          <w:sz w:val="16"/>
          <w:vertAlign w:val="baseline"/>
        </w:rPr>
        <w:t> </w:t>
      </w:r>
      <w:r>
        <w:rPr>
          <w:sz w:val="16"/>
          <w:vertAlign w:val="baseline"/>
        </w:rPr>
        <w:t>αναλυτικούς</w:t>
      </w:r>
      <w:r>
        <w:rPr>
          <w:spacing w:val="-6"/>
          <w:sz w:val="16"/>
          <w:vertAlign w:val="baseline"/>
        </w:rPr>
        <w:t> </w:t>
      </w:r>
      <w:r>
        <w:rPr>
          <w:sz w:val="16"/>
          <w:vertAlign w:val="baseline"/>
        </w:rPr>
        <w:t>ορισμούς,</w:t>
      </w:r>
      <w:r>
        <w:rPr>
          <w:spacing w:val="-3"/>
          <w:sz w:val="16"/>
          <w:vertAlign w:val="baseline"/>
        </w:rPr>
        <w:t> </w:t>
      </w:r>
      <w:r>
        <w:rPr>
          <w:sz w:val="16"/>
          <w:vertAlign w:val="baseline"/>
        </w:rPr>
        <w:t>βλ.</w:t>
      </w:r>
      <w:r>
        <w:rPr>
          <w:spacing w:val="-3"/>
          <w:sz w:val="16"/>
          <w:vertAlign w:val="baseline"/>
        </w:rPr>
        <w:t> </w:t>
      </w:r>
      <w:hyperlink r:id="rId101">
        <w:r>
          <w:rPr>
            <w:color w:val="0000FF"/>
            <w:sz w:val="16"/>
            <w:u w:val="single" w:color="0000FF"/>
            <w:vertAlign w:val="baseline"/>
          </w:rPr>
          <w:t>Πράξη</w:t>
        </w:r>
        <w:r>
          <w:rPr>
            <w:color w:val="0000FF"/>
            <w:spacing w:val="-5"/>
            <w:sz w:val="16"/>
            <w:u w:val="single" w:color="0000FF"/>
            <w:vertAlign w:val="baseline"/>
          </w:rPr>
          <w:t> </w:t>
        </w:r>
        <w:r>
          <w:rPr>
            <w:color w:val="0000FF"/>
            <w:sz w:val="16"/>
            <w:u w:val="single" w:color="0000FF"/>
            <w:vertAlign w:val="baseline"/>
          </w:rPr>
          <w:t>Εκτελεστικής</w:t>
        </w:r>
        <w:r>
          <w:rPr>
            <w:color w:val="0000FF"/>
            <w:spacing w:val="-5"/>
            <w:sz w:val="16"/>
            <w:u w:val="single" w:color="0000FF"/>
            <w:vertAlign w:val="baseline"/>
          </w:rPr>
          <w:t> </w:t>
        </w:r>
        <w:r>
          <w:rPr>
            <w:color w:val="0000FF"/>
            <w:sz w:val="16"/>
            <w:u w:val="single" w:color="0000FF"/>
            <w:vertAlign w:val="baseline"/>
          </w:rPr>
          <w:t>Επιτροπής</w:t>
        </w:r>
        <w:r>
          <w:rPr>
            <w:color w:val="0000FF"/>
            <w:spacing w:val="-5"/>
            <w:sz w:val="16"/>
            <w:u w:val="single" w:color="0000FF"/>
            <w:vertAlign w:val="baseline"/>
          </w:rPr>
          <w:t> </w:t>
        </w:r>
        <w:r>
          <w:rPr>
            <w:color w:val="0000FF"/>
            <w:spacing w:val="-2"/>
            <w:sz w:val="16"/>
            <w:u w:val="single" w:color="0000FF"/>
            <w:vertAlign w:val="baseline"/>
          </w:rPr>
          <w:t>235/1/07.10.2024</w:t>
        </w:r>
        <w:r>
          <w:rPr>
            <w:spacing w:val="-2"/>
            <w:sz w:val="16"/>
            <w:vertAlign w:val="baseline"/>
          </w:rPr>
          <w:t>.</w:t>
        </w:r>
      </w:hyperlink>
    </w:p>
    <w:p>
      <w:pPr>
        <w:spacing w:after="0"/>
        <w:jc w:val="left"/>
        <w:rPr>
          <w:sz w:val="16"/>
        </w:rPr>
        <w:sectPr>
          <w:pgSz w:w="11910" w:h="16850"/>
          <w:pgMar w:header="0" w:footer="1108" w:top="1800" w:bottom="1300" w:left="1417" w:right="850"/>
        </w:sectPr>
      </w:pPr>
    </w:p>
    <w:p>
      <w:pPr>
        <w:pStyle w:val="BodyText"/>
        <w:spacing w:line="285" w:lineRule="auto" w:before="66"/>
        <w:ind w:left="172" w:right="956"/>
        <w:jc w:val="both"/>
      </w:pPr>
      <w:r>
        <w:rPr/>
        <w:t>παθητικού</w:t>
      </w:r>
      <w:r>
        <w:rPr>
          <w:spacing w:val="-16"/>
        </w:rPr>
        <w:t> </w:t>
      </w:r>
      <w:r>
        <w:rPr/>
        <w:t>του</w:t>
      </w:r>
      <w:r>
        <w:rPr>
          <w:spacing w:val="-14"/>
        </w:rPr>
        <w:t> </w:t>
      </w:r>
      <w:r>
        <w:rPr/>
        <w:t>ιδιωτικού</w:t>
      </w:r>
      <w:r>
        <w:rPr>
          <w:spacing w:val="-14"/>
        </w:rPr>
        <w:t> </w:t>
      </w:r>
      <w:r>
        <w:rPr/>
        <w:t>μη</w:t>
      </w:r>
      <w:r>
        <w:rPr>
          <w:spacing w:val="-13"/>
        </w:rPr>
        <w:t> </w:t>
      </w:r>
      <w:r>
        <w:rPr/>
        <w:t>χρηματοπιστωτικού</w:t>
      </w:r>
      <w:r>
        <w:rPr>
          <w:spacing w:val="-14"/>
        </w:rPr>
        <w:t> </w:t>
      </w:r>
      <w:r>
        <w:rPr/>
        <w:t>τομέα.</w:t>
      </w:r>
      <w:r>
        <w:rPr>
          <w:spacing w:val="-14"/>
        </w:rPr>
        <w:t> </w:t>
      </w:r>
      <w:r>
        <w:rPr/>
        <w:t>Για</w:t>
      </w:r>
      <w:r>
        <w:rPr>
          <w:spacing w:val="-14"/>
        </w:rPr>
        <w:t> </w:t>
      </w:r>
      <w:r>
        <w:rPr/>
        <w:t>την</w:t>
      </w:r>
      <w:r>
        <w:rPr>
          <w:spacing w:val="-13"/>
        </w:rPr>
        <w:t> </w:t>
      </w:r>
      <w:r>
        <w:rPr/>
        <w:t>εν</w:t>
      </w:r>
      <w:r>
        <w:rPr>
          <w:spacing w:val="-14"/>
        </w:rPr>
        <w:t> </w:t>
      </w:r>
      <w:r>
        <w:rPr/>
        <w:t>λόγω</w:t>
      </w:r>
      <w:r>
        <w:rPr>
          <w:spacing w:val="-14"/>
        </w:rPr>
        <w:t> </w:t>
      </w:r>
      <w:r>
        <w:rPr/>
        <w:t>τιμή</w:t>
      </w:r>
      <w:r>
        <w:rPr>
          <w:spacing w:val="-14"/>
        </w:rPr>
        <w:t> </w:t>
      </w:r>
      <w:r>
        <w:rPr/>
        <w:t>της</w:t>
      </w:r>
      <w:r>
        <w:rPr>
          <w:spacing w:val="-13"/>
        </w:rPr>
        <w:t> </w:t>
      </w:r>
      <w:r>
        <w:rPr/>
        <w:t>“τυποποιημένης διαφοράς των πιστώσεων προς το ΑΕΠ”, το σημείο αναφοράς αποθέματος ασφαλείας (οδηγός αποθέματος ασφαλείας), όπως αυτό ορίζεται στη σύσταση B παράγραφος 3α της Σύστασης ΕΣΣΚ/2014/1, είναι μηδέν.</w:t>
      </w:r>
    </w:p>
    <w:p>
      <w:pPr>
        <w:pStyle w:val="BodyText"/>
        <w:spacing w:before="11"/>
        <w:rPr>
          <w:sz w:val="4"/>
        </w:rPr>
      </w:pPr>
      <w:r>
        <w:rPr>
          <w:sz w:val="4"/>
        </w:rPr>
        <mc:AlternateContent>
          <mc:Choice Requires="wps">
            <w:drawing>
              <wp:anchor distT="0" distB="0" distL="0" distR="0" allowOverlap="1" layoutInCell="1" locked="0" behindDoc="1" simplePos="0" relativeHeight="487639552">
                <wp:simplePos x="0" y="0"/>
                <wp:positionH relativeFrom="page">
                  <wp:posOffset>998524</wp:posOffset>
                </wp:positionH>
                <wp:positionV relativeFrom="paragraph">
                  <wp:posOffset>51703</wp:posOffset>
                </wp:positionV>
                <wp:extent cx="5401945" cy="338455"/>
                <wp:effectExtent l="0" t="0" r="0" b="0"/>
                <wp:wrapTopAndBottom/>
                <wp:docPr id="539" name="Textbox 539"/>
                <wp:cNvGraphicFramePr>
                  <a:graphicFrameLocks/>
                </wp:cNvGraphicFramePr>
                <a:graphic>
                  <a:graphicData uri="http://schemas.microsoft.com/office/word/2010/wordprocessingShape">
                    <wps:wsp>
                      <wps:cNvPr id="539" name="Textbox 539"/>
                      <wps:cNvSpPr txBox="1"/>
                      <wps:spPr>
                        <a:xfrm>
                          <a:off x="0" y="0"/>
                          <a:ext cx="5401945" cy="338455"/>
                        </a:xfrm>
                        <a:prstGeom prst="rect">
                          <a:avLst/>
                        </a:prstGeom>
                        <a:solidFill>
                          <a:srgbClr val="1F487C"/>
                        </a:solidFill>
                      </wps:spPr>
                      <wps:txbx>
                        <w:txbxContent>
                          <w:p>
                            <w:pPr>
                              <w:spacing w:before="60"/>
                              <w:ind w:left="112" w:right="26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3"/>
                                <w:sz w:val="18"/>
                              </w:rPr>
                              <w:t> </w:t>
                            </w:r>
                            <w:r>
                              <w:rPr>
                                <w:b/>
                                <w:smallCaps w:val="0"/>
                                <w:color w:val="FFFFFF"/>
                                <w:sz w:val="18"/>
                              </w:rPr>
                              <w:t>IV.2</w:t>
                            </w:r>
                            <w:r>
                              <w:rPr>
                                <w:b/>
                                <w:smallCaps w:val="0"/>
                                <w:color w:val="FFFFFF"/>
                                <w:spacing w:val="-2"/>
                                <w:sz w:val="18"/>
                              </w:rPr>
                              <w:t> </w:t>
                            </w:r>
                            <w:r>
                              <w:rPr>
                                <w:b/>
                                <w:smallCaps w:val="0"/>
                                <w:color w:val="FFFFFF"/>
                                <w:sz w:val="18"/>
                              </w:rPr>
                              <w:t>Τυποπο</w:t>
                            </w:r>
                            <w:r>
                              <w:rPr>
                                <w:b/>
                                <w:smallCaps/>
                                <w:color w:val="FFFFFF"/>
                                <w:sz w:val="18"/>
                              </w:rPr>
                              <w:t>ι</w:t>
                            </w:r>
                            <w:r>
                              <w:rPr>
                                <w:b/>
                                <w:smallCaps w:val="0"/>
                                <w:color w:val="FFFFFF"/>
                                <w:sz w:val="18"/>
                              </w:rPr>
                              <w:t>ημένη</w:t>
                            </w:r>
                            <w:r>
                              <w:rPr>
                                <w:b/>
                                <w:smallCaps w:val="0"/>
                                <w:color w:val="FFFFFF"/>
                                <w:spacing w:val="-4"/>
                                <w:sz w:val="18"/>
                              </w:rPr>
                              <w:t> </w:t>
                            </w:r>
                            <w:r>
                              <w:rPr>
                                <w:b/>
                                <w:smallCaps w:val="0"/>
                                <w:color w:val="FFFFFF"/>
                                <w:sz w:val="18"/>
                              </w:rPr>
                              <w:t>δ</w:t>
                            </w:r>
                            <w:r>
                              <w:rPr>
                                <w:b/>
                                <w:smallCaps/>
                                <w:color w:val="FFFFFF"/>
                                <w:sz w:val="18"/>
                              </w:rPr>
                              <w:t>ι</w:t>
                            </w:r>
                            <w:r>
                              <w:rPr>
                                <w:b/>
                                <w:smallCaps w:val="0"/>
                                <w:color w:val="FFFFFF"/>
                                <w:sz w:val="18"/>
                              </w:rPr>
                              <w:t>αφορά</w:t>
                            </w:r>
                            <w:r>
                              <w:rPr>
                                <w:b/>
                                <w:smallCaps w:val="0"/>
                                <w:color w:val="FFFFFF"/>
                                <w:spacing w:val="-3"/>
                                <w:sz w:val="18"/>
                              </w:rPr>
                              <w:t> </w:t>
                            </w:r>
                            <w:r>
                              <w:rPr>
                                <w:b/>
                                <w:smallCaps w:val="0"/>
                                <w:color w:val="FFFFFF"/>
                                <w:sz w:val="18"/>
                              </w:rPr>
                              <w:t>π</w:t>
                            </w:r>
                            <w:r>
                              <w:rPr>
                                <w:b/>
                                <w:smallCaps/>
                                <w:color w:val="FFFFFF"/>
                                <w:sz w:val="18"/>
                              </w:rPr>
                              <w:t>ι</w:t>
                            </w:r>
                            <w:r>
                              <w:rPr>
                                <w:b/>
                                <w:smallCaps w:val="0"/>
                                <w:color w:val="FFFFFF"/>
                                <w:sz w:val="18"/>
                              </w:rPr>
                              <w:t>στώσεων</w:t>
                            </w:r>
                            <w:r>
                              <w:rPr>
                                <w:b/>
                                <w:smallCaps w:val="0"/>
                                <w:color w:val="FFFFFF"/>
                                <w:spacing w:val="-2"/>
                                <w:sz w:val="18"/>
                              </w:rPr>
                              <w:t> </w:t>
                            </w:r>
                            <w:r>
                              <w:rPr>
                                <w:b/>
                                <w:smallCaps w:val="0"/>
                                <w:color w:val="FFFFFF"/>
                                <w:sz w:val="18"/>
                              </w:rPr>
                              <w:t>προς</w:t>
                            </w:r>
                            <w:r>
                              <w:rPr>
                                <w:b/>
                                <w:smallCaps w:val="0"/>
                                <w:color w:val="FFFFFF"/>
                                <w:spacing w:val="-4"/>
                                <w:sz w:val="18"/>
                              </w:rPr>
                              <w:t> </w:t>
                            </w:r>
                            <w:r>
                              <w:rPr>
                                <w:b/>
                                <w:smallCaps w:val="0"/>
                                <w:color w:val="FFFFFF"/>
                                <w:sz w:val="18"/>
                              </w:rPr>
                              <w:t>το</w:t>
                            </w:r>
                            <w:r>
                              <w:rPr>
                                <w:b/>
                                <w:smallCaps w:val="0"/>
                                <w:color w:val="FFFFFF"/>
                                <w:spacing w:val="-2"/>
                                <w:sz w:val="18"/>
                              </w:rPr>
                              <w:t> </w:t>
                            </w:r>
                            <w:r>
                              <w:rPr>
                                <w:b/>
                                <w:smallCaps w:val="0"/>
                                <w:color w:val="FFFFFF"/>
                                <w:sz w:val="18"/>
                              </w:rPr>
                              <w:t>ΑΕΠ,</w:t>
                            </w:r>
                            <w:r>
                              <w:rPr>
                                <w:b/>
                                <w:smallCaps w:val="0"/>
                                <w:color w:val="FFFFFF"/>
                                <w:spacing w:val="-3"/>
                                <w:sz w:val="18"/>
                              </w:rPr>
                              <w:t> </w:t>
                            </w:r>
                            <w:r>
                              <w:rPr>
                                <w:b/>
                                <w:smallCaps w:val="0"/>
                                <w:color w:val="FFFFFF"/>
                                <w:sz w:val="18"/>
                              </w:rPr>
                              <w:t>λόγος</w:t>
                            </w:r>
                            <w:r>
                              <w:rPr>
                                <w:b/>
                                <w:smallCaps w:val="0"/>
                                <w:color w:val="FFFFFF"/>
                                <w:spacing w:val="-2"/>
                                <w:sz w:val="18"/>
                              </w:rPr>
                              <w:t> </w:t>
                            </w:r>
                            <w:r>
                              <w:rPr>
                                <w:b/>
                                <w:smallCaps w:val="0"/>
                                <w:color w:val="FFFFFF"/>
                                <w:sz w:val="18"/>
                              </w:rPr>
                              <w:t>π</w:t>
                            </w:r>
                            <w:r>
                              <w:rPr>
                                <w:b/>
                                <w:smallCaps/>
                                <w:color w:val="FFFFFF"/>
                                <w:sz w:val="18"/>
                              </w:rPr>
                              <w:t>ι</w:t>
                            </w:r>
                            <w:r>
                              <w:rPr>
                                <w:b/>
                                <w:smallCaps w:val="0"/>
                                <w:color w:val="FFFFFF"/>
                                <w:sz w:val="18"/>
                              </w:rPr>
                              <w:t>στώσεων</w:t>
                            </w:r>
                            <w:r>
                              <w:rPr>
                                <w:b/>
                                <w:smallCaps w:val="0"/>
                                <w:color w:val="FFFFFF"/>
                                <w:spacing w:val="-2"/>
                                <w:sz w:val="18"/>
                              </w:rPr>
                              <w:t> </w:t>
                            </w:r>
                            <w:r>
                              <w:rPr>
                                <w:b/>
                                <w:smallCaps w:val="0"/>
                                <w:color w:val="FFFFFF"/>
                                <w:sz w:val="18"/>
                              </w:rPr>
                              <w:t>προς το</w:t>
                            </w:r>
                            <w:r>
                              <w:rPr>
                                <w:b/>
                                <w:smallCaps w:val="0"/>
                                <w:color w:val="FFFFFF"/>
                                <w:spacing w:val="-3"/>
                                <w:sz w:val="18"/>
                              </w:rPr>
                              <w:t> </w:t>
                            </w:r>
                            <w:r>
                              <w:rPr>
                                <w:b/>
                                <w:smallCaps w:val="0"/>
                                <w:color w:val="FFFFFF"/>
                                <w:sz w:val="18"/>
                              </w:rPr>
                              <w:t>ΑΕΠ</w:t>
                            </w:r>
                            <w:r>
                              <w:rPr>
                                <w:b/>
                                <w:smallCaps w:val="0"/>
                                <w:color w:val="FFFFFF"/>
                                <w:spacing w:val="-3"/>
                                <w:sz w:val="18"/>
                              </w:rPr>
                              <w:t> </w:t>
                            </w:r>
                            <w:r>
                              <w:rPr>
                                <w:b/>
                                <w:smallCaps w:val="0"/>
                                <w:color w:val="FFFFFF"/>
                                <w:sz w:val="18"/>
                              </w:rPr>
                              <w:t>κα</w:t>
                            </w:r>
                            <w:r>
                              <w:rPr>
                                <w:b/>
                                <w:smallCaps/>
                                <w:color w:val="FFFFFF"/>
                                <w:sz w:val="18"/>
                              </w:rPr>
                              <w:t>ι</w:t>
                            </w:r>
                            <w:r>
                              <w:rPr>
                                <w:b/>
                                <w:smallCaps w:val="0"/>
                                <w:color w:val="FFFFFF"/>
                                <w:spacing w:val="-3"/>
                                <w:sz w:val="18"/>
                              </w:rPr>
                              <w:t> </w:t>
                            </w:r>
                            <w:r>
                              <w:rPr>
                                <w:b/>
                                <w:smallCaps w:val="0"/>
                                <w:color w:val="FFFFFF"/>
                                <w:sz w:val="18"/>
                              </w:rPr>
                              <w:t>μα-κροχρόν</w:t>
                            </w:r>
                            <w:r>
                              <w:rPr>
                                <w:b/>
                                <w:smallCaps/>
                                <w:color w:val="FFFFFF"/>
                                <w:sz w:val="18"/>
                              </w:rPr>
                              <w:t>ι</w:t>
                            </w:r>
                            <w:r>
                              <w:rPr>
                                <w:b/>
                                <w:smallCaps w:val="0"/>
                                <w:color w:val="FFFFFF"/>
                                <w:sz w:val="18"/>
                              </w:rPr>
                              <w:t>α τάση του λόγου π</w:t>
                            </w:r>
                            <w:r>
                              <w:rPr>
                                <w:b/>
                                <w:smallCaps/>
                                <w:color w:val="FFFFFF"/>
                                <w:sz w:val="18"/>
                              </w:rPr>
                              <w:t>ι</w:t>
                            </w:r>
                            <w:r>
                              <w:rPr>
                                <w:b/>
                                <w:smallCaps w:val="0"/>
                                <w:color w:val="FFFFFF"/>
                                <w:sz w:val="18"/>
                              </w:rPr>
                              <w:t>στώσεων προς το ΑΕΠ (δ΄ τρίμηνο 1997 – δ΄ τρίμηνο 2025)</w:t>
                            </w:r>
                          </w:p>
                        </w:txbxContent>
                      </wps:txbx>
                      <wps:bodyPr wrap="square" lIns="0" tIns="0" rIns="0" bIns="0" rtlCol="0">
                        <a:noAutofit/>
                      </wps:bodyPr>
                    </wps:wsp>
                  </a:graphicData>
                </a:graphic>
              </wp:anchor>
            </w:drawing>
          </mc:Choice>
          <mc:Fallback>
            <w:pict>
              <v:shape style="position:absolute;margin-left:78.624001pt;margin-top:4.071113pt;width:425.35pt;height:26.65pt;mso-position-horizontal-relative:page;mso-position-vertical-relative:paragraph;z-index:-15676928;mso-wrap-distance-left:0;mso-wrap-distance-right:0" type="#_x0000_t202" id="docshape511" filled="true" fillcolor="#1f487c" stroked="false">
                <v:textbox inset="0,0,0,0">
                  <w:txbxContent>
                    <w:p>
                      <w:pPr>
                        <w:spacing w:before="60"/>
                        <w:ind w:left="112" w:right="26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3"/>
                          <w:sz w:val="18"/>
                        </w:rPr>
                        <w:t> </w:t>
                      </w:r>
                      <w:r>
                        <w:rPr>
                          <w:b/>
                          <w:smallCaps w:val="0"/>
                          <w:color w:val="FFFFFF"/>
                          <w:sz w:val="18"/>
                        </w:rPr>
                        <w:t>IV.2</w:t>
                      </w:r>
                      <w:r>
                        <w:rPr>
                          <w:b/>
                          <w:smallCaps w:val="0"/>
                          <w:color w:val="FFFFFF"/>
                          <w:spacing w:val="-2"/>
                          <w:sz w:val="18"/>
                        </w:rPr>
                        <w:t> </w:t>
                      </w:r>
                      <w:r>
                        <w:rPr>
                          <w:b/>
                          <w:smallCaps w:val="0"/>
                          <w:color w:val="FFFFFF"/>
                          <w:sz w:val="18"/>
                        </w:rPr>
                        <w:t>Τυποπο</w:t>
                      </w:r>
                      <w:r>
                        <w:rPr>
                          <w:b/>
                          <w:smallCaps/>
                          <w:color w:val="FFFFFF"/>
                          <w:sz w:val="18"/>
                        </w:rPr>
                        <w:t>ι</w:t>
                      </w:r>
                      <w:r>
                        <w:rPr>
                          <w:b/>
                          <w:smallCaps w:val="0"/>
                          <w:color w:val="FFFFFF"/>
                          <w:sz w:val="18"/>
                        </w:rPr>
                        <w:t>ημένη</w:t>
                      </w:r>
                      <w:r>
                        <w:rPr>
                          <w:b/>
                          <w:smallCaps w:val="0"/>
                          <w:color w:val="FFFFFF"/>
                          <w:spacing w:val="-4"/>
                          <w:sz w:val="18"/>
                        </w:rPr>
                        <w:t> </w:t>
                      </w:r>
                      <w:r>
                        <w:rPr>
                          <w:b/>
                          <w:smallCaps w:val="0"/>
                          <w:color w:val="FFFFFF"/>
                          <w:sz w:val="18"/>
                        </w:rPr>
                        <w:t>δ</w:t>
                      </w:r>
                      <w:r>
                        <w:rPr>
                          <w:b/>
                          <w:smallCaps/>
                          <w:color w:val="FFFFFF"/>
                          <w:sz w:val="18"/>
                        </w:rPr>
                        <w:t>ι</w:t>
                      </w:r>
                      <w:r>
                        <w:rPr>
                          <w:b/>
                          <w:smallCaps w:val="0"/>
                          <w:color w:val="FFFFFF"/>
                          <w:sz w:val="18"/>
                        </w:rPr>
                        <w:t>αφορά</w:t>
                      </w:r>
                      <w:r>
                        <w:rPr>
                          <w:b/>
                          <w:smallCaps w:val="0"/>
                          <w:color w:val="FFFFFF"/>
                          <w:spacing w:val="-3"/>
                          <w:sz w:val="18"/>
                        </w:rPr>
                        <w:t> </w:t>
                      </w:r>
                      <w:r>
                        <w:rPr>
                          <w:b/>
                          <w:smallCaps w:val="0"/>
                          <w:color w:val="FFFFFF"/>
                          <w:sz w:val="18"/>
                        </w:rPr>
                        <w:t>π</w:t>
                      </w:r>
                      <w:r>
                        <w:rPr>
                          <w:b/>
                          <w:smallCaps/>
                          <w:color w:val="FFFFFF"/>
                          <w:sz w:val="18"/>
                        </w:rPr>
                        <w:t>ι</w:t>
                      </w:r>
                      <w:r>
                        <w:rPr>
                          <w:b/>
                          <w:smallCaps w:val="0"/>
                          <w:color w:val="FFFFFF"/>
                          <w:sz w:val="18"/>
                        </w:rPr>
                        <w:t>στώσεων</w:t>
                      </w:r>
                      <w:r>
                        <w:rPr>
                          <w:b/>
                          <w:smallCaps w:val="0"/>
                          <w:color w:val="FFFFFF"/>
                          <w:spacing w:val="-2"/>
                          <w:sz w:val="18"/>
                        </w:rPr>
                        <w:t> </w:t>
                      </w:r>
                      <w:r>
                        <w:rPr>
                          <w:b/>
                          <w:smallCaps w:val="0"/>
                          <w:color w:val="FFFFFF"/>
                          <w:sz w:val="18"/>
                        </w:rPr>
                        <w:t>προς</w:t>
                      </w:r>
                      <w:r>
                        <w:rPr>
                          <w:b/>
                          <w:smallCaps w:val="0"/>
                          <w:color w:val="FFFFFF"/>
                          <w:spacing w:val="-4"/>
                          <w:sz w:val="18"/>
                        </w:rPr>
                        <w:t> </w:t>
                      </w:r>
                      <w:r>
                        <w:rPr>
                          <w:b/>
                          <w:smallCaps w:val="0"/>
                          <w:color w:val="FFFFFF"/>
                          <w:sz w:val="18"/>
                        </w:rPr>
                        <w:t>το</w:t>
                      </w:r>
                      <w:r>
                        <w:rPr>
                          <w:b/>
                          <w:smallCaps w:val="0"/>
                          <w:color w:val="FFFFFF"/>
                          <w:spacing w:val="-2"/>
                          <w:sz w:val="18"/>
                        </w:rPr>
                        <w:t> </w:t>
                      </w:r>
                      <w:r>
                        <w:rPr>
                          <w:b/>
                          <w:smallCaps w:val="0"/>
                          <w:color w:val="FFFFFF"/>
                          <w:sz w:val="18"/>
                        </w:rPr>
                        <w:t>ΑΕΠ,</w:t>
                      </w:r>
                      <w:r>
                        <w:rPr>
                          <w:b/>
                          <w:smallCaps w:val="0"/>
                          <w:color w:val="FFFFFF"/>
                          <w:spacing w:val="-3"/>
                          <w:sz w:val="18"/>
                        </w:rPr>
                        <w:t> </w:t>
                      </w:r>
                      <w:r>
                        <w:rPr>
                          <w:b/>
                          <w:smallCaps w:val="0"/>
                          <w:color w:val="FFFFFF"/>
                          <w:sz w:val="18"/>
                        </w:rPr>
                        <w:t>λόγος</w:t>
                      </w:r>
                      <w:r>
                        <w:rPr>
                          <w:b/>
                          <w:smallCaps w:val="0"/>
                          <w:color w:val="FFFFFF"/>
                          <w:spacing w:val="-2"/>
                          <w:sz w:val="18"/>
                        </w:rPr>
                        <w:t> </w:t>
                      </w:r>
                      <w:r>
                        <w:rPr>
                          <w:b/>
                          <w:smallCaps w:val="0"/>
                          <w:color w:val="FFFFFF"/>
                          <w:sz w:val="18"/>
                        </w:rPr>
                        <w:t>π</w:t>
                      </w:r>
                      <w:r>
                        <w:rPr>
                          <w:b/>
                          <w:smallCaps/>
                          <w:color w:val="FFFFFF"/>
                          <w:sz w:val="18"/>
                        </w:rPr>
                        <w:t>ι</w:t>
                      </w:r>
                      <w:r>
                        <w:rPr>
                          <w:b/>
                          <w:smallCaps w:val="0"/>
                          <w:color w:val="FFFFFF"/>
                          <w:sz w:val="18"/>
                        </w:rPr>
                        <w:t>στώσεων</w:t>
                      </w:r>
                      <w:r>
                        <w:rPr>
                          <w:b/>
                          <w:smallCaps w:val="0"/>
                          <w:color w:val="FFFFFF"/>
                          <w:spacing w:val="-2"/>
                          <w:sz w:val="18"/>
                        </w:rPr>
                        <w:t> </w:t>
                      </w:r>
                      <w:r>
                        <w:rPr>
                          <w:b/>
                          <w:smallCaps w:val="0"/>
                          <w:color w:val="FFFFFF"/>
                          <w:sz w:val="18"/>
                        </w:rPr>
                        <w:t>προς το</w:t>
                      </w:r>
                      <w:r>
                        <w:rPr>
                          <w:b/>
                          <w:smallCaps w:val="0"/>
                          <w:color w:val="FFFFFF"/>
                          <w:spacing w:val="-3"/>
                          <w:sz w:val="18"/>
                        </w:rPr>
                        <w:t> </w:t>
                      </w:r>
                      <w:r>
                        <w:rPr>
                          <w:b/>
                          <w:smallCaps w:val="0"/>
                          <w:color w:val="FFFFFF"/>
                          <w:sz w:val="18"/>
                        </w:rPr>
                        <w:t>ΑΕΠ</w:t>
                      </w:r>
                      <w:r>
                        <w:rPr>
                          <w:b/>
                          <w:smallCaps w:val="0"/>
                          <w:color w:val="FFFFFF"/>
                          <w:spacing w:val="-3"/>
                          <w:sz w:val="18"/>
                        </w:rPr>
                        <w:t> </w:t>
                      </w:r>
                      <w:r>
                        <w:rPr>
                          <w:b/>
                          <w:smallCaps w:val="0"/>
                          <w:color w:val="FFFFFF"/>
                          <w:sz w:val="18"/>
                        </w:rPr>
                        <w:t>κα</w:t>
                      </w:r>
                      <w:r>
                        <w:rPr>
                          <w:b/>
                          <w:smallCaps/>
                          <w:color w:val="FFFFFF"/>
                          <w:sz w:val="18"/>
                        </w:rPr>
                        <w:t>ι</w:t>
                      </w:r>
                      <w:r>
                        <w:rPr>
                          <w:b/>
                          <w:smallCaps w:val="0"/>
                          <w:color w:val="FFFFFF"/>
                          <w:spacing w:val="-3"/>
                          <w:sz w:val="18"/>
                        </w:rPr>
                        <w:t> </w:t>
                      </w:r>
                      <w:r>
                        <w:rPr>
                          <w:b/>
                          <w:smallCaps w:val="0"/>
                          <w:color w:val="FFFFFF"/>
                          <w:sz w:val="18"/>
                        </w:rPr>
                        <w:t>μα-κροχρόν</w:t>
                      </w:r>
                      <w:r>
                        <w:rPr>
                          <w:b/>
                          <w:smallCaps/>
                          <w:color w:val="FFFFFF"/>
                          <w:sz w:val="18"/>
                        </w:rPr>
                        <w:t>ι</w:t>
                      </w:r>
                      <w:r>
                        <w:rPr>
                          <w:b/>
                          <w:smallCaps w:val="0"/>
                          <w:color w:val="FFFFFF"/>
                          <w:sz w:val="18"/>
                        </w:rPr>
                        <w:t>α τάση του λόγου π</w:t>
                      </w:r>
                      <w:r>
                        <w:rPr>
                          <w:b/>
                          <w:smallCaps/>
                          <w:color w:val="FFFFFF"/>
                          <w:sz w:val="18"/>
                        </w:rPr>
                        <w:t>ι</w:t>
                      </w:r>
                      <w:r>
                        <w:rPr>
                          <w:b/>
                          <w:smallCaps w:val="0"/>
                          <w:color w:val="FFFFFF"/>
                          <w:sz w:val="18"/>
                        </w:rPr>
                        <w:t>στώσεων προς το ΑΕΠ (δ΄ τρίμηνο 1997 – δ΄ τρίμηνο 2025)</w:t>
                      </w:r>
                    </w:p>
                  </w:txbxContent>
                </v:textbox>
                <v:fill type="solid"/>
                <w10:wrap type="topAndBottom"/>
              </v:shape>
            </w:pict>
          </mc:Fallback>
        </mc:AlternateContent>
      </w:r>
    </w:p>
    <w:p>
      <w:pPr>
        <w:spacing w:before="119" w:after="63"/>
        <w:ind w:left="213" w:right="0" w:firstLine="0"/>
        <w:jc w:val="left"/>
        <w:rPr>
          <w:sz w:val="14"/>
        </w:rPr>
      </w:pPr>
      <w:r>
        <w:rPr>
          <w:color w:val="1F487C"/>
          <w:sz w:val="14"/>
        </w:rPr>
        <w:t>(τριμηνιαία</w:t>
      </w:r>
      <w:r>
        <w:rPr>
          <w:color w:val="1F487C"/>
          <w:spacing w:val="-6"/>
          <w:sz w:val="14"/>
        </w:rPr>
        <w:t> </w:t>
      </w:r>
      <w:r>
        <w:rPr>
          <w:color w:val="1F487C"/>
          <w:sz w:val="14"/>
        </w:rPr>
        <w:t>στοιχεία,</w:t>
      </w:r>
      <w:r>
        <w:rPr>
          <w:color w:val="1F487C"/>
          <w:spacing w:val="-3"/>
          <w:sz w:val="14"/>
        </w:rPr>
        <w:t> </w:t>
      </w:r>
      <w:r>
        <w:rPr>
          <w:color w:val="1F487C"/>
          <w:sz w:val="14"/>
        </w:rPr>
        <w:t>ΑΕΠ</w:t>
      </w:r>
      <w:r>
        <w:rPr>
          <w:color w:val="1F487C"/>
          <w:spacing w:val="-7"/>
          <w:sz w:val="14"/>
        </w:rPr>
        <w:t> </w:t>
      </w:r>
      <w:r>
        <w:rPr>
          <w:color w:val="1F487C"/>
          <w:sz w:val="14"/>
        </w:rPr>
        <w:t>μη</w:t>
      </w:r>
      <w:r>
        <w:rPr>
          <w:color w:val="1F487C"/>
          <w:spacing w:val="-5"/>
          <w:sz w:val="14"/>
        </w:rPr>
        <w:t> </w:t>
      </w:r>
      <w:r>
        <w:rPr>
          <w:color w:val="1F487C"/>
          <w:sz w:val="14"/>
        </w:rPr>
        <w:t>εποχικά</w:t>
      </w:r>
      <w:r>
        <w:rPr>
          <w:color w:val="1F487C"/>
          <w:spacing w:val="-6"/>
          <w:sz w:val="14"/>
        </w:rPr>
        <w:t> </w:t>
      </w:r>
      <w:r>
        <w:rPr>
          <w:color w:val="1F487C"/>
          <w:sz w:val="14"/>
        </w:rPr>
        <w:t>διορθωμένο,</w:t>
      </w:r>
      <w:r>
        <w:rPr>
          <w:color w:val="1F487C"/>
          <w:spacing w:val="-3"/>
          <w:sz w:val="14"/>
        </w:rPr>
        <w:t> </w:t>
      </w:r>
      <w:r>
        <w:rPr>
          <w:color w:val="1F487C"/>
          <w:sz w:val="14"/>
        </w:rPr>
        <w:t>Hodrick</w:t>
      </w:r>
      <w:r>
        <w:rPr>
          <w:color w:val="1F487C"/>
          <w:spacing w:val="-4"/>
          <w:sz w:val="14"/>
        </w:rPr>
        <w:t> </w:t>
      </w:r>
      <w:r>
        <w:rPr>
          <w:color w:val="1F487C"/>
          <w:sz w:val="14"/>
        </w:rPr>
        <w:t>Prescott</w:t>
      </w:r>
      <w:r>
        <w:rPr>
          <w:color w:val="1F487C"/>
          <w:spacing w:val="-5"/>
          <w:sz w:val="14"/>
        </w:rPr>
        <w:t> </w:t>
      </w:r>
      <w:r>
        <w:rPr>
          <w:color w:val="1F487C"/>
          <w:sz w:val="14"/>
        </w:rPr>
        <w:t>one-sided</w:t>
      </w:r>
      <w:r>
        <w:rPr>
          <w:color w:val="1F487C"/>
          <w:spacing w:val="-4"/>
          <w:sz w:val="14"/>
        </w:rPr>
        <w:t> </w:t>
      </w:r>
      <w:r>
        <w:rPr>
          <w:color w:val="1F487C"/>
          <w:spacing w:val="-2"/>
          <w:sz w:val="14"/>
        </w:rPr>
        <w:t>filter)</w:t>
      </w:r>
    </w:p>
    <w:p>
      <w:pPr>
        <w:spacing w:line="240" w:lineRule="auto"/>
        <w:ind w:left="155" w:right="0" w:firstLine="0"/>
        <w:rPr>
          <w:sz w:val="20"/>
        </w:rPr>
      </w:pPr>
      <w:r>
        <w:rPr>
          <w:sz w:val="20"/>
        </w:rPr>
        <mc:AlternateContent>
          <mc:Choice Requires="wps">
            <w:drawing>
              <wp:inline distT="0" distB="0" distL="0" distR="0">
                <wp:extent cx="5401945" cy="2564130"/>
                <wp:effectExtent l="0" t="0" r="0" b="7619"/>
                <wp:docPr id="540" name="Group 540"/>
                <wp:cNvGraphicFramePr>
                  <a:graphicFrameLocks/>
                </wp:cNvGraphicFramePr>
                <a:graphic>
                  <a:graphicData uri="http://schemas.microsoft.com/office/word/2010/wordprocessingGroup">
                    <wpg:wgp>
                      <wpg:cNvPr id="540" name="Group 540"/>
                      <wpg:cNvGrpSpPr/>
                      <wpg:grpSpPr>
                        <a:xfrm>
                          <a:off x="0" y="0"/>
                          <a:ext cx="5401945" cy="2564130"/>
                          <a:chExt cx="5401945" cy="2564130"/>
                        </a:xfrm>
                      </wpg:grpSpPr>
                      <wps:wsp>
                        <wps:cNvPr id="541" name="Graphic 541"/>
                        <wps:cNvSpPr/>
                        <wps:spPr>
                          <a:xfrm>
                            <a:off x="0" y="0"/>
                            <a:ext cx="5401945" cy="2564130"/>
                          </a:xfrm>
                          <a:custGeom>
                            <a:avLst/>
                            <a:gdLst/>
                            <a:ahLst/>
                            <a:cxnLst/>
                            <a:rect l="l" t="t" r="r" b="b"/>
                            <a:pathLst>
                              <a:path w="5401945" h="2564130">
                                <a:moveTo>
                                  <a:pt x="5401945" y="0"/>
                                </a:moveTo>
                                <a:lnTo>
                                  <a:pt x="0" y="0"/>
                                </a:lnTo>
                                <a:lnTo>
                                  <a:pt x="0" y="2347214"/>
                                </a:lnTo>
                                <a:lnTo>
                                  <a:pt x="0" y="2563622"/>
                                </a:lnTo>
                                <a:lnTo>
                                  <a:pt x="5401945" y="2563622"/>
                                </a:lnTo>
                                <a:lnTo>
                                  <a:pt x="5401945" y="2347214"/>
                                </a:lnTo>
                                <a:lnTo>
                                  <a:pt x="5401945" y="0"/>
                                </a:lnTo>
                                <a:close/>
                              </a:path>
                            </a:pathLst>
                          </a:custGeom>
                          <a:solidFill>
                            <a:srgbClr val="D9D9D9"/>
                          </a:solidFill>
                        </wps:spPr>
                        <wps:bodyPr wrap="square" lIns="0" tIns="0" rIns="0" bIns="0" rtlCol="0">
                          <a:prstTxWarp prst="textNoShape">
                            <a:avLst/>
                          </a:prstTxWarp>
                          <a:noAutofit/>
                        </wps:bodyPr>
                      </wps:wsp>
                      <pic:pic>
                        <pic:nvPicPr>
                          <pic:cNvPr id="542" name="Image 542"/>
                          <pic:cNvPicPr/>
                        </pic:nvPicPr>
                        <pic:blipFill>
                          <a:blip r:embed="rId102" cstate="print"/>
                          <a:stretch>
                            <a:fillRect/>
                          </a:stretch>
                        </pic:blipFill>
                        <pic:spPr>
                          <a:xfrm>
                            <a:off x="2235" y="37084"/>
                            <a:ext cx="5374640" cy="2291080"/>
                          </a:xfrm>
                          <a:prstGeom prst="rect">
                            <a:avLst/>
                          </a:prstGeom>
                        </pic:spPr>
                      </pic:pic>
                      <wps:wsp>
                        <wps:cNvPr id="543" name="Textbox 543"/>
                        <wps:cNvSpPr txBox="1"/>
                        <wps:spPr>
                          <a:xfrm>
                            <a:off x="0" y="0"/>
                            <a:ext cx="5401945" cy="256413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12"/>
                                <w:rPr>
                                  <w:sz w:val="14"/>
                                </w:rPr>
                              </w:pPr>
                            </w:p>
                            <w:p>
                              <w:pPr>
                                <w:spacing w:before="0"/>
                                <w:ind w:left="112" w:right="0" w:firstLine="0"/>
                                <w:jc w:val="left"/>
                                <w:rPr>
                                  <w:sz w:val="14"/>
                                </w:rPr>
                              </w:pPr>
                              <w:r>
                                <w:rPr>
                                  <w:sz w:val="14"/>
                                </w:rPr>
                                <w:t>Πηγές:</w:t>
                              </w:r>
                              <w:r>
                                <w:rPr>
                                  <w:spacing w:val="-5"/>
                                  <w:sz w:val="14"/>
                                </w:rPr>
                                <w:t> </w:t>
                              </w:r>
                              <w:r>
                                <w:rPr>
                                  <w:sz w:val="14"/>
                                </w:rPr>
                                <w:t>ΕΛΣΤΑΤ,</w:t>
                              </w:r>
                              <w:r>
                                <w:rPr>
                                  <w:spacing w:val="-3"/>
                                  <w:sz w:val="14"/>
                                </w:rPr>
                                <w:t> </w:t>
                              </w:r>
                              <w:r>
                                <w:rPr>
                                  <w:sz w:val="14"/>
                                </w:rPr>
                                <w:t>Τράπεζα</w:t>
                              </w:r>
                              <w:r>
                                <w:rPr>
                                  <w:spacing w:val="-4"/>
                                  <w:sz w:val="14"/>
                                </w:rPr>
                                <w:t> </w:t>
                              </w:r>
                              <w:r>
                                <w:rPr>
                                  <w:sz w:val="14"/>
                                </w:rPr>
                                <w:t>της</w:t>
                              </w:r>
                              <w:r>
                                <w:rPr>
                                  <w:spacing w:val="-5"/>
                                  <w:sz w:val="14"/>
                                </w:rPr>
                                <w:t> </w:t>
                              </w:r>
                              <w:r>
                                <w:rPr>
                                  <w:sz w:val="14"/>
                                </w:rPr>
                                <w:t>Ελλάδος</w:t>
                              </w:r>
                              <w:r>
                                <w:rPr>
                                  <w:spacing w:val="-4"/>
                                  <w:sz w:val="14"/>
                                </w:rPr>
                                <w:t> </w:t>
                              </w:r>
                              <w:r>
                                <w:rPr>
                                  <w:sz w:val="14"/>
                                </w:rPr>
                                <w:t>και</w:t>
                              </w:r>
                              <w:r>
                                <w:rPr>
                                  <w:spacing w:val="-4"/>
                                  <w:sz w:val="14"/>
                                </w:rPr>
                                <w:t> </w:t>
                              </w:r>
                              <w:r>
                                <w:rPr>
                                  <w:sz w:val="14"/>
                                </w:rPr>
                                <w:t>υπολογισμοί</w:t>
                              </w:r>
                              <w:r>
                                <w:rPr>
                                  <w:spacing w:val="-3"/>
                                  <w:sz w:val="14"/>
                                </w:rPr>
                                <w:t> </w:t>
                              </w:r>
                              <w:r>
                                <w:rPr>
                                  <w:sz w:val="14"/>
                                </w:rPr>
                                <w:t>της</w:t>
                              </w:r>
                              <w:r>
                                <w:rPr>
                                  <w:spacing w:val="-5"/>
                                  <w:sz w:val="14"/>
                                </w:rPr>
                                <w:t> </w:t>
                              </w:r>
                              <w:r>
                                <w:rPr>
                                  <w:sz w:val="14"/>
                                </w:rPr>
                                <w:t>Τράπεζας</w:t>
                              </w:r>
                              <w:r>
                                <w:rPr>
                                  <w:spacing w:val="-4"/>
                                  <w:sz w:val="14"/>
                                </w:rPr>
                                <w:t> </w:t>
                              </w:r>
                              <w:r>
                                <w:rPr>
                                  <w:sz w:val="14"/>
                                </w:rPr>
                                <w:t>της</w:t>
                              </w:r>
                              <w:r>
                                <w:rPr>
                                  <w:spacing w:val="-5"/>
                                  <w:sz w:val="14"/>
                                </w:rPr>
                                <w:t> </w:t>
                              </w:r>
                              <w:r>
                                <w:rPr>
                                  <w:spacing w:val="-2"/>
                                  <w:sz w:val="14"/>
                                </w:rPr>
                                <w:t>Ελλάδος.</w:t>
                              </w:r>
                            </w:p>
                          </w:txbxContent>
                        </wps:txbx>
                        <wps:bodyPr wrap="square" lIns="0" tIns="0" rIns="0" bIns="0" rtlCol="0">
                          <a:noAutofit/>
                        </wps:bodyPr>
                      </wps:wsp>
                    </wpg:wgp>
                  </a:graphicData>
                </a:graphic>
              </wp:inline>
            </w:drawing>
          </mc:Choice>
          <mc:Fallback>
            <w:pict>
              <v:group style="width:425.35pt;height:201.9pt;mso-position-horizontal-relative:char;mso-position-vertical-relative:line" id="docshapegroup512" coordorigin="0,0" coordsize="8507,4038">
                <v:shape style="position:absolute;left:0;top:0;width:8507;height:4038" id="docshape513" coordorigin="0,0" coordsize="8507,4038" path="m8507,0l0,0,0,3696,0,4037,8507,4037,8507,3696,8507,0xe" filled="true" fillcolor="#d9d9d9" stroked="false">
                  <v:path arrowok="t"/>
                  <v:fill type="solid"/>
                </v:shape>
                <v:shape style="position:absolute;left:3;top:58;width:8464;height:3608" type="#_x0000_t75" id="docshape514" stroked="false">
                  <v:imagedata r:id="rId102" o:title=""/>
                </v:shape>
                <v:shape style="position:absolute;left:0;top:0;width:8507;height:4038" type="#_x0000_t202" id="docshape515"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12"/>
                          <w:rPr>
                            <w:sz w:val="14"/>
                          </w:rPr>
                        </w:pPr>
                      </w:p>
                      <w:p>
                        <w:pPr>
                          <w:spacing w:before="0"/>
                          <w:ind w:left="112" w:right="0" w:firstLine="0"/>
                          <w:jc w:val="left"/>
                          <w:rPr>
                            <w:sz w:val="14"/>
                          </w:rPr>
                        </w:pPr>
                        <w:r>
                          <w:rPr>
                            <w:sz w:val="14"/>
                          </w:rPr>
                          <w:t>Πηγές:</w:t>
                        </w:r>
                        <w:r>
                          <w:rPr>
                            <w:spacing w:val="-5"/>
                            <w:sz w:val="14"/>
                          </w:rPr>
                          <w:t> </w:t>
                        </w:r>
                        <w:r>
                          <w:rPr>
                            <w:sz w:val="14"/>
                          </w:rPr>
                          <w:t>ΕΛΣΤΑΤ,</w:t>
                        </w:r>
                        <w:r>
                          <w:rPr>
                            <w:spacing w:val="-3"/>
                            <w:sz w:val="14"/>
                          </w:rPr>
                          <w:t> </w:t>
                        </w:r>
                        <w:r>
                          <w:rPr>
                            <w:sz w:val="14"/>
                          </w:rPr>
                          <w:t>Τράπεζα</w:t>
                        </w:r>
                        <w:r>
                          <w:rPr>
                            <w:spacing w:val="-4"/>
                            <w:sz w:val="14"/>
                          </w:rPr>
                          <w:t> </w:t>
                        </w:r>
                        <w:r>
                          <w:rPr>
                            <w:sz w:val="14"/>
                          </w:rPr>
                          <w:t>της</w:t>
                        </w:r>
                        <w:r>
                          <w:rPr>
                            <w:spacing w:val="-5"/>
                            <w:sz w:val="14"/>
                          </w:rPr>
                          <w:t> </w:t>
                        </w:r>
                        <w:r>
                          <w:rPr>
                            <w:sz w:val="14"/>
                          </w:rPr>
                          <w:t>Ελλάδος</w:t>
                        </w:r>
                        <w:r>
                          <w:rPr>
                            <w:spacing w:val="-4"/>
                            <w:sz w:val="14"/>
                          </w:rPr>
                          <w:t> </w:t>
                        </w:r>
                        <w:r>
                          <w:rPr>
                            <w:sz w:val="14"/>
                          </w:rPr>
                          <w:t>και</w:t>
                        </w:r>
                        <w:r>
                          <w:rPr>
                            <w:spacing w:val="-4"/>
                            <w:sz w:val="14"/>
                          </w:rPr>
                          <w:t> </w:t>
                        </w:r>
                        <w:r>
                          <w:rPr>
                            <w:sz w:val="14"/>
                          </w:rPr>
                          <w:t>υπολογισμοί</w:t>
                        </w:r>
                        <w:r>
                          <w:rPr>
                            <w:spacing w:val="-3"/>
                            <w:sz w:val="14"/>
                          </w:rPr>
                          <w:t> </w:t>
                        </w:r>
                        <w:r>
                          <w:rPr>
                            <w:sz w:val="14"/>
                          </w:rPr>
                          <w:t>της</w:t>
                        </w:r>
                        <w:r>
                          <w:rPr>
                            <w:spacing w:val="-5"/>
                            <w:sz w:val="14"/>
                          </w:rPr>
                          <w:t> </w:t>
                        </w:r>
                        <w:r>
                          <w:rPr>
                            <w:sz w:val="14"/>
                          </w:rPr>
                          <w:t>Τράπεζας</w:t>
                        </w:r>
                        <w:r>
                          <w:rPr>
                            <w:spacing w:val="-4"/>
                            <w:sz w:val="14"/>
                          </w:rPr>
                          <w:t> </w:t>
                        </w:r>
                        <w:r>
                          <w:rPr>
                            <w:sz w:val="14"/>
                          </w:rPr>
                          <w:t>της</w:t>
                        </w:r>
                        <w:r>
                          <w:rPr>
                            <w:spacing w:val="-5"/>
                            <w:sz w:val="14"/>
                          </w:rPr>
                          <w:t> </w:t>
                        </w:r>
                        <w:r>
                          <w:rPr>
                            <w:spacing w:val="-2"/>
                            <w:sz w:val="14"/>
                          </w:rPr>
                          <w:t>Ελλάδος.</w:t>
                        </w:r>
                      </w:p>
                    </w:txbxContent>
                  </v:textbox>
                  <w10:wrap type="none"/>
                </v:shape>
              </v:group>
            </w:pict>
          </mc:Fallback>
        </mc:AlternateContent>
      </w:r>
      <w:r>
        <w:rPr>
          <w:sz w:val="20"/>
        </w:rPr>
      </w:r>
    </w:p>
    <w:p>
      <w:pPr>
        <w:pStyle w:val="BodyText"/>
        <w:spacing w:line="285" w:lineRule="auto" w:before="57"/>
        <w:ind w:left="172" w:right="954"/>
        <w:jc w:val="both"/>
      </w:pPr>
      <w:r>
        <w:rPr/>
        <w:t>H ανάλυση των πρόσθετων δεικτών που εξετάζει η Τράπεζα της Ελλάδος αναδεικνύει μεν την απαρχή</w:t>
      </w:r>
      <w:r>
        <w:rPr>
          <w:spacing w:val="-6"/>
        </w:rPr>
        <w:t> </w:t>
      </w:r>
      <w:r>
        <w:rPr/>
        <w:t>συσσώρευσης</w:t>
      </w:r>
      <w:r>
        <w:rPr>
          <w:spacing w:val="-7"/>
        </w:rPr>
        <w:t> </w:t>
      </w:r>
      <w:r>
        <w:rPr/>
        <w:t>κυκλικών</w:t>
      </w:r>
      <w:r>
        <w:rPr>
          <w:spacing w:val="-7"/>
        </w:rPr>
        <w:t> </w:t>
      </w:r>
      <w:r>
        <w:rPr/>
        <w:t>συστημικών</w:t>
      </w:r>
      <w:r>
        <w:rPr>
          <w:spacing w:val="-5"/>
        </w:rPr>
        <w:t> </w:t>
      </w:r>
      <w:r>
        <w:rPr/>
        <w:t>κινδύνων</w:t>
      </w:r>
      <w:r>
        <w:rPr>
          <w:spacing w:val="-7"/>
        </w:rPr>
        <w:t> </w:t>
      </w:r>
      <w:r>
        <w:rPr/>
        <w:t>σε</w:t>
      </w:r>
      <w:r>
        <w:rPr>
          <w:spacing w:val="-7"/>
        </w:rPr>
        <w:t> </w:t>
      </w:r>
      <w:r>
        <w:rPr/>
        <w:t>επιμέρους</w:t>
      </w:r>
      <w:r>
        <w:rPr>
          <w:spacing w:val="-7"/>
        </w:rPr>
        <w:t> </w:t>
      </w:r>
      <w:r>
        <w:rPr/>
        <w:t>τομείς,</w:t>
      </w:r>
      <w:r>
        <w:rPr>
          <w:spacing w:val="-6"/>
        </w:rPr>
        <w:t> </w:t>
      </w:r>
      <w:r>
        <w:rPr/>
        <w:t>όπως</w:t>
      </w:r>
      <w:r>
        <w:rPr>
          <w:spacing w:val="-5"/>
        </w:rPr>
        <w:t> </w:t>
      </w:r>
      <w:r>
        <w:rPr/>
        <w:t>η</w:t>
      </w:r>
      <w:r>
        <w:rPr>
          <w:spacing w:val="-6"/>
        </w:rPr>
        <w:t> </w:t>
      </w:r>
      <w:r>
        <w:rPr/>
        <w:t>χρηματοδό-τηση των μη χρηματοπιστωτικών επιχειρήσεων, οι</w:t>
      </w:r>
      <w:r>
        <w:rPr>
          <w:spacing w:val="-2"/>
        </w:rPr>
        <w:t> </w:t>
      </w:r>
      <w:r>
        <w:rPr/>
        <w:t>τιμές</w:t>
      </w:r>
      <w:r>
        <w:rPr>
          <w:spacing w:val="-1"/>
        </w:rPr>
        <w:t> </w:t>
      </w:r>
      <w:r>
        <w:rPr/>
        <w:t>των οικιστικών ακινήτων</w:t>
      </w:r>
      <w:r>
        <w:rPr>
          <w:spacing w:val="-1"/>
        </w:rPr>
        <w:t> </w:t>
      </w:r>
      <w:r>
        <w:rPr/>
        <w:t>και το ισοζύ-γιο τρεχουσών συναλλαγών, αλλά συνολικά επιβεβαιώνει την εκτίμηση περί απουσίας υπέρμε-τρης</w:t>
      </w:r>
      <w:r>
        <w:rPr>
          <w:spacing w:val="-13"/>
        </w:rPr>
        <w:t> </w:t>
      </w:r>
      <w:r>
        <w:rPr/>
        <w:t>πιστωτικής</w:t>
      </w:r>
      <w:r>
        <w:rPr>
          <w:spacing w:val="-13"/>
        </w:rPr>
        <w:t> </w:t>
      </w:r>
      <w:r>
        <w:rPr/>
        <w:t>επέκτασης.</w:t>
      </w:r>
      <w:r>
        <w:rPr>
          <w:spacing w:val="-10"/>
        </w:rPr>
        <w:t> </w:t>
      </w:r>
      <w:r>
        <w:rPr/>
        <w:t>Συμπερασματικά,</w:t>
      </w:r>
      <w:r>
        <w:rPr>
          <w:spacing w:val="-12"/>
        </w:rPr>
        <w:t> </w:t>
      </w:r>
      <w:r>
        <w:rPr/>
        <w:t>οι</w:t>
      </w:r>
      <w:r>
        <w:rPr>
          <w:spacing w:val="-11"/>
        </w:rPr>
        <w:t> </w:t>
      </w:r>
      <w:r>
        <w:rPr/>
        <w:t>κυκλικοί</w:t>
      </w:r>
      <w:r>
        <w:rPr>
          <w:spacing w:val="-11"/>
        </w:rPr>
        <w:t> </w:t>
      </w:r>
      <w:r>
        <w:rPr/>
        <w:t>συστημικοί</w:t>
      </w:r>
      <w:r>
        <w:rPr>
          <w:spacing w:val="-12"/>
        </w:rPr>
        <w:t> </w:t>
      </w:r>
      <w:r>
        <w:rPr/>
        <w:t>κίνδυνοι</w:t>
      </w:r>
      <w:r>
        <w:rPr>
          <w:spacing w:val="-11"/>
        </w:rPr>
        <w:t> </w:t>
      </w:r>
      <w:r>
        <w:rPr/>
        <w:t>στην</w:t>
      </w:r>
      <w:r>
        <w:rPr>
          <w:spacing w:val="-11"/>
        </w:rPr>
        <w:t> </w:t>
      </w:r>
      <w:r>
        <w:rPr/>
        <w:t>Ελλάδα</w:t>
      </w:r>
      <w:r>
        <w:rPr>
          <w:spacing w:val="-12"/>
        </w:rPr>
        <w:t> </w:t>
      </w:r>
      <w:r>
        <w:rPr/>
        <w:t>πα-ραμένουν περιορισμένοι και το περιβάλλον κινδύνου εμφανίζεται ουδέτερο.</w:t>
      </w:r>
    </w:p>
    <w:p>
      <w:pPr>
        <w:pStyle w:val="BodyText"/>
        <w:spacing w:before="184"/>
      </w:pPr>
    </w:p>
    <w:p>
      <w:pPr>
        <w:pStyle w:val="Heading3"/>
        <w:numPr>
          <w:ilvl w:val="2"/>
          <w:numId w:val="2"/>
        </w:numPr>
        <w:tabs>
          <w:tab w:pos="738" w:val="left" w:leader="none"/>
        </w:tabs>
        <w:spacing w:line="240" w:lineRule="auto" w:before="1" w:after="0"/>
        <w:ind w:left="738" w:right="1222" w:hanging="567"/>
        <w:jc w:val="left"/>
        <w:rPr>
          <w:color w:val="1F487C"/>
        </w:rPr>
      </w:pPr>
      <w:bookmarkStart w:name="_bookmark93" w:id="94"/>
      <w:bookmarkEnd w:id="94"/>
      <w:r>
        <w:rPr>
          <w:b w:val="0"/>
        </w:rPr>
      </w:r>
      <w:r>
        <w:rPr>
          <w:color w:val="1F487C"/>
        </w:rPr>
        <w:t>ΚΑΘΟΡΙΣΜΟΣ</w:t>
      </w:r>
      <w:r>
        <w:rPr>
          <w:color w:val="1F487C"/>
          <w:spacing w:val="-8"/>
        </w:rPr>
        <w:t> </w:t>
      </w:r>
      <w:r>
        <w:rPr>
          <w:color w:val="1F487C"/>
        </w:rPr>
        <w:t>ΤΟΥ</w:t>
      </w:r>
      <w:r>
        <w:rPr>
          <w:color w:val="1F487C"/>
          <w:spacing w:val="-9"/>
        </w:rPr>
        <w:t> </w:t>
      </w:r>
      <w:r>
        <w:rPr>
          <w:color w:val="1F487C"/>
        </w:rPr>
        <w:t>ΠΟΣΟΣΤΟΥ</w:t>
      </w:r>
      <w:r>
        <w:rPr>
          <w:color w:val="1F487C"/>
          <w:spacing w:val="-6"/>
        </w:rPr>
        <w:t> </w:t>
      </w:r>
      <w:r>
        <w:rPr>
          <w:color w:val="1F487C"/>
        </w:rPr>
        <w:t>ΑΝΤΙΚΥΚΛΙΚΟΥ</w:t>
      </w:r>
      <w:r>
        <w:rPr>
          <w:color w:val="1F487C"/>
          <w:spacing w:val="-9"/>
        </w:rPr>
        <w:t> </w:t>
      </w:r>
      <w:r>
        <w:rPr>
          <w:color w:val="1F487C"/>
        </w:rPr>
        <w:t>ΚΕΦΑΛΑΙΑΚΟΥ</w:t>
      </w:r>
      <w:r>
        <w:rPr>
          <w:color w:val="1F487C"/>
          <w:spacing w:val="-9"/>
        </w:rPr>
        <w:t> </w:t>
      </w:r>
      <w:r>
        <w:rPr>
          <w:color w:val="1F487C"/>
        </w:rPr>
        <w:t>ΑΠΟ-ΘΕΜΑΤΟΣ ΑΣΦΑΛΕΙΑΣ ΓΙΑ ΤΗΝ ΕΛΛΑΔΑ</w:t>
      </w:r>
    </w:p>
    <w:p>
      <w:pPr>
        <w:pStyle w:val="BodyText"/>
        <w:spacing w:line="285" w:lineRule="auto" w:before="96"/>
        <w:ind w:left="172" w:right="958"/>
        <w:jc w:val="both"/>
        <w:rPr>
          <w:position w:val="6"/>
          <w:sz w:val="10"/>
        </w:rPr>
      </w:pPr>
      <w:r>
        <w:rPr/>
        <w:t>Τα τρία πρώτα τρίμηνα του 2025, λαμβάνοντας υπόψη την ανάλυση των πρόσθετων δεικτών, η Τράπεζα</w:t>
      </w:r>
      <w:r>
        <w:rPr>
          <w:spacing w:val="-6"/>
        </w:rPr>
        <w:t> </w:t>
      </w:r>
      <w:r>
        <w:rPr/>
        <w:t>της</w:t>
      </w:r>
      <w:r>
        <w:rPr>
          <w:spacing w:val="-7"/>
        </w:rPr>
        <w:t> </w:t>
      </w:r>
      <w:r>
        <w:rPr/>
        <w:t>Ελλάδος</w:t>
      </w:r>
      <w:r>
        <w:rPr>
          <w:spacing w:val="-7"/>
        </w:rPr>
        <w:t> </w:t>
      </w:r>
      <w:r>
        <w:rPr/>
        <w:t>διατήρησε</w:t>
      </w:r>
      <w:r>
        <w:rPr>
          <w:spacing w:val="-7"/>
        </w:rPr>
        <w:t> </w:t>
      </w:r>
      <w:r>
        <w:rPr/>
        <w:t>το</w:t>
      </w:r>
      <w:r>
        <w:rPr>
          <w:spacing w:val="-6"/>
        </w:rPr>
        <w:t> </w:t>
      </w:r>
      <w:r>
        <w:rPr/>
        <w:t>ποσοστό</w:t>
      </w:r>
      <w:r>
        <w:rPr>
          <w:spacing w:val="-6"/>
        </w:rPr>
        <w:t> </w:t>
      </w:r>
      <w:r>
        <w:rPr/>
        <w:t>του</w:t>
      </w:r>
      <w:r>
        <w:rPr>
          <w:spacing w:val="-5"/>
        </w:rPr>
        <w:t> </w:t>
      </w:r>
      <w:r>
        <w:rPr/>
        <w:t>αντικυκλικού</w:t>
      </w:r>
      <w:r>
        <w:rPr>
          <w:spacing w:val="-5"/>
        </w:rPr>
        <w:t> </w:t>
      </w:r>
      <w:r>
        <w:rPr/>
        <w:t>κεφαλαιακού</w:t>
      </w:r>
      <w:r>
        <w:rPr>
          <w:spacing w:val="-5"/>
        </w:rPr>
        <w:t> </w:t>
      </w:r>
      <w:r>
        <w:rPr/>
        <w:t>αποθέματος</w:t>
      </w:r>
      <w:r>
        <w:rPr>
          <w:spacing w:val="-7"/>
        </w:rPr>
        <w:t> </w:t>
      </w:r>
      <w:r>
        <w:rPr/>
        <w:t>ασφα-λείας</w:t>
      </w:r>
      <w:r>
        <w:rPr>
          <w:spacing w:val="-3"/>
        </w:rPr>
        <w:t> </w:t>
      </w:r>
      <w:r>
        <w:rPr/>
        <w:t>στο</w:t>
      </w:r>
      <w:r>
        <w:rPr>
          <w:spacing w:val="-2"/>
        </w:rPr>
        <w:t> </w:t>
      </w:r>
      <w:r>
        <w:rPr/>
        <w:t>0,25%,</w:t>
      </w:r>
      <w:r>
        <w:rPr>
          <w:spacing w:val="-2"/>
        </w:rPr>
        <w:t> </w:t>
      </w:r>
      <w:r>
        <w:rPr/>
        <w:t>με</w:t>
      </w:r>
      <w:r>
        <w:rPr>
          <w:spacing w:val="-2"/>
        </w:rPr>
        <w:t> </w:t>
      </w:r>
      <w:r>
        <w:rPr/>
        <w:t>ημερομηνία</w:t>
      </w:r>
      <w:r>
        <w:rPr>
          <w:spacing w:val="-2"/>
        </w:rPr>
        <w:t> </w:t>
      </w:r>
      <w:r>
        <w:rPr/>
        <w:t>εφαρμογής</w:t>
      </w:r>
      <w:r>
        <w:rPr>
          <w:spacing w:val="-4"/>
        </w:rPr>
        <w:t> </w:t>
      </w:r>
      <w:r>
        <w:rPr/>
        <w:t>από</w:t>
      </w:r>
      <w:r>
        <w:rPr>
          <w:spacing w:val="-2"/>
        </w:rPr>
        <w:t> </w:t>
      </w:r>
      <w:r>
        <w:rPr/>
        <w:t>1ης</w:t>
      </w:r>
      <w:r>
        <w:rPr>
          <w:spacing w:val="-4"/>
        </w:rPr>
        <w:t> </w:t>
      </w:r>
      <w:r>
        <w:rPr/>
        <w:t>Οκτωβρίου</w:t>
      </w:r>
      <w:r>
        <w:rPr>
          <w:spacing w:val="-1"/>
        </w:rPr>
        <w:t> </w:t>
      </w:r>
      <w:r>
        <w:rPr/>
        <w:t>2025,</w:t>
      </w:r>
      <w:r>
        <w:rPr>
          <w:spacing w:val="-2"/>
        </w:rPr>
        <w:t> </w:t>
      </w:r>
      <w:r>
        <w:rPr/>
        <w:t>όπως</w:t>
      </w:r>
      <w:r>
        <w:rPr>
          <w:spacing w:val="-3"/>
        </w:rPr>
        <w:t> </w:t>
      </w:r>
      <w:r>
        <w:rPr/>
        <w:t>είχε</w:t>
      </w:r>
      <w:r>
        <w:rPr>
          <w:spacing w:val="-2"/>
        </w:rPr>
        <w:t> </w:t>
      </w:r>
      <w:r>
        <w:rPr/>
        <w:t>οριστεί</w:t>
      </w:r>
      <w:r>
        <w:rPr>
          <w:spacing w:val="-2"/>
        </w:rPr>
        <w:t> </w:t>
      </w:r>
      <w:r>
        <w:rPr/>
        <w:t>με</w:t>
      </w:r>
      <w:r>
        <w:rPr>
          <w:spacing w:val="-2"/>
        </w:rPr>
        <w:t> </w:t>
      </w:r>
      <w:r>
        <w:rPr/>
        <w:t>την Πράξη Εκτελεστικής Επιτροπής 235/2/07.10.2024.</w:t>
      </w:r>
      <w:hyperlink w:history="true" w:anchor="_bookmark94">
        <w:r>
          <w:rPr>
            <w:position w:val="6"/>
            <w:sz w:val="10"/>
          </w:rPr>
          <w:t>64</w:t>
        </w:r>
      </w:hyperlink>
    </w:p>
    <w:p>
      <w:pPr>
        <w:pStyle w:val="BodyText"/>
        <w:spacing w:line="285" w:lineRule="auto" w:before="57"/>
        <w:ind w:left="172" w:right="953"/>
        <w:jc w:val="both"/>
      </w:pPr>
      <w:r>
        <w:rPr/>
        <w:t>Στην παρούσα συγκυρία, το εγχώριο μακροοικονομικό περιβάλλον, η περαιτέρω βελτίωση των θεμελιωδών μεγεθών και των εποπτικών δεικτών του τραπεζικού τομέα καθώς και η αναδιάρ-</w:t>
      </w:r>
      <w:r>
        <w:rPr>
          <w:spacing w:val="-2"/>
        </w:rPr>
        <w:t>θρωση</w:t>
      </w:r>
      <w:r>
        <w:rPr>
          <w:spacing w:val="-5"/>
        </w:rPr>
        <w:t> </w:t>
      </w:r>
      <w:r>
        <w:rPr>
          <w:spacing w:val="-2"/>
        </w:rPr>
        <w:t>λιγότερο</w:t>
      </w:r>
      <w:r>
        <w:rPr>
          <w:spacing w:val="-12"/>
        </w:rPr>
        <w:t> </w:t>
      </w:r>
      <w:r>
        <w:rPr>
          <w:spacing w:val="-2"/>
        </w:rPr>
        <w:t>σημαντικών</w:t>
      </w:r>
      <w:r>
        <w:rPr>
          <w:spacing w:val="-12"/>
        </w:rPr>
        <w:t> </w:t>
      </w:r>
      <w:r>
        <w:rPr>
          <w:spacing w:val="-2"/>
        </w:rPr>
        <w:t>τραπεζών</w:t>
      </w:r>
      <w:r>
        <w:rPr>
          <w:spacing w:val="-11"/>
        </w:rPr>
        <w:t> </w:t>
      </w:r>
      <w:r>
        <w:rPr>
          <w:spacing w:val="-2"/>
        </w:rPr>
        <w:t>εξακολουθούν</w:t>
      </w:r>
      <w:r>
        <w:rPr>
          <w:spacing w:val="-12"/>
        </w:rPr>
        <w:t> </w:t>
      </w:r>
      <w:r>
        <w:rPr>
          <w:spacing w:val="-2"/>
        </w:rPr>
        <w:t>να</w:t>
      </w:r>
      <w:r>
        <w:rPr>
          <w:spacing w:val="-12"/>
        </w:rPr>
        <w:t> </w:t>
      </w:r>
      <w:r>
        <w:rPr>
          <w:spacing w:val="-2"/>
        </w:rPr>
        <w:t>διαμορφώνουν</w:t>
      </w:r>
      <w:r>
        <w:rPr>
          <w:spacing w:val="-4"/>
        </w:rPr>
        <w:t> </w:t>
      </w:r>
      <w:r>
        <w:rPr>
          <w:spacing w:val="-2"/>
        </w:rPr>
        <w:t>ευνοϊκές</w:t>
      </w:r>
      <w:r>
        <w:rPr>
          <w:spacing w:val="-3"/>
        </w:rPr>
        <w:t> </w:t>
      </w:r>
      <w:r>
        <w:rPr>
          <w:spacing w:val="-2"/>
        </w:rPr>
        <w:t>συνθήκες</w:t>
      </w:r>
      <w:r>
        <w:rPr>
          <w:spacing w:val="-4"/>
        </w:rPr>
        <w:t> </w:t>
      </w:r>
      <w:r>
        <w:rPr>
          <w:spacing w:val="-2"/>
        </w:rPr>
        <w:t>για</w:t>
      </w:r>
      <w:r>
        <w:rPr>
          <w:spacing w:val="-3"/>
        </w:rPr>
        <w:t> </w:t>
      </w:r>
      <w:r>
        <w:rPr>
          <w:spacing w:val="-2"/>
        </w:rPr>
        <w:t>τη </w:t>
      </w:r>
      <w:r>
        <w:rPr/>
        <w:t>δημιουργία μακροπροληπτικού χώρου, που θα διασφαλίζει τη σταθερότητα του χρηματοπιστω-τικού συστήματος μεσοπρόθεσμα.</w:t>
      </w:r>
    </w:p>
    <w:p>
      <w:pPr>
        <w:pStyle w:val="BodyText"/>
        <w:rPr>
          <w:sz w:val="20"/>
        </w:rPr>
      </w:pPr>
    </w:p>
    <w:p>
      <w:pPr>
        <w:pStyle w:val="BodyText"/>
        <w:rPr>
          <w:sz w:val="20"/>
        </w:rPr>
      </w:pPr>
    </w:p>
    <w:p>
      <w:pPr>
        <w:pStyle w:val="BodyText"/>
        <w:rPr>
          <w:sz w:val="20"/>
        </w:rPr>
      </w:pPr>
    </w:p>
    <w:p>
      <w:pPr>
        <w:pStyle w:val="BodyText"/>
        <w:spacing w:before="45"/>
        <w:rPr>
          <w:sz w:val="20"/>
        </w:rPr>
      </w:pPr>
      <w:r>
        <w:rPr>
          <w:sz w:val="20"/>
        </w:rPr>
        <mc:AlternateContent>
          <mc:Choice Requires="wps">
            <w:drawing>
              <wp:anchor distT="0" distB="0" distL="0" distR="0" allowOverlap="1" layoutInCell="1" locked="0" behindDoc="1" simplePos="0" relativeHeight="487640576">
                <wp:simplePos x="0" y="0"/>
                <wp:positionH relativeFrom="page">
                  <wp:posOffset>1009192</wp:posOffset>
                </wp:positionH>
                <wp:positionV relativeFrom="paragraph">
                  <wp:posOffset>190281</wp:posOffset>
                </wp:positionV>
                <wp:extent cx="1829435" cy="7620"/>
                <wp:effectExtent l="0" t="0" r="0" b="0"/>
                <wp:wrapTopAndBottom/>
                <wp:docPr id="544" name="Graphic 544"/>
                <wp:cNvGraphicFramePr>
                  <a:graphicFrameLocks/>
                </wp:cNvGraphicFramePr>
                <a:graphic>
                  <a:graphicData uri="http://schemas.microsoft.com/office/word/2010/wordprocessingShape">
                    <wps:wsp>
                      <wps:cNvPr id="544" name="Graphic 544"/>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4.982787pt;width:144.020pt;height:.60004pt;mso-position-horizontal-relative:page;mso-position-vertical-relative:paragraph;z-index:-15675904;mso-wrap-distance-left:0;mso-wrap-distance-right:0" id="docshape516" filled="true" fillcolor="#000000" stroked="false">
                <v:fill type="solid"/>
                <w10:wrap type="topAndBottom"/>
              </v:rect>
            </w:pict>
          </mc:Fallback>
        </mc:AlternateContent>
      </w:r>
    </w:p>
    <w:p>
      <w:pPr>
        <w:spacing w:before="167"/>
        <w:ind w:left="172" w:right="957" w:firstLine="0"/>
        <w:jc w:val="left"/>
        <w:rPr>
          <w:sz w:val="16"/>
        </w:rPr>
      </w:pPr>
      <w:bookmarkStart w:name="_bookmark94" w:id="95"/>
      <w:bookmarkEnd w:id="95"/>
      <w:r>
        <w:rPr/>
      </w:r>
      <w:r>
        <w:rPr>
          <w:sz w:val="16"/>
          <w:vertAlign w:val="superscript"/>
        </w:rPr>
        <w:t>64</w:t>
      </w:r>
      <w:r>
        <w:rPr>
          <w:sz w:val="16"/>
          <w:vertAlign w:val="baseline"/>
        </w:rPr>
        <w:t> “Καθορισμός του ποσοστού αντικυκλικού κεφαλαιακού αποθέματος ασφαλείας</w:t>
      </w:r>
      <w:r>
        <w:rPr>
          <w:spacing w:val="-1"/>
          <w:sz w:val="16"/>
          <w:vertAlign w:val="baseline"/>
        </w:rPr>
        <w:t> </w:t>
      </w:r>
      <w:r>
        <w:rPr>
          <w:sz w:val="16"/>
          <w:vertAlign w:val="baseline"/>
        </w:rPr>
        <w:t>με ημερομηνία έναρξης εφαρμογής</w:t>
      </w:r>
      <w:r>
        <w:rPr>
          <w:spacing w:val="-1"/>
          <w:sz w:val="16"/>
          <w:vertAlign w:val="baseline"/>
        </w:rPr>
        <w:t> </w:t>
      </w:r>
      <w:r>
        <w:rPr>
          <w:sz w:val="16"/>
          <w:vertAlign w:val="baseline"/>
        </w:rPr>
        <w:t>την</w:t>
      </w:r>
      <w:r>
        <w:rPr>
          <w:spacing w:val="-2"/>
          <w:sz w:val="16"/>
          <w:vertAlign w:val="baseline"/>
        </w:rPr>
        <w:t> </w:t>
      </w:r>
      <w:r>
        <w:rPr>
          <w:sz w:val="16"/>
          <w:vertAlign w:val="baseline"/>
        </w:rPr>
        <w:t>1</w:t>
      </w:r>
      <w:r>
        <w:rPr>
          <w:sz w:val="16"/>
          <w:vertAlign w:val="superscript"/>
        </w:rPr>
        <w:t>η</w:t>
      </w:r>
      <w:r>
        <w:rPr>
          <w:sz w:val="16"/>
          <w:vertAlign w:val="baseline"/>
        </w:rPr>
        <w:t> Οκτω-βρίου</w:t>
      </w:r>
      <w:r>
        <w:rPr>
          <w:spacing w:val="-7"/>
          <w:sz w:val="16"/>
          <w:vertAlign w:val="baseline"/>
        </w:rPr>
        <w:t> </w:t>
      </w:r>
      <w:r>
        <w:rPr>
          <w:sz w:val="16"/>
          <w:vertAlign w:val="baseline"/>
        </w:rPr>
        <w:t>2025”.</w:t>
      </w:r>
    </w:p>
    <w:p>
      <w:pPr>
        <w:spacing w:after="0"/>
        <w:jc w:val="left"/>
        <w:rPr>
          <w:sz w:val="16"/>
        </w:rPr>
        <w:sectPr>
          <w:pgSz w:w="11910" w:h="16850"/>
          <w:pgMar w:header="0" w:footer="1108" w:top="1840" w:bottom="1300" w:left="1417" w:right="850"/>
        </w:sectPr>
      </w:pPr>
    </w:p>
    <w:p>
      <w:pPr>
        <w:pStyle w:val="BodyText"/>
        <w:spacing w:line="285" w:lineRule="auto" w:before="66"/>
        <w:ind w:left="172" w:right="957"/>
        <w:jc w:val="both"/>
      </w:pPr>
      <w:r>
        <w:rPr/>
        <w:t>Στο πλαίσιο αυτό, η Τράπεζα της Ελλάδος, με την Πράξη Εκτελεστικής Επιτροπής 248/1/06.10.2025,</w:t>
      </w:r>
      <w:hyperlink w:history="true" w:anchor="_bookmark96">
        <w:r>
          <w:rPr>
            <w:position w:val="6"/>
            <w:sz w:val="10"/>
          </w:rPr>
          <w:t>65</w:t>
        </w:r>
      </w:hyperlink>
      <w:r>
        <w:rPr>
          <w:spacing w:val="31"/>
          <w:position w:val="6"/>
          <w:sz w:val="10"/>
        </w:rPr>
        <w:t> </w:t>
      </w:r>
      <w:r>
        <w:rPr/>
        <w:t>αποφάσισε</w:t>
      </w:r>
      <w:r>
        <w:rPr>
          <w:spacing w:val="-1"/>
        </w:rPr>
        <w:t> </w:t>
      </w:r>
      <w:r>
        <w:rPr/>
        <w:t>την</w:t>
      </w:r>
      <w:r>
        <w:rPr>
          <w:spacing w:val="-1"/>
        </w:rPr>
        <w:t> </w:t>
      </w:r>
      <w:r>
        <w:rPr/>
        <w:t>αύξηση</w:t>
      </w:r>
      <w:r>
        <w:rPr>
          <w:spacing w:val="-2"/>
        </w:rPr>
        <w:t> </w:t>
      </w:r>
      <w:r>
        <w:rPr/>
        <w:t>του</w:t>
      </w:r>
      <w:r>
        <w:rPr>
          <w:spacing w:val="-1"/>
        </w:rPr>
        <w:t> </w:t>
      </w:r>
      <w:r>
        <w:rPr/>
        <w:t>ποσοστού αντικυκλικού κεφαλαιακού αποθέμα-τος ασφαλείας για την Ελλάδα κατά 0,25% και τον καθορισμό του στο 0,5%, δηλ. στο επίπεδο του</w:t>
      </w:r>
      <w:r>
        <w:rPr>
          <w:spacing w:val="-5"/>
        </w:rPr>
        <w:t> </w:t>
      </w:r>
      <w:r>
        <w:rPr/>
        <w:t>επιδιωκόμενου</w:t>
      </w:r>
      <w:r>
        <w:rPr>
          <w:spacing w:val="-5"/>
        </w:rPr>
        <w:t> </w:t>
      </w:r>
      <w:r>
        <w:rPr/>
        <w:t>ποσοστού</w:t>
      </w:r>
      <w:r>
        <w:rPr>
          <w:spacing w:val="-5"/>
        </w:rPr>
        <w:t> </w:t>
      </w:r>
      <w:r>
        <w:rPr/>
        <w:t>θετικού</w:t>
      </w:r>
      <w:r>
        <w:rPr>
          <w:spacing w:val="-7"/>
        </w:rPr>
        <w:t> </w:t>
      </w:r>
      <w:r>
        <w:rPr/>
        <w:t>αντικυκλικού</w:t>
      </w:r>
      <w:r>
        <w:rPr>
          <w:spacing w:val="-5"/>
        </w:rPr>
        <w:t> </w:t>
      </w:r>
      <w:r>
        <w:rPr/>
        <w:t>κεφαλαιακού</w:t>
      </w:r>
      <w:r>
        <w:rPr>
          <w:spacing w:val="-7"/>
        </w:rPr>
        <w:t> </w:t>
      </w:r>
      <w:r>
        <w:rPr/>
        <w:t>αποθέματος</w:t>
      </w:r>
      <w:r>
        <w:rPr>
          <w:spacing w:val="-7"/>
        </w:rPr>
        <w:t> </w:t>
      </w:r>
      <w:r>
        <w:rPr/>
        <w:t>ασφαλείας</w:t>
      </w:r>
      <w:r>
        <w:rPr>
          <w:spacing w:val="-9"/>
        </w:rPr>
        <w:t> </w:t>
      </w:r>
      <w:r>
        <w:rPr/>
        <w:t>σε</w:t>
      </w:r>
      <w:r>
        <w:rPr>
          <w:spacing w:val="-5"/>
        </w:rPr>
        <w:t> </w:t>
      </w:r>
      <w:r>
        <w:rPr/>
        <w:t>ου-δέτερο περιβάλλον κινδύνου, με ημερομηνία εφαρμογής από 1ης Οκτωβρίου 2026.</w:t>
      </w:r>
    </w:p>
    <w:p>
      <w:pPr>
        <w:pStyle w:val="BodyText"/>
        <w:spacing w:line="285" w:lineRule="auto" w:before="55"/>
        <w:ind w:left="172" w:right="959"/>
        <w:jc w:val="both"/>
      </w:pPr>
      <w:r>
        <w:rPr/>
        <w:t>Δεδομένου</w:t>
      </w:r>
      <w:r>
        <w:rPr>
          <w:spacing w:val="-2"/>
        </w:rPr>
        <w:t> </w:t>
      </w:r>
      <w:r>
        <w:rPr/>
        <w:t>ότι</w:t>
      </w:r>
      <w:r>
        <w:rPr>
          <w:spacing w:val="-3"/>
        </w:rPr>
        <w:t> </w:t>
      </w:r>
      <w:r>
        <w:rPr/>
        <w:t>η</w:t>
      </w:r>
      <w:r>
        <w:rPr>
          <w:spacing w:val="-3"/>
        </w:rPr>
        <w:t> </w:t>
      </w:r>
      <w:r>
        <w:rPr/>
        <w:t>αξιολόγηση</w:t>
      </w:r>
      <w:r>
        <w:rPr>
          <w:spacing w:val="-3"/>
        </w:rPr>
        <w:t> </w:t>
      </w:r>
      <w:r>
        <w:rPr/>
        <w:t>των</w:t>
      </w:r>
      <w:r>
        <w:rPr>
          <w:spacing w:val="-2"/>
        </w:rPr>
        <w:t> </w:t>
      </w:r>
      <w:r>
        <w:rPr/>
        <w:t>κυκλικών</w:t>
      </w:r>
      <w:r>
        <w:rPr>
          <w:spacing w:val="-2"/>
        </w:rPr>
        <w:t> </w:t>
      </w:r>
      <w:r>
        <w:rPr/>
        <w:t>συστημικών</w:t>
      </w:r>
      <w:r>
        <w:rPr>
          <w:spacing w:val="-2"/>
        </w:rPr>
        <w:t> </w:t>
      </w:r>
      <w:r>
        <w:rPr/>
        <w:t>κινδύνων</w:t>
      </w:r>
      <w:r>
        <w:rPr>
          <w:spacing w:val="-5"/>
        </w:rPr>
        <w:t> </w:t>
      </w:r>
      <w:r>
        <w:rPr/>
        <w:t>στην</w:t>
      </w:r>
      <w:r>
        <w:rPr>
          <w:spacing w:val="-2"/>
        </w:rPr>
        <w:t> </w:t>
      </w:r>
      <w:r>
        <w:rPr/>
        <w:t>Ελλάδα</w:t>
      </w:r>
      <w:r>
        <w:rPr>
          <w:spacing w:val="-3"/>
        </w:rPr>
        <w:t> </w:t>
      </w:r>
      <w:r>
        <w:rPr/>
        <w:t>για</w:t>
      </w:r>
      <w:r>
        <w:rPr>
          <w:spacing w:val="-3"/>
        </w:rPr>
        <w:t> </w:t>
      </w:r>
      <w:r>
        <w:rPr/>
        <w:t>το</w:t>
      </w:r>
      <w:r>
        <w:rPr>
          <w:spacing w:val="-3"/>
        </w:rPr>
        <w:t> </w:t>
      </w:r>
      <w:r>
        <w:rPr/>
        <w:t>α΄</w:t>
      </w:r>
      <w:r>
        <w:rPr>
          <w:spacing w:val="-3"/>
        </w:rPr>
        <w:t> </w:t>
      </w:r>
      <w:r>
        <w:rPr/>
        <w:t>και το β΄ τρίμηνο του 2026 κατέδειξε ότι αυτοί παραμένουν περιορισμένοι, δεν κρίθηκε αναγκαία η μεταβολή του ισχύοντος ποσοστού αντικυκλικού κεφαλαιακού αποθέματος ασφαλείας.</w:t>
      </w:r>
    </w:p>
    <w:p>
      <w:pPr>
        <w:pStyle w:val="Heading2"/>
        <w:numPr>
          <w:ilvl w:val="1"/>
          <w:numId w:val="2"/>
        </w:numPr>
        <w:tabs>
          <w:tab w:pos="568" w:val="left" w:leader="none"/>
        </w:tabs>
        <w:spacing w:line="240" w:lineRule="auto" w:before="201" w:after="0"/>
        <w:ind w:left="568" w:right="1061" w:hanging="396"/>
        <w:jc w:val="left"/>
        <w:rPr>
          <w:color w:val="1F487C"/>
        </w:rPr>
      </w:pPr>
      <w:bookmarkStart w:name="_bookmark95" w:id="96"/>
      <w:bookmarkEnd w:id="96"/>
      <w:r>
        <w:rPr>
          <w:b w:val="0"/>
        </w:rPr>
      </w:r>
      <w:r>
        <w:rPr>
          <w:color w:val="1F487C"/>
        </w:rPr>
        <w:t>ΠΡΟΣΔΙΟΡΙΣΜΟΣ</w:t>
      </w:r>
      <w:r>
        <w:rPr>
          <w:color w:val="1F487C"/>
          <w:spacing w:val="-7"/>
        </w:rPr>
        <w:t> </w:t>
      </w:r>
      <w:r>
        <w:rPr>
          <w:color w:val="1F487C"/>
        </w:rPr>
        <w:t>ΤΩΝ</w:t>
      </w:r>
      <w:r>
        <w:rPr>
          <w:color w:val="1F487C"/>
          <w:spacing w:val="-8"/>
        </w:rPr>
        <w:t> </w:t>
      </w:r>
      <w:r>
        <w:rPr>
          <w:color w:val="1F487C"/>
        </w:rPr>
        <w:t>ΛΟΙΠΩΝ</w:t>
      </w:r>
      <w:r>
        <w:rPr>
          <w:color w:val="1F487C"/>
          <w:spacing w:val="-8"/>
        </w:rPr>
        <w:t> </w:t>
      </w:r>
      <w:r>
        <w:rPr>
          <w:color w:val="1F487C"/>
        </w:rPr>
        <w:t>ΣΥΣΤΗΜΙΚΑ</w:t>
      </w:r>
      <w:r>
        <w:rPr>
          <w:color w:val="1F487C"/>
          <w:spacing w:val="-8"/>
        </w:rPr>
        <w:t> </w:t>
      </w:r>
      <w:r>
        <w:rPr>
          <w:color w:val="1F487C"/>
        </w:rPr>
        <w:t>ΣΗΜΑΝΤΙΚΩΝ</w:t>
      </w:r>
      <w:r>
        <w:rPr>
          <w:color w:val="1F487C"/>
          <w:spacing w:val="-8"/>
        </w:rPr>
        <w:t> </w:t>
      </w:r>
      <w:r>
        <w:rPr>
          <w:color w:val="1F487C"/>
        </w:rPr>
        <w:t>ΠΙΣΤΩ-ΤΙΚΩΝ ΙΔΡΥΜΑΤΩΝ ΣΤΗΝ ΕΛΛΑΔΑ (O-SII) ΚΑΙ ΚΑΘΟΡΙΣΜΟΣ ΤΟΥ ΑΠΟΘΕΜΑΤΟΣ ΑΣΦΑΛΕΙΑΣ O-SII</w:t>
      </w:r>
    </w:p>
    <w:p>
      <w:pPr>
        <w:pStyle w:val="BodyText"/>
        <w:spacing w:line="285" w:lineRule="auto" w:before="96"/>
        <w:ind w:left="172" w:right="956"/>
        <w:jc w:val="both"/>
      </w:pPr>
      <w:r>
        <w:rPr/>
        <w:t>Η εφαρμογή του αποθέματος ασφαλείας λοιπών συστημικά σημαντικών ιδρυμάτων (Other Systemically</w:t>
      </w:r>
      <w:r>
        <w:rPr>
          <w:spacing w:val="-12"/>
        </w:rPr>
        <w:t> </w:t>
      </w:r>
      <w:r>
        <w:rPr/>
        <w:t>Important</w:t>
      </w:r>
      <w:r>
        <w:rPr>
          <w:spacing w:val="-11"/>
        </w:rPr>
        <w:t> </w:t>
      </w:r>
      <w:r>
        <w:rPr/>
        <w:t>Institutions</w:t>
      </w:r>
      <w:r>
        <w:rPr>
          <w:spacing w:val="-11"/>
        </w:rPr>
        <w:t> </w:t>
      </w:r>
      <w:r>
        <w:rPr/>
        <w:t>–</w:t>
      </w:r>
      <w:r>
        <w:rPr>
          <w:spacing w:val="-10"/>
        </w:rPr>
        <w:t> </w:t>
      </w:r>
      <w:r>
        <w:rPr/>
        <w:t>O-SII)</w:t>
      </w:r>
      <w:hyperlink w:history="true" w:anchor="_bookmark97">
        <w:r>
          <w:rPr>
            <w:position w:val="6"/>
            <w:sz w:val="10"/>
          </w:rPr>
          <w:t>66</w:t>
        </w:r>
      </w:hyperlink>
      <w:r>
        <w:rPr>
          <w:spacing w:val="20"/>
          <w:position w:val="6"/>
          <w:sz w:val="10"/>
        </w:rPr>
        <w:t> </w:t>
      </w:r>
      <w:r>
        <w:rPr/>
        <w:t>αποσκοπεί</w:t>
      </w:r>
      <w:r>
        <w:rPr>
          <w:spacing w:val="-12"/>
        </w:rPr>
        <w:t> </w:t>
      </w:r>
      <w:r>
        <w:rPr/>
        <w:t>στη</w:t>
      </w:r>
      <w:r>
        <w:rPr>
          <w:spacing w:val="-13"/>
        </w:rPr>
        <w:t> </w:t>
      </w:r>
      <w:r>
        <w:rPr/>
        <w:t>μείωση</w:t>
      </w:r>
      <w:r>
        <w:rPr>
          <w:spacing w:val="-11"/>
        </w:rPr>
        <w:t> </w:t>
      </w:r>
      <w:r>
        <w:rPr/>
        <w:t>του</w:t>
      </w:r>
      <w:r>
        <w:rPr>
          <w:spacing w:val="-12"/>
        </w:rPr>
        <w:t> </w:t>
      </w:r>
      <w:r>
        <w:rPr/>
        <w:t>ηθικού</w:t>
      </w:r>
      <w:r>
        <w:rPr>
          <w:spacing w:val="-10"/>
        </w:rPr>
        <w:t> </w:t>
      </w:r>
      <w:r>
        <w:rPr/>
        <w:t>κινδύνου</w:t>
      </w:r>
      <w:r>
        <w:rPr>
          <w:spacing w:val="-12"/>
        </w:rPr>
        <w:t> </w:t>
      </w:r>
      <w:r>
        <w:rPr/>
        <w:t>(moral hazard) και στην ενίσχυση της ανθεκτικότητας των λοιπών συστημικά σημαντικών ιδρυμάτων. Ο</w:t>
      </w:r>
      <w:r>
        <w:rPr>
          <w:spacing w:val="-3"/>
        </w:rPr>
        <w:t> </w:t>
      </w:r>
      <w:r>
        <w:rPr/>
        <w:t>ηθικός</w:t>
      </w:r>
      <w:r>
        <w:rPr>
          <w:spacing w:val="-3"/>
        </w:rPr>
        <w:t> </w:t>
      </w:r>
      <w:r>
        <w:rPr/>
        <w:t>κίνδυνος</w:t>
      </w:r>
      <w:r>
        <w:rPr>
          <w:spacing w:val="-3"/>
        </w:rPr>
        <w:t> </w:t>
      </w:r>
      <w:r>
        <w:rPr/>
        <w:t>συνίσταται</w:t>
      </w:r>
      <w:r>
        <w:rPr>
          <w:spacing w:val="-2"/>
        </w:rPr>
        <w:t> </w:t>
      </w:r>
      <w:r>
        <w:rPr/>
        <w:t>στην</w:t>
      </w:r>
      <w:r>
        <w:rPr>
          <w:spacing w:val="-1"/>
        </w:rPr>
        <w:t> </w:t>
      </w:r>
      <w:r>
        <w:rPr/>
        <w:t>προσδοκία</w:t>
      </w:r>
      <w:r>
        <w:rPr>
          <w:spacing w:val="-2"/>
        </w:rPr>
        <w:t> </w:t>
      </w:r>
      <w:r>
        <w:rPr/>
        <w:t>του</w:t>
      </w:r>
      <w:r>
        <w:rPr>
          <w:spacing w:val="-1"/>
        </w:rPr>
        <w:t> </w:t>
      </w:r>
      <w:r>
        <w:rPr/>
        <w:t>ιδρύματος</w:t>
      </w:r>
      <w:r>
        <w:rPr>
          <w:spacing w:val="-4"/>
        </w:rPr>
        <w:t> </w:t>
      </w:r>
      <w:r>
        <w:rPr/>
        <w:t>ότι,</w:t>
      </w:r>
      <w:r>
        <w:rPr>
          <w:spacing w:val="-4"/>
        </w:rPr>
        <w:t> </w:t>
      </w:r>
      <w:r>
        <w:rPr/>
        <w:t>λόγω</w:t>
      </w:r>
      <w:r>
        <w:rPr>
          <w:spacing w:val="-1"/>
        </w:rPr>
        <w:t> </w:t>
      </w:r>
      <w:r>
        <w:rPr/>
        <w:t>της</w:t>
      </w:r>
      <w:r>
        <w:rPr>
          <w:spacing w:val="-4"/>
        </w:rPr>
        <w:t> </w:t>
      </w:r>
      <w:r>
        <w:rPr/>
        <w:t>συστημικής</w:t>
      </w:r>
      <w:r>
        <w:rPr>
          <w:spacing w:val="-4"/>
        </w:rPr>
        <w:t> </w:t>
      </w:r>
      <w:r>
        <w:rPr/>
        <w:t>του</w:t>
      </w:r>
      <w:r>
        <w:rPr>
          <w:spacing w:val="-1"/>
        </w:rPr>
        <w:t> </w:t>
      </w:r>
      <w:r>
        <w:rPr/>
        <w:t>ση-μασίας, δεν θα αφεθεί να καταρρεύσει (too big to fail). Η επιβολή πρόσθετων κεφαλαιακών α-παιτήσεων με τη μορφή αποθέματος ασφαλείας O-SII περιορίζει την υπερβολική ανάληψη κιν-δύνων από το συστημικά</w:t>
      </w:r>
      <w:r>
        <w:rPr>
          <w:spacing w:val="-1"/>
        </w:rPr>
        <w:t> </w:t>
      </w:r>
      <w:r>
        <w:rPr/>
        <w:t>σημαντικό ίδρυμα,</w:t>
      </w:r>
      <w:r>
        <w:rPr>
          <w:spacing w:val="-1"/>
        </w:rPr>
        <w:t> </w:t>
      </w:r>
      <w:r>
        <w:rPr/>
        <w:t>με σκοπό</w:t>
      </w:r>
      <w:r>
        <w:rPr>
          <w:spacing w:val="-3"/>
        </w:rPr>
        <w:t> </w:t>
      </w:r>
      <w:r>
        <w:rPr/>
        <w:t>τη μείωση του ηθικού κινδύνου. Επιπρο-σθέτως,</w:t>
      </w:r>
      <w:r>
        <w:rPr>
          <w:spacing w:val="-7"/>
        </w:rPr>
        <w:t> </w:t>
      </w:r>
      <w:r>
        <w:rPr/>
        <w:t>μειώνει</w:t>
      </w:r>
      <w:r>
        <w:rPr>
          <w:spacing w:val="-6"/>
        </w:rPr>
        <w:t> </w:t>
      </w:r>
      <w:r>
        <w:rPr/>
        <w:t>τις</w:t>
      </w:r>
      <w:r>
        <w:rPr>
          <w:spacing w:val="-8"/>
        </w:rPr>
        <w:t> </w:t>
      </w:r>
      <w:r>
        <w:rPr/>
        <w:t>συστημικές</w:t>
      </w:r>
      <w:r>
        <w:rPr>
          <w:spacing w:val="-8"/>
        </w:rPr>
        <w:t> </w:t>
      </w:r>
      <w:r>
        <w:rPr/>
        <w:t>επιπτώσεις</w:t>
      </w:r>
      <w:r>
        <w:rPr>
          <w:spacing w:val="-8"/>
        </w:rPr>
        <w:t> </w:t>
      </w:r>
      <w:r>
        <w:rPr/>
        <w:t>του</w:t>
      </w:r>
      <w:r>
        <w:rPr>
          <w:spacing w:val="-6"/>
        </w:rPr>
        <w:t> </w:t>
      </w:r>
      <w:r>
        <w:rPr/>
        <w:t>ηθικού</w:t>
      </w:r>
      <w:r>
        <w:rPr>
          <w:spacing w:val="-6"/>
        </w:rPr>
        <w:t> </w:t>
      </w:r>
      <w:r>
        <w:rPr/>
        <w:t>κινδύνου</w:t>
      </w:r>
      <w:r>
        <w:rPr>
          <w:spacing w:val="-6"/>
        </w:rPr>
        <w:t> </w:t>
      </w:r>
      <w:r>
        <w:rPr/>
        <w:t>μέσω</w:t>
      </w:r>
      <w:r>
        <w:rPr>
          <w:spacing w:val="-6"/>
        </w:rPr>
        <w:t> </w:t>
      </w:r>
      <w:r>
        <w:rPr/>
        <w:t>της</w:t>
      </w:r>
      <w:r>
        <w:rPr>
          <w:spacing w:val="-8"/>
        </w:rPr>
        <w:t> </w:t>
      </w:r>
      <w:r>
        <w:rPr/>
        <w:t>ενίσχυσης</w:t>
      </w:r>
      <w:r>
        <w:rPr>
          <w:spacing w:val="-8"/>
        </w:rPr>
        <w:t> </w:t>
      </w:r>
      <w:r>
        <w:rPr/>
        <w:t>των</w:t>
      </w:r>
      <w:r>
        <w:rPr>
          <w:spacing w:val="-6"/>
        </w:rPr>
        <w:t> </w:t>
      </w:r>
      <w:r>
        <w:rPr/>
        <w:t>αποθε-μάτων κεφαλαίου του συστημικά σημαντικού ιδρύματος για την απορρόφηση ενδεχόμενων ζη-μιών</w:t>
      </w:r>
      <w:r>
        <w:rPr>
          <w:spacing w:val="-11"/>
        </w:rPr>
        <w:t> </w:t>
      </w:r>
      <w:r>
        <w:rPr/>
        <w:t>και,</w:t>
      </w:r>
      <w:r>
        <w:rPr>
          <w:spacing w:val="-9"/>
        </w:rPr>
        <w:t> </w:t>
      </w:r>
      <w:r>
        <w:rPr/>
        <w:t>κατά</w:t>
      </w:r>
      <w:r>
        <w:rPr>
          <w:spacing w:val="-13"/>
        </w:rPr>
        <w:t> </w:t>
      </w:r>
      <w:r>
        <w:rPr/>
        <w:t>συνέπεια,</w:t>
      </w:r>
      <w:r>
        <w:rPr>
          <w:spacing w:val="-12"/>
        </w:rPr>
        <w:t> </w:t>
      </w:r>
      <w:r>
        <w:rPr/>
        <w:t>τον</w:t>
      </w:r>
      <w:r>
        <w:rPr>
          <w:spacing w:val="-9"/>
        </w:rPr>
        <w:t> </w:t>
      </w:r>
      <w:r>
        <w:rPr/>
        <w:t>περιορισμό</w:t>
      </w:r>
      <w:r>
        <w:rPr>
          <w:spacing w:val="-10"/>
        </w:rPr>
        <w:t> </w:t>
      </w:r>
      <w:r>
        <w:rPr/>
        <w:t>του</w:t>
      </w:r>
      <w:r>
        <w:rPr>
          <w:spacing w:val="-9"/>
        </w:rPr>
        <w:t> </w:t>
      </w:r>
      <w:r>
        <w:rPr/>
        <w:t>κινδύνου</w:t>
      </w:r>
      <w:r>
        <w:rPr>
          <w:spacing w:val="-11"/>
        </w:rPr>
        <w:t> </w:t>
      </w:r>
      <w:r>
        <w:rPr/>
        <w:t>μετάδοσης</w:t>
      </w:r>
      <w:r>
        <w:rPr>
          <w:spacing w:val="-11"/>
        </w:rPr>
        <w:t> </w:t>
      </w:r>
      <w:r>
        <w:rPr/>
        <w:t>της</w:t>
      </w:r>
      <w:r>
        <w:rPr>
          <w:spacing w:val="-11"/>
        </w:rPr>
        <w:t> </w:t>
      </w:r>
      <w:r>
        <w:rPr/>
        <w:t>διαταραχής</w:t>
      </w:r>
      <w:r>
        <w:rPr>
          <w:spacing w:val="-13"/>
        </w:rPr>
        <w:t> </w:t>
      </w:r>
      <w:r>
        <w:rPr/>
        <w:t>στον</w:t>
      </w:r>
      <w:r>
        <w:rPr>
          <w:spacing w:val="-11"/>
        </w:rPr>
        <w:t> </w:t>
      </w:r>
      <w:r>
        <w:rPr/>
        <w:t>υπόλοιπο τραπεζικό τομέα.</w:t>
      </w:r>
    </w:p>
    <w:p>
      <w:pPr>
        <w:pStyle w:val="BodyText"/>
        <w:spacing w:line="285" w:lineRule="auto" w:before="49"/>
        <w:ind w:left="172" w:right="956"/>
        <w:jc w:val="both"/>
      </w:pPr>
      <w:r>
        <w:rPr/>
        <w:t>Το</w:t>
      </w:r>
      <w:r>
        <w:rPr>
          <w:spacing w:val="-13"/>
        </w:rPr>
        <w:t> </w:t>
      </w:r>
      <w:r>
        <w:rPr/>
        <w:t>απόθεμα</w:t>
      </w:r>
      <w:r>
        <w:rPr>
          <w:spacing w:val="-12"/>
        </w:rPr>
        <w:t> </w:t>
      </w:r>
      <w:r>
        <w:rPr/>
        <w:t>ασφαλείας</w:t>
      </w:r>
      <w:r>
        <w:rPr>
          <w:spacing w:val="-14"/>
        </w:rPr>
        <w:t> </w:t>
      </w:r>
      <w:r>
        <w:rPr/>
        <w:t>O-SII</w:t>
      </w:r>
      <w:r>
        <w:rPr>
          <w:spacing w:val="-13"/>
        </w:rPr>
        <w:t> </w:t>
      </w:r>
      <w:r>
        <w:rPr/>
        <w:t>συνίσταται</w:t>
      </w:r>
      <w:r>
        <w:rPr>
          <w:spacing w:val="-14"/>
        </w:rPr>
        <w:t> </w:t>
      </w:r>
      <w:r>
        <w:rPr/>
        <w:t>σε</w:t>
      </w:r>
      <w:r>
        <w:rPr>
          <w:spacing w:val="-13"/>
        </w:rPr>
        <w:t> </w:t>
      </w:r>
      <w:r>
        <w:rPr/>
        <w:t>κεφάλαιο</w:t>
      </w:r>
      <w:r>
        <w:rPr>
          <w:spacing w:val="-14"/>
        </w:rPr>
        <w:t> </w:t>
      </w:r>
      <w:r>
        <w:rPr/>
        <w:t>κοινών</w:t>
      </w:r>
      <w:r>
        <w:rPr>
          <w:spacing w:val="-13"/>
        </w:rPr>
        <w:t> </w:t>
      </w:r>
      <w:r>
        <w:rPr/>
        <w:t>μετοχών</w:t>
      </w:r>
      <w:r>
        <w:rPr>
          <w:spacing w:val="-13"/>
        </w:rPr>
        <w:t> </w:t>
      </w:r>
      <w:r>
        <w:rPr/>
        <w:t>της</w:t>
      </w:r>
      <w:r>
        <w:rPr>
          <w:spacing w:val="-13"/>
        </w:rPr>
        <w:t> </w:t>
      </w:r>
      <w:r>
        <w:rPr/>
        <w:t>Κατηγορίας</w:t>
      </w:r>
      <w:r>
        <w:rPr>
          <w:spacing w:val="-13"/>
        </w:rPr>
        <w:t> </w:t>
      </w:r>
      <w:r>
        <w:rPr/>
        <w:t>1</w:t>
      </w:r>
      <w:r>
        <w:rPr>
          <w:spacing w:val="-14"/>
        </w:rPr>
        <w:t> </w:t>
      </w:r>
      <w:r>
        <w:rPr/>
        <w:t>(CET1) και το ποσοστό του καθορίζεται σε ύψος έως 3% επί του συνολικού ποσού ανοίγματος σε κίν-δυνο.</w:t>
      </w:r>
      <w:hyperlink w:history="true" w:anchor="_bookmark98">
        <w:r>
          <w:rPr>
            <w:position w:val="6"/>
            <w:sz w:val="10"/>
          </w:rPr>
          <w:t>67</w:t>
        </w:r>
      </w:hyperlink>
      <w:r>
        <w:rPr>
          <w:spacing w:val="12"/>
          <w:position w:val="6"/>
          <w:sz w:val="10"/>
        </w:rPr>
        <w:t> </w:t>
      </w:r>
      <w:r>
        <w:rPr/>
        <w:t>Το</w:t>
      </w:r>
      <w:r>
        <w:rPr>
          <w:spacing w:val="-14"/>
        </w:rPr>
        <w:t> </w:t>
      </w:r>
      <w:r>
        <w:rPr/>
        <w:t>εν</w:t>
      </w:r>
      <w:r>
        <w:rPr>
          <w:spacing w:val="-13"/>
        </w:rPr>
        <w:t> </w:t>
      </w:r>
      <w:r>
        <w:rPr/>
        <w:t>λόγω</w:t>
      </w:r>
      <w:r>
        <w:rPr>
          <w:spacing w:val="-11"/>
        </w:rPr>
        <w:t> </w:t>
      </w:r>
      <w:r>
        <w:rPr/>
        <w:t>απόθεμα</w:t>
      </w:r>
      <w:r>
        <w:rPr>
          <w:spacing w:val="-14"/>
        </w:rPr>
        <w:t> </w:t>
      </w:r>
      <w:r>
        <w:rPr/>
        <w:t>ασφαλείας</w:t>
      </w:r>
      <w:r>
        <w:rPr>
          <w:spacing w:val="-13"/>
        </w:rPr>
        <w:t> </w:t>
      </w:r>
      <w:r>
        <w:rPr/>
        <w:t>τίθεται</w:t>
      </w:r>
      <w:r>
        <w:rPr>
          <w:spacing w:val="-14"/>
        </w:rPr>
        <w:t> </w:t>
      </w:r>
      <w:r>
        <w:rPr/>
        <w:t>σε</w:t>
      </w:r>
      <w:r>
        <w:rPr>
          <w:spacing w:val="-13"/>
        </w:rPr>
        <w:t> </w:t>
      </w:r>
      <w:r>
        <w:rPr/>
        <w:t>ενοποιημένη,</w:t>
      </w:r>
      <w:r>
        <w:rPr>
          <w:spacing w:val="-14"/>
        </w:rPr>
        <w:t> </w:t>
      </w:r>
      <w:r>
        <w:rPr/>
        <w:t>υποενοποιημένη</w:t>
      </w:r>
      <w:r>
        <w:rPr>
          <w:spacing w:val="-12"/>
        </w:rPr>
        <w:t> </w:t>
      </w:r>
      <w:r>
        <w:rPr/>
        <w:t>ή</w:t>
      </w:r>
      <w:r>
        <w:rPr>
          <w:spacing w:val="-14"/>
        </w:rPr>
        <w:t> </w:t>
      </w:r>
      <w:r>
        <w:rPr/>
        <w:t>ατομική</w:t>
      </w:r>
      <w:r>
        <w:rPr>
          <w:spacing w:val="-12"/>
        </w:rPr>
        <w:t> </w:t>
      </w:r>
      <w:r>
        <w:rPr/>
        <w:t>βάση, ανάλογα με την περίπτωση, και το ύψος του επανεξετάζεται τουλάχιστον ετησίως.</w:t>
      </w:r>
    </w:p>
    <w:p>
      <w:pPr>
        <w:pStyle w:val="BodyText"/>
        <w:spacing w:line="285" w:lineRule="auto" w:before="56"/>
        <w:ind w:left="172" w:right="958"/>
        <w:jc w:val="both"/>
      </w:pPr>
      <w:r>
        <w:rPr/>
        <w:t>Η</w:t>
      </w:r>
      <w:r>
        <w:rPr>
          <w:spacing w:val="-1"/>
        </w:rPr>
        <w:t> </w:t>
      </w:r>
      <w:r>
        <w:rPr/>
        <w:t>Τράπεζα</w:t>
      </w:r>
      <w:r>
        <w:rPr>
          <w:spacing w:val="-1"/>
        </w:rPr>
        <w:t> </w:t>
      </w:r>
      <w:r>
        <w:rPr/>
        <w:t>της</w:t>
      </w:r>
      <w:r>
        <w:rPr>
          <w:spacing w:val="-1"/>
        </w:rPr>
        <w:t> </w:t>
      </w:r>
      <w:r>
        <w:rPr/>
        <w:t>Ελλάδος,</w:t>
      </w:r>
      <w:r>
        <w:rPr>
          <w:spacing w:val="-2"/>
        </w:rPr>
        <w:t> </w:t>
      </w:r>
      <w:r>
        <w:rPr/>
        <w:t>βάσει</w:t>
      </w:r>
      <w:r>
        <w:rPr>
          <w:spacing w:val="-2"/>
        </w:rPr>
        <w:t> </w:t>
      </w:r>
      <w:r>
        <w:rPr/>
        <w:t>του</w:t>
      </w:r>
      <w:r>
        <w:rPr>
          <w:spacing w:val="-1"/>
        </w:rPr>
        <w:t> </w:t>
      </w:r>
      <w:r>
        <w:rPr/>
        <w:t>ν. 4261/2014</w:t>
      </w:r>
      <w:r>
        <w:rPr>
          <w:spacing w:val="-2"/>
        </w:rPr>
        <w:t> </w:t>
      </w:r>
      <w:r>
        <w:rPr/>
        <w:t>(άρθρο 124),</w:t>
      </w:r>
      <w:r>
        <w:rPr>
          <w:spacing w:val="-2"/>
        </w:rPr>
        <w:t> </w:t>
      </w:r>
      <w:r>
        <w:rPr/>
        <w:t>είναι αρμόδια για</w:t>
      </w:r>
      <w:r>
        <w:rPr>
          <w:spacing w:val="-2"/>
        </w:rPr>
        <w:t> </w:t>
      </w:r>
      <w:r>
        <w:rPr/>
        <w:t>τον προσδιορι-σμό</w:t>
      </w:r>
      <w:r>
        <w:rPr>
          <w:spacing w:val="-3"/>
        </w:rPr>
        <w:t> </w:t>
      </w:r>
      <w:r>
        <w:rPr/>
        <w:t>των</w:t>
      </w:r>
      <w:r>
        <w:rPr>
          <w:spacing w:val="-5"/>
        </w:rPr>
        <w:t> </w:t>
      </w:r>
      <w:r>
        <w:rPr/>
        <w:t>λοιπών</w:t>
      </w:r>
      <w:r>
        <w:rPr>
          <w:spacing w:val="-5"/>
        </w:rPr>
        <w:t> </w:t>
      </w:r>
      <w:r>
        <w:rPr/>
        <w:t>συστημικά</w:t>
      </w:r>
      <w:r>
        <w:rPr>
          <w:spacing w:val="-6"/>
        </w:rPr>
        <w:t> </w:t>
      </w:r>
      <w:r>
        <w:rPr/>
        <w:t>σημαντικών</w:t>
      </w:r>
      <w:r>
        <w:rPr>
          <w:spacing w:val="-2"/>
        </w:rPr>
        <w:t> </w:t>
      </w:r>
      <w:r>
        <w:rPr/>
        <w:t>ιδρυμάτων</w:t>
      </w:r>
      <w:r>
        <w:rPr>
          <w:spacing w:val="-5"/>
        </w:rPr>
        <w:t> </w:t>
      </w:r>
      <w:r>
        <w:rPr/>
        <w:t>(Other</w:t>
      </w:r>
      <w:r>
        <w:rPr>
          <w:spacing w:val="-4"/>
        </w:rPr>
        <w:t> </w:t>
      </w:r>
      <w:r>
        <w:rPr/>
        <w:t>Systemically</w:t>
      </w:r>
      <w:r>
        <w:rPr>
          <w:spacing w:val="-3"/>
        </w:rPr>
        <w:t> </w:t>
      </w:r>
      <w:r>
        <w:rPr/>
        <w:t>Important</w:t>
      </w:r>
      <w:r>
        <w:rPr>
          <w:spacing w:val="-5"/>
        </w:rPr>
        <w:t> </w:t>
      </w:r>
      <w:r>
        <w:rPr/>
        <w:t>Institutions</w:t>
      </w:r>
      <w:r>
        <w:rPr>
          <w:spacing w:val="-2"/>
        </w:rPr>
        <w:t> </w:t>
      </w:r>
      <w:r>
        <w:rPr/>
        <w:t>– O-SIIs) μεταξύ των ιδρυμάτων που έχουν λάβει άδεια λειτουργίας στην Ελλάδα. Ο προσδιορι-σμός των λοιπών συστημικά σημαντικών ιδρυμάτων διενεργείται σε ετήσια βάση, προκειμένου να</w:t>
      </w:r>
      <w:r>
        <w:rPr>
          <w:spacing w:val="-1"/>
        </w:rPr>
        <w:t> </w:t>
      </w:r>
      <w:r>
        <w:rPr/>
        <w:t>εξεταστεί αν</w:t>
      </w:r>
      <w:r>
        <w:rPr>
          <w:spacing w:val="-2"/>
        </w:rPr>
        <w:t> </w:t>
      </w:r>
      <w:r>
        <w:rPr/>
        <w:t>είναι σκόπιμη η εφαρμογή σε αυτά αποθέματος</w:t>
      </w:r>
      <w:r>
        <w:rPr>
          <w:spacing w:val="-2"/>
        </w:rPr>
        <w:t> </w:t>
      </w:r>
      <w:r>
        <w:rPr/>
        <w:t>ασφαλείας O-SII, καθώς</w:t>
      </w:r>
      <w:r>
        <w:rPr>
          <w:spacing w:val="-1"/>
        </w:rPr>
        <w:t> </w:t>
      </w:r>
      <w:r>
        <w:rPr/>
        <w:t>και να καθοριστεί το ύψος του εν λόγω αποθέματος.</w:t>
      </w:r>
    </w:p>
    <w:p>
      <w:pPr>
        <w:pStyle w:val="BodyText"/>
        <w:spacing w:line="285" w:lineRule="auto" w:before="54"/>
        <w:ind w:left="172" w:right="959"/>
        <w:jc w:val="both"/>
      </w:pPr>
      <w:r>
        <w:rPr/>
        <w:t>Για τον προσδιορισμό των Ο-SII, η Τράπεζα της Ελλάδος εφαρμόζει τη μεθοδολογία που περι-λαμβάνεται στις σχετικές κατευθυντήριες γραμμές που εξέδωσε η Ευρωπαϊκή Αρχή Τραπεζών (ΕΑΤ)</w:t>
      </w:r>
      <w:hyperlink w:history="true" w:anchor="_bookmark99">
        <w:r>
          <w:rPr/>
          <w:t>.</w:t>
        </w:r>
        <w:r>
          <w:rPr>
            <w:position w:val="6"/>
            <w:sz w:val="10"/>
          </w:rPr>
          <w:t>68</w:t>
        </w:r>
      </w:hyperlink>
      <w:r>
        <w:rPr>
          <w:spacing w:val="36"/>
          <w:position w:val="6"/>
          <w:sz w:val="10"/>
        </w:rPr>
        <w:t> </w:t>
      </w:r>
      <w:r>
        <w:rPr/>
        <w:t>Σύμφωνα με τη μεθοδολογία αυτή, οι αρμόδιες αρχές υπολογίζουν βαθμολογία που υ-ποδηλώνει</w:t>
      </w:r>
      <w:r>
        <w:rPr>
          <w:spacing w:val="-14"/>
        </w:rPr>
        <w:t> </w:t>
      </w:r>
      <w:r>
        <w:rPr/>
        <w:t>τη</w:t>
      </w:r>
      <w:r>
        <w:rPr>
          <w:spacing w:val="-12"/>
        </w:rPr>
        <w:t> </w:t>
      </w:r>
      <w:r>
        <w:rPr/>
        <w:t>συστημική</w:t>
      </w:r>
      <w:r>
        <w:rPr>
          <w:spacing w:val="-10"/>
        </w:rPr>
        <w:t> </w:t>
      </w:r>
      <w:r>
        <w:rPr/>
        <w:t>σημασία</w:t>
      </w:r>
      <w:r>
        <w:rPr>
          <w:spacing w:val="-10"/>
        </w:rPr>
        <w:t> </w:t>
      </w:r>
      <w:r>
        <w:rPr/>
        <w:t>κάθε</w:t>
      </w:r>
      <w:r>
        <w:rPr>
          <w:spacing w:val="-9"/>
        </w:rPr>
        <w:t> </w:t>
      </w:r>
      <w:r>
        <w:rPr/>
        <w:t>ιδρύματος</w:t>
      </w:r>
      <w:r>
        <w:rPr>
          <w:spacing w:val="-14"/>
        </w:rPr>
        <w:t> </w:t>
      </w:r>
      <w:r>
        <w:rPr/>
        <w:t>βάσει</w:t>
      </w:r>
      <w:r>
        <w:rPr>
          <w:spacing w:val="-12"/>
        </w:rPr>
        <w:t> </w:t>
      </w:r>
      <w:r>
        <w:rPr/>
        <w:t>συγκεκριμένων</w:t>
      </w:r>
      <w:r>
        <w:rPr>
          <w:spacing w:val="-11"/>
        </w:rPr>
        <w:t> </w:t>
      </w:r>
      <w:r>
        <w:rPr/>
        <w:t>κριτηρίων.</w:t>
      </w:r>
      <w:r>
        <w:rPr>
          <w:spacing w:val="-13"/>
        </w:rPr>
        <w:t> </w:t>
      </w:r>
      <w:r>
        <w:rPr/>
        <w:t>Τα</w:t>
      </w:r>
      <w:r>
        <w:rPr>
          <w:spacing w:val="-10"/>
        </w:rPr>
        <w:t> </w:t>
      </w:r>
      <w:r>
        <w:rPr>
          <w:spacing w:val="-2"/>
        </w:rPr>
        <w:t>κριτήρια</w:t>
      </w:r>
    </w:p>
    <w:p>
      <w:pPr>
        <w:pStyle w:val="BodyText"/>
        <w:rPr>
          <w:sz w:val="20"/>
        </w:rPr>
      </w:pPr>
    </w:p>
    <w:p>
      <w:pPr>
        <w:pStyle w:val="BodyText"/>
        <w:spacing w:before="159"/>
        <w:rPr>
          <w:sz w:val="20"/>
        </w:rPr>
      </w:pPr>
      <w:r>
        <w:rPr>
          <w:sz w:val="20"/>
        </w:rPr>
        <mc:AlternateContent>
          <mc:Choice Requires="wps">
            <w:drawing>
              <wp:anchor distT="0" distB="0" distL="0" distR="0" allowOverlap="1" layoutInCell="1" locked="0" behindDoc="1" simplePos="0" relativeHeight="487641088">
                <wp:simplePos x="0" y="0"/>
                <wp:positionH relativeFrom="page">
                  <wp:posOffset>1009192</wp:posOffset>
                </wp:positionH>
                <wp:positionV relativeFrom="paragraph">
                  <wp:posOffset>262524</wp:posOffset>
                </wp:positionV>
                <wp:extent cx="1829435" cy="7620"/>
                <wp:effectExtent l="0" t="0" r="0" b="0"/>
                <wp:wrapTopAndBottom/>
                <wp:docPr id="545" name="Graphic 545"/>
                <wp:cNvGraphicFramePr>
                  <a:graphicFrameLocks/>
                </wp:cNvGraphicFramePr>
                <a:graphic>
                  <a:graphicData uri="http://schemas.microsoft.com/office/word/2010/wordprocessingShape">
                    <wps:wsp>
                      <wps:cNvPr id="545" name="Graphic 54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0.671196pt;width:144.020pt;height:.599980pt;mso-position-horizontal-relative:page;mso-position-vertical-relative:paragraph;z-index:-15675392;mso-wrap-distance-left:0;mso-wrap-distance-right:0" id="docshape517" filled="true" fillcolor="#000000" stroked="false">
                <v:fill type="solid"/>
                <w10:wrap type="topAndBottom"/>
              </v:rect>
            </w:pict>
          </mc:Fallback>
        </mc:AlternateContent>
      </w:r>
    </w:p>
    <w:p>
      <w:pPr>
        <w:spacing w:before="165"/>
        <w:ind w:left="172" w:right="956" w:firstLine="0"/>
        <w:jc w:val="left"/>
        <w:rPr>
          <w:sz w:val="16"/>
        </w:rPr>
      </w:pPr>
      <w:bookmarkStart w:name="_bookmark96" w:id="97"/>
      <w:bookmarkEnd w:id="97"/>
      <w:r>
        <w:rPr/>
      </w:r>
      <w:r>
        <w:rPr>
          <w:sz w:val="16"/>
          <w:vertAlign w:val="superscript"/>
        </w:rPr>
        <w:t>65</w:t>
      </w:r>
      <w:r>
        <w:rPr>
          <w:sz w:val="16"/>
          <w:vertAlign w:val="baseline"/>
        </w:rPr>
        <w:t> “Καθορισμός</w:t>
      </w:r>
      <w:r>
        <w:rPr>
          <w:spacing w:val="-2"/>
          <w:sz w:val="16"/>
          <w:vertAlign w:val="baseline"/>
        </w:rPr>
        <w:t> </w:t>
      </w:r>
      <w:r>
        <w:rPr>
          <w:sz w:val="16"/>
          <w:vertAlign w:val="baseline"/>
        </w:rPr>
        <w:t>του</w:t>
      </w:r>
      <w:r>
        <w:rPr>
          <w:spacing w:val="-3"/>
          <w:sz w:val="16"/>
          <w:vertAlign w:val="baseline"/>
        </w:rPr>
        <w:t> </w:t>
      </w:r>
      <w:r>
        <w:rPr>
          <w:sz w:val="16"/>
          <w:vertAlign w:val="baseline"/>
        </w:rPr>
        <w:t>ποσοστού</w:t>
      </w:r>
      <w:r>
        <w:rPr>
          <w:spacing w:val="-1"/>
          <w:sz w:val="16"/>
          <w:vertAlign w:val="baseline"/>
        </w:rPr>
        <w:t> </w:t>
      </w:r>
      <w:r>
        <w:rPr>
          <w:sz w:val="16"/>
          <w:vertAlign w:val="baseline"/>
        </w:rPr>
        <w:t>αντικυκλικού</w:t>
      </w:r>
      <w:r>
        <w:rPr>
          <w:spacing w:val="-3"/>
          <w:sz w:val="16"/>
          <w:vertAlign w:val="baseline"/>
        </w:rPr>
        <w:t> </w:t>
      </w:r>
      <w:r>
        <w:rPr>
          <w:sz w:val="16"/>
          <w:vertAlign w:val="baseline"/>
        </w:rPr>
        <w:t>κεφαλαιακού</w:t>
      </w:r>
      <w:r>
        <w:rPr>
          <w:spacing w:val="-3"/>
          <w:sz w:val="16"/>
          <w:vertAlign w:val="baseline"/>
        </w:rPr>
        <w:t> </w:t>
      </w:r>
      <w:r>
        <w:rPr>
          <w:sz w:val="16"/>
          <w:vertAlign w:val="baseline"/>
        </w:rPr>
        <w:t>αποθέματος ασφαλείας στο</w:t>
      </w:r>
      <w:r>
        <w:rPr>
          <w:spacing w:val="-2"/>
          <w:sz w:val="16"/>
          <w:vertAlign w:val="baseline"/>
        </w:rPr>
        <w:t> </w:t>
      </w:r>
      <w:r>
        <w:rPr>
          <w:sz w:val="16"/>
          <w:vertAlign w:val="baseline"/>
        </w:rPr>
        <w:t>0,5% με</w:t>
      </w:r>
      <w:r>
        <w:rPr>
          <w:spacing w:val="-3"/>
          <w:sz w:val="16"/>
          <w:vertAlign w:val="baseline"/>
        </w:rPr>
        <w:t> </w:t>
      </w:r>
      <w:r>
        <w:rPr>
          <w:sz w:val="16"/>
          <w:vertAlign w:val="baseline"/>
        </w:rPr>
        <w:t>ημερομηνία</w:t>
      </w:r>
      <w:r>
        <w:rPr>
          <w:spacing w:val="-3"/>
          <w:sz w:val="16"/>
          <w:vertAlign w:val="baseline"/>
        </w:rPr>
        <w:t> </w:t>
      </w:r>
      <w:r>
        <w:rPr>
          <w:sz w:val="16"/>
          <w:vertAlign w:val="baseline"/>
        </w:rPr>
        <w:t>έναρξης εφαρμογής</w:t>
      </w:r>
      <w:r>
        <w:rPr>
          <w:spacing w:val="-2"/>
          <w:sz w:val="16"/>
          <w:vertAlign w:val="baseline"/>
        </w:rPr>
        <w:t> </w:t>
      </w:r>
      <w:r>
        <w:rPr>
          <w:sz w:val="16"/>
          <w:vertAlign w:val="baseline"/>
        </w:rPr>
        <w:t>την</w:t>
      </w:r>
      <w:r>
        <w:rPr>
          <w:spacing w:val="40"/>
          <w:sz w:val="16"/>
          <w:vertAlign w:val="baseline"/>
        </w:rPr>
        <w:t> </w:t>
      </w:r>
      <w:r>
        <w:rPr>
          <w:sz w:val="16"/>
          <w:vertAlign w:val="baseline"/>
        </w:rPr>
        <w:t>1η Οκτωβρίου 2026”.</w:t>
      </w:r>
    </w:p>
    <w:p>
      <w:pPr>
        <w:spacing w:before="21"/>
        <w:ind w:left="172" w:right="956" w:firstLine="0"/>
        <w:jc w:val="left"/>
        <w:rPr>
          <w:sz w:val="16"/>
        </w:rPr>
      </w:pPr>
      <w:bookmarkStart w:name="_bookmark97" w:id="98"/>
      <w:bookmarkEnd w:id="98"/>
      <w:r>
        <w:rPr/>
      </w:r>
      <w:r>
        <w:rPr>
          <w:sz w:val="16"/>
          <w:vertAlign w:val="superscript"/>
        </w:rPr>
        <w:t>66</w:t>
      </w:r>
      <w:r>
        <w:rPr>
          <w:sz w:val="16"/>
          <w:vertAlign w:val="baseline"/>
        </w:rPr>
        <w:t> Τα λοιπά συστημικά σημαντικά ιδρύματα αντιδιαστέλλονται προς εκείνα τα οποία χαρακτηρίζονται ως παγκοσμίως συστημικά</w:t>
      </w:r>
      <w:r>
        <w:rPr>
          <w:spacing w:val="40"/>
          <w:sz w:val="16"/>
          <w:vertAlign w:val="baseline"/>
        </w:rPr>
        <w:t> </w:t>
      </w:r>
      <w:r>
        <w:rPr>
          <w:sz w:val="16"/>
          <w:vertAlign w:val="baseline"/>
        </w:rPr>
        <w:t>σημαντικά ιδρύματα (Global Systemically Important Institutions – G-SII).</w:t>
      </w:r>
    </w:p>
    <w:p>
      <w:pPr>
        <w:spacing w:before="20"/>
        <w:ind w:left="172" w:right="0" w:firstLine="0"/>
        <w:jc w:val="left"/>
        <w:rPr>
          <w:sz w:val="16"/>
        </w:rPr>
      </w:pPr>
      <w:bookmarkStart w:name="_bookmark98" w:id="99"/>
      <w:bookmarkEnd w:id="99"/>
      <w:r>
        <w:rPr/>
      </w:r>
      <w:r>
        <w:rPr>
          <w:sz w:val="16"/>
          <w:vertAlign w:val="superscript"/>
        </w:rPr>
        <w:t>67</w:t>
      </w:r>
      <w:r>
        <w:rPr>
          <w:spacing w:val="-6"/>
          <w:sz w:val="16"/>
          <w:vertAlign w:val="baseline"/>
        </w:rPr>
        <w:t> </w:t>
      </w:r>
      <w:r>
        <w:rPr>
          <w:sz w:val="16"/>
          <w:vertAlign w:val="baseline"/>
        </w:rPr>
        <w:t>Επισημαίνεται</w:t>
      </w:r>
      <w:r>
        <w:rPr>
          <w:spacing w:val="-5"/>
          <w:sz w:val="16"/>
          <w:vertAlign w:val="baseline"/>
        </w:rPr>
        <w:t> </w:t>
      </w:r>
      <w:r>
        <w:rPr>
          <w:sz w:val="16"/>
          <w:vertAlign w:val="baseline"/>
        </w:rPr>
        <w:t>ότι</w:t>
      </w:r>
      <w:r>
        <w:rPr>
          <w:spacing w:val="-6"/>
          <w:sz w:val="16"/>
          <w:vertAlign w:val="baseline"/>
        </w:rPr>
        <w:t> </w:t>
      </w:r>
      <w:r>
        <w:rPr>
          <w:sz w:val="16"/>
          <w:vertAlign w:val="baseline"/>
        </w:rPr>
        <w:t>το</w:t>
      </w:r>
      <w:r>
        <w:rPr>
          <w:spacing w:val="-4"/>
          <w:sz w:val="16"/>
          <w:vertAlign w:val="baseline"/>
        </w:rPr>
        <w:t> </w:t>
      </w:r>
      <w:r>
        <w:rPr>
          <w:sz w:val="16"/>
          <w:vertAlign w:val="baseline"/>
        </w:rPr>
        <w:t>απόθεμα</w:t>
      </w:r>
      <w:r>
        <w:rPr>
          <w:spacing w:val="-4"/>
          <w:sz w:val="16"/>
          <w:vertAlign w:val="baseline"/>
        </w:rPr>
        <w:t> </w:t>
      </w:r>
      <w:r>
        <w:rPr>
          <w:sz w:val="16"/>
          <w:vertAlign w:val="baseline"/>
        </w:rPr>
        <w:t>ασφαλείας</w:t>
      </w:r>
      <w:r>
        <w:rPr>
          <w:spacing w:val="-2"/>
          <w:sz w:val="16"/>
          <w:vertAlign w:val="baseline"/>
        </w:rPr>
        <w:t> </w:t>
      </w:r>
      <w:r>
        <w:rPr>
          <w:sz w:val="16"/>
          <w:vertAlign w:val="baseline"/>
        </w:rPr>
        <w:t>O-SII</w:t>
      </w:r>
      <w:r>
        <w:rPr>
          <w:spacing w:val="-6"/>
          <w:sz w:val="16"/>
          <w:vertAlign w:val="baseline"/>
        </w:rPr>
        <w:t> </w:t>
      </w:r>
      <w:r>
        <w:rPr>
          <w:sz w:val="16"/>
          <w:vertAlign w:val="baseline"/>
        </w:rPr>
        <w:t>δύναται</w:t>
      </w:r>
      <w:r>
        <w:rPr>
          <w:spacing w:val="-4"/>
          <w:sz w:val="16"/>
          <w:vertAlign w:val="baseline"/>
        </w:rPr>
        <w:t> </w:t>
      </w:r>
      <w:r>
        <w:rPr>
          <w:sz w:val="16"/>
          <w:vertAlign w:val="baseline"/>
        </w:rPr>
        <w:t>να</w:t>
      </w:r>
      <w:r>
        <w:rPr>
          <w:spacing w:val="-3"/>
          <w:sz w:val="16"/>
          <w:vertAlign w:val="baseline"/>
        </w:rPr>
        <w:t> </w:t>
      </w:r>
      <w:r>
        <w:rPr>
          <w:sz w:val="16"/>
          <w:vertAlign w:val="baseline"/>
        </w:rPr>
        <w:t>υπερβαίνει</w:t>
      </w:r>
      <w:r>
        <w:rPr>
          <w:spacing w:val="-7"/>
          <w:sz w:val="16"/>
          <w:vertAlign w:val="baseline"/>
        </w:rPr>
        <w:t> </w:t>
      </w:r>
      <w:r>
        <w:rPr>
          <w:sz w:val="16"/>
          <w:vertAlign w:val="baseline"/>
        </w:rPr>
        <w:t>το</w:t>
      </w:r>
      <w:r>
        <w:rPr>
          <w:spacing w:val="-4"/>
          <w:sz w:val="16"/>
          <w:vertAlign w:val="baseline"/>
        </w:rPr>
        <w:t> </w:t>
      </w:r>
      <w:r>
        <w:rPr>
          <w:sz w:val="16"/>
          <w:vertAlign w:val="baseline"/>
        </w:rPr>
        <w:t>3%</w:t>
      </w:r>
      <w:r>
        <w:rPr>
          <w:spacing w:val="-3"/>
          <w:sz w:val="16"/>
          <w:vertAlign w:val="baseline"/>
        </w:rPr>
        <w:t> </w:t>
      </w:r>
      <w:r>
        <w:rPr>
          <w:sz w:val="16"/>
          <w:vertAlign w:val="baseline"/>
        </w:rPr>
        <w:t>κατόπιν</w:t>
      </w:r>
      <w:r>
        <w:rPr>
          <w:spacing w:val="-4"/>
          <w:sz w:val="16"/>
          <w:vertAlign w:val="baseline"/>
        </w:rPr>
        <w:t> </w:t>
      </w:r>
      <w:r>
        <w:rPr>
          <w:sz w:val="16"/>
          <w:vertAlign w:val="baseline"/>
        </w:rPr>
        <w:t>έγκρισης</w:t>
      </w:r>
      <w:r>
        <w:rPr>
          <w:spacing w:val="-5"/>
          <w:sz w:val="16"/>
          <w:vertAlign w:val="baseline"/>
        </w:rPr>
        <w:t> </w:t>
      </w:r>
      <w:r>
        <w:rPr>
          <w:sz w:val="16"/>
          <w:vertAlign w:val="baseline"/>
        </w:rPr>
        <w:t>της</w:t>
      </w:r>
      <w:r>
        <w:rPr>
          <w:spacing w:val="-3"/>
          <w:sz w:val="16"/>
          <w:vertAlign w:val="baseline"/>
        </w:rPr>
        <w:t> </w:t>
      </w:r>
      <w:r>
        <w:rPr>
          <w:sz w:val="16"/>
          <w:vertAlign w:val="baseline"/>
        </w:rPr>
        <w:t>Ευρωπαϊκής</w:t>
      </w:r>
      <w:r>
        <w:rPr>
          <w:spacing w:val="-4"/>
          <w:sz w:val="16"/>
          <w:vertAlign w:val="baseline"/>
        </w:rPr>
        <w:t> </w:t>
      </w:r>
      <w:r>
        <w:rPr>
          <w:spacing w:val="-2"/>
          <w:sz w:val="16"/>
          <w:vertAlign w:val="baseline"/>
        </w:rPr>
        <w:t>Επιτροπής.</w:t>
      </w:r>
    </w:p>
    <w:p>
      <w:pPr>
        <w:spacing w:before="20"/>
        <w:ind w:left="172" w:right="956" w:firstLine="0"/>
        <w:jc w:val="left"/>
        <w:rPr>
          <w:sz w:val="16"/>
        </w:rPr>
      </w:pPr>
      <w:bookmarkStart w:name="_bookmark99" w:id="100"/>
      <w:bookmarkEnd w:id="100"/>
      <w:r>
        <w:rPr/>
      </w:r>
      <w:r>
        <w:rPr>
          <w:sz w:val="16"/>
          <w:vertAlign w:val="superscript"/>
        </w:rPr>
        <w:t>68</w:t>
      </w:r>
      <w:r>
        <w:rPr>
          <w:spacing w:val="40"/>
          <w:sz w:val="16"/>
          <w:vertAlign w:val="baseline"/>
        </w:rPr>
        <w:t> </w:t>
      </w:r>
      <w:r>
        <w:rPr>
          <w:sz w:val="16"/>
          <w:vertAlign w:val="baseline"/>
        </w:rPr>
        <w:t>ΕΑΤ,</w:t>
      </w:r>
      <w:r>
        <w:rPr>
          <w:spacing w:val="40"/>
          <w:sz w:val="16"/>
          <w:vertAlign w:val="baseline"/>
        </w:rPr>
        <w:t> </w:t>
      </w:r>
      <w:r>
        <w:rPr>
          <w:sz w:val="16"/>
          <w:vertAlign w:val="baseline"/>
        </w:rPr>
        <w:t>EBA/GL/2014/10,</w:t>
      </w:r>
      <w:r>
        <w:rPr>
          <w:spacing w:val="40"/>
          <w:sz w:val="16"/>
          <w:vertAlign w:val="baseline"/>
        </w:rPr>
        <w:t> </w:t>
      </w:r>
      <w:r>
        <w:rPr>
          <w:sz w:val="16"/>
          <w:vertAlign w:val="baseline"/>
        </w:rPr>
        <w:t>όπως</w:t>
      </w:r>
      <w:r>
        <w:rPr>
          <w:spacing w:val="40"/>
          <w:sz w:val="16"/>
          <w:vertAlign w:val="baseline"/>
        </w:rPr>
        <w:t> </w:t>
      </w:r>
      <w:r>
        <w:rPr>
          <w:sz w:val="16"/>
          <w:vertAlign w:val="baseline"/>
        </w:rPr>
        <w:t>αυτές</w:t>
      </w:r>
      <w:r>
        <w:rPr>
          <w:spacing w:val="40"/>
          <w:sz w:val="16"/>
          <w:vertAlign w:val="baseline"/>
        </w:rPr>
        <w:t> </w:t>
      </w:r>
      <w:r>
        <w:rPr>
          <w:sz w:val="16"/>
          <w:vertAlign w:val="baseline"/>
        </w:rPr>
        <w:t>υιοθετήθηκαν</w:t>
      </w:r>
      <w:r>
        <w:rPr>
          <w:spacing w:val="40"/>
          <w:sz w:val="16"/>
          <w:vertAlign w:val="baseline"/>
        </w:rPr>
        <w:t> </w:t>
      </w:r>
      <w:r>
        <w:rPr>
          <w:sz w:val="16"/>
          <w:vertAlign w:val="baseline"/>
        </w:rPr>
        <w:t>με</w:t>
      </w:r>
      <w:r>
        <w:rPr>
          <w:spacing w:val="40"/>
          <w:sz w:val="16"/>
          <w:vertAlign w:val="baseline"/>
        </w:rPr>
        <w:t> </w:t>
      </w:r>
      <w:r>
        <w:rPr>
          <w:sz w:val="16"/>
          <w:vertAlign w:val="baseline"/>
        </w:rPr>
        <w:t>την</w:t>
      </w:r>
      <w:r>
        <w:rPr>
          <w:spacing w:val="40"/>
          <w:sz w:val="16"/>
          <w:vertAlign w:val="baseline"/>
        </w:rPr>
        <w:t> </w:t>
      </w:r>
      <w:r>
        <w:rPr>
          <w:sz w:val="16"/>
          <w:vertAlign w:val="baseline"/>
        </w:rPr>
        <w:t>Πράξη</w:t>
      </w:r>
      <w:r>
        <w:rPr>
          <w:spacing w:val="40"/>
          <w:sz w:val="16"/>
          <w:vertAlign w:val="baseline"/>
        </w:rPr>
        <w:t> </w:t>
      </w:r>
      <w:r>
        <w:rPr>
          <w:sz w:val="16"/>
          <w:vertAlign w:val="baseline"/>
        </w:rPr>
        <w:t>Εκτελεστικής</w:t>
      </w:r>
      <w:r>
        <w:rPr>
          <w:spacing w:val="40"/>
          <w:sz w:val="16"/>
          <w:vertAlign w:val="baseline"/>
        </w:rPr>
        <w:t> </w:t>
      </w:r>
      <w:r>
        <w:rPr>
          <w:sz w:val="16"/>
          <w:vertAlign w:val="baseline"/>
        </w:rPr>
        <w:t>Επιτροπής</w:t>
      </w:r>
      <w:r>
        <w:rPr>
          <w:spacing w:val="40"/>
          <w:sz w:val="16"/>
          <w:vertAlign w:val="baseline"/>
        </w:rPr>
        <w:t> </w:t>
      </w:r>
      <w:r>
        <w:rPr>
          <w:sz w:val="16"/>
          <w:vertAlign w:val="baseline"/>
        </w:rPr>
        <w:t>της</w:t>
      </w:r>
      <w:r>
        <w:rPr>
          <w:spacing w:val="40"/>
          <w:sz w:val="16"/>
          <w:vertAlign w:val="baseline"/>
        </w:rPr>
        <w:t> </w:t>
      </w:r>
      <w:r>
        <w:rPr>
          <w:sz w:val="16"/>
          <w:vertAlign w:val="baseline"/>
        </w:rPr>
        <w:t>Τράπεζας</w:t>
      </w:r>
      <w:r>
        <w:rPr>
          <w:spacing w:val="40"/>
          <w:sz w:val="16"/>
          <w:vertAlign w:val="baseline"/>
        </w:rPr>
        <w:t> </w:t>
      </w:r>
      <w:r>
        <w:rPr>
          <w:sz w:val="16"/>
          <w:vertAlign w:val="baseline"/>
        </w:rPr>
        <w:t>της</w:t>
      </w:r>
      <w:r>
        <w:rPr>
          <w:spacing w:val="40"/>
          <w:sz w:val="16"/>
          <w:vertAlign w:val="baseline"/>
        </w:rPr>
        <w:t> </w:t>
      </w:r>
      <w:r>
        <w:rPr>
          <w:sz w:val="16"/>
          <w:vertAlign w:val="baseline"/>
        </w:rPr>
        <w:t>Ελλάδος</w:t>
      </w:r>
      <w:r>
        <w:rPr>
          <w:spacing w:val="40"/>
          <w:sz w:val="16"/>
          <w:vertAlign w:val="baseline"/>
        </w:rPr>
        <w:t> </w:t>
      </w:r>
      <w:r>
        <w:rPr>
          <w:sz w:val="16"/>
          <w:vertAlign w:val="baseline"/>
        </w:rPr>
        <w:t>56/18.12.2015 και εξειδικεύθηκαν</w:t>
      </w:r>
      <w:r>
        <w:rPr>
          <w:spacing w:val="-1"/>
          <w:sz w:val="16"/>
          <w:vertAlign w:val="baseline"/>
        </w:rPr>
        <w:t> </w:t>
      </w:r>
      <w:r>
        <w:rPr>
          <w:sz w:val="16"/>
          <w:vertAlign w:val="baseline"/>
        </w:rPr>
        <w:t>περαιτέρω με την Πράξη Εκτελεστικής Επιτροπής της Τράπεζας της Ελλάδος 221/1/17.10.2023.</w:t>
      </w:r>
    </w:p>
    <w:p>
      <w:pPr>
        <w:spacing w:after="0"/>
        <w:jc w:val="left"/>
        <w:rPr>
          <w:sz w:val="16"/>
        </w:rPr>
        <w:sectPr>
          <w:pgSz w:w="11910" w:h="16850"/>
          <w:pgMar w:header="0" w:footer="1108" w:top="1840" w:bottom="1300" w:left="1417" w:right="850"/>
        </w:sect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1"/>
        <w:gridCol w:w="5011"/>
        <w:gridCol w:w="1753"/>
      </w:tblGrid>
      <w:tr>
        <w:trPr>
          <w:trHeight w:val="533" w:hRule="atLeast"/>
        </w:trPr>
        <w:tc>
          <w:tcPr>
            <w:tcW w:w="8535" w:type="dxa"/>
            <w:gridSpan w:val="3"/>
            <w:shd w:val="clear" w:color="auto" w:fill="1F487C"/>
          </w:tcPr>
          <w:p>
            <w:pPr>
              <w:pStyle w:val="TableParagraph"/>
              <w:spacing w:before="60"/>
              <w:ind w:left="220"/>
              <w:rPr>
                <w:b/>
                <w:sz w:val="18"/>
              </w:rPr>
            </w:pPr>
            <w:r>
              <w:rPr>
                <w:b/>
                <w:color w:val="FFFFFF"/>
                <w:sz w:val="18"/>
              </w:rPr>
              <w:t>Πίνακας</w:t>
            </w:r>
            <w:r>
              <w:rPr>
                <w:b/>
                <w:color w:val="FFFFFF"/>
                <w:spacing w:val="-2"/>
                <w:sz w:val="18"/>
              </w:rPr>
              <w:t> </w:t>
            </w:r>
            <w:r>
              <w:rPr>
                <w:b/>
                <w:color w:val="FFFFFF"/>
                <w:sz w:val="18"/>
              </w:rPr>
              <w:t>IV.1</w:t>
            </w:r>
            <w:r>
              <w:rPr>
                <w:b/>
                <w:color w:val="FFFFFF"/>
                <w:spacing w:val="-2"/>
                <w:sz w:val="18"/>
              </w:rPr>
              <w:t> </w:t>
            </w:r>
            <w:r>
              <w:rPr>
                <w:b/>
                <w:color w:val="FFFFFF"/>
                <w:sz w:val="18"/>
              </w:rPr>
              <w:t>Υποχρεωτ</w:t>
            </w:r>
            <w:r>
              <w:rPr>
                <w:b/>
                <w:smallCaps/>
                <w:color w:val="FFFFFF"/>
                <w:sz w:val="18"/>
              </w:rPr>
              <w:t>ι</w:t>
            </w:r>
            <w:r>
              <w:rPr>
                <w:b/>
                <w:smallCaps w:val="0"/>
                <w:color w:val="FFFFFF"/>
                <w:sz w:val="18"/>
              </w:rPr>
              <w:t>κοί</w:t>
            </w:r>
            <w:r>
              <w:rPr>
                <w:b/>
                <w:smallCaps w:val="0"/>
                <w:color w:val="FFFFFF"/>
                <w:spacing w:val="-3"/>
                <w:sz w:val="18"/>
              </w:rPr>
              <w:t> </w:t>
            </w:r>
            <w:r>
              <w:rPr>
                <w:b/>
                <w:smallCaps w:val="0"/>
                <w:color w:val="FFFFFF"/>
                <w:sz w:val="18"/>
              </w:rPr>
              <w:t>δείκτες</w:t>
            </w:r>
            <w:r>
              <w:rPr>
                <w:b/>
                <w:smallCaps w:val="0"/>
                <w:color w:val="FFFFFF"/>
                <w:spacing w:val="-3"/>
                <w:sz w:val="18"/>
              </w:rPr>
              <w:t> </w:t>
            </w:r>
            <w:r>
              <w:rPr>
                <w:b/>
                <w:smallCaps w:val="0"/>
                <w:color w:val="FFFFFF"/>
                <w:sz w:val="18"/>
              </w:rPr>
              <w:t>γ</w:t>
            </w:r>
            <w:r>
              <w:rPr>
                <w:b/>
                <w:smallCaps/>
                <w:color w:val="FFFFFF"/>
                <w:sz w:val="18"/>
              </w:rPr>
              <w:t>ι</w:t>
            </w:r>
            <w:r>
              <w:rPr>
                <w:b/>
                <w:smallCaps w:val="0"/>
                <w:color w:val="FFFFFF"/>
                <w:sz w:val="18"/>
              </w:rPr>
              <w:t>α</w:t>
            </w:r>
            <w:r>
              <w:rPr>
                <w:b/>
                <w:smallCaps w:val="0"/>
                <w:color w:val="FFFFFF"/>
                <w:spacing w:val="-5"/>
                <w:sz w:val="18"/>
              </w:rPr>
              <w:t> </w:t>
            </w:r>
            <w:r>
              <w:rPr>
                <w:b/>
                <w:smallCaps w:val="0"/>
                <w:color w:val="FFFFFF"/>
                <w:sz w:val="18"/>
              </w:rPr>
              <w:t>τη</w:t>
            </w:r>
            <w:r>
              <w:rPr>
                <w:b/>
                <w:smallCaps w:val="0"/>
                <w:color w:val="FFFFFF"/>
                <w:spacing w:val="-5"/>
                <w:sz w:val="18"/>
              </w:rPr>
              <w:t> </w:t>
            </w:r>
            <w:r>
              <w:rPr>
                <w:b/>
                <w:smallCaps w:val="0"/>
                <w:color w:val="FFFFFF"/>
                <w:sz w:val="18"/>
              </w:rPr>
              <w:t>βαθμολόγηση</w:t>
            </w:r>
            <w:r>
              <w:rPr>
                <w:b/>
                <w:smallCaps w:val="0"/>
                <w:color w:val="FFFFFF"/>
                <w:spacing w:val="-2"/>
                <w:sz w:val="18"/>
              </w:rPr>
              <w:t> </w:t>
            </w:r>
            <w:r>
              <w:rPr>
                <w:b/>
                <w:smallCaps w:val="0"/>
                <w:color w:val="FFFFFF"/>
                <w:sz w:val="18"/>
              </w:rPr>
              <w:t>των</w:t>
            </w:r>
            <w:r>
              <w:rPr>
                <w:b/>
                <w:smallCaps w:val="0"/>
                <w:color w:val="FFFFFF"/>
                <w:spacing w:val="-2"/>
                <w:sz w:val="18"/>
              </w:rPr>
              <w:t> </w:t>
            </w:r>
            <w:r>
              <w:rPr>
                <w:b/>
                <w:smallCaps w:val="0"/>
                <w:color w:val="FFFFFF"/>
                <w:sz w:val="18"/>
              </w:rPr>
              <w:t>λο</w:t>
            </w:r>
            <w:r>
              <w:rPr>
                <w:b/>
                <w:smallCaps/>
                <w:color w:val="FFFFFF"/>
                <w:sz w:val="18"/>
              </w:rPr>
              <w:t>ι</w:t>
            </w:r>
            <w:r>
              <w:rPr>
                <w:b/>
                <w:smallCaps w:val="0"/>
                <w:color w:val="FFFFFF"/>
                <w:sz w:val="18"/>
              </w:rPr>
              <w:t>πών</w:t>
            </w:r>
            <w:r>
              <w:rPr>
                <w:b/>
                <w:smallCaps w:val="0"/>
                <w:color w:val="FFFFFF"/>
                <w:spacing w:val="-2"/>
                <w:sz w:val="18"/>
              </w:rPr>
              <w:t> </w:t>
            </w:r>
            <w:r>
              <w:rPr>
                <w:b/>
                <w:smallCaps w:val="0"/>
                <w:color w:val="FFFFFF"/>
                <w:sz w:val="18"/>
              </w:rPr>
              <w:t>συστημ</w:t>
            </w:r>
            <w:r>
              <w:rPr>
                <w:b/>
                <w:smallCaps/>
                <w:color w:val="FFFFFF"/>
                <w:sz w:val="18"/>
              </w:rPr>
              <w:t>ι</w:t>
            </w:r>
            <w:r>
              <w:rPr>
                <w:b/>
                <w:smallCaps w:val="0"/>
                <w:color w:val="FFFFFF"/>
                <w:sz w:val="18"/>
              </w:rPr>
              <w:t>κά</w:t>
            </w:r>
            <w:r>
              <w:rPr>
                <w:b/>
                <w:smallCaps w:val="0"/>
                <w:color w:val="FFFFFF"/>
                <w:spacing w:val="-5"/>
                <w:sz w:val="18"/>
              </w:rPr>
              <w:t> </w:t>
            </w:r>
            <w:r>
              <w:rPr>
                <w:b/>
                <w:smallCaps w:val="0"/>
                <w:color w:val="FFFFFF"/>
                <w:sz w:val="18"/>
              </w:rPr>
              <w:t>σημαντ</w:t>
            </w:r>
            <w:r>
              <w:rPr>
                <w:b/>
                <w:smallCaps/>
                <w:color w:val="FFFFFF"/>
                <w:sz w:val="18"/>
              </w:rPr>
              <w:t>ι</w:t>
            </w:r>
            <w:r>
              <w:rPr>
                <w:b/>
                <w:smallCaps w:val="0"/>
                <w:color w:val="FFFFFF"/>
                <w:sz w:val="18"/>
              </w:rPr>
              <w:t>κών</w:t>
            </w:r>
            <w:r>
              <w:rPr>
                <w:b/>
                <w:smallCaps w:val="0"/>
                <w:color w:val="FFFFFF"/>
                <w:spacing w:val="-2"/>
                <w:sz w:val="18"/>
              </w:rPr>
              <w:t> </w:t>
            </w:r>
            <w:r>
              <w:rPr>
                <w:b/>
                <w:smallCaps/>
                <w:color w:val="FFFFFF"/>
                <w:sz w:val="18"/>
              </w:rPr>
              <w:t>ι</w:t>
            </w:r>
            <w:r>
              <w:rPr>
                <w:b/>
                <w:smallCaps w:val="0"/>
                <w:color w:val="FFFFFF"/>
                <w:sz w:val="18"/>
              </w:rPr>
              <w:t>δρυμάτων στην Ελλάδα</w:t>
            </w:r>
          </w:p>
        </w:tc>
      </w:tr>
      <w:tr>
        <w:trPr>
          <w:trHeight w:val="419" w:hRule="atLeast"/>
        </w:trPr>
        <w:tc>
          <w:tcPr>
            <w:tcW w:w="1771" w:type="dxa"/>
            <w:shd w:val="clear" w:color="auto" w:fill="D9D9D9"/>
          </w:tcPr>
          <w:p>
            <w:pPr>
              <w:pStyle w:val="TableParagraph"/>
              <w:spacing w:before="103"/>
              <w:ind w:left="108"/>
              <w:rPr>
                <w:b/>
                <w:sz w:val="18"/>
              </w:rPr>
            </w:pPr>
            <w:r>
              <w:rPr>
                <w:b/>
                <w:color w:val="1F487C"/>
                <w:spacing w:val="-2"/>
                <w:sz w:val="18"/>
              </w:rPr>
              <w:t>Κρ</w:t>
            </w:r>
            <w:r>
              <w:rPr>
                <w:b/>
                <w:smallCaps/>
                <w:color w:val="1F487C"/>
                <w:spacing w:val="-2"/>
                <w:sz w:val="18"/>
              </w:rPr>
              <w:t>ι</w:t>
            </w:r>
            <w:r>
              <w:rPr>
                <w:b/>
                <w:smallCaps w:val="0"/>
                <w:color w:val="1F487C"/>
                <w:spacing w:val="-2"/>
                <w:sz w:val="18"/>
              </w:rPr>
              <w:t>τήρ</w:t>
            </w:r>
            <w:r>
              <w:rPr>
                <w:b/>
                <w:smallCaps/>
                <w:color w:val="1F487C"/>
                <w:spacing w:val="-2"/>
                <w:sz w:val="18"/>
              </w:rPr>
              <w:t>ιο</w:t>
            </w:r>
          </w:p>
        </w:tc>
        <w:tc>
          <w:tcPr>
            <w:tcW w:w="5011" w:type="dxa"/>
            <w:shd w:val="clear" w:color="auto" w:fill="D9D9D9"/>
          </w:tcPr>
          <w:p>
            <w:pPr>
              <w:pStyle w:val="TableParagraph"/>
              <w:spacing w:before="103"/>
              <w:ind w:left="180"/>
              <w:rPr>
                <w:b/>
                <w:sz w:val="18"/>
              </w:rPr>
            </w:pPr>
            <w:r>
              <w:rPr>
                <w:b/>
                <w:color w:val="1F487C"/>
                <w:spacing w:val="-2"/>
                <w:sz w:val="18"/>
              </w:rPr>
              <w:t>Δείκτες</w:t>
            </w:r>
          </w:p>
        </w:tc>
        <w:tc>
          <w:tcPr>
            <w:tcW w:w="1753" w:type="dxa"/>
            <w:shd w:val="clear" w:color="auto" w:fill="D9D9D9"/>
          </w:tcPr>
          <w:p>
            <w:pPr>
              <w:pStyle w:val="TableParagraph"/>
              <w:spacing w:line="206" w:lineRule="exact"/>
              <w:ind w:left="157" w:right="135"/>
              <w:rPr>
                <w:b/>
                <w:sz w:val="18"/>
              </w:rPr>
            </w:pPr>
            <w:r>
              <w:rPr>
                <w:b/>
                <w:color w:val="1F487C"/>
                <w:sz w:val="18"/>
              </w:rPr>
              <w:t>Συντελεστής</w:t>
            </w:r>
            <w:r>
              <w:rPr>
                <w:b/>
                <w:color w:val="1F487C"/>
                <w:spacing w:val="-12"/>
                <w:sz w:val="18"/>
              </w:rPr>
              <w:t> </w:t>
            </w:r>
            <w:r>
              <w:rPr>
                <w:b/>
                <w:color w:val="1F487C"/>
                <w:sz w:val="18"/>
              </w:rPr>
              <w:t>στάθ-μ</w:t>
            </w:r>
            <w:r>
              <w:rPr>
                <w:b/>
                <w:smallCaps/>
                <w:color w:val="1F487C"/>
                <w:sz w:val="18"/>
              </w:rPr>
              <w:t>ι</w:t>
            </w:r>
            <w:r>
              <w:rPr>
                <w:b/>
                <w:smallCaps w:val="0"/>
                <w:color w:val="1F487C"/>
                <w:sz w:val="18"/>
              </w:rPr>
              <w:t>σης (%)</w:t>
            </w:r>
          </w:p>
        </w:tc>
      </w:tr>
      <w:tr>
        <w:trPr>
          <w:trHeight w:val="349" w:hRule="atLeast"/>
        </w:trPr>
        <w:tc>
          <w:tcPr>
            <w:tcW w:w="1771" w:type="dxa"/>
            <w:shd w:val="clear" w:color="auto" w:fill="D9D9D9"/>
          </w:tcPr>
          <w:p>
            <w:pPr>
              <w:pStyle w:val="TableParagraph"/>
              <w:spacing w:before="4"/>
              <w:ind w:left="108"/>
              <w:rPr>
                <w:b/>
                <w:sz w:val="18"/>
              </w:rPr>
            </w:pPr>
            <w:r>
              <w:rPr>
                <w:b/>
                <w:color w:val="1F487C"/>
                <w:spacing w:val="-2"/>
                <w:sz w:val="18"/>
              </w:rPr>
              <w:t>Μέγεθος</w:t>
            </w:r>
          </w:p>
        </w:tc>
        <w:tc>
          <w:tcPr>
            <w:tcW w:w="5011" w:type="dxa"/>
            <w:shd w:val="clear" w:color="auto" w:fill="D9D9D9"/>
          </w:tcPr>
          <w:p>
            <w:pPr>
              <w:pStyle w:val="TableParagraph"/>
              <w:spacing w:before="76"/>
              <w:ind w:left="180"/>
              <w:rPr>
                <w:sz w:val="18"/>
              </w:rPr>
            </w:pPr>
            <w:r>
              <w:rPr>
                <w:sz w:val="18"/>
              </w:rPr>
              <w:t>Σύνολο</w:t>
            </w:r>
            <w:r>
              <w:rPr>
                <w:spacing w:val="-3"/>
                <w:sz w:val="18"/>
              </w:rPr>
              <w:t> </w:t>
            </w:r>
            <w:r>
              <w:rPr>
                <w:sz w:val="18"/>
              </w:rPr>
              <w:t>στοιχείων</w:t>
            </w:r>
            <w:r>
              <w:rPr>
                <w:spacing w:val="-3"/>
                <w:sz w:val="18"/>
              </w:rPr>
              <w:t> </w:t>
            </w:r>
            <w:r>
              <w:rPr>
                <w:spacing w:val="-2"/>
                <w:sz w:val="18"/>
              </w:rPr>
              <w:t>ενεργητικού</w:t>
            </w:r>
          </w:p>
        </w:tc>
        <w:tc>
          <w:tcPr>
            <w:tcW w:w="1753" w:type="dxa"/>
            <w:shd w:val="clear" w:color="auto" w:fill="D9D9D9"/>
          </w:tcPr>
          <w:p>
            <w:pPr>
              <w:pStyle w:val="TableParagraph"/>
              <w:spacing w:before="76"/>
              <w:ind w:left="49"/>
              <w:jc w:val="center"/>
              <w:rPr>
                <w:sz w:val="18"/>
              </w:rPr>
            </w:pPr>
            <w:r>
              <w:rPr>
                <w:spacing w:val="-5"/>
                <w:sz w:val="18"/>
              </w:rPr>
              <w:t>25</w:t>
            </w:r>
          </w:p>
        </w:tc>
      </w:tr>
      <w:tr>
        <w:trPr>
          <w:trHeight w:val="325" w:hRule="atLeast"/>
        </w:trPr>
        <w:tc>
          <w:tcPr>
            <w:tcW w:w="1771" w:type="dxa"/>
            <w:shd w:val="clear" w:color="auto" w:fill="D9D9D9"/>
          </w:tcPr>
          <w:p>
            <w:pPr>
              <w:pStyle w:val="TableParagraph"/>
              <w:spacing w:before="6"/>
              <w:ind w:left="108"/>
              <w:rPr>
                <w:b/>
                <w:sz w:val="18"/>
              </w:rPr>
            </w:pPr>
            <w:r>
              <w:rPr>
                <w:b/>
                <w:color w:val="1F487C"/>
                <w:spacing w:val="-2"/>
                <w:sz w:val="18"/>
              </w:rPr>
              <w:t>Σημασία</w:t>
            </w:r>
          </w:p>
        </w:tc>
        <w:tc>
          <w:tcPr>
            <w:tcW w:w="5011" w:type="dxa"/>
            <w:shd w:val="clear" w:color="auto" w:fill="D9D9D9"/>
          </w:tcPr>
          <w:p>
            <w:pPr>
              <w:pStyle w:val="TableParagraph"/>
              <w:spacing w:before="78"/>
              <w:ind w:left="180"/>
              <w:rPr>
                <w:sz w:val="18"/>
              </w:rPr>
            </w:pPr>
            <w:r>
              <w:rPr>
                <w:sz w:val="18"/>
              </w:rPr>
              <w:t>Αξία</w:t>
            </w:r>
            <w:r>
              <w:rPr>
                <w:spacing w:val="-4"/>
                <w:sz w:val="18"/>
              </w:rPr>
              <w:t> </w:t>
            </w:r>
            <w:r>
              <w:rPr>
                <w:sz w:val="18"/>
              </w:rPr>
              <w:t>εγχώριων</w:t>
            </w:r>
            <w:r>
              <w:rPr>
                <w:spacing w:val="-3"/>
                <w:sz w:val="18"/>
              </w:rPr>
              <w:t> </w:t>
            </w:r>
            <w:r>
              <w:rPr>
                <w:sz w:val="18"/>
              </w:rPr>
              <w:t>πράξεων</w:t>
            </w:r>
            <w:r>
              <w:rPr>
                <w:spacing w:val="-3"/>
                <w:sz w:val="18"/>
              </w:rPr>
              <w:t> </w:t>
            </w:r>
            <w:r>
              <w:rPr>
                <w:spacing w:val="-2"/>
                <w:sz w:val="18"/>
              </w:rPr>
              <w:t>πληρωμής</w:t>
            </w:r>
          </w:p>
        </w:tc>
        <w:tc>
          <w:tcPr>
            <w:tcW w:w="1753" w:type="dxa"/>
            <w:shd w:val="clear" w:color="auto" w:fill="D9D9D9"/>
          </w:tcPr>
          <w:p>
            <w:pPr>
              <w:pStyle w:val="TableParagraph"/>
              <w:spacing w:before="78"/>
              <w:ind w:left="49" w:right="1"/>
              <w:jc w:val="center"/>
              <w:rPr>
                <w:sz w:val="18"/>
              </w:rPr>
            </w:pPr>
            <w:r>
              <w:rPr>
                <w:spacing w:val="-4"/>
                <w:sz w:val="18"/>
              </w:rPr>
              <w:t>8,33</w:t>
            </w:r>
          </w:p>
        </w:tc>
      </w:tr>
      <w:tr>
        <w:trPr>
          <w:trHeight w:val="285" w:hRule="atLeast"/>
        </w:trPr>
        <w:tc>
          <w:tcPr>
            <w:tcW w:w="1771" w:type="dxa"/>
            <w:shd w:val="clear" w:color="auto" w:fill="D9D9D9"/>
          </w:tcPr>
          <w:p>
            <w:pPr>
              <w:pStyle w:val="TableParagraph"/>
              <w:rPr>
                <w:sz w:val="20"/>
              </w:rPr>
            </w:pPr>
          </w:p>
        </w:tc>
        <w:tc>
          <w:tcPr>
            <w:tcW w:w="5011" w:type="dxa"/>
            <w:shd w:val="clear" w:color="auto" w:fill="D9D9D9"/>
          </w:tcPr>
          <w:p>
            <w:pPr>
              <w:pStyle w:val="TableParagraph"/>
              <w:spacing w:before="33"/>
              <w:ind w:left="180"/>
              <w:rPr>
                <w:sz w:val="18"/>
              </w:rPr>
            </w:pPr>
            <w:r>
              <w:rPr>
                <w:sz w:val="18"/>
              </w:rPr>
              <w:t>Καταθέσεις</w:t>
            </w:r>
            <w:r>
              <w:rPr>
                <w:spacing w:val="-3"/>
                <w:sz w:val="18"/>
              </w:rPr>
              <w:t> </w:t>
            </w:r>
            <w:r>
              <w:rPr>
                <w:sz w:val="18"/>
              </w:rPr>
              <w:t>ιδιωτικού</w:t>
            </w:r>
            <w:r>
              <w:rPr>
                <w:spacing w:val="-3"/>
                <w:sz w:val="18"/>
              </w:rPr>
              <w:t> </w:t>
            </w:r>
            <w:r>
              <w:rPr>
                <w:sz w:val="18"/>
              </w:rPr>
              <w:t>τομέα</w:t>
            </w:r>
            <w:r>
              <w:rPr>
                <w:spacing w:val="-4"/>
                <w:sz w:val="18"/>
              </w:rPr>
              <w:t> </w:t>
            </w:r>
            <w:r>
              <w:rPr>
                <w:sz w:val="18"/>
              </w:rPr>
              <w:t>από</w:t>
            </w:r>
            <w:r>
              <w:rPr>
                <w:spacing w:val="-3"/>
                <w:sz w:val="18"/>
              </w:rPr>
              <w:t> </w:t>
            </w:r>
            <w:r>
              <w:rPr>
                <w:sz w:val="18"/>
              </w:rPr>
              <w:t>καταθέτες</w:t>
            </w:r>
            <w:r>
              <w:rPr>
                <w:spacing w:val="-2"/>
                <w:sz w:val="18"/>
              </w:rPr>
              <w:t> </w:t>
            </w:r>
            <w:r>
              <w:rPr>
                <w:sz w:val="18"/>
              </w:rPr>
              <w:t>εντός</w:t>
            </w:r>
            <w:r>
              <w:rPr>
                <w:spacing w:val="-4"/>
                <w:sz w:val="18"/>
              </w:rPr>
              <w:t> </w:t>
            </w:r>
            <w:r>
              <w:rPr>
                <w:spacing w:val="-5"/>
                <w:sz w:val="18"/>
              </w:rPr>
              <w:t>ΕΕ</w:t>
            </w:r>
          </w:p>
        </w:tc>
        <w:tc>
          <w:tcPr>
            <w:tcW w:w="1753" w:type="dxa"/>
            <w:shd w:val="clear" w:color="auto" w:fill="D9D9D9"/>
          </w:tcPr>
          <w:p>
            <w:pPr>
              <w:pStyle w:val="TableParagraph"/>
              <w:spacing w:before="33"/>
              <w:ind w:left="49" w:right="1"/>
              <w:jc w:val="center"/>
              <w:rPr>
                <w:sz w:val="18"/>
              </w:rPr>
            </w:pPr>
            <w:r>
              <w:rPr>
                <w:spacing w:val="-4"/>
                <w:sz w:val="18"/>
              </w:rPr>
              <w:t>8,33</w:t>
            </w:r>
          </w:p>
        </w:tc>
      </w:tr>
      <w:tr>
        <w:trPr>
          <w:trHeight w:val="299" w:hRule="atLeast"/>
        </w:trPr>
        <w:tc>
          <w:tcPr>
            <w:tcW w:w="1771" w:type="dxa"/>
            <w:shd w:val="clear" w:color="auto" w:fill="D9D9D9"/>
          </w:tcPr>
          <w:p>
            <w:pPr>
              <w:pStyle w:val="TableParagraph"/>
              <w:rPr>
                <w:sz w:val="20"/>
              </w:rPr>
            </w:pPr>
          </w:p>
        </w:tc>
        <w:tc>
          <w:tcPr>
            <w:tcW w:w="5011" w:type="dxa"/>
            <w:shd w:val="clear" w:color="auto" w:fill="D9D9D9"/>
          </w:tcPr>
          <w:p>
            <w:pPr>
              <w:pStyle w:val="TableParagraph"/>
              <w:spacing w:before="38"/>
              <w:ind w:left="180"/>
              <w:rPr>
                <w:sz w:val="18"/>
              </w:rPr>
            </w:pPr>
            <w:r>
              <w:rPr>
                <w:sz w:val="18"/>
              </w:rPr>
              <w:t>Δάνεια</w:t>
            </w:r>
            <w:r>
              <w:rPr>
                <w:spacing w:val="-4"/>
                <w:sz w:val="18"/>
              </w:rPr>
              <w:t> </w:t>
            </w:r>
            <w:r>
              <w:rPr>
                <w:sz w:val="18"/>
              </w:rPr>
              <w:t>ιδιωτικού</w:t>
            </w:r>
            <w:r>
              <w:rPr>
                <w:spacing w:val="-3"/>
                <w:sz w:val="18"/>
              </w:rPr>
              <w:t> </w:t>
            </w:r>
            <w:r>
              <w:rPr>
                <w:sz w:val="18"/>
              </w:rPr>
              <w:t>τομέα</w:t>
            </w:r>
            <w:r>
              <w:rPr>
                <w:spacing w:val="-3"/>
                <w:sz w:val="18"/>
              </w:rPr>
              <w:t> </w:t>
            </w:r>
            <w:r>
              <w:rPr>
                <w:sz w:val="18"/>
              </w:rPr>
              <w:t>σε</w:t>
            </w:r>
            <w:r>
              <w:rPr>
                <w:spacing w:val="-2"/>
                <w:sz w:val="18"/>
              </w:rPr>
              <w:t> </w:t>
            </w:r>
            <w:r>
              <w:rPr>
                <w:sz w:val="18"/>
              </w:rPr>
              <w:t>δανειολήπτες</w:t>
            </w:r>
            <w:r>
              <w:rPr>
                <w:spacing w:val="-2"/>
                <w:sz w:val="18"/>
              </w:rPr>
              <w:t> </w:t>
            </w:r>
            <w:r>
              <w:rPr>
                <w:sz w:val="18"/>
              </w:rPr>
              <w:t>εντός</w:t>
            </w:r>
            <w:r>
              <w:rPr>
                <w:spacing w:val="-4"/>
                <w:sz w:val="18"/>
              </w:rPr>
              <w:t> </w:t>
            </w:r>
            <w:r>
              <w:rPr>
                <w:spacing w:val="-5"/>
                <w:sz w:val="18"/>
              </w:rPr>
              <w:t>ΕΕ</w:t>
            </w:r>
          </w:p>
        </w:tc>
        <w:tc>
          <w:tcPr>
            <w:tcW w:w="1753" w:type="dxa"/>
            <w:shd w:val="clear" w:color="auto" w:fill="D9D9D9"/>
          </w:tcPr>
          <w:p>
            <w:pPr>
              <w:pStyle w:val="TableParagraph"/>
              <w:spacing w:before="38"/>
              <w:ind w:left="49" w:right="1"/>
              <w:jc w:val="center"/>
              <w:rPr>
                <w:sz w:val="18"/>
              </w:rPr>
            </w:pPr>
            <w:r>
              <w:rPr>
                <w:spacing w:val="-4"/>
                <w:sz w:val="18"/>
              </w:rPr>
              <w:t>8,33</w:t>
            </w:r>
          </w:p>
        </w:tc>
      </w:tr>
      <w:tr>
        <w:trPr>
          <w:trHeight w:val="324" w:hRule="atLeast"/>
        </w:trPr>
        <w:tc>
          <w:tcPr>
            <w:tcW w:w="1771" w:type="dxa"/>
            <w:vMerge w:val="restart"/>
            <w:shd w:val="clear" w:color="auto" w:fill="D9D9D9"/>
          </w:tcPr>
          <w:p>
            <w:pPr>
              <w:pStyle w:val="TableParagraph"/>
              <w:spacing w:before="4"/>
              <w:ind w:left="108" w:right="178"/>
              <w:rPr>
                <w:b/>
                <w:sz w:val="18"/>
              </w:rPr>
            </w:pPr>
            <w:r>
              <w:rPr>
                <w:b/>
                <w:color w:val="1F487C"/>
                <w:sz w:val="18"/>
              </w:rPr>
              <w:t>Δ</w:t>
            </w:r>
            <w:r>
              <w:rPr>
                <w:b/>
                <w:smallCaps/>
                <w:color w:val="1F487C"/>
                <w:sz w:val="18"/>
              </w:rPr>
              <w:t>ι</w:t>
            </w:r>
            <w:r>
              <w:rPr>
                <w:b/>
                <w:smallCaps w:val="0"/>
                <w:color w:val="1F487C"/>
                <w:sz w:val="18"/>
              </w:rPr>
              <w:t>ασυνορ</w:t>
            </w:r>
            <w:r>
              <w:rPr>
                <w:b/>
                <w:smallCaps/>
                <w:color w:val="1F487C"/>
                <w:sz w:val="18"/>
              </w:rPr>
              <w:t>ι</w:t>
            </w:r>
            <w:r>
              <w:rPr>
                <w:b/>
                <w:smallCaps w:val="0"/>
                <w:color w:val="1F487C"/>
                <w:sz w:val="18"/>
              </w:rPr>
              <w:t>ακή</w:t>
            </w:r>
            <w:r>
              <w:rPr>
                <w:b/>
                <w:smallCaps w:val="0"/>
                <w:color w:val="1F487C"/>
                <w:spacing w:val="-12"/>
                <w:sz w:val="18"/>
              </w:rPr>
              <w:t> </w:t>
            </w:r>
            <w:r>
              <w:rPr>
                <w:b/>
                <w:smallCaps w:val="0"/>
                <w:color w:val="1F487C"/>
                <w:sz w:val="18"/>
              </w:rPr>
              <w:t>δρα-</w:t>
            </w:r>
            <w:r>
              <w:rPr>
                <w:b/>
                <w:smallCaps w:val="0"/>
                <w:color w:val="1F487C"/>
                <w:spacing w:val="-2"/>
                <w:sz w:val="18"/>
              </w:rPr>
              <w:t>στηρ</w:t>
            </w:r>
            <w:r>
              <w:rPr>
                <w:b/>
                <w:smallCaps/>
                <w:color w:val="1F487C"/>
                <w:spacing w:val="-2"/>
                <w:sz w:val="18"/>
              </w:rPr>
              <w:t>ι</w:t>
            </w:r>
            <w:r>
              <w:rPr>
                <w:b/>
                <w:smallCaps w:val="0"/>
                <w:color w:val="1F487C"/>
                <w:spacing w:val="-2"/>
                <w:sz w:val="18"/>
              </w:rPr>
              <w:t>ότητα</w:t>
            </w:r>
          </w:p>
        </w:tc>
        <w:tc>
          <w:tcPr>
            <w:tcW w:w="5011" w:type="dxa"/>
            <w:shd w:val="clear" w:color="auto" w:fill="D9D9D9"/>
          </w:tcPr>
          <w:p>
            <w:pPr>
              <w:pStyle w:val="TableParagraph"/>
              <w:spacing w:before="76"/>
              <w:ind w:left="180"/>
              <w:rPr>
                <w:sz w:val="18"/>
              </w:rPr>
            </w:pPr>
            <w:r>
              <w:rPr>
                <w:sz w:val="18"/>
              </w:rPr>
              <w:t>Αξία</w:t>
            </w:r>
            <w:r>
              <w:rPr>
                <w:spacing w:val="-8"/>
                <w:sz w:val="18"/>
              </w:rPr>
              <w:t> </w:t>
            </w:r>
            <w:r>
              <w:rPr>
                <w:sz w:val="18"/>
              </w:rPr>
              <w:t>εξωχρηματιστηριακών</w:t>
            </w:r>
            <w:r>
              <w:rPr>
                <w:spacing w:val="-8"/>
                <w:sz w:val="18"/>
              </w:rPr>
              <w:t> </w:t>
            </w:r>
            <w:r>
              <w:rPr>
                <w:sz w:val="18"/>
              </w:rPr>
              <w:t>παραγώγων</w:t>
            </w:r>
            <w:r>
              <w:rPr>
                <w:spacing w:val="-7"/>
                <w:sz w:val="18"/>
              </w:rPr>
              <w:t> </w:t>
            </w:r>
            <w:r>
              <w:rPr>
                <w:spacing w:val="-2"/>
                <w:sz w:val="18"/>
              </w:rPr>
              <w:t>(ονομαστική)</w:t>
            </w:r>
          </w:p>
        </w:tc>
        <w:tc>
          <w:tcPr>
            <w:tcW w:w="1753" w:type="dxa"/>
            <w:shd w:val="clear" w:color="auto" w:fill="D9D9D9"/>
          </w:tcPr>
          <w:p>
            <w:pPr>
              <w:pStyle w:val="TableParagraph"/>
              <w:spacing w:before="76"/>
              <w:ind w:left="49" w:right="1"/>
              <w:jc w:val="center"/>
              <w:rPr>
                <w:sz w:val="18"/>
              </w:rPr>
            </w:pPr>
            <w:r>
              <w:rPr>
                <w:spacing w:val="-4"/>
                <w:sz w:val="18"/>
              </w:rPr>
              <w:t>8,33</w:t>
            </w:r>
          </w:p>
        </w:tc>
      </w:tr>
      <w:tr>
        <w:trPr>
          <w:trHeight w:val="260" w:hRule="atLeast"/>
        </w:trPr>
        <w:tc>
          <w:tcPr>
            <w:tcW w:w="1771" w:type="dxa"/>
            <w:vMerge/>
            <w:tcBorders>
              <w:top w:val="nil"/>
            </w:tcBorders>
            <w:shd w:val="clear" w:color="auto" w:fill="D9D9D9"/>
          </w:tcPr>
          <w:p>
            <w:pPr>
              <w:rPr>
                <w:sz w:val="2"/>
                <w:szCs w:val="2"/>
              </w:rPr>
            </w:pPr>
          </w:p>
        </w:tc>
        <w:tc>
          <w:tcPr>
            <w:tcW w:w="5011" w:type="dxa"/>
            <w:shd w:val="clear" w:color="auto" w:fill="D9D9D9"/>
          </w:tcPr>
          <w:p>
            <w:pPr>
              <w:pStyle w:val="TableParagraph"/>
              <w:spacing w:before="33"/>
              <w:ind w:left="180"/>
              <w:rPr>
                <w:sz w:val="18"/>
              </w:rPr>
            </w:pPr>
            <w:r>
              <w:rPr>
                <w:sz w:val="18"/>
              </w:rPr>
              <w:t>Διακρατικές</w:t>
            </w:r>
            <w:r>
              <w:rPr>
                <w:spacing w:val="-3"/>
                <w:sz w:val="18"/>
              </w:rPr>
              <w:t> </w:t>
            </w:r>
            <w:r>
              <w:rPr>
                <w:spacing w:val="-2"/>
                <w:sz w:val="18"/>
              </w:rPr>
              <w:t>υποχρεώσεις</w:t>
            </w:r>
          </w:p>
        </w:tc>
        <w:tc>
          <w:tcPr>
            <w:tcW w:w="1753" w:type="dxa"/>
            <w:shd w:val="clear" w:color="auto" w:fill="D9D9D9"/>
          </w:tcPr>
          <w:p>
            <w:pPr>
              <w:pStyle w:val="TableParagraph"/>
              <w:spacing w:before="33"/>
              <w:ind w:left="49" w:right="1"/>
              <w:jc w:val="center"/>
              <w:rPr>
                <w:sz w:val="18"/>
              </w:rPr>
            </w:pPr>
            <w:r>
              <w:rPr>
                <w:spacing w:val="-4"/>
                <w:sz w:val="18"/>
              </w:rPr>
              <w:t>8,33</w:t>
            </w:r>
          </w:p>
        </w:tc>
      </w:tr>
      <w:tr>
        <w:trPr>
          <w:trHeight w:val="267" w:hRule="atLeast"/>
        </w:trPr>
        <w:tc>
          <w:tcPr>
            <w:tcW w:w="1771" w:type="dxa"/>
            <w:shd w:val="clear" w:color="auto" w:fill="D9D9D9"/>
          </w:tcPr>
          <w:p>
            <w:pPr>
              <w:pStyle w:val="TableParagraph"/>
              <w:rPr>
                <w:sz w:val="18"/>
              </w:rPr>
            </w:pPr>
          </w:p>
        </w:tc>
        <w:tc>
          <w:tcPr>
            <w:tcW w:w="5011" w:type="dxa"/>
            <w:shd w:val="clear" w:color="auto" w:fill="D9D9D9"/>
          </w:tcPr>
          <w:p>
            <w:pPr>
              <w:pStyle w:val="TableParagraph"/>
              <w:spacing w:before="34"/>
              <w:ind w:left="180"/>
              <w:rPr>
                <w:sz w:val="18"/>
              </w:rPr>
            </w:pPr>
            <w:r>
              <w:rPr>
                <w:sz w:val="18"/>
              </w:rPr>
              <w:t>Διακρατικές</w:t>
            </w:r>
            <w:r>
              <w:rPr>
                <w:spacing w:val="-3"/>
                <w:sz w:val="18"/>
              </w:rPr>
              <w:t> </w:t>
            </w:r>
            <w:r>
              <w:rPr>
                <w:spacing w:val="-2"/>
                <w:sz w:val="18"/>
              </w:rPr>
              <w:t>απαιτήσεις</w:t>
            </w:r>
          </w:p>
        </w:tc>
        <w:tc>
          <w:tcPr>
            <w:tcW w:w="1753" w:type="dxa"/>
            <w:shd w:val="clear" w:color="auto" w:fill="D9D9D9"/>
          </w:tcPr>
          <w:p>
            <w:pPr>
              <w:pStyle w:val="TableParagraph"/>
              <w:spacing w:before="12"/>
              <w:ind w:left="49" w:right="1"/>
              <w:jc w:val="center"/>
              <w:rPr>
                <w:sz w:val="18"/>
              </w:rPr>
            </w:pPr>
            <w:r>
              <w:rPr>
                <w:spacing w:val="-4"/>
                <w:sz w:val="18"/>
              </w:rPr>
              <w:t>8,33</w:t>
            </w:r>
          </w:p>
        </w:tc>
      </w:tr>
      <w:tr>
        <w:trPr>
          <w:trHeight w:val="325" w:hRule="atLeast"/>
        </w:trPr>
        <w:tc>
          <w:tcPr>
            <w:tcW w:w="1771" w:type="dxa"/>
            <w:shd w:val="clear" w:color="auto" w:fill="D9D9D9"/>
          </w:tcPr>
          <w:p>
            <w:pPr>
              <w:pStyle w:val="TableParagraph"/>
              <w:spacing w:before="4"/>
              <w:ind w:left="108"/>
              <w:rPr>
                <w:b/>
                <w:sz w:val="18"/>
              </w:rPr>
            </w:pPr>
            <w:r>
              <w:rPr>
                <w:b/>
                <w:color w:val="1F487C"/>
                <w:spacing w:val="-2"/>
                <w:sz w:val="18"/>
              </w:rPr>
              <w:t>Δ</w:t>
            </w:r>
            <w:r>
              <w:rPr>
                <w:b/>
                <w:smallCaps/>
                <w:color w:val="1F487C"/>
                <w:spacing w:val="-2"/>
                <w:sz w:val="18"/>
              </w:rPr>
              <w:t>ι</w:t>
            </w:r>
            <w:r>
              <w:rPr>
                <w:b/>
                <w:smallCaps w:val="0"/>
                <w:color w:val="1F487C"/>
                <w:spacing w:val="-2"/>
                <w:sz w:val="18"/>
              </w:rPr>
              <w:t>ασύνδεση</w:t>
            </w:r>
          </w:p>
        </w:tc>
        <w:tc>
          <w:tcPr>
            <w:tcW w:w="5011" w:type="dxa"/>
            <w:shd w:val="clear" w:color="auto" w:fill="D9D9D9"/>
          </w:tcPr>
          <w:p>
            <w:pPr>
              <w:pStyle w:val="TableParagraph"/>
              <w:spacing w:before="79"/>
              <w:ind w:left="180"/>
              <w:rPr>
                <w:sz w:val="18"/>
              </w:rPr>
            </w:pPr>
            <w:r>
              <w:rPr>
                <w:sz w:val="18"/>
              </w:rPr>
              <w:t>Υποχρεώσεις</w:t>
            </w:r>
            <w:r>
              <w:rPr>
                <w:spacing w:val="-5"/>
                <w:sz w:val="18"/>
              </w:rPr>
              <w:t> </w:t>
            </w:r>
            <w:r>
              <w:rPr>
                <w:sz w:val="18"/>
              </w:rPr>
              <w:t>εντός</w:t>
            </w:r>
            <w:r>
              <w:rPr>
                <w:spacing w:val="-4"/>
                <w:sz w:val="18"/>
              </w:rPr>
              <w:t> </w:t>
            </w:r>
            <w:r>
              <w:rPr>
                <w:sz w:val="18"/>
              </w:rPr>
              <w:t>του</w:t>
            </w:r>
            <w:r>
              <w:rPr>
                <w:spacing w:val="-5"/>
                <w:sz w:val="18"/>
              </w:rPr>
              <w:t> </w:t>
            </w:r>
            <w:r>
              <w:rPr>
                <w:sz w:val="18"/>
              </w:rPr>
              <w:t>χρηματοπιστωτικού</w:t>
            </w:r>
            <w:r>
              <w:rPr>
                <w:spacing w:val="-5"/>
                <w:sz w:val="18"/>
              </w:rPr>
              <w:t> </w:t>
            </w:r>
            <w:r>
              <w:rPr>
                <w:spacing w:val="-2"/>
                <w:sz w:val="18"/>
              </w:rPr>
              <w:t>συστήματος</w:t>
            </w:r>
          </w:p>
        </w:tc>
        <w:tc>
          <w:tcPr>
            <w:tcW w:w="1753" w:type="dxa"/>
            <w:shd w:val="clear" w:color="auto" w:fill="D9D9D9"/>
          </w:tcPr>
          <w:p>
            <w:pPr>
              <w:pStyle w:val="TableParagraph"/>
              <w:spacing w:before="79"/>
              <w:ind w:left="49" w:right="1"/>
              <w:jc w:val="center"/>
              <w:rPr>
                <w:sz w:val="18"/>
              </w:rPr>
            </w:pPr>
            <w:r>
              <w:rPr>
                <w:spacing w:val="-4"/>
                <w:sz w:val="18"/>
              </w:rPr>
              <w:t>8,33</w:t>
            </w:r>
          </w:p>
        </w:tc>
      </w:tr>
      <w:tr>
        <w:trPr>
          <w:trHeight w:val="279" w:hRule="atLeast"/>
        </w:trPr>
        <w:tc>
          <w:tcPr>
            <w:tcW w:w="1771" w:type="dxa"/>
            <w:shd w:val="clear" w:color="auto" w:fill="D9D9D9"/>
          </w:tcPr>
          <w:p>
            <w:pPr>
              <w:pStyle w:val="TableParagraph"/>
              <w:rPr>
                <w:sz w:val="20"/>
              </w:rPr>
            </w:pPr>
          </w:p>
        </w:tc>
        <w:tc>
          <w:tcPr>
            <w:tcW w:w="5011" w:type="dxa"/>
            <w:shd w:val="clear" w:color="auto" w:fill="D9D9D9"/>
          </w:tcPr>
          <w:p>
            <w:pPr>
              <w:pStyle w:val="TableParagraph"/>
              <w:spacing w:before="32"/>
              <w:ind w:left="180"/>
              <w:rPr>
                <w:sz w:val="18"/>
              </w:rPr>
            </w:pPr>
            <w:r>
              <w:rPr>
                <w:sz w:val="18"/>
              </w:rPr>
              <w:t>Στοιχεία</w:t>
            </w:r>
            <w:r>
              <w:rPr>
                <w:spacing w:val="-5"/>
                <w:sz w:val="18"/>
              </w:rPr>
              <w:t> </w:t>
            </w:r>
            <w:r>
              <w:rPr>
                <w:sz w:val="18"/>
              </w:rPr>
              <w:t>ενεργητικού</w:t>
            </w:r>
            <w:r>
              <w:rPr>
                <w:spacing w:val="-5"/>
                <w:sz w:val="18"/>
              </w:rPr>
              <w:t> </w:t>
            </w:r>
            <w:r>
              <w:rPr>
                <w:sz w:val="18"/>
              </w:rPr>
              <w:t>εντός</w:t>
            </w:r>
            <w:r>
              <w:rPr>
                <w:spacing w:val="-3"/>
                <w:sz w:val="18"/>
              </w:rPr>
              <w:t> </w:t>
            </w:r>
            <w:r>
              <w:rPr>
                <w:sz w:val="18"/>
              </w:rPr>
              <w:t>του</w:t>
            </w:r>
            <w:r>
              <w:rPr>
                <w:spacing w:val="-5"/>
                <w:sz w:val="18"/>
              </w:rPr>
              <w:t> </w:t>
            </w:r>
            <w:r>
              <w:rPr>
                <w:sz w:val="18"/>
              </w:rPr>
              <w:t>χρηματοπιστωτικού</w:t>
            </w:r>
            <w:r>
              <w:rPr>
                <w:spacing w:val="-4"/>
                <w:sz w:val="18"/>
              </w:rPr>
              <w:t> </w:t>
            </w:r>
            <w:r>
              <w:rPr>
                <w:spacing w:val="-2"/>
                <w:sz w:val="18"/>
              </w:rPr>
              <w:t>συστήματος</w:t>
            </w:r>
          </w:p>
        </w:tc>
        <w:tc>
          <w:tcPr>
            <w:tcW w:w="1753" w:type="dxa"/>
            <w:shd w:val="clear" w:color="auto" w:fill="D9D9D9"/>
          </w:tcPr>
          <w:p>
            <w:pPr>
              <w:pStyle w:val="TableParagraph"/>
              <w:spacing w:before="32"/>
              <w:ind w:left="49" w:right="1"/>
              <w:jc w:val="center"/>
              <w:rPr>
                <w:sz w:val="18"/>
              </w:rPr>
            </w:pPr>
            <w:r>
              <w:rPr>
                <w:spacing w:val="-4"/>
                <w:sz w:val="18"/>
              </w:rPr>
              <w:t>8,33</w:t>
            </w:r>
          </w:p>
        </w:tc>
      </w:tr>
      <w:tr>
        <w:trPr>
          <w:trHeight w:val="299" w:hRule="atLeast"/>
        </w:trPr>
        <w:tc>
          <w:tcPr>
            <w:tcW w:w="1771" w:type="dxa"/>
            <w:shd w:val="clear" w:color="auto" w:fill="D9D9D9"/>
          </w:tcPr>
          <w:p>
            <w:pPr>
              <w:pStyle w:val="TableParagraph"/>
              <w:rPr>
                <w:sz w:val="20"/>
              </w:rPr>
            </w:pPr>
          </w:p>
        </w:tc>
        <w:tc>
          <w:tcPr>
            <w:tcW w:w="5011" w:type="dxa"/>
            <w:shd w:val="clear" w:color="auto" w:fill="D9D9D9"/>
          </w:tcPr>
          <w:p>
            <w:pPr>
              <w:pStyle w:val="TableParagraph"/>
              <w:spacing w:before="33"/>
              <w:ind w:left="180"/>
              <w:rPr>
                <w:sz w:val="18"/>
              </w:rPr>
            </w:pPr>
            <w:r>
              <w:rPr>
                <w:sz w:val="18"/>
              </w:rPr>
              <w:t>Χρεωστικοί</w:t>
            </w:r>
            <w:r>
              <w:rPr>
                <w:spacing w:val="-4"/>
                <w:sz w:val="18"/>
              </w:rPr>
              <w:t> </w:t>
            </w:r>
            <w:r>
              <w:rPr>
                <w:spacing w:val="-2"/>
                <w:sz w:val="18"/>
              </w:rPr>
              <w:t>τίτλοι</w:t>
            </w:r>
          </w:p>
        </w:tc>
        <w:tc>
          <w:tcPr>
            <w:tcW w:w="1753" w:type="dxa"/>
            <w:shd w:val="clear" w:color="auto" w:fill="D9D9D9"/>
          </w:tcPr>
          <w:p>
            <w:pPr>
              <w:pStyle w:val="TableParagraph"/>
              <w:spacing w:before="33"/>
              <w:ind w:left="49" w:right="1"/>
              <w:jc w:val="center"/>
              <w:rPr>
                <w:sz w:val="18"/>
              </w:rPr>
            </w:pPr>
            <w:r>
              <w:rPr>
                <w:spacing w:val="-4"/>
                <w:sz w:val="18"/>
              </w:rPr>
              <w:t>8,33</w:t>
            </w:r>
          </w:p>
        </w:tc>
      </w:tr>
    </w:tbl>
    <w:p>
      <w:pPr>
        <w:pStyle w:val="BodyText"/>
        <w:spacing w:line="285" w:lineRule="auto" w:before="60"/>
        <w:ind w:left="172" w:right="954"/>
        <w:jc w:val="both"/>
      </w:pPr>
      <w:r>
        <w:rPr/>
        <w:t>αυτά αφορούν το μέγεθος,</w:t>
      </w:r>
      <w:r>
        <w:rPr>
          <w:spacing w:val="-2"/>
        </w:rPr>
        <w:t> </w:t>
      </w:r>
      <w:r>
        <w:rPr/>
        <w:t>τη σημασία για την οικονομία της</w:t>
      </w:r>
      <w:r>
        <w:rPr>
          <w:spacing w:val="-1"/>
        </w:rPr>
        <w:t> </w:t>
      </w:r>
      <w:r>
        <w:rPr/>
        <w:t>Ελλάδος, την πολυπλοκότητα/δια-συνοριακή δραστηριότητα και τον βαθμό διασύνδεσης του ιδρύματος με το χρηματοπιστωτικό σύστημα.</w:t>
      </w:r>
      <w:r>
        <w:rPr>
          <w:spacing w:val="-8"/>
        </w:rPr>
        <w:t> </w:t>
      </w:r>
      <w:r>
        <w:rPr/>
        <w:t>Στα</w:t>
      </w:r>
      <w:r>
        <w:rPr>
          <w:spacing w:val="-8"/>
        </w:rPr>
        <w:t> </w:t>
      </w:r>
      <w:r>
        <w:rPr/>
        <w:t>τέσσερα</w:t>
      </w:r>
      <w:r>
        <w:rPr>
          <w:spacing w:val="-7"/>
        </w:rPr>
        <w:t> </w:t>
      </w:r>
      <w:r>
        <w:rPr/>
        <w:t>αυτά</w:t>
      </w:r>
      <w:r>
        <w:rPr>
          <w:spacing w:val="-5"/>
        </w:rPr>
        <w:t> </w:t>
      </w:r>
      <w:r>
        <w:rPr/>
        <w:t>κριτήρια</w:t>
      </w:r>
      <w:r>
        <w:rPr>
          <w:spacing w:val="-4"/>
        </w:rPr>
        <w:t> </w:t>
      </w:r>
      <w:r>
        <w:rPr/>
        <w:t>αντιστοιχούν</w:t>
      </w:r>
      <w:r>
        <w:rPr>
          <w:spacing w:val="-6"/>
        </w:rPr>
        <w:t> </w:t>
      </w:r>
      <w:r>
        <w:rPr/>
        <w:t>υποχρεωτικοί</w:t>
      </w:r>
      <w:r>
        <w:rPr>
          <w:spacing w:val="-4"/>
        </w:rPr>
        <w:t> </w:t>
      </w:r>
      <w:r>
        <w:rPr/>
        <w:t>δείκτες,</w:t>
      </w:r>
      <w:r>
        <w:rPr>
          <w:spacing w:val="-8"/>
        </w:rPr>
        <w:t> </w:t>
      </w:r>
      <w:r>
        <w:rPr/>
        <w:t>οι</w:t>
      </w:r>
      <w:r>
        <w:rPr>
          <w:spacing w:val="-6"/>
        </w:rPr>
        <w:t> </w:t>
      </w:r>
      <w:r>
        <w:rPr/>
        <w:t>οποίοι</w:t>
      </w:r>
      <w:r>
        <w:rPr>
          <w:spacing w:val="-4"/>
        </w:rPr>
        <w:t> </w:t>
      </w:r>
      <w:r>
        <w:rPr/>
        <w:t>θα</w:t>
      </w:r>
      <w:r>
        <w:rPr>
          <w:spacing w:val="-8"/>
        </w:rPr>
        <w:t> </w:t>
      </w:r>
      <w:r>
        <w:rPr/>
        <w:t>πρέπει</w:t>
      </w:r>
      <w:r>
        <w:rPr>
          <w:spacing w:val="-6"/>
        </w:rPr>
        <w:t> </w:t>
      </w:r>
      <w:r>
        <w:rPr/>
        <w:t>να χρησιμοποιούνται</w:t>
      </w:r>
      <w:r>
        <w:rPr>
          <w:spacing w:val="-4"/>
        </w:rPr>
        <w:t> </w:t>
      </w:r>
      <w:r>
        <w:rPr/>
        <w:t>κατ’</w:t>
      </w:r>
      <w:r>
        <w:rPr>
          <w:spacing w:val="-7"/>
        </w:rPr>
        <w:t> </w:t>
      </w:r>
      <w:r>
        <w:rPr/>
        <w:t>ελάχιστον</w:t>
      </w:r>
      <w:r>
        <w:rPr>
          <w:spacing w:val="-6"/>
        </w:rPr>
        <w:t> </w:t>
      </w:r>
      <w:r>
        <w:rPr/>
        <w:t>από</w:t>
      </w:r>
      <w:r>
        <w:rPr>
          <w:spacing w:val="-5"/>
        </w:rPr>
        <w:t> </w:t>
      </w:r>
      <w:r>
        <w:rPr/>
        <w:t>τις</w:t>
      </w:r>
      <w:r>
        <w:rPr>
          <w:spacing w:val="-8"/>
        </w:rPr>
        <w:t> </w:t>
      </w:r>
      <w:r>
        <w:rPr/>
        <w:t>αρμόδιες</w:t>
      </w:r>
      <w:r>
        <w:rPr>
          <w:spacing w:val="-6"/>
        </w:rPr>
        <w:t> </w:t>
      </w:r>
      <w:r>
        <w:rPr/>
        <w:t>αρχές</w:t>
      </w:r>
      <w:r>
        <w:rPr>
          <w:spacing w:val="-6"/>
        </w:rPr>
        <w:t> </w:t>
      </w:r>
      <w:r>
        <w:rPr/>
        <w:t>κατά</w:t>
      </w:r>
      <w:r>
        <w:rPr>
          <w:spacing w:val="-8"/>
        </w:rPr>
        <w:t> </w:t>
      </w:r>
      <w:r>
        <w:rPr/>
        <w:t>τον</w:t>
      </w:r>
      <w:r>
        <w:rPr>
          <w:spacing w:val="-6"/>
        </w:rPr>
        <w:t> </w:t>
      </w:r>
      <w:r>
        <w:rPr/>
        <w:t>υπολογισμό</w:t>
      </w:r>
      <w:r>
        <w:rPr>
          <w:spacing w:val="-7"/>
        </w:rPr>
        <w:t> </w:t>
      </w:r>
      <w:r>
        <w:rPr/>
        <w:t>της</w:t>
      </w:r>
      <w:r>
        <w:rPr>
          <w:spacing w:val="-6"/>
        </w:rPr>
        <w:t> </w:t>
      </w:r>
      <w:r>
        <w:rPr/>
        <w:t>βαθμολογίας κάθε ιδρύματος. Η βαθμολογία κάθε ιδρύματος εκφράζεται σε μονάδες βάσης (μ.β.). Κάθε αρ-μόδια αρχή ορίζει ένα κατώφλι σε μ.β. και όσα</w:t>
      </w:r>
      <w:r>
        <w:rPr>
          <w:spacing w:val="-1"/>
        </w:rPr>
        <w:t> </w:t>
      </w:r>
      <w:r>
        <w:rPr/>
        <w:t>ιδρύματα το υπερβαίνουν θεωρούνται ως O-SII. Το</w:t>
      </w:r>
      <w:r>
        <w:rPr>
          <w:spacing w:val="-1"/>
        </w:rPr>
        <w:t> </w:t>
      </w:r>
      <w:r>
        <w:rPr/>
        <w:t>κατώφλι αυτό</w:t>
      </w:r>
      <w:r>
        <w:rPr>
          <w:spacing w:val="-3"/>
        </w:rPr>
        <w:t> </w:t>
      </w:r>
      <w:r>
        <w:rPr/>
        <w:t>δύναται</w:t>
      </w:r>
      <w:r>
        <w:rPr>
          <w:spacing w:val="-2"/>
        </w:rPr>
        <w:t> </w:t>
      </w:r>
      <w:r>
        <w:rPr/>
        <w:t>να</w:t>
      </w:r>
      <w:r>
        <w:rPr>
          <w:spacing w:val="-1"/>
        </w:rPr>
        <w:t> </w:t>
      </w:r>
      <w:r>
        <w:rPr/>
        <w:t>οριστεί από τις</w:t>
      </w:r>
      <w:r>
        <w:rPr>
          <w:spacing w:val="-1"/>
        </w:rPr>
        <w:t> </w:t>
      </w:r>
      <w:r>
        <w:rPr/>
        <w:t>275 μ.β.</w:t>
      </w:r>
      <w:r>
        <w:rPr>
          <w:spacing w:val="-2"/>
        </w:rPr>
        <w:t> </w:t>
      </w:r>
      <w:r>
        <w:rPr/>
        <w:t>έως</w:t>
      </w:r>
      <w:r>
        <w:rPr>
          <w:spacing w:val="-1"/>
        </w:rPr>
        <w:t> </w:t>
      </w:r>
      <w:r>
        <w:rPr/>
        <w:t>τις</w:t>
      </w:r>
      <w:r>
        <w:rPr>
          <w:spacing w:val="-1"/>
        </w:rPr>
        <w:t> </w:t>
      </w:r>
      <w:r>
        <w:rPr/>
        <w:t>425 μ.β.,</w:t>
      </w:r>
      <w:r>
        <w:rPr>
          <w:spacing w:val="-2"/>
        </w:rPr>
        <w:t> </w:t>
      </w:r>
      <w:r>
        <w:rPr/>
        <w:t>προκειμένου να</w:t>
      </w:r>
      <w:r>
        <w:rPr>
          <w:spacing w:val="-3"/>
        </w:rPr>
        <w:t> </w:t>
      </w:r>
      <w:r>
        <w:rPr/>
        <w:t>ληφθούν υπόψη</w:t>
      </w:r>
      <w:r>
        <w:rPr>
          <w:spacing w:val="-7"/>
        </w:rPr>
        <w:t> </w:t>
      </w:r>
      <w:r>
        <w:rPr/>
        <w:t>οι</w:t>
      </w:r>
      <w:r>
        <w:rPr>
          <w:spacing w:val="-6"/>
        </w:rPr>
        <w:t> </w:t>
      </w:r>
      <w:r>
        <w:rPr/>
        <w:t>ιδιαιτερότητες</w:t>
      </w:r>
      <w:r>
        <w:rPr>
          <w:spacing w:val="-8"/>
        </w:rPr>
        <w:t> </w:t>
      </w:r>
      <w:r>
        <w:rPr/>
        <w:t>του</w:t>
      </w:r>
      <w:r>
        <w:rPr>
          <w:spacing w:val="-6"/>
        </w:rPr>
        <w:t> </w:t>
      </w:r>
      <w:r>
        <w:rPr/>
        <w:t>τραπεζικού</w:t>
      </w:r>
      <w:r>
        <w:rPr>
          <w:spacing w:val="-6"/>
        </w:rPr>
        <w:t> </w:t>
      </w:r>
      <w:r>
        <w:rPr/>
        <w:t>τομέα</w:t>
      </w:r>
      <w:r>
        <w:rPr>
          <w:spacing w:val="-8"/>
        </w:rPr>
        <w:t> </w:t>
      </w:r>
      <w:r>
        <w:rPr/>
        <w:t>κάθε</w:t>
      </w:r>
      <w:r>
        <w:rPr>
          <w:spacing w:val="-6"/>
        </w:rPr>
        <w:t> </w:t>
      </w:r>
      <w:r>
        <w:rPr/>
        <w:t>κράτους-μέλους</w:t>
      </w:r>
      <w:r>
        <w:rPr>
          <w:spacing w:val="-8"/>
        </w:rPr>
        <w:t> </w:t>
      </w:r>
      <w:r>
        <w:rPr/>
        <w:t>και</w:t>
      </w:r>
      <w:r>
        <w:rPr>
          <w:spacing w:val="-7"/>
        </w:rPr>
        <w:t> </w:t>
      </w:r>
      <w:r>
        <w:rPr/>
        <w:t>να</w:t>
      </w:r>
      <w:r>
        <w:rPr>
          <w:spacing w:val="-8"/>
        </w:rPr>
        <w:t> </w:t>
      </w:r>
      <w:r>
        <w:rPr/>
        <w:t>διασφαλιστεί</w:t>
      </w:r>
      <w:r>
        <w:rPr>
          <w:spacing w:val="-6"/>
        </w:rPr>
        <w:t> </w:t>
      </w:r>
      <w:r>
        <w:rPr/>
        <w:t>ομοιο-γένεια</w:t>
      </w:r>
      <w:r>
        <w:rPr>
          <w:spacing w:val="-1"/>
        </w:rPr>
        <w:t> </w:t>
      </w:r>
      <w:r>
        <w:rPr/>
        <w:t>στα O-SII που προσδιορίζονται με αυτό τον τρόπο βάσει της συστημικής</w:t>
      </w:r>
      <w:r>
        <w:rPr>
          <w:spacing w:val="-1"/>
        </w:rPr>
        <w:t> </w:t>
      </w:r>
      <w:r>
        <w:rPr/>
        <w:t>τους σημασίας. Ως ενδεικτικό κατώφλι προτείνονται οι 350 μονάδες βάσης. Επίσης, παρέχεται στις αρμόδιες αρχές η δυνατότητα να προσδιορίζουν ως O-SII και επιπλέον οντότητες βάσει πρόσθετων ποιο-τικών ή/και ποσοτικών δεικτών συστημικού κινδύνου.</w:t>
      </w:r>
    </w:p>
    <w:p>
      <w:pPr>
        <w:pStyle w:val="BodyText"/>
        <w:spacing w:line="285" w:lineRule="auto" w:before="48"/>
        <w:ind w:left="172" w:right="960"/>
        <w:jc w:val="both"/>
      </w:pPr>
      <w:r>
        <w:rPr/>
        <w:t>Η</w:t>
      </w:r>
      <w:r>
        <w:rPr>
          <w:spacing w:val="-8"/>
        </w:rPr>
        <w:t> </w:t>
      </w:r>
      <w:r>
        <w:rPr/>
        <w:t>Τράπεζα</w:t>
      </w:r>
      <w:r>
        <w:rPr>
          <w:spacing w:val="-8"/>
        </w:rPr>
        <w:t> </w:t>
      </w:r>
      <w:r>
        <w:rPr/>
        <w:t>της</w:t>
      </w:r>
      <w:r>
        <w:rPr>
          <w:spacing w:val="-8"/>
        </w:rPr>
        <w:t> </w:t>
      </w:r>
      <w:r>
        <w:rPr/>
        <w:t>Ελλάδος,</w:t>
      </w:r>
      <w:r>
        <w:rPr>
          <w:spacing w:val="-7"/>
        </w:rPr>
        <w:t> </w:t>
      </w:r>
      <w:r>
        <w:rPr/>
        <w:t>για</w:t>
      </w:r>
      <w:r>
        <w:rPr>
          <w:spacing w:val="-8"/>
        </w:rPr>
        <w:t> </w:t>
      </w:r>
      <w:r>
        <w:rPr/>
        <w:t>τον</w:t>
      </w:r>
      <w:r>
        <w:rPr>
          <w:spacing w:val="-9"/>
        </w:rPr>
        <w:t> </w:t>
      </w:r>
      <w:r>
        <w:rPr/>
        <w:t>υπολογισμό</w:t>
      </w:r>
      <w:r>
        <w:rPr>
          <w:spacing w:val="-7"/>
        </w:rPr>
        <w:t> </w:t>
      </w:r>
      <w:r>
        <w:rPr/>
        <w:t>της</w:t>
      </w:r>
      <w:r>
        <w:rPr>
          <w:spacing w:val="-8"/>
        </w:rPr>
        <w:t> </w:t>
      </w:r>
      <w:r>
        <w:rPr/>
        <w:t>βαθμολογίας</w:t>
      </w:r>
      <w:r>
        <w:rPr>
          <w:spacing w:val="-8"/>
        </w:rPr>
        <w:t> </w:t>
      </w:r>
      <w:r>
        <w:rPr/>
        <w:t>των</w:t>
      </w:r>
      <w:r>
        <w:rPr>
          <w:spacing w:val="-6"/>
        </w:rPr>
        <w:t> </w:t>
      </w:r>
      <w:r>
        <w:rPr/>
        <w:t>ελληνικών</w:t>
      </w:r>
      <w:r>
        <w:rPr>
          <w:spacing w:val="-9"/>
        </w:rPr>
        <w:t> </w:t>
      </w:r>
      <w:r>
        <w:rPr/>
        <w:t>τραπεζών</w:t>
      </w:r>
      <w:r>
        <w:rPr>
          <w:spacing w:val="-9"/>
        </w:rPr>
        <w:t> </w:t>
      </w:r>
      <w:r>
        <w:rPr/>
        <w:t>ως</w:t>
      </w:r>
      <w:r>
        <w:rPr>
          <w:spacing w:val="-8"/>
        </w:rPr>
        <w:t> </w:t>
      </w:r>
      <w:r>
        <w:rPr/>
        <w:t>προς τη συστημική τους σημασία, χρησιμοποίησε αποκλειστικά τους υποχρεωτικούς δείκτες βαθμο-λόγησης (βλ. Πίνακα IV.1) και επέλεξε ως κατώφλι τις 350 μονάδες βάσης.</w:t>
      </w:r>
    </w:p>
    <w:p>
      <w:pPr>
        <w:pStyle w:val="BodyText"/>
        <w:spacing w:line="285" w:lineRule="auto" w:before="57"/>
        <w:ind w:left="172" w:right="956"/>
        <w:jc w:val="both"/>
      </w:pPr>
      <w:r>
        <w:rPr/>
        <w:t>Με βάση τα παραπάνω, για το 2025 προσδιορίστηκαν ως O-SII τα παρακάτω ιδρύματα σε ενο-ποιημένη βάση:</w:t>
      </w:r>
    </w:p>
    <w:p>
      <w:pPr>
        <w:pStyle w:val="ListParagraph"/>
        <w:numPr>
          <w:ilvl w:val="0"/>
          <w:numId w:val="6"/>
        </w:numPr>
        <w:tabs>
          <w:tab w:pos="312" w:val="left" w:leader="none"/>
        </w:tabs>
        <w:spacing w:line="240" w:lineRule="auto" w:before="58" w:after="0"/>
        <w:ind w:left="312" w:right="0" w:hanging="140"/>
        <w:jc w:val="left"/>
        <w:rPr>
          <w:sz w:val="22"/>
        </w:rPr>
      </w:pPr>
      <w:r>
        <w:rPr>
          <w:sz w:val="22"/>
        </w:rPr>
        <w:t>Άλφα</w:t>
      </w:r>
      <w:r>
        <w:rPr>
          <w:spacing w:val="-6"/>
          <w:sz w:val="22"/>
        </w:rPr>
        <w:t> </w:t>
      </w:r>
      <w:r>
        <w:rPr>
          <w:sz w:val="22"/>
        </w:rPr>
        <w:t>Τράπεζα</w:t>
      </w:r>
      <w:r>
        <w:rPr>
          <w:spacing w:val="-3"/>
          <w:sz w:val="22"/>
        </w:rPr>
        <w:t> </w:t>
      </w:r>
      <w:r>
        <w:rPr>
          <w:spacing w:val="-4"/>
          <w:sz w:val="22"/>
        </w:rPr>
        <w:t>Α.Ε.</w:t>
      </w:r>
    </w:p>
    <w:p>
      <w:pPr>
        <w:pStyle w:val="ListParagraph"/>
        <w:numPr>
          <w:ilvl w:val="0"/>
          <w:numId w:val="6"/>
        </w:numPr>
        <w:tabs>
          <w:tab w:pos="312" w:val="left" w:leader="none"/>
        </w:tabs>
        <w:spacing w:line="240" w:lineRule="auto" w:before="107" w:after="0"/>
        <w:ind w:left="312" w:right="0" w:hanging="140"/>
        <w:jc w:val="left"/>
        <w:rPr>
          <w:sz w:val="22"/>
        </w:rPr>
      </w:pPr>
      <w:r>
        <w:rPr>
          <w:sz w:val="22"/>
        </w:rPr>
        <w:t>Εθνική</w:t>
      </w:r>
      <w:r>
        <w:rPr>
          <w:spacing w:val="-3"/>
          <w:sz w:val="22"/>
        </w:rPr>
        <w:t> </w:t>
      </w:r>
      <w:r>
        <w:rPr>
          <w:sz w:val="22"/>
        </w:rPr>
        <w:t>Τράπεζα</w:t>
      </w:r>
      <w:r>
        <w:rPr>
          <w:spacing w:val="-5"/>
          <w:sz w:val="22"/>
        </w:rPr>
        <w:t> </w:t>
      </w:r>
      <w:r>
        <w:rPr>
          <w:sz w:val="22"/>
        </w:rPr>
        <w:t>της</w:t>
      </w:r>
      <w:r>
        <w:rPr>
          <w:spacing w:val="-5"/>
          <w:sz w:val="22"/>
        </w:rPr>
        <w:t> </w:t>
      </w:r>
      <w:r>
        <w:rPr>
          <w:sz w:val="22"/>
        </w:rPr>
        <w:t>Ελλάδος</w:t>
      </w:r>
      <w:r>
        <w:rPr>
          <w:spacing w:val="-3"/>
          <w:sz w:val="22"/>
        </w:rPr>
        <w:t> </w:t>
      </w:r>
      <w:r>
        <w:rPr>
          <w:spacing w:val="-4"/>
          <w:sz w:val="22"/>
        </w:rPr>
        <w:t>Α.Ε.</w:t>
      </w:r>
    </w:p>
    <w:p>
      <w:pPr>
        <w:pStyle w:val="ListParagraph"/>
        <w:numPr>
          <w:ilvl w:val="0"/>
          <w:numId w:val="7"/>
        </w:numPr>
        <w:tabs>
          <w:tab w:pos="303" w:val="left" w:leader="none"/>
        </w:tabs>
        <w:spacing w:line="240" w:lineRule="auto" w:before="107" w:after="0"/>
        <w:ind w:left="303" w:right="0" w:hanging="131"/>
        <w:jc w:val="left"/>
        <w:rPr>
          <w:sz w:val="22"/>
        </w:rPr>
      </w:pPr>
      <w:r>
        <w:rPr>
          <w:sz w:val="22"/>
        </w:rPr>
        <w:t>Πειραιώς</w:t>
      </w:r>
      <w:r>
        <w:rPr>
          <w:spacing w:val="-7"/>
          <w:sz w:val="22"/>
        </w:rPr>
        <w:t> </w:t>
      </w:r>
      <w:r>
        <w:rPr>
          <w:sz w:val="22"/>
        </w:rPr>
        <w:t>Financial</w:t>
      </w:r>
      <w:r>
        <w:rPr>
          <w:spacing w:val="-7"/>
          <w:sz w:val="22"/>
        </w:rPr>
        <w:t> </w:t>
      </w:r>
      <w:r>
        <w:rPr>
          <w:sz w:val="22"/>
        </w:rPr>
        <w:t>Holdings</w:t>
      </w:r>
      <w:r>
        <w:rPr>
          <w:spacing w:val="-6"/>
          <w:sz w:val="22"/>
        </w:rPr>
        <w:t> </w:t>
      </w:r>
      <w:r>
        <w:rPr>
          <w:spacing w:val="-4"/>
          <w:sz w:val="22"/>
        </w:rPr>
        <w:t>A.E.</w:t>
      </w:r>
    </w:p>
    <w:p>
      <w:pPr>
        <w:pStyle w:val="ListParagraph"/>
        <w:numPr>
          <w:ilvl w:val="0"/>
          <w:numId w:val="7"/>
        </w:numPr>
        <w:tabs>
          <w:tab w:pos="303" w:val="left" w:leader="none"/>
        </w:tabs>
        <w:spacing w:line="240" w:lineRule="auto" w:before="107" w:after="0"/>
        <w:ind w:left="303" w:right="0" w:hanging="131"/>
        <w:jc w:val="left"/>
        <w:rPr>
          <w:sz w:val="22"/>
        </w:rPr>
      </w:pPr>
      <w:r>
        <w:rPr>
          <w:sz w:val="22"/>
        </w:rPr>
        <w:t>Eurobank</w:t>
      </w:r>
      <w:r>
        <w:rPr>
          <w:spacing w:val="-6"/>
          <w:sz w:val="22"/>
        </w:rPr>
        <w:t> </w:t>
      </w:r>
      <w:r>
        <w:rPr>
          <w:sz w:val="22"/>
        </w:rPr>
        <w:t>Ergasias</w:t>
      </w:r>
      <w:r>
        <w:rPr>
          <w:spacing w:val="-5"/>
          <w:sz w:val="22"/>
        </w:rPr>
        <w:t> </w:t>
      </w:r>
      <w:r>
        <w:rPr>
          <w:sz w:val="22"/>
        </w:rPr>
        <w:t>Υπηρεσιών</w:t>
      </w:r>
      <w:r>
        <w:rPr>
          <w:spacing w:val="-5"/>
          <w:sz w:val="22"/>
        </w:rPr>
        <w:t> </w:t>
      </w:r>
      <w:r>
        <w:rPr>
          <w:sz w:val="22"/>
        </w:rPr>
        <w:t>και</w:t>
      </w:r>
      <w:r>
        <w:rPr>
          <w:spacing w:val="-9"/>
          <w:sz w:val="22"/>
        </w:rPr>
        <w:t> </w:t>
      </w:r>
      <w:r>
        <w:rPr>
          <w:sz w:val="22"/>
        </w:rPr>
        <w:t>Συμμετοχών</w:t>
      </w:r>
      <w:r>
        <w:rPr>
          <w:spacing w:val="-3"/>
          <w:sz w:val="22"/>
        </w:rPr>
        <w:t> </w:t>
      </w:r>
      <w:r>
        <w:rPr>
          <w:spacing w:val="-4"/>
          <w:sz w:val="22"/>
        </w:rPr>
        <w:t>A.E.</w:t>
      </w:r>
    </w:p>
    <w:p>
      <w:pPr>
        <w:pStyle w:val="BodyText"/>
        <w:spacing w:before="107"/>
        <w:ind w:left="172"/>
      </w:pPr>
      <w:r>
        <w:rPr/>
        <w:t>και</w:t>
      </w:r>
      <w:r>
        <w:rPr>
          <w:spacing w:val="-6"/>
        </w:rPr>
        <w:t> </w:t>
      </w:r>
      <w:r>
        <w:rPr/>
        <w:t>αντίστοιχα</w:t>
      </w:r>
      <w:r>
        <w:rPr>
          <w:spacing w:val="-5"/>
        </w:rPr>
        <w:t> </w:t>
      </w:r>
      <w:r>
        <w:rPr/>
        <w:t>τα</w:t>
      </w:r>
      <w:r>
        <w:rPr>
          <w:spacing w:val="-4"/>
        </w:rPr>
        <w:t> </w:t>
      </w:r>
      <w:r>
        <w:rPr/>
        <w:t>παρακάτω</w:t>
      </w:r>
      <w:r>
        <w:rPr>
          <w:spacing w:val="-3"/>
        </w:rPr>
        <w:t> </w:t>
      </w:r>
      <w:r>
        <w:rPr/>
        <w:t>πιστωτικά</w:t>
      </w:r>
      <w:r>
        <w:rPr>
          <w:spacing w:val="-5"/>
        </w:rPr>
        <w:t> </w:t>
      </w:r>
      <w:r>
        <w:rPr/>
        <w:t>ιδρύματα</w:t>
      </w:r>
      <w:r>
        <w:rPr>
          <w:spacing w:val="-4"/>
        </w:rPr>
        <w:t> </w:t>
      </w:r>
      <w:r>
        <w:rPr/>
        <w:t>σε</w:t>
      </w:r>
      <w:r>
        <w:rPr>
          <w:spacing w:val="-4"/>
        </w:rPr>
        <w:t> </w:t>
      </w:r>
      <w:r>
        <w:rPr/>
        <w:t>ατομική</w:t>
      </w:r>
      <w:r>
        <w:rPr>
          <w:spacing w:val="-4"/>
        </w:rPr>
        <w:t> </w:t>
      </w:r>
      <w:r>
        <w:rPr>
          <w:spacing w:val="-2"/>
        </w:rPr>
        <w:t>βάση:</w:t>
      </w:r>
    </w:p>
    <w:p>
      <w:pPr>
        <w:pStyle w:val="ListParagraph"/>
        <w:numPr>
          <w:ilvl w:val="0"/>
          <w:numId w:val="6"/>
        </w:numPr>
        <w:tabs>
          <w:tab w:pos="312" w:val="left" w:leader="none"/>
        </w:tabs>
        <w:spacing w:line="240" w:lineRule="auto" w:before="107" w:after="0"/>
        <w:ind w:left="312" w:right="0" w:hanging="140"/>
        <w:jc w:val="left"/>
        <w:rPr>
          <w:sz w:val="22"/>
        </w:rPr>
      </w:pPr>
      <w:r>
        <w:rPr>
          <w:sz w:val="22"/>
        </w:rPr>
        <w:t>Άλφα</w:t>
      </w:r>
      <w:r>
        <w:rPr>
          <w:spacing w:val="-6"/>
          <w:sz w:val="22"/>
        </w:rPr>
        <w:t> </w:t>
      </w:r>
      <w:r>
        <w:rPr>
          <w:sz w:val="22"/>
        </w:rPr>
        <w:t>Τράπεζα</w:t>
      </w:r>
      <w:r>
        <w:rPr>
          <w:spacing w:val="-3"/>
          <w:sz w:val="22"/>
        </w:rPr>
        <w:t> </w:t>
      </w:r>
      <w:r>
        <w:rPr>
          <w:spacing w:val="-4"/>
          <w:sz w:val="22"/>
        </w:rPr>
        <w:t>Α.Ε.</w:t>
      </w:r>
    </w:p>
    <w:p>
      <w:pPr>
        <w:pStyle w:val="ListParagraph"/>
        <w:numPr>
          <w:ilvl w:val="0"/>
          <w:numId w:val="6"/>
        </w:numPr>
        <w:tabs>
          <w:tab w:pos="312" w:val="left" w:leader="none"/>
        </w:tabs>
        <w:spacing w:line="240" w:lineRule="auto" w:before="107" w:after="0"/>
        <w:ind w:left="312" w:right="0" w:hanging="140"/>
        <w:jc w:val="left"/>
        <w:rPr>
          <w:sz w:val="22"/>
        </w:rPr>
      </w:pPr>
      <w:r>
        <w:rPr>
          <w:sz w:val="22"/>
        </w:rPr>
        <w:t>Εθνική</w:t>
      </w:r>
      <w:r>
        <w:rPr>
          <w:spacing w:val="-3"/>
          <w:sz w:val="22"/>
        </w:rPr>
        <w:t> </w:t>
      </w:r>
      <w:r>
        <w:rPr>
          <w:sz w:val="22"/>
        </w:rPr>
        <w:t>Τράπεζα</w:t>
      </w:r>
      <w:r>
        <w:rPr>
          <w:spacing w:val="-5"/>
          <w:sz w:val="22"/>
        </w:rPr>
        <w:t> </w:t>
      </w:r>
      <w:r>
        <w:rPr>
          <w:sz w:val="22"/>
        </w:rPr>
        <w:t>της</w:t>
      </w:r>
      <w:r>
        <w:rPr>
          <w:spacing w:val="-5"/>
          <w:sz w:val="22"/>
        </w:rPr>
        <w:t> </w:t>
      </w:r>
      <w:r>
        <w:rPr>
          <w:sz w:val="22"/>
        </w:rPr>
        <w:t>Ελλάδος</w:t>
      </w:r>
      <w:r>
        <w:rPr>
          <w:spacing w:val="-3"/>
          <w:sz w:val="22"/>
        </w:rPr>
        <w:t> </w:t>
      </w:r>
      <w:r>
        <w:rPr>
          <w:spacing w:val="-4"/>
          <w:sz w:val="22"/>
        </w:rPr>
        <w:t>Α.Ε.</w:t>
      </w:r>
    </w:p>
    <w:p>
      <w:pPr>
        <w:pStyle w:val="ListParagraph"/>
        <w:numPr>
          <w:ilvl w:val="0"/>
          <w:numId w:val="6"/>
        </w:numPr>
        <w:tabs>
          <w:tab w:pos="312" w:val="left" w:leader="none"/>
        </w:tabs>
        <w:spacing w:line="240" w:lineRule="auto" w:before="108" w:after="0"/>
        <w:ind w:left="312" w:right="0" w:hanging="140"/>
        <w:jc w:val="left"/>
        <w:rPr>
          <w:sz w:val="22"/>
        </w:rPr>
      </w:pPr>
      <w:r>
        <w:rPr>
          <w:sz w:val="22"/>
        </w:rPr>
        <w:t>Τράπεζα</w:t>
      </w:r>
      <w:r>
        <w:rPr>
          <w:spacing w:val="-7"/>
          <w:sz w:val="22"/>
        </w:rPr>
        <w:t> </w:t>
      </w:r>
      <w:r>
        <w:rPr>
          <w:sz w:val="22"/>
        </w:rPr>
        <w:t>Πειραιώς</w:t>
      </w:r>
      <w:r>
        <w:rPr>
          <w:spacing w:val="-5"/>
          <w:sz w:val="22"/>
        </w:rPr>
        <w:t> </w:t>
      </w:r>
      <w:r>
        <w:rPr>
          <w:spacing w:val="-4"/>
          <w:sz w:val="22"/>
        </w:rPr>
        <w:t>Α.Ε.</w:t>
      </w:r>
    </w:p>
    <w:p>
      <w:pPr>
        <w:pStyle w:val="ListParagraph"/>
        <w:numPr>
          <w:ilvl w:val="0"/>
          <w:numId w:val="6"/>
        </w:numPr>
        <w:tabs>
          <w:tab w:pos="312" w:val="left" w:leader="none"/>
        </w:tabs>
        <w:spacing w:line="240" w:lineRule="auto" w:before="107" w:after="0"/>
        <w:ind w:left="312" w:right="0" w:hanging="140"/>
        <w:jc w:val="left"/>
        <w:rPr>
          <w:sz w:val="22"/>
        </w:rPr>
      </w:pPr>
      <w:r>
        <w:rPr>
          <w:sz w:val="22"/>
        </w:rPr>
        <w:t>Τράπεζα</w:t>
      </w:r>
      <w:r>
        <w:rPr>
          <w:spacing w:val="-6"/>
          <w:sz w:val="22"/>
        </w:rPr>
        <w:t> </w:t>
      </w:r>
      <w:r>
        <w:rPr>
          <w:sz w:val="22"/>
        </w:rPr>
        <w:t>Eurobank</w:t>
      </w:r>
      <w:r>
        <w:rPr>
          <w:spacing w:val="-2"/>
          <w:sz w:val="22"/>
        </w:rPr>
        <w:t> </w:t>
      </w:r>
      <w:r>
        <w:rPr>
          <w:spacing w:val="-4"/>
          <w:sz w:val="22"/>
        </w:rPr>
        <w:t>A.E.</w:t>
      </w:r>
    </w:p>
    <w:p>
      <w:pPr>
        <w:pStyle w:val="BodyText"/>
        <w:spacing w:line="285" w:lineRule="auto" w:before="107"/>
        <w:ind w:left="172" w:right="956"/>
      </w:pPr>
      <w:r>
        <w:rPr/>
        <w:t>Τα παραπάνω τέσσερα πιστωτικά ιδρύματα που προσδιορίστηκαν ως O-SII αντιπροσωπεύουν περίπου το 94% του ενεργητικού του εγχώριου τραπεζικού τομέα.</w:t>
      </w:r>
    </w:p>
    <w:p>
      <w:pPr>
        <w:pStyle w:val="BodyText"/>
        <w:spacing w:after="0" w:line="285" w:lineRule="auto"/>
        <w:sectPr>
          <w:pgSz w:w="11910" w:h="16850"/>
          <w:pgMar w:header="0" w:footer="1108" w:top="1360" w:bottom="1300" w:left="1417" w:right="850"/>
        </w:sectPr>
      </w:pPr>
    </w:p>
    <w:p>
      <w:pPr>
        <w:pStyle w:val="BodyText"/>
        <w:spacing w:line="285" w:lineRule="auto" w:before="66"/>
        <w:ind w:left="172" w:right="957"/>
        <w:jc w:val="both"/>
      </w:pPr>
      <w:r>
        <w:rPr/>
        <w:t>Με την Πράξη</w:t>
      </w:r>
      <w:r>
        <w:rPr>
          <w:spacing w:val="-2"/>
        </w:rPr>
        <w:t> </w:t>
      </w:r>
      <w:r>
        <w:rPr/>
        <w:t>Εκτελεστικής</w:t>
      </w:r>
      <w:r>
        <w:rPr>
          <w:spacing w:val="-2"/>
        </w:rPr>
        <w:t> </w:t>
      </w:r>
      <w:r>
        <w:rPr/>
        <w:t>Επιτροπής 246/1/15.09.2025</w:t>
      </w:r>
      <w:hyperlink w:history="true" w:anchor="_bookmark101">
        <w:r>
          <w:rPr/>
          <w:t>,</w:t>
        </w:r>
        <w:r>
          <w:rPr>
            <w:position w:val="6"/>
            <w:sz w:val="10"/>
          </w:rPr>
          <w:t>69</w:t>
        </w:r>
      </w:hyperlink>
      <w:r>
        <w:rPr>
          <w:spacing w:val="29"/>
          <w:position w:val="6"/>
          <w:sz w:val="10"/>
        </w:rPr>
        <w:t> </w:t>
      </w:r>
      <w:r>
        <w:rPr/>
        <w:t>η</w:t>
      </w:r>
      <w:r>
        <w:rPr>
          <w:spacing w:val="-1"/>
        </w:rPr>
        <w:t> </w:t>
      </w:r>
      <w:r>
        <w:rPr/>
        <w:t>Τράπεζα</w:t>
      </w:r>
      <w:r>
        <w:rPr>
          <w:spacing w:val="-2"/>
        </w:rPr>
        <w:t> </w:t>
      </w:r>
      <w:r>
        <w:rPr/>
        <w:t>της</w:t>
      </w:r>
      <w:r>
        <w:rPr>
          <w:spacing w:val="-2"/>
        </w:rPr>
        <w:t> </w:t>
      </w:r>
      <w:r>
        <w:rPr/>
        <w:t>Ελλάδος</w:t>
      </w:r>
      <w:r>
        <w:rPr>
          <w:spacing w:val="-2"/>
        </w:rPr>
        <w:t> </w:t>
      </w:r>
      <w:r>
        <w:rPr/>
        <w:t>αποφάσισε να</w:t>
      </w:r>
      <w:r>
        <w:rPr>
          <w:spacing w:val="-12"/>
        </w:rPr>
        <w:t> </w:t>
      </w:r>
      <w:r>
        <w:rPr/>
        <w:t>καθορίσει</w:t>
      </w:r>
      <w:r>
        <w:rPr>
          <w:spacing w:val="-11"/>
        </w:rPr>
        <w:t> </w:t>
      </w:r>
      <w:r>
        <w:rPr/>
        <w:t>το</w:t>
      </w:r>
      <w:r>
        <w:rPr>
          <w:spacing w:val="-12"/>
        </w:rPr>
        <w:t> </w:t>
      </w:r>
      <w:r>
        <w:rPr/>
        <w:t>απόθεμα</w:t>
      </w:r>
      <w:r>
        <w:rPr>
          <w:spacing w:val="-12"/>
        </w:rPr>
        <w:t> </w:t>
      </w:r>
      <w:r>
        <w:rPr/>
        <w:t>ασφαλείας</w:t>
      </w:r>
      <w:r>
        <w:rPr>
          <w:spacing w:val="-11"/>
        </w:rPr>
        <w:t> </w:t>
      </w:r>
      <w:r>
        <w:rPr/>
        <w:t>O-SII</w:t>
      </w:r>
      <w:r>
        <w:rPr>
          <w:spacing w:val="-13"/>
        </w:rPr>
        <w:t> </w:t>
      </w:r>
      <w:r>
        <w:rPr/>
        <w:t>για</w:t>
      </w:r>
      <w:r>
        <w:rPr>
          <w:spacing w:val="-12"/>
        </w:rPr>
        <w:t> </w:t>
      </w:r>
      <w:r>
        <w:rPr/>
        <w:t>το</w:t>
      </w:r>
      <w:r>
        <w:rPr>
          <w:spacing w:val="-12"/>
        </w:rPr>
        <w:t> </w:t>
      </w:r>
      <w:r>
        <w:rPr/>
        <w:t>έτος</w:t>
      </w:r>
      <w:r>
        <w:rPr>
          <w:spacing w:val="-13"/>
        </w:rPr>
        <w:t> </w:t>
      </w:r>
      <w:r>
        <w:rPr/>
        <w:t>2026</w:t>
      </w:r>
      <w:r>
        <w:rPr>
          <w:spacing w:val="-12"/>
        </w:rPr>
        <w:t> </w:t>
      </w:r>
      <w:r>
        <w:rPr/>
        <w:t>για</w:t>
      </w:r>
      <w:r>
        <w:rPr>
          <w:spacing w:val="-14"/>
        </w:rPr>
        <w:t> </w:t>
      </w:r>
      <w:r>
        <w:rPr/>
        <w:t>τα</w:t>
      </w:r>
      <w:r>
        <w:rPr>
          <w:spacing w:val="-12"/>
        </w:rPr>
        <w:t> </w:t>
      </w:r>
      <w:r>
        <w:rPr/>
        <w:t>ιδρύματα</w:t>
      </w:r>
      <w:r>
        <w:rPr>
          <w:spacing w:val="-13"/>
        </w:rPr>
        <w:t> </w:t>
      </w:r>
      <w:r>
        <w:rPr/>
        <w:t>που</w:t>
      </w:r>
      <w:r>
        <w:rPr>
          <w:spacing w:val="-11"/>
        </w:rPr>
        <w:t> </w:t>
      </w:r>
      <w:r>
        <w:rPr/>
        <w:t>προσδιορίζονται παραπάνω ως O-SII ως εξής:</w:t>
      </w:r>
    </w:p>
    <w:p>
      <w:pPr>
        <w:pStyle w:val="ListParagraph"/>
        <w:numPr>
          <w:ilvl w:val="0"/>
          <w:numId w:val="6"/>
        </w:numPr>
        <w:tabs>
          <w:tab w:pos="311" w:val="left" w:leader="none"/>
          <w:tab w:pos="313" w:val="left" w:leader="none"/>
        </w:tabs>
        <w:spacing w:line="285" w:lineRule="auto" w:before="57" w:after="0"/>
        <w:ind w:left="313" w:right="959" w:hanging="142"/>
        <w:jc w:val="both"/>
        <w:rPr>
          <w:sz w:val="22"/>
        </w:rPr>
      </w:pPr>
      <w:r>
        <w:rPr>
          <w:sz w:val="22"/>
        </w:rPr>
        <w:t>σε</w:t>
      </w:r>
      <w:r>
        <w:rPr>
          <w:spacing w:val="-7"/>
          <w:sz w:val="22"/>
        </w:rPr>
        <w:t> </w:t>
      </w:r>
      <w:r>
        <w:rPr>
          <w:sz w:val="22"/>
        </w:rPr>
        <w:t>ποσοστό</w:t>
      </w:r>
      <w:r>
        <w:rPr>
          <w:spacing w:val="-7"/>
          <w:sz w:val="22"/>
        </w:rPr>
        <w:t> </w:t>
      </w:r>
      <w:r>
        <w:rPr>
          <w:sz w:val="22"/>
        </w:rPr>
        <w:t>1,25%</w:t>
      </w:r>
      <w:r>
        <w:rPr>
          <w:spacing w:val="-7"/>
          <w:sz w:val="22"/>
        </w:rPr>
        <w:t> </w:t>
      </w:r>
      <w:r>
        <w:rPr>
          <w:sz w:val="22"/>
        </w:rPr>
        <w:t>για</w:t>
      </w:r>
      <w:r>
        <w:rPr>
          <w:spacing w:val="-8"/>
          <w:sz w:val="22"/>
        </w:rPr>
        <w:t> </w:t>
      </w:r>
      <w:r>
        <w:rPr>
          <w:sz w:val="22"/>
        </w:rPr>
        <w:t>τη</w:t>
      </w:r>
      <w:r>
        <w:rPr>
          <w:spacing w:val="-8"/>
          <w:sz w:val="22"/>
        </w:rPr>
        <w:t> </w:t>
      </w:r>
      <w:r>
        <w:rPr>
          <w:sz w:val="22"/>
        </w:rPr>
        <w:t>Eurobank</w:t>
      </w:r>
      <w:r>
        <w:rPr>
          <w:spacing w:val="-8"/>
          <w:sz w:val="22"/>
        </w:rPr>
        <w:t> </w:t>
      </w:r>
      <w:r>
        <w:rPr>
          <w:sz w:val="22"/>
        </w:rPr>
        <w:t>Ergasias</w:t>
      </w:r>
      <w:r>
        <w:rPr>
          <w:spacing w:val="-8"/>
          <w:sz w:val="22"/>
        </w:rPr>
        <w:t> </w:t>
      </w:r>
      <w:r>
        <w:rPr>
          <w:sz w:val="22"/>
        </w:rPr>
        <w:t>Υπηρεσιών</w:t>
      </w:r>
      <w:r>
        <w:rPr>
          <w:spacing w:val="-7"/>
          <w:sz w:val="22"/>
        </w:rPr>
        <w:t> </w:t>
      </w:r>
      <w:r>
        <w:rPr>
          <w:sz w:val="22"/>
        </w:rPr>
        <w:t>και</w:t>
      </w:r>
      <w:r>
        <w:rPr>
          <w:spacing w:val="-10"/>
          <w:sz w:val="22"/>
        </w:rPr>
        <w:t> </w:t>
      </w:r>
      <w:r>
        <w:rPr>
          <w:sz w:val="22"/>
        </w:rPr>
        <w:t>Συμμετοχών</w:t>
      </w:r>
      <w:r>
        <w:rPr>
          <w:spacing w:val="-7"/>
          <w:sz w:val="22"/>
        </w:rPr>
        <w:t> </w:t>
      </w:r>
      <w:r>
        <w:rPr>
          <w:sz w:val="22"/>
        </w:rPr>
        <w:t>Α.Ε.</w:t>
      </w:r>
      <w:r>
        <w:rPr>
          <w:spacing w:val="-9"/>
          <w:sz w:val="22"/>
        </w:rPr>
        <w:t> </w:t>
      </w:r>
      <w:r>
        <w:rPr>
          <w:sz w:val="22"/>
        </w:rPr>
        <w:t>σε</w:t>
      </w:r>
      <w:r>
        <w:rPr>
          <w:spacing w:val="-10"/>
          <w:sz w:val="22"/>
        </w:rPr>
        <w:t> </w:t>
      </w:r>
      <w:r>
        <w:rPr>
          <w:sz w:val="22"/>
        </w:rPr>
        <w:t>ενοποιημένη βάση</w:t>
      </w:r>
      <w:hyperlink w:history="true" w:anchor="_bookmark102">
        <w:r>
          <w:rPr>
            <w:position w:val="6"/>
            <w:sz w:val="10"/>
          </w:rPr>
          <w:t>70</w:t>
        </w:r>
      </w:hyperlink>
      <w:r>
        <w:rPr>
          <w:spacing w:val="40"/>
          <w:position w:val="6"/>
          <w:sz w:val="10"/>
        </w:rPr>
        <w:t> </w:t>
      </w:r>
      <w:r>
        <w:rPr>
          <w:sz w:val="22"/>
        </w:rPr>
        <w:t>και</w:t>
      </w:r>
    </w:p>
    <w:p>
      <w:pPr>
        <w:pStyle w:val="ListParagraph"/>
        <w:numPr>
          <w:ilvl w:val="0"/>
          <w:numId w:val="6"/>
        </w:numPr>
        <w:tabs>
          <w:tab w:pos="312" w:val="left" w:leader="none"/>
        </w:tabs>
        <w:spacing w:line="240" w:lineRule="auto" w:before="58" w:after="0"/>
        <w:ind w:left="312" w:right="0" w:hanging="140"/>
        <w:jc w:val="both"/>
        <w:rPr>
          <w:sz w:val="22"/>
        </w:rPr>
      </w:pPr>
      <w:r>
        <w:rPr>
          <w:sz w:val="22"/>
        </w:rPr>
        <w:t>σε</w:t>
      </w:r>
      <w:r>
        <w:rPr>
          <w:spacing w:val="-4"/>
          <w:sz w:val="22"/>
        </w:rPr>
        <w:t> </w:t>
      </w:r>
      <w:r>
        <w:rPr>
          <w:sz w:val="22"/>
        </w:rPr>
        <w:t>ποσοστό</w:t>
      </w:r>
      <w:r>
        <w:rPr>
          <w:spacing w:val="-3"/>
          <w:sz w:val="22"/>
        </w:rPr>
        <w:t> </w:t>
      </w:r>
      <w:r>
        <w:rPr>
          <w:sz w:val="22"/>
        </w:rPr>
        <w:t>1,00%</w:t>
      </w:r>
      <w:r>
        <w:rPr>
          <w:spacing w:val="-6"/>
          <w:sz w:val="22"/>
        </w:rPr>
        <w:t> </w:t>
      </w:r>
      <w:r>
        <w:rPr>
          <w:sz w:val="22"/>
        </w:rPr>
        <w:t>για</w:t>
      </w:r>
      <w:r>
        <w:rPr>
          <w:spacing w:val="-4"/>
          <w:sz w:val="22"/>
        </w:rPr>
        <w:t> </w:t>
      </w:r>
      <w:r>
        <w:rPr>
          <w:sz w:val="22"/>
        </w:rPr>
        <w:t>τα</w:t>
      </w:r>
      <w:r>
        <w:rPr>
          <w:spacing w:val="-4"/>
          <w:sz w:val="22"/>
        </w:rPr>
        <w:t> </w:t>
      </w:r>
      <w:r>
        <w:rPr>
          <w:sz w:val="22"/>
        </w:rPr>
        <w:t>παρακάτω</w:t>
      </w:r>
      <w:r>
        <w:rPr>
          <w:spacing w:val="-2"/>
          <w:sz w:val="22"/>
        </w:rPr>
        <w:t> </w:t>
      </w:r>
      <w:r>
        <w:rPr>
          <w:sz w:val="22"/>
        </w:rPr>
        <w:t>O-</w:t>
      </w:r>
      <w:r>
        <w:rPr>
          <w:spacing w:val="-4"/>
          <w:sz w:val="22"/>
        </w:rPr>
        <w:t>SII:</w:t>
      </w:r>
    </w:p>
    <w:p>
      <w:pPr>
        <w:pStyle w:val="ListParagraph"/>
        <w:numPr>
          <w:ilvl w:val="1"/>
          <w:numId w:val="6"/>
        </w:numPr>
        <w:tabs>
          <w:tab w:pos="598" w:val="left" w:leader="none"/>
        </w:tabs>
        <w:spacing w:line="240" w:lineRule="auto" w:before="103" w:after="0"/>
        <w:ind w:left="598" w:right="0" w:hanging="143"/>
        <w:jc w:val="both"/>
        <w:rPr>
          <w:sz w:val="22"/>
        </w:rPr>
      </w:pPr>
      <w:r>
        <w:rPr>
          <w:sz w:val="22"/>
        </w:rPr>
        <w:t>Άλφα</w:t>
      </w:r>
      <w:r>
        <w:rPr>
          <w:spacing w:val="-5"/>
          <w:sz w:val="22"/>
        </w:rPr>
        <w:t> </w:t>
      </w:r>
      <w:r>
        <w:rPr>
          <w:sz w:val="22"/>
        </w:rPr>
        <w:t>Τράπεζα</w:t>
      </w:r>
      <w:r>
        <w:rPr>
          <w:spacing w:val="-4"/>
          <w:sz w:val="22"/>
        </w:rPr>
        <w:t> </w:t>
      </w:r>
      <w:r>
        <w:rPr>
          <w:sz w:val="22"/>
        </w:rPr>
        <w:t>Α.Ε.</w:t>
      </w:r>
      <w:r>
        <w:rPr>
          <w:spacing w:val="-6"/>
          <w:sz w:val="22"/>
        </w:rPr>
        <w:t> </w:t>
      </w:r>
      <w:r>
        <w:rPr>
          <w:sz w:val="22"/>
        </w:rPr>
        <w:t>σε</w:t>
      </w:r>
      <w:r>
        <w:rPr>
          <w:spacing w:val="-3"/>
          <w:sz w:val="22"/>
        </w:rPr>
        <w:t> </w:t>
      </w:r>
      <w:r>
        <w:rPr>
          <w:sz w:val="22"/>
        </w:rPr>
        <w:t>ατομική</w:t>
      </w:r>
      <w:r>
        <w:rPr>
          <w:spacing w:val="-3"/>
          <w:sz w:val="22"/>
        </w:rPr>
        <w:t> </w:t>
      </w:r>
      <w:r>
        <w:rPr>
          <w:sz w:val="22"/>
        </w:rPr>
        <w:t>και</w:t>
      </w:r>
      <w:r>
        <w:rPr>
          <w:spacing w:val="-3"/>
          <w:sz w:val="22"/>
        </w:rPr>
        <w:t> </w:t>
      </w:r>
      <w:r>
        <w:rPr>
          <w:sz w:val="22"/>
        </w:rPr>
        <w:t>ενοποιημένη</w:t>
      </w:r>
      <w:r>
        <w:rPr>
          <w:spacing w:val="-3"/>
          <w:sz w:val="22"/>
        </w:rPr>
        <w:t> </w:t>
      </w:r>
      <w:r>
        <w:rPr>
          <w:spacing w:val="-4"/>
          <w:sz w:val="22"/>
        </w:rPr>
        <w:t>βάση,</w:t>
      </w:r>
    </w:p>
    <w:p>
      <w:pPr>
        <w:pStyle w:val="ListParagraph"/>
        <w:numPr>
          <w:ilvl w:val="1"/>
          <w:numId w:val="6"/>
        </w:numPr>
        <w:tabs>
          <w:tab w:pos="598" w:val="left" w:leader="none"/>
        </w:tabs>
        <w:spacing w:line="240" w:lineRule="auto" w:before="102" w:after="0"/>
        <w:ind w:left="598" w:right="0" w:hanging="143"/>
        <w:jc w:val="both"/>
        <w:rPr>
          <w:sz w:val="22"/>
        </w:rPr>
      </w:pPr>
      <w:r>
        <w:rPr>
          <w:sz w:val="22"/>
        </w:rPr>
        <w:t>Εθνική</w:t>
      </w:r>
      <w:r>
        <w:rPr>
          <w:spacing w:val="-4"/>
          <w:sz w:val="22"/>
        </w:rPr>
        <w:t> </w:t>
      </w:r>
      <w:r>
        <w:rPr>
          <w:sz w:val="22"/>
        </w:rPr>
        <w:t>Τράπεζα</w:t>
      </w:r>
      <w:r>
        <w:rPr>
          <w:spacing w:val="-7"/>
          <w:sz w:val="22"/>
        </w:rPr>
        <w:t> </w:t>
      </w:r>
      <w:r>
        <w:rPr>
          <w:sz w:val="22"/>
        </w:rPr>
        <w:t>της</w:t>
      </w:r>
      <w:r>
        <w:rPr>
          <w:spacing w:val="-5"/>
          <w:sz w:val="22"/>
        </w:rPr>
        <w:t> </w:t>
      </w:r>
      <w:r>
        <w:rPr>
          <w:sz w:val="22"/>
        </w:rPr>
        <w:t>Ελλάδος</w:t>
      </w:r>
      <w:r>
        <w:rPr>
          <w:spacing w:val="-5"/>
          <w:sz w:val="22"/>
        </w:rPr>
        <w:t> </w:t>
      </w:r>
      <w:r>
        <w:rPr>
          <w:sz w:val="22"/>
        </w:rPr>
        <w:t>Α.Ε.</w:t>
      </w:r>
      <w:r>
        <w:rPr>
          <w:spacing w:val="-3"/>
          <w:sz w:val="22"/>
        </w:rPr>
        <w:t> </w:t>
      </w:r>
      <w:r>
        <w:rPr>
          <w:sz w:val="22"/>
        </w:rPr>
        <w:t>σε</w:t>
      </w:r>
      <w:r>
        <w:rPr>
          <w:spacing w:val="-3"/>
          <w:sz w:val="22"/>
        </w:rPr>
        <w:t> </w:t>
      </w:r>
      <w:r>
        <w:rPr>
          <w:sz w:val="22"/>
        </w:rPr>
        <w:t>ατομική</w:t>
      </w:r>
      <w:r>
        <w:rPr>
          <w:spacing w:val="-3"/>
          <w:sz w:val="22"/>
        </w:rPr>
        <w:t> </w:t>
      </w:r>
      <w:r>
        <w:rPr>
          <w:sz w:val="22"/>
        </w:rPr>
        <w:t>και</w:t>
      </w:r>
      <w:r>
        <w:rPr>
          <w:spacing w:val="-4"/>
          <w:sz w:val="22"/>
        </w:rPr>
        <w:t> </w:t>
      </w:r>
      <w:r>
        <w:rPr>
          <w:sz w:val="22"/>
        </w:rPr>
        <w:t>ενοποιημένη</w:t>
      </w:r>
      <w:r>
        <w:rPr>
          <w:spacing w:val="-6"/>
          <w:sz w:val="22"/>
        </w:rPr>
        <w:t> </w:t>
      </w:r>
      <w:r>
        <w:rPr>
          <w:spacing w:val="-2"/>
          <w:sz w:val="22"/>
        </w:rPr>
        <w:t>βάση,</w:t>
      </w:r>
    </w:p>
    <w:p>
      <w:pPr>
        <w:pStyle w:val="ListParagraph"/>
        <w:numPr>
          <w:ilvl w:val="1"/>
          <w:numId w:val="6"/>
        </w:numPr>
        <w:tabs>
          <w:tab w:pos="599" w:val="left" w:leader="none"/>
        </w:tabs>
        <w:spacing w:line="283" w:lineRule="auto" w:before="102" w:after="0"/>
        <w:ind w:left="599" w:right="958" w:hanging="144"/>
        <w:jc w:val="both"/>
        <w:rPr>
          <w:sz w:val="22"/>
        </w:rPr>
      </w:pPr>
      <w:r>
        <w:rPr>
          <w:sz w:val="22"/>
        </w:rPr>
        <w:t>Πειραιώς Financial Holdings A.E. σε ενοποιημένη βάση και Τράπεζα Πειραιώς Α.Ε. σε α-τομική βάση</w:t>
      </w:r>
      <w:hyperlink w:history="true" w:anchor="_bookmark103">
        <w:r>
          <w:rPr>
            <w:position w:val="6"/>
            <w:sz w:val="10"/>
          </w:rPr>
          <w:t>71</w:t>
        </w:r>
      </w:hyperlink>
      <w:r>
        <w:rPr>
          <w:spacing w:val="40"/>
          <w:position w:val="6"/>
          <w:sz w:val="10"/>
        </w:rPr>
        <w:t> </w:t>
      </w:r>
      <w:r>
        <w:rPr>
          <w:sz w:val="22"/>
        </w:rPr>
        <w:t>και</w:t>
      </w:r>
    </w:p>
    <w:p>
      <w:pPr>
        <w:pStyle w:val="ListParagraph"/>
        <w:numPr>
          <w:ilvl w:val="1"/>
          <w:numId w:val="6"/>
        </w:numPr>
        <w:tabs>
          <w:tab w:pos="598" w:val="left" w:leader="none"/>
        </w:tabs>
        <w:spacing w:line="240" w:lineRule="auto" w:before="58" w:after="0"/>
        <w:ind w:left="598" w:right="0" w:hanging="143"/>
        <w:jc w:val="both"/>
        <w:rPr>
          <w:sz w:val="22"/>
        </w:rPr>
      </w:pPr>
      <w:r>
        <w:rPr>
          <w:sz w:val="22"/>
        </w:rPr>
        <w:t>Τράπεζα</w:t>
      </w:r>
      <w:r>
        <w:rPr>
          <w:spacing w:val="-4"/>
          <w:sz w:val="22"/>
        </w:rPr>
        <w:t> </w:t>
      </w:r>
      <w:r>
        <w:rPr>
          <w:sz w:val="22"/>
        </w:rPr>
        <w:t>Eurobank</w:t>
      </w:r>
      <w:r>
        <w:rPr>
          <w:spacing w:val="-2"/>
          <w:sz w:val="22"/>
        </w:rPr>
        <w:t> </w:t>
      </w:r>
      <w:r>
        <w:rPr>
          <w:sz w:val="22"/>
        </w:rPr>
        <w:t>Α.Ε.</w:t>
      </w:r>
      <w:r>
        <w:rPr>
          <w:spacing w:val="-6"/>
          <w:sz w:val="22"/>
        </w:rPr>
        <w:t> </w:t>
      </w:r>
      <w:r>
        <w:rPr>
          <w:sz w:val="22"/>
        </w:rPr>
        <w:t>σε</w:t>
      </w:r>
      <w:r>
        <w:rPr>
          <w:spacing w:val="-4"/>
          <w:sz w:val="22"/>
        </w:rPr>
        <w:t> </w:t>
      </w:r>
      <w:r>
        <w:rPr>
          <w:sz w:val="22"/>
        </w:rPr>
        <w:t>ατομική</w:t>
      </w:r>
      <w:r>
        <w:rPr>
          <w:spacing w:val="-2"/>
          <w:sz w:val="22"/>
        </w:rPr>
        <w:t> βάση.</w:t>
      </w:r>
    </w:p>
    <w:p>
      <w:pPr>
        <w:pStyle w:val="BodyText"/>
      </w:pPr>
    </w:p>
    <w:p>
      <w:pPr>
        <w:pStyle w:val="BodyText"/>
        <w:spacing w:before="104"/>
      </w:pPr>
    </w:p>
    <w:p>
      <w:pPr>
        <w:pStyle w:val="Heading2"/>
        <w:numPr>
          <w:ilvl w:val="1"/>
          <w:numId w:val="2"/>
        </w:numPr>
        <w:tabs>
          <w:tab w:pos="568" w:val="left" w:leader="none"/>
        </w:tabs>
        <w:spacing w:line="240" w:lineRule="auto" w:before="0" w:after="0"/>
        <w:ind w:left="568" w:right="1207" w:hanging="396"/>
        <w:jc w:val="left"/>
        <w:rPr>
          <w:color w:val="1F487C"/>
        </w:rPr>
      </w:pPr>
      <w:bookmarkStart w:name="_bookmark100" w:id="101"/>
      <w:bookmarkEnd w:id="101"/>
      <w:r>
        <w:rPr>
          <w:b w:val="0"/>
        </w:rPr>
      </w:r>
      <w:r>
        <w:rPr>
          <w:color w:val="1F487C"/>
        </w:rPr>
        <w:t>ΜΕΤΡΑ</w:t>
      </w:r>
      <w:r>
        <w:rPr>
          <w:color w:val="1F487C"/>
          <w:spacing w:val="-6"/>
        </w:rPr>
        <w:t> </w:t>
      </w:r>
      <w:r>
        <w:rPr>
          <w:color w:val="1F487C"/>
        </w:rPr>
        <w:t>ΓΙΑ</w:t>
      </w:r>
      <w:r>
        <w:rPr>
          <w:color w:val="1F487C"/>
          <w:spacing w:val="-6"/>
        </w:rPr>
        <w:t> </w:t>
      </w:r>
      <w:r>
        <w:rPr>
          <w:color w:val="1F487C"/>
        </w:rPr>
        <w:t>ΤΗ</w:t>
      </w:r>
      <w:r>
        <w:rPr>
          <w:color w:val="1F487C"/>
          <w:spacing w:val="-5"/>
        </w:rPr>
        <w:t> </w:t>
      </w:r>
      <w:r>
        <w:rPr>
          <w:color w:val="1F487C"/>
        </w:rPr>
        <w:t>ΔΑΝΕΙΑΚΗ</w:t>
      </w:r>
      <w:r>
        <w:rPr>
          <w:color w:val="1F487C"/>
          <w:spacing w:val="-5"/>
        </w:rPr>
        <w:t> </w:t>
      </w:r>
      <w:r>
        <w:rPr>
          <w:color w:val="1F487C"/>
        </w:rPr>
        <w:t>ΕΠΙΒΑΡΥΝΣΗ</w:t>
      </w:r>
      <w:r>
        <w:rPr>
          <w:color w:val="1F487C"/>
          <w:spacing w:val="-5"/>
        </w:rPr>
        <w:t> </w:t>
      </w:r>
      <w:r>
        <w:rPr>
          <w:color w:val="1F487C"/>
        </w:rPr>
        <w:t>ΠΟΥ</w:t>
      </w:r>
      <w:r>
        <w:rPr>
          <w:color w:val="1F487C"/>
          <w:spacing w:val="-6"/>
        </w:rPr>
        <w:t> </w:t>
      </w:r>
      <w:r>
        <w:rPr>
          <w:color w:val="1F487C"/>
        </w:rPr>
        <w:t>ΕΦΑΡΜΟΖΟΝΤΑΙ</w:t>
      </w:r>
      <w:r>
        <w:rPr>
          <w:color w:val="1F487C"/>
          <w:spacing w:val="-6"/>
        </w:rPr>
        <w:t> </w:t>
      </w:r>
      <w:r>
        <w:rPr>
          <w:color w:val="1F487C"/>
        </w:rPr>
        <w:t>ΣΕ ΕΠΙΠΕΔΟ ΔΑΝΕΙΟΛΗΠΤΗ</w:t>
      </w:r>
    </w:p>
    <w:p>
      <w:pPr>
        <w:pStyle w:val="BodyText"/>
        <w:spacing w:line="285" w:lineRule="auto" w:before="96"/>
        <w:ind w:left="172" w:right="955"/>
        <w:jc w:val="both"/>
      </w:pPr>
      <w:r>
        <w:rPr/>
        <w:t>Τα μακροπροληπτικά μέτρα για τη δανειακή επιβάρυνση που εφαρμόζονται σε επίπεδο δανειο-λήπτη</w:t>
      </w:r>
      <w:r>
        <w:rPr>
          <w:spacing w:val="-3"/>
        </w:rPr>
        <w:t> </w:t>
      </w:r>
      <w:r>
        <w:rPr/>
        <w:t>στοχεύουν</w:t>
      </w:r>
      <w:r>
        <w:rPr>
          <w:spacing w:val="-5"/>
        </w:rPr>
        <w:t> </w:t>
      </w:r>
      <w:r>
        <w:rPr/>
        <w:t>στον</w:t>
      </w:r>
      <w:r>
        <w:rPr>
          <w:spacing w:val="-3"/>
        </w:rPr>
        <w:t> </w:t>
      </w:r>
      <w:r>
        <w:rPr/>
        <w:t>περιορισμό</w:t>
      </w:r>
      <w:r>
        <w:rPr>
          <w:spacing w:val="-6"/>
        </w:rPr>
        <w:t> </w:t>
      </w:r>
      <w:r>
        <w:rPr/>
        <w:t>της</w:t>
      </w:r>
      <w:r>
        <w:rPr>
          <w:spacing w:val="-5"/>
        </w:rPr>
        <w:t> </w:t>
      </w:r>
      <w:r>
        <w:rPr/>
        <w:t>συσσώρευσης</w:t>
      </w:r>
      <w:r>
        <w:rPr>
          <w:spacing w:val="-5"/>
        </w:rPr>
        <w:t> </w:t>
      </w:r>
      <w:r>
        <w:rPr/>
        <w:t>συστημικών</w:t>
      </w:r>
      <w:r>
        <w:rPr>
          <w:spacing w:val="-3"/>
        </w:rPr>
        <w:t> </w:t>
      </w:r>
      <w:r>
        <w:rPr/>
        <w:t>κινδύνων</w:t>
      </w:r>
      <w:r>
        <w:rPr>
          <w:spacing w:val="-3"/>
        </w:rPr>
        <w:t> </w:t>
      </w:r>
      <w:r>
        <w:rPr/>
        <w:t>που</w:t>
      </w:r>
      <w:r>
        <w:rPr>
          <w:spacing w:val="-5"/>
        </w:rPr>
        <w:t> </w:t>
      </w:r>
      <w:r>
        <w:rPr/>
        <w:t>απορρέουν από την</w:t>
      </w:r>
      <w:r>
        <w:rPr>
          <w:spacing w:val="-2"/>
        </w:rPr>
        <w:t> </w:t>
      </w:r>
      <w:r>
        <w:rPr/>
        <w:t>αγορά</w:t>
      </w:r>
      <w:r>
        <w:rPr>
          <w:spacing w:val="-2"/>
        </w:rPr>
        <w:t> </w:t>
      </w:r>
      <w:r>
        <w:rPr/>
        <w:t>ακινήτων</w:t>
      </w:r>
      <w:r>
        <w:rPr>
          <w:spacing w:val="-1"/>
        </w:rPr>
        <w:t> </w:t>
      </w:r>
      <w:r>
        <w:rPr/>
        <w:t>και</w:t>
      </w:r>
      <w:r>
        <w:rPr>
          <w:spacing w:val="-2"/>
        </w:rPr>
        <w:t> </w:t>
      </w:r>
      <w:r>
        <w:rPr/>
        <w:t>συνδέονται</w:t>
      </w:r>
      <w:r>
        <w:rPr>
          <w:spacing w:val="-2"/>
        </w:rPr>
        <w:t> </w:t>
      </w:r>
      <w:r>
        <w:rPr/>
        <w:t>με</w:t>
      </w:r>
      <w:r>
        <w:rPr>
          <w:spacing w:val="-2"/>
        </w:rPr>
        <w:t> </w:t>
      </w:r>
      <w:r>
        <w:rPr/>
        <w:t>τη</w:t>
      </w:r>
      <w:r>
        <w:rPr>
          <w:spacing w:val="-2"/>
        </w:rPr>
        <w:t> </w:t>
      </w:r>
      <w:r>
        <w:rPr/>
        <w:t>χρηματοδότηση</w:t>
      </w:r>
      <w:r>
        <w:rPr>
          <w:spacing w:val="-2"/>
        </w:rPr>
        <w:t> </w:t>
      </w:r>
      <w:r>
        <w:rPr/>
        <w:t>του</w:t>
      </w:r>
      <w:r>
        <w:rPr>
          <w:spacing w:val="-2"/>
        </w:rPr>
        <w:t> </w:t>
      </w:r>
      <w:r>
        <w:rPr/>
        <w:t>ιδιωτικού</w:t>
      </w:r>
      <w:r>
        <w:rPr>
          <w:spacing w:val="-2"/>
        </w:rPr>
        <w:t> </w:t>
      </w:r>
      <w:r>
        <w:rPr/>
        <w:t>τομέα.</w:t>
      </w:r>
      <w:r>
        <w:rPr>
          <w:spacing w:val="-2"/>
        </w:rPr>
        <w:t> </w:t>
      </w:r>
      <w:r>
        <w:rPr/>
        <w:t>Με</w:t>
      </w:r>
      <w:r>
        <w:rPr>
          <w:spacing w:val="-2"/>
        </w:rPr>
        <w:t> </w:t>
      </w:r>
      <w:r>
        <w:rPr/>
        <w:t>την</w:t>
      </w:r>
      <w:r>
        <w:rPr>
          <w:spacing w:val="-4"/>
        </w:rPr>
        <w:t> </w:t>
      </w:r>
      <w:r>
        <w:rPr/>
        <w:t>ενεργο-ποίηση</w:t>
      </w:r>
      <w:r>
        <w:rPr>
          <w:spacing w:val="-14"/>
        </w:rPr>
        <w:t> </w:t>
      </w:r>
      <w:r>
        <w:rPr/>
        <w:t>των</w:t>
      </w:r>
      <w:r>
        <w:rPr>
          <w:spacing w:val="-14"/>
        </w:rPr>
        <w:t> </w:t>
      </w:r>
      <w:r>
        <w:rPr/>
        <w:t>μέτρων</w:t>
      </w:r>
      <w:r>
        <w:rPr>
          <w:spacing w:val="-14"/>
        </w:rPr>
        <w:t> </w:t>
      </w:r>
      <w:r>
        <w:rPr/>
        <w:t>αυτών</w:t>
      </w:r>
      <w:r>
        <w:rPr>
          <w:spacing w:val="-13"/>
        </w:rPr>
        <w:t> </w:t>
      </w:r>
      <w:r>
        <w:rPr/>
        <w:t>μετριάζεται</w:t>
      </w:r>
      <w:r>
        <w:rPr>
          <w:spacing w:val="-14"/>
        </w:rPr>
        <w:t> </w:t>
      </w:r>
      <w:r>
        <w:rPr/>
        <w:t>ο</w:t>
      </w:r>
      <w:r>
        <w:rPr>
          <w:spacing w:val="-14"/>
        </w:rPr>
        <w:t> </w:t>
      </w:r>
      <w:r>
        <w:rPr/>
        <w:t>κίνδυνος</w:t>
      </w:r>
      <w:r>
        <w:rPr>
          <w:spacing w:val="-14"/>
        </w:rPr>
        <w:t> </w:t>
      </w:r>
      <w:r>
        <w:rPr/>
        <w:t>υπέρμετρης</w:t>
      </w:r>
      <w:r>
        <w:rPr>
          <w:spacing w:val="-13"/>
        </w:rPr>
        <w:t> </w:t>
      </w:r>
      <w:r>
        <w:rPr/>
        <w:t>χαλάρωσης</w:t>
      </w:r>
      <w:r>
        <w:rPr>
          <w:spacing w:val="-14"/>
        </w:rPr>
        <w:t> </w:t>
      </w:r>
      <w:r>
        <w:rPr/>
        <w:t>των</w:t>
      </w:r>
      <w:r>
        <w:rPr>
          <w:spacing w:val="-14"/>
        </w:rPr>
        <w:t> </w:t>
      </w:r>
      <w:r>
        <w:rPr/>
        <w:t>πιστοδοτικών</w:t>
      </w:r>
      <w:r>
        <w:rPr>
          <w:spacing w:val="-14"/>
        </w:rPr>
        <w:t> </w:t>
      </w:r>
      <w:r>
        <w:rPr/>
        <w:t>κρι-τηρίων, με αποτέλεσμα την ενίσχυση της ανθεκτικότητας των δανειοληπτών και τη μείωση του πιστωτικού κινδύνου των πιστωτών.</w:t>
      </w:r>
    </w:p>
    <w:p>
      <w:pPr>
        <w:pStyle w:val="BodyText"/>
        <w:spacing w:line="285" w:lineRule="auto" w:before="54"/>
        <w:ind w:left="172" w:right="955"/>
        <w:jc w:val="both"/>
      </w:pPr>
      <w:r>
        <w:rPr/>
        <w:t>Στην Ελλάδα, αρμόδια για τη θέσπιση μακροπροληπτικών μέτρων σχετικά με τη δανειακή επι-βάρυνση που εφαρμόζονται σε επίπεδο δανειολήπτη είναι η Τράπεζα της Ελλάδος δυνάμει του άρθρου</w:t>
      </w:r>
      <w:r>
        <w:rPr>
          <w:spacing w:val="-4"/>
        </w:rPr>
        <w:t> </w:t>
      </w:r>
      <w:r>
        <w:rPr/>
        <w:t>133Α</w:t>
      </w:r>
      <w:r>
        <w:rPr>
          <w:spacing w:val="-3"/>
        </w:rPr>
        <w:t> </w:t>
      </w:r>
      <w:r>
        <w:rPr/>
        <w:t>του</w:t>
      </w:r>
      <w:r>
        <w:rPr>
          <w:spacing w:val="-1"/>
        </w:rPr>
        <w:t> </w:t>
      </w:r>
      <w:r>
        <w:rPr/>
        <w:t>ν.</w:t>
      </w:r>
      <w:r>
        <w:rPr>
          <w:spacing w:val="-5"/>
        </w:rPr>
        <w:t> </w:t>
      </w:r>
      <w:r>
        <w:rPr/>
        <w:t>4261/2014,</w:t>
      </w:r>
      <w:r>
        <w:rPr>
          <w:spacing w:val="-2"/>
        </w:rPr>
        <w:t> </w:t>
      </w:r>
      <w:r>
        <w:rPr/>
        <w:t>όπως</w:t>
      </w:r>
      <w:r>
        <w:rPr>
          <w:spacing w:val="-3"/>
        </w:rPr>
        <w:t> </w:t>
      </w:r>
      <w:r>
        <w:rPr/>
        <w:t>προστέθηκε</w:t>
      </w:r>
      <w:r>
        <w:rPr>
          <w:spacing w:val="-2"/>
        </w:rPr>
        <w:t> </w:t>
      </w:r>
      <w:r>
        <w:rPr/>
        <w:t>με</w:t>
      </w:r>
      <w:r>
        <w:rPr>
          <w:spacing w:val="-4"/>
        </w:rPr>
        <w:t> </w:t>
      </w:r>
      <w:r>
        <w:rPr/>
        <w:t>το</w:t>
      </w:r>
      <w:r>
        <w:rPr>
          <w:spacing w:val="-2"/>
        </w:rPr>
        <w:t> </w:t>
      </w:r>
      <w:r>
        <w:rPr/>
        <w:t>άρθρο</w:t>
      </w:r>
      <w:r>
        <w:rPr>
          <w:spacing w:val="-2"/>
        </w:rPr>
        <w:t> </w:t>
      </w:r>
      <w:r>
        <w:rPr/>
        <w:t>54</w:t>
      </w:r>
      <w:r>
        <w:rPr>
          <w:spacing w:val="-5"/>
        </w:rPr>
        <w:t> </w:t>
      </w:r>
      <w:r>
        <w:rPr/>
        <w:t>του</w:t>
      </w:r>
      <w:r>
        <w:rPr>
          <w:spacing w:val="-4"/>
        </w:rPr>
        <w:t> </w:t>
      </w:r>
      <w:r>
        <w:rPr/>
        <w:t>ν.</w:t>
      </w:r>
      <w:r>
        <w:rPr>
          <w:spacing w:val="-2"/>
        </w:rPr>
        <w:t> </w:t>
      </w:r>
      <w:r>
        <w:rPr/>
        <w:t>5036/2023</w:t>
      </w:r>
      <w:r>
        <w:rPr>
          <w:spacing w:val="-2"/>
        </w:rPr>
        <w:t> </w:t>
      </w:r>
      <w:r>
        <w:rPr/>
        <w:t>με</w:t>
      </w:r>
      <w:r>
        <w:rPr>
          <w:spacing w:val="-2"/>
        </w:rPr>
        <w:t> </w:t>
      </w:r>
      <w:r>
        <w:rPr/>
        <w:t>ισχύ από τις</w:t>
      </w:r>
      <w:r>
        <w:rPr>
          <w:spacing w:val="-1"/>
        </w:rPr>
        <w:t> </w:t>
      </w:r>
      <w:r>
        <w:rPr/>
        <w:t>29</w:t>
      </w:r>
      <w:r>
        <w:rPr>
          <w:spacing w:val="-1"/>
        </w:rPr>
        <w:t> </w:t>
      </w:r>
      <w:r>
        <w:rPr/>
        <w:t>Μαρτίου 2023.</w:t>
      </w:r>
      <w:r>
        <w:rPr>
          <w:spacing w:val="-4"/>
        </w:rPr>
        <w:t> </w:t>
      </w:r>
      <w:r>
        <w:rPr/>
        <w:t>Στο</w:t>
      </w:r>
      <w:r>
        <w:rPr>
          <w:spacing w:val="-1"/>
        </w:rPr>
        <w:t> </w:t>
      </w:r>
      <w:r>
        <w:rPr/>
        <w:t>πλαίσιο</w:t>
      </w:r>
      <w:r>
        <w:rPr>
          <w:spacing w:val="-1"/>
        </w:rPr>
        <w:t> </w:t>
      </w:r>
      <w:r>
        <w:rPr/>
        <w:t>της</w:t>
      </w:r>
      <w:r>
        <w:rPr>
          <w:spacing w:val="-2"/>
        </w:rPr>
        <w:t> </w:t>
      </w:r>
      <w:r>
        <w:rPr/>
        <w:t>μακροπροληπτικής</w:t>
      </w:r>
      <w:r>
        <w:rPr>
          <w:spacing w:val="-3"/>
        </w:rPr>
        <w:t> </w:t>
      </w:r>
      <w:r>
        <w:rPr/>
        <w:t>της</w:t>
      </w:r>
      <w:r>
        <w:rPr>
          <w:spacing w:val="-3"/>
        </w:rPr>
        <w:t> </w:t>
      </w:r>
      <w:r>
        <w:rPr/>
        <w:t>αρμοδιότητας,</w:t>
      </w:r>
      <w:r>
        <w:rPr>
          <w:spacing w:val="-1"/>
        </w:rPr>
        <w:t> </w:t>
      </w:r>
      <w:r>
        <w:rPr/>
        <w:t>η</w:t>
      </w:r>
      <w:r>
        <w:rPr>
          <w:spacing w:val="-1"/>
        </w:rPr>
        <w:t> </w:t>
      </w:r>
      <w:r>
        <w:rPr/>
        <w:t>Τράπεζα της</w:t>
      </w:r>
      <w:r>
        <w:rPr>
          <w:spacing w:val="-3"/>
        </w:rPr>
        <w:t> </w:t>
      </w:r>
      <w:r>
        <w:rPr/>
        <w:t>Ελ-λάδος</w:t>
      </w:r>
      <w:r>
        <w:rPr>
          <w:spacing w:val="-11"/>
        </w:rPr>
        <w:t> </w:t>
      </w:r>
      <w:r>
        <w:rPr/>
        <w:t>καθορίζει</w:t>
      </w:r>
      <w:r>
        <w:rPr>
          <w:spacing w:val="-8"/>
        </w:rPr>
        <w:t> </w:t>
      </w:r>
      <w:r>
        <w:rPr/>
        <w:t>το</w:t>
      </w:r>
      <w:r>
        <w:rPr>
          <w:spacing w:val="-9"/>
        </w:rPr>
        <w:t> </w:t>
      </w:r>
      <w:r>
        <w:rPr/>
        <w:t>είδος</w:t>
      </w:r>
      <w:r>
        <w:rPr>
          <w:spacing w:val="-11"/>
        </w:rPr>
        <w:t> </w:t>
      </w:r>
      <w:r>
        <w:rPr/>
        <w:t>των</w:t>
      </w:r>
      <w:r>
        <w:rPr>
          <w:spacing w:val="-9"/>
        </w:rPr>
        <w:t> </w:t>
      </w:r>
      <w:r>
        <w:rPr/>
        <w:t>μακροπροληπτικών</w:t>
      </w:r>
      <w:r>
        <w:rPr>
          <w:spacing w:val="-9"/>
        </w:rPr>
        <w:t> </w:t>
      </w:r>
      <w:r>
        <w:rPr/>
        <w:t>μέτρων</w:t>
      </w:r>
      <w:r>
        <w:rPr>
          <w:spacing w:val="-9"/>
        </w:rPr>
        <w:t> </w:t>
      </w:r>
      <w:r>
        <w:rPr/>
        <w:t>για</w:t>
      </w:r>
      <w:r>
        <w:rPr>
          <w:spacing w:val="-9"/>
        </w:rPr>
        <w:t> </w:t>
      </w:r>
      <w:r>
        <w:rPr/>
        <w:t>τη</w:t>
      </w:r>
      <w:r>
        <w:rPr>
          <w:spacing w:val="-10"/>
        </w:rPr>
        <w:t> </w:t>
      </w:r>
      <w:r>
        <w:rPr/>
        <w:t>δανειακή</w:t>
      </w:r>
      <w:r>
        <w:rPr>
          <w:spacing w:val="-10"/>
        </w:rPr>
        <w:t> </w:t>
      </w:r>
      <w:r>
        <w:rPr/>
        <w:t>επιβάρυνση</w:t>
      </w:r>
      <w:r>
        <w:rPr>
          <w:spacing w:val="-5"/>
        </w:rPr>
        <w:t> </w:t>
      </w:r>
      <w:r>
        <w:rPr/>
        <w:t>που</w:t>
      </w:r>
      <w:r>
        <w:rPr>
          <w:spacing w:val="-9"/>
        </w:rPr>
        <w:t> </w:t>
      </w:r>
      <w:r>
        <w:rPr/>
        <w:t>εφαρ-μόζονται</w:t>
      </w:r>
      <w:r>
        <w:rPr>
          <w:spacing w:val="-4"/>
        </w:rPr>
        <w:t> </w:t>
      </w:r>
      <w:r>
        <w:rPr/>
        <w:t>σε</w:t>
      </w:r>
      <w:r>
        <w:rPr>
          <w:spacing w:val="-1"/>
        </w:rPr>
        <w:t> </w:t>
      </w:r>
      <w:r>
        <w:rPr/>
        <w:t>επίπεδο</w:t>
      </w:r>
      <w:r>
        <w:rPr>
          <w:spacing w:val="-1"/>
        </w:rPr>
        <w:t> </w:t>
      </w:r>
      <w:r>
        <w:rPr/>
        <w:t>δανειολήπτη,</w:t>
      </w:r>
      <w:r>
        <w:rPr>
          <w:spacing w:val="-1"/>
        </w:rPr>
        <w:t> </w:t>
      </w:r>
      <w:r>
        <w:rPr/>
        <w:t>τους</w:t>
      </w:r>
      <w:r>
        <w:rPr>
          <w:spacing w:val="-2"/>
        </w:rPr>
        <w:t> </w:t>
      </w:r>
      <w:r>
        <w:rPr/>
        <w:t>δείκτες</w:t>
      </w:r>
      <w:r>
        <w:rPr>
          <w:spacing w:val="-2"/>
        </w:rPr>
        <w:t> </w:t>
      </w:r>
      <w:r>
        <w:rPr/>
        <w:t>ή</w:t>
      </w:r>
      <w:r>
        <w:rPr>
          <w:spacing w:val="-1"/>
        </w:rPr>
        <w:t> </w:t>
      </w:r>
      <w:r>
        <w:rPr/>
        <w:t>τα</w:t>
      </w:r>
      <w:r>
        <w:rPr>
          <w:spacing w:val="-2"/>
        </w:rPr>
        <w:t> </w:t>
      </w:r>
      <w:r>
        <w:rPr/>
        <w:t>χαρακτηριστικά</w:t>
      </w:r>
      <w:r>
        <w:rPr>
          <w:spacing w:val="-2"/>
        </w:rPr>
        <w:t> </w:t>
      </w:r>
      <w:r>
        <w:rPr/>
        <w:t>των πιστώσεων ως</w:t>
      </w:r>
      <w:r>
        <w:rPr>
          <w:spacing w:val="-2"/>
        </w:rPr>
        <w:t> </w:t>
      </w:r>
      <w:r>
        <w:rPr/>
        <w:t>προς</w:t>
      </w:r>
      <w:r>
        <w:rPr>
          <w:spacing w:val="-2"/>
        </w:rPr>
        <w:t> </w:t>
      </w:r>
      <w:r>
        <w:rPr/>
        <w:t>τα οποία</w:t>
      </w:r>
      <w:r>
        <w:rPr>
          <w:spacing w:val="-2"/>
        </w:rPr>
        <w:t> </w:t>
      </w:r>
      <w:r>
        <w:rPr/>
        <w:t>θα</w:t>
      </w:r>
      <w:r>
        <w:rPr>
          <w:spacing w:val="-2"/>
        </w:rPr>
        <w:t> </w:t>
      </w:r>
      <w:r>
        <w:rPr/>
        <w:t>εφαρμόζονται</w:t>
      </w:r>
      <w:r>
        <w:rPr>
          <w:spacing w:val="-2"/>
        </w:rPr>
        <w:t> </w:t>
      </w:r>
      <w:r>
        <w:rPr/>
        <w:t>τα</w:t>
      </w:r>
      <w:r>
        <w:rPr>
          <w:spacing w:val="-5"/>
        </w:rPr>
        <w:t> </w:t>
      </w:r>
      <w:r>
        <w:rPr/>
        <w:t>όρια</w:t>
      </w:r>
      <w:r>
        <w:rPr>
          <w:spacing w:val="-2"/>
        </w:rPr>
        <w:t> </w:t>
      </w:r>
      <w:r>
        <w:rPr/>
        <w:t>που</w:t>
      </w:r>
      <w:r>
        <w:rPr>
          <w:spacing w:val="-1"/>
        </w:rPr>
        <w:t> </w:t>
      </w:r>
      <w:r>
        <w:rPr/>
        <w:t>θεσπίζει,</w:t>
      </w:r>
      <w:r>
        <w:rPr>
          <w:spacing w:val="-2"/>
        </w:rPr>
        <w:t> </w:t>
      </w:r>
      <w:r>
        <w:rPr/>
        <w:t>καθώς</w:t>
      </w:r>
      <w:r>
        <w:rPr>
          <w:spacing w:val="-3"/>
        </w:rPr>
        <w:t> </w:t>
      </w:r>
      <w:r>
        <w:rPr/>
        <w:t>και</w:t>
      </w:r>
      <w:r>
        <w:rPr>
          <w:spacing w:val="-2"/>
        </w:rPr>
        <w:t> </w:t>
      </w:r>
      <w:r>
        <w:rPr/>
        <w:t>το</w:t>
      </w:r>
      <w:r>
        <w:rPr>
          <w:spacing w:val="-2"/>
        </w:rPr>
        <w:t> </w:t>
      </w:r>
      <w:r>
        <w:rPr/>
        <w:t>ύψος</w:t>
      </w:r>
      <w:r>
        <w:rPr>
          <w:spacing w:val="-3"/>
        </w:rPr>
        <w:t> </w:t>
      </w:r>
      <w:r>
        <w:rPr/>
        <w:t>των</w:t>
      </w:r>
      <w:r>
        <w:rPr>
          <w:spacing w:val="-1"/>
        </w:rPr>
        <w:t> </w:t>
      </w:r>
      <w:r>
        <w:rPr/>
        <w:t>ορίων</w:t>
      </w:r>
      <w:r>
        <w:rPr>
          <w:spacing w:val="-1"/>
        </w:rPr>
        <w:t> </w:t>
      </w:r>
      <w:r>
        <w:rPr/>
        <w:t>αυτών, το</w:t>
      </w:r>
      <w:r>
        <w:rPr>
          <w:spacing w:val="-2"/>
        </w:rPr>
        <w:t> </w:t>
      </w:r>
      <w:r>
        <w:rPr/>
        <w:t>είδος</w:t>
      </w:r>
      <w:r>
        <w:rPr>
          <w:spacing w:val="-4"/>
        </w:rPr>
        <w:t> </w:t>
      </w:r>
      <w:r>
        <w:rPr/>
        <w:t>των πιστώσεων</w:t>
      </w:r>
      <w:r>
        <w:rPr>
          <w:spacing w:val="-11"/>
        </w:rPr>
        <w:t> </w:t>
      </w:r>
      <w:r>
        <w:rPr/>
        <w:t>ως</w:t>
      </w:r>
      <w:r>
        <w:rPr>
          <w:spacing w:val="-11"/>
        </w:rPr>
        <w:t> </w:t>
      </w:r>
      <w:r>
        <w:rPr/>
        <w:t>προς</w:t>
      </w:r>
      <w:r>
        <w:rPr>
          <w:spacing w:val="-10"/>
        </w:rPr>
        <w:t> </w:t>
      </w:r>
      <w:r>
        <w:rPr/>
        <w:t>τις</w:t>
      </w:r>
      <w:r>
        <w:rPr>
          <w:spacing w:val="-10"/>
        </w:rPr>
        <w:t> </w:t>
      </w:r>
      <w:r>
        <w:rPr/>
        <w:t>οποίες</w:t>
      </w:r>
      <w:r>
        <w:rPr>
          <w:spacing w:val="-11"/>
        </w:rPr>
        <w:t> </w:t>
      </w:r>
      <w:r>
        <w:rPr/>
        <w:t>εφαρμόζονται</w:t>
      </w:r>
      <w:r>
        <w:rPr>
          <w:spacing w:val="-9"/>
        </w:rPr>
        <w:t> </w:t>
      </w:r>
      <w:r>
        <w:rPr/>
        <w:t>τα</w:t>
      </w:r>
      <w:r>
        <w:rPr>
          <w:spacing w:val="-12"/>
        </w:rPr>
        <w:t> </w:t>
      </w:r>
      <w:r>
        <w:rPr/>
        <w:t>μακροπροληπτικά</w:t>
      </w:r>
      <w:r>
        <w:rPr>
          <w:spacing w:val="-10"/>
        </w:rPr>
        <w:t> </w:t>
      </w:r>
      <w:r>
        <w:rPr/>
        <w:t>μέτρα,</w:t>
      </w:r>
      <w:r>
        <w:rPr>
          <w:spacing w:val="-9"/>
        </w:rPr>
        <w:t> </w:t>
      </w:r>
      <w:r>
        <w:rPr/>
        <w:t>τους</w:t>
      </w:r>
      <w:r>
        <w:rPr>
          <w:spacing w:val="-10"/>
        </w:rPr>
        <w:t> </w:t>
      </w:r>
      <w:r>
        <w:rPr/>
        <w:t>όρους</w:t>
      </w:r>
      <w:r>
        <w:rPr>
          <w:spacing w:val="-11"/>
        </w:rPr>
        <w:t> </w:t>
      </w:r>
      <w:r>
        <w:rPr/>
        <w:t>και</w:t>
      </w:r>
      <w:r>
        <w:rPr>
          <w:spacing w:val="-12"/>
        </w:rPr>
        <w:t> </w:t>
      </w:r>
      <w:r>
        <w:rPr/>
        <w:t>τις</w:t>
      </w:r>
      <w:r>
        <w:rPr>
          <w:spacing w:val="-10"/>
        </w:rPr>
        <w:t> </w:t>
      </w:r>
      <w:r>
        <w:rPr/>
        <w:t>προ-ϋποθέσεις εφαρμογής τους.</w:t>
      </w:r>
    </w:p>
    <w:p>
      <w:pPr>
        <w:pStyle w:val="BodyText"/>
        <w:spacing w:line="285" w:lineRule="auto" w:before="51"/>
        <w:ind w:left="172" w:right="956"/>
        <w:jc w:val="both"/>
      </w:pPr>
      <w:r>
        <w:rPr/>
        <w:t>Με την Πράξη Εκτελεστικής Επιτροπής 227/1/08.03.2024</w:t>
      </w:r>
      <w:hyperlink w:history="true" w:anchor="_bookmark104">
        <w:r>
          <w:rPr>
            <w:position w:val="6"/>
            <w:sz w:val="10"/>
          </w:rPr>
          <w:t>72</w:t>
        </w:r>
      </w:hyperlink>
      <w:r>
        <w:rPr>
          <w:spacing w:val="32"/>
          <w:position w:val="6"/>
          <w:sz w:val="10"/>
        </w:rPr>
        <w:t> </w:t>
      </w:r>
      <w:r>
        <w:rPr/>
        <w:t>θεσπίστηκαν</w:t>
      </w:r>
      <w:r>
        <w:rPr>
          <w:spacing w:val="-1"/>
        </w:rPr>
        <w:t> </w:t>
      </w:r>
      <w:r>
        <w:rPr/>
        <w:t>μέτρα για τη δανειακή επιβάρυνση που εφαρμόζονται σε επίπεδο δανειολήπτη για δάνεια και λοιπές πιστώσεις προς φυσικά πρόσωπα με εξασφάλιση οικιστικό ακίνητο στην Ελλάδα, τα οποία εφαρμόζονται από τον</w:t>
      </w:r>
      <w:r>
        <w:rPr>
          <w:spacing w:val="-7"/>
        </w:rPr>
        <w:t> </w:t>
      </w:r>
      <w:r>
        <w:rPr/>
        <w:t>Ιανουάριο</w:t>
      </w:r>
      <w:r>
        <w:rPr>
          <w:spacing w:val="-6"/>
        </w:rPr>
        <w:t> </w:t>
      </w:r>
      <w:r>
        <w:rPr/>
        <w:t>του</w:t>
      </w:r>
      <w:r>
        <w:rPr>
          <w:spacing w:val="-6"/>
        </w:rPr>
        <w:t> </w:t>
      </w:r>
      <w:r>
        <w:rPr/>
        <w:t>2025.</w:t>
      </w:r>
      <w:r>
        <w:rPr>
          <w:spacing w:val="-6"/>
        </w:rPr>
        <w:t> </w:t>
      </w:r>
      <w:r>
        <w:rPr/>
        <w:t>Ειδικότερα,</w:t>
      </w:r>
      <w:r>
        <w:rPr>
          <w:spacing w:val="-10"/>
        </w:rPr>
        <w:t> </w:t>
      </w:r>
      <w:r>
        <w:rPr/>
        <w:t>το</w:t>
      </w:r>
      <w:r>
        <w:rPr>
          <w:spacing w:val="-7"/>
        </w:rPr>
        <w:t> </w:t>
      </w:r>
      <w:r>
        <w:rPr/>
        <w:t>ανώτατο</w:t>
      </w:r>
      <w:r>
        <w:rPr>
          <w:spacing w:val="-8"/>
        </w:rPr>
        <w:t> </w:t>
      </w:r>
      <w:r>
        <w:rPr/>
        <w:t>επιτρεπόμενο</w:t>
      </w:r>
      <w:r>
        <w:rPr>
          <w:spacing w:val="-9"/>
        </w:rPr>
        <w:t> </w:t>
      </w:r>
      <w:r>
        <w:rPr/>
        <w:t>όριο</w:t>
      </w:r>
      <w:r>
        <w:rPr>
          <w:spacing w:val="-6"/>
        </w:rPr>
        <w:t> </w:t>
      </w:r>
      <w:r>
        <w:rPr/>
        <w:t>για</w:t>
      </w:r>
      <w:r>
        <w:rPr>
          <w:spacing w:val="-6"/>
        </w:rPr>
        <w:t> </w:t>
      </w:r>
      <w:r>
        <w:rPr/>
        <w:t>τον</w:t>
      </w:r>
      <w:r>
        <w:rPr>
          <w:spacing w:val="-6"/>
        </w:rPr>
        <w:t> </w:t>
      </w:r>
      <w:r>
        <w:rPr/>
        <w:t>δείκτη</w:t>
      </w:r>
      <w:r>
        <w:rPr>
          <w:spacing w:val="-7"/>
        </w:rPr>
        <w:t> </w:t>
      </w:r>
      <w:r>
        <w:rPr/>
        <w:t>δανείου</w:t>
      </w:r>
      <w:r>
        <w:rPr>
          <w:spacing w:val="-7"/>
        </w:rPr>
        <w:t> </w:t>
      </w:r>
      <w:r>
        <w:rPr>
          <w:spacing w:val="-4"/>
        </w:rPr>
        <w:t>προς</w:t>
      </w:r>
    </w:p>
    <w:p>
      <w:pPr>
        <w:pStyle w:val="BodyText"/>
        <w:rPr>
          <w:sz w:val="20"/>
        </w:rPr>
      </w:pPr>
    </w:p>
    <w:p>
      <w:pPr>
        <w:pStyle w:val="BodyText"/>
        <w:spacing w:before="183"/>
        <w:rPr>
          <w:sz w:val="20"/>
        </w:rPr>
      </w:pPr>
      <w:r>
        <w:rPr>
          <w:sz w:val="20"/>
        </w:rPr>
        <mc:AlternateContent>
          <mc:Choice Requires="wps">
            <w:drawing>
              <wp:anchor distT="0" distB="0" distL="0" distR="0" allowOverlap="1" layoutInCell="1" locked="0" behindDoc="1" simplePos="0" relativeHeight="487641600">
                <wp:simplePos x="0" y="0"/>
                <wp:positionH relativeFrom="page">
                  <wp:posOffset>1009192</wp:posOffset>
                </wp:positionH>
                <wp:positionV relativeFrom="paragraph">
                  <wp:posOffset>277649</wp:posOffset>
                </wp:positionV>
                <wp:extent cx="1829435" cy="7620"/>
                <wp:effectExtent l="0" t="0" r="0" b="0"/>
                <wp:wrapTopAndBottom/>
                <wp:docPr id="546" name="Graphic 546"/>
                <wp:cNvGraphicFramePr>
                  <a:graphicFrameLocks/>
                </wp:cNvGraphicFramePr>
                <a:graphic>
                  <a:graphicData uri="http://schemas.microsoft.com/office/word/2010/wordprocessingShape">
                    <wps:wsp>
                      <wps:cNvPr id="546" name="Graphic 54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1.862186pt;width:144.020pt;height:.60004pt;mso-position-horizontal-relative:page;mso-position-vertical-relative:paragraph;z-index:-15674880;mso-wrap-distance-left:0;mso-wrap-distance-right:0" id="docshape518" filled="true" fillcolor="#000000" stroked="false">
                <v:fill type="solid"/>
                <w10:wrap type="topAndBottom"/>
              </v:rect>
            </w:pict>
          </mc:Fallback>
        </mc:AlternateContent>
      </w:r>
    </w:p>
    <w:p>
      <w:pPr>
        <w:spacing w:before="165"/>
        <w:ind w:left="172" w:right="958" w:firstLine="0"/>
        <w:jc w:val="both"/>
        <w:rPr>
          <w:sz w:val="16"/>
        </w:rPr>
      </w:pPr>
      <w:bookmarkStart w:name="_bookmark101" w:id="102"/>
      <w:bookmarkEnd w:id="102"/>
      <w:r>
        <w:rPr/>
      </w:r>
      <w:r>
        <w:rPr>
          <w:sz w:val="16"/>
          <w:vertAlign w:val="superscript"/>
        </w:rPr>
        <w:t>69</w:t>
      </w:r>
      <w:r>
        <w:rPr>
          <w:sz w:val="16"/>
          <w:vertAlign w:val="baseline"/>
        </w:rPr>
        <w:t> “Προσδιορισμός</w:t>
      </w:r>
      <w:r>
        <w:rPr>
          <w:spacing w:val="-1"/>
          <w:sz w:val="16"/>
          <w:vertAlign w:val="baseline"/>
        </w:rPr>
        <w:t> </w:t>
      </w:r>
      <w:r>
        <w:rPr>
          <w:sz w:val="16"/>
          <w:vertAlign w:val="baseline"/>
        </w:rPr>
        <w:t>των</w:t>
      </w:r>
      <w:r>
        <w:rPr>
          <w:spacing w:val="-2"/>
          <w:sz w:val="16"/>
          <w:vertAlign w:val="baseline"/>
        </w:rPr>
        <w:t> </w:t>
      </w:r>
      <w:r>
        <w:rPr>
          <w:sz w:val="16"/>
          <w:vertAlign w:val="baseline"/>
        </w:rPr>
        <w:t>λοιπών συστημικά σημαντικών</w:t>
      </w:r>
      <w:r>
        <w:rPr>
          <w:spacing w:val="-3"/>
          <w:sz w:val="16"/>
          <w:vertAlign w:val="baseline"/>
        </w:rPr>
        <w:t> </w:t>
      </w:r>
      <w:r>
        <w:rPr>
          <w:sz w:val="16"/>
          <w:vertAlign w:val="baseline"/>
        </w:rPr>
        <w:t>ιδρυμάτων</w:t>
      </w:r>
      <w:r>
        <w:rPr>
          <w:spacing w:val="-2"/>
          <w:sz w:val="16"/>
          <w:vertAlign w:val="baseline"/>
        </w:rPr>
        <w:t> </w:t>
      </w:r>
      <w:r>
        <w:rPr>
          <w:sz w:val="16"/>
          <w:vertAlign w:val="baseline"/>
        </w:rPr>
        <w:t>(O-SII) για το έτος</w:t>
      </w:r>
      <w:r>
        <w:rPr>
          <w:spacing w:val="-1"/>
          <w:sz w:val="16"/>
          <w:vertAlign w:val="baseline"/>
        </w:rPr>
        <w:t> </w:t>
      </w:r>
      <w:r>
        <w:rPr>
          <w:sz w:val="16"/>
          <w:vertAlign w:val="baseline"/>
        </w:rPr>
        <w:t>2025</w:t>
      </w:r>
      <w:r>
        <w:rPr>
          <w:spacing w:val="-1"/>
          <w:sz w:val="16"/>
          <w:vertAlign w:val="baseline"/>
        </w:rPr>
        <w:t> </w:t>
      </w:r>
      <w:r>
        <w:rPr>
          <w:sz w:val="16"/>
          <w:vertAlign w:val="baseline"/>
        </w:rPr>
        <w:t>και</w:t>
      </w:r>
      <w:r>
        <w:rPr>
          <w:spacing w:val="-5"/>
          <w:sz w:val="16"/>
          <w:vertAlign w:val="baseline"/>
        </w:rPr>
        <w:t> </w:t>
      </w:r>
      <w:r>
        <w:rPr>
          <w:sz w:val="16"/>
          <w:vertAlign w:val="baseline"/>
        </w:rPr>
        <w:t>καθορισμός</w:t>
      </w:r>
      <w:r>
        <w:rPr>
          <w:spacing w:val="-1"/>
          <w:sz w:val="16"/>
          <w:vertAlign w:val="baseline"/>
        </w:rPr>
        <w:t> </w:t>
      </w:r>
      <w:r>
        <w:rPr>
          <w:sz w:val="16"/>
          <w:vertAlign w:val="baseline"/>
        </w:rPr>
        <w:t>του</w:t>
      </w:r>
      <w:r>
        <w:rPr>
          <w:spacing w:val="-2"/>
          <w:sz w:val="16"/>
          <w:vertAlign w:val="baseline"/>
        </w:rPr>
        <w:t> </w:t>
      </w:r>
      <w:r>
        <w:rPr>
          <w:sz w:val="16"/>
          <w:vertAlign w:val="baseline"/>
        </w:rPr>
        <w:t>τηρούμενου</w:t>
      </w:r>
      <w:r>
        <w:rPr>
          <w:spacing w:val="-2"/>
          <w:sz w:val="16"/>
          <w:vertAlign w:val="baseline"/>
        </w:rPr>
        <w:t> </w:t>
      </w:r>
      <w:r>
        <w:rPr>
          <w:sz w:val="16"/>
          <w:vertAlign w:val="baseline"/>
        </w:rPr>
        <w:t>αποθέ-ματος ασφαλείας O-SII για το έτος 2026”.</w:t>
      </w:r>
    </w:p>
    <w:p>
      <w:pPr>
        <w:spacing w:before="21"/>
        <w:ind w:left="172" w:right="958" w:firstLine="0"/>
        <w:jc w:val="both"/>
        <w:rPr>
          <w:sz w:val="16"/>
        </w:rPr>
      </w:pPr>
      <w:bookmarkStart w:name="_bookmark102" w:id="103"/>
      <w:bookmarkEnd w:id="103"/>
      <w:r>
        <w:rPr/>
      </w:r>
      <w:r>
        <w:rPr>
          <w:sz w:val="16"/>
          <w:vertAlign w:val="superscript"/>
        </w:rPr>
        <w:t>70</w:t>
      </w:r>
      <w:r>
        <w:rPr>
          <w:spacing w:val="-10"/>
          <w:sz w:val="16"/>
          <w:vertAlign w:val="baseline"/>
        </w:rPr>
        <w:t> </w:t>
      </w:r>
      <w:r>
        <w:rPr>
          <w:sz w:val="16"/>
          <w:vertAlign w:val="baseline"/>
        </w:rPr>
        <w:t>Σημειώνεται</w:t>
      </w:r>
      <w:r>
        <w:rPr>
          <w:spacing w:val="-10"/>
          <w:sz w:val="16"/>
          <w:vertAlign w:val="baseline"/>
        </w:rPr>
        <w:t> </w:t>
      </w:r>
      <w:r>
        <w:rPr>
          <w:sz w:val="16"/>
          <w:vertAlign w:val="baseline"/>
        </w:rPr>
        <w:t>ότι</w:t>
      </w:r>
      <w:r>
        <w:rPr>
          <w:spacing w:val="-10"/>
          <w:sz w:val="16"/>
          <w:vertAlign w:val="baseline"/>
        </w:rPr>
        <w:t> </w:t>
      </w:r>
      <w:r>
        <w:rPr>
          <w:sz w:val="16"/>
          <w:vertAlign w:val="baseline"/>
        </w:rPr>
        <w:t>στις</w:t>
      </w:r>
      <w:r>
        <w:rPr>
          <w:spacing w:val="-10"/>
          <w:sz w:val="16"/>
          <w:vertAlign w:val="baseline"/>
        </w:rPr>
        <w:t> </w:t>
      </w:r>
      <w:r>
        <w:rPr>
          <w:sz w:val="16"/>
          <w:vertAlign w:val="baseline"/>
        </w:rPr>
        <w:t>12.12.2025</w:t>
      </w:r>
      <w:r>
        <w:rPr>
          <w:spacing w:val="-10"/>
          <w:sz w:val="16"/>
          <w:vertAlign w:val="baseline"/>
        </w:rPr>
        <w:t> </w:t>
      </w:r>
      <w:r>
        <w:rPr>
          <w:sz w:val="16"/>
          <w:vertAlign w:val="baseline"/>
        </w:rPr>
        <w:t>ολοκληρώθηκε</w:t>
      </w:r>
      <w:r>
        <w:rPr>
          <w:spacing w:val="-10"/>
          <w:sz w:val="16"/>
          <w:vertAlign w:val="baseline"/>
        </w:rPr>
        <w:t> </w:t>
      </w:r>
      <w:r>
        <w:rPr>
          <w:sz w:val="16"/>
          <w:vertAlign w:val="baseline"/>
        </w:rPr>
        <w:t>η</w:t>
      </w:r>
      <w:r>
        <w:rPr>
          <w:spacing w:val="-10"/>
          <w:sz w:val="16"/>
          <w:vertAlign w:val="baseline"/>
        </w:rPr>
        <w:t> </w:t>
      </w:r>
      <w:r>
        <w:rPr>
          <w:sz w:val="16"/>
          <w:vertAlign w:val="baseline"/>
        </w:rPr>
        <w:t>συγχώνευση</w:t>
      </w:r>
      <w:r>
        <w:rPr>
          <w:spacing w:val="-10"/>
          <w:sz w:val="16"/>
          <w:vertAlign w:val="baseline"/>
        </w:rPr>
        <w:t> </w:t>
      </w:r>
      <w:r>
        <w:rPr>
          <w:sz w:val="16"/>
          <w:vertAlign w:val="baseline"/>
        </w:rPr>
        <w:t>με</w:t>
      </w:r>
      <w:r>
        <w:rPr>
          <w:spacing w:val="-10"/>
          <w:sz w:val="16"/>
          <w:vertAlign w:val="baseline"/>
        </w:rPr>
        <w:t> </w:t>
      </w:r>
      <w:r>
        <w:rPr>
          <w:sz w:val="16"/>
          <w:vertAlign w:val="baseline"/>
        </w:rPr>
        <w:t>απορρόφηση</w:t>
      </w:r>
      <w:r>
        <w:rPr>
          <w:spacing w:val="-10"/>
          <w:sz w:val="16"/>
          <w:vertAlign w:val="baseline"/>
        </w:rPr>
        <w:t> </w:t>
      </w:r>
      <w:r>
        <w:rPr>
          <w:sz w:val="16"/>
          <w:vertAlign w:val="baseline"/>
        </w:rPr>
        <w:t>της</w:t>
      </w:r>
      <w:r>
        <w:rPr>
          <w:spacing w:val="-10"/>
          <w:sz w:val="16"/>
          <w:vertAlign w:val="baseline"/>
        </w:rPr>
        <w:t> </w:t>
      </w:r>
      <w:r>
        <w:rPr>
          <w:sz w:val="16"/>
          <w:vertAlign w:val="baseline"/>
        </w:rPr>
        <w:t>Eurobank</w:t>
      </w:r>
      <w:r>
        <w:rPr>
          <w:spacing w:val="-10"/>
          <w:sz w:val="16"/>
          <w:vertAlign w:val="baseline"/>
        </w:rPr>
        <w:t> </w:t>
      </w:r>
      <w:r>
        <w:rPr>
          <w:sz w:val="16"/>
          <w:vertAlign w:val="baseline"/>
        </w:rPr>
        <w:t>Ergasias</w:t>
      </w:r>
      <w:r>
        <w:rPr>
          <w:spacing w:val="-10"/>
          <w:sz w:val="16"/>
          <w:vertAlign w:val="baseline"/>
        </w:rPr>
        <w:t> </w:t>
      </w:r>
      <w:r>
        <w:rPr>
          <w:sz w:val="16"/>
          <w:vertAlign w:val="baseline"/>
        </w:rPr>
        <w:t>Υπηρεσιών</w:t>
      </w:r>
      <w:r>
        <w:rPr>
          <w:spacing w:val="-10"/>
          <w:sz w:val="16"/>
          <w:vertAlign w:val="baseline"/>
        </w:rPr>
        <w:t> </w:t>
      </w:r>
      <w:r>
        <w:rPr>
          <w:sz w:val="16"/>
          <w:vertAlign w:val="baseline"/>
        </w:rPr>
        <w:t>και</w:t>
      </w:r>
      <w:r>
        <w:rPr>
          <w:spacing w:val="-10"/>
          <w:sz w:val="16"/>
          <w:vertAlign w:val="baseline"/>
        </w:rPr>
        <w:t> </w:t>
      </w:r>
      <w:r>
        <w:rPr>
          <w:sz w:val="16"/>
          <w:vertAlign w:val="baseline"/>
        </w:rPr>
        <w:t>Συμμετοχών</w:t>
      </w:r>
      <w:r>
        <w:rPr>
          <w:spacing w:val="40"/>
          <w:sz w:val="16"/>
          <w:vertAlign w:val="baseline"/>
        </w:rPr>
        <w:t> </w:t>
      </w:r>
      <w:r>
        <w:rPr>
          <w:sz w:val="16"/>
          <w:vertAlign w:val="baseline"/>
        </w:rPr>
        <w:t>Α.Ε.</w:t>
      </w:r>
      <w:r>
        <w:rPr>
          <w:spacing w:val="-1"/>
          <w:sz w:val="16"/>
          <w:vertAlign w:val="baseline"/>
        </w:rPr>
        <w:t> </w:t>
      </w:r>
      <w:r>
        <w:rPr>
          <w:sz w:val="16"/>
          <w:vertAlign w:val="baseline"/>
        </w:rPr>
        <w:t>από την Τράπεζα</w:t>
      </w:r>
      <w:r>
        <w:rPr>
          <w:spacing w:val="-2"/>
          <w:sz w:val="16"/>
          <w:vertAlign w:val="baseline"/>
        </w:rPr>
        <w:t> </w:t>
      </w:r>
      <w:r>
        <w:rPr>
          <w:sz w:val="16"/>
          <w:vertAlign w:val="baseline"/>
        </w:rPr>
        <w:t>Eurobank</w:t>
      </w:r>
      <w:r>
        <w:rPr>
          <w:spacing w:val="-1"/>
          <w:sz w:val="16"/>
          <w:vertAlign w:val="baseline"/>
        </w:rPr>
        <w:t> </w:t>
      </w:r>
      <w:r>
        <w:rPr>
          <w:sz w:val="16"/>
          <w:vertAlign w:val="baseline"/>
        </w:rPr>
        <w:t>A.E.</w:t>
      </w:r>
      <w:r>
        <w:rPr>
          <w:spacing w:val="-1"/>
          <w:sz w:val="16"/>
          <w:vertAlign w:val="baseline"/>
        </w:rPr>
        <w:t> </w:t>
      </w:r>
      <w:r>
        <w:rPr>
          <w:sz w:val="16"/>
          <w:vertAlign w:val="baseline"/>
        </w:rPr>
        <w:t>και κατά συνέπεια</w:t>
      </w:r>
      <w:r>
        <w:rPr>
          <w:spacing w:val="-2"/>
          <w:sz w:val="16"/>
          <w:vertAlign w:val="baseline"/>
        </w:rPr>
        <w:t> </w:t>
      </w:r>
      <w:r>
        <w:rPr>
          <w:sz w:val="16"/>
          <w:vertAlign w:val="baseline"/>
        </w:rPr>
        <w:t>το ποσοστό</w:t>
      </w:r>
      <w:r>
        <w:rPr>
          <w:spacing w:val="-1"/>
          <w:sz w:val="16"/>
          <w:vertAlign w:val="baseline"/>
        </w:rPr>
        <w:t> </w:t>
      </w:r>
      <w:r>
        <w:rPr>
          <w:sz w:val="16"/>
          <w:vertAlign w:val="baseline"/>
        </w:rPr>
        <w:t>1,25% εφαρμόζεται</w:t>
      </w:r>
      <w:r>
        <w:rPr>
          <w:spacing w:val="-2"/>
          <w:sz w:val="16"/>
          <w:vertAlign w:val="baseline"/>
        </w:rPr>
        <w:t> </w:t>
      </w:r>
      <w:r>
        <w:rPr>
          <w:sz w:val="16"/>
          <w:vertAlign w:val="baseline"/>
        </w:rPr>
        <w:t>στην</w:t>
      </w:r>
      <w:r>
        <w:rPr>
          <w:spacing w:val="-3"/>
          <w:sz w:val="16"/>
          <w:vertAlign w:val="baseline"/>
        </w:rPr>
        <w:t> </w:t>
      </w:r>
      <w:r>
        <w:rPr>
          <w:sz w:val="16"/>
          <w:vertAlign w:val="baseline"/>
        </w:rPr>
        <w:t>Τράπεζα Eurobank A.E.</w:t>
      </w:r>
      <w:r>
        <w:rPr>
          <w:spacing w:val="-1"/>
          <w:sz w:val="16"/>
          <w:vertAlign w:val="baseline"/>
        </w:rPr>
        <w:t> </w:t>
      </w:r>
      <w:r>
        <w:rPr>
          <w:sz w:val="16"/>
          <w:vertAlign w:val="baseline"/>
        </w:rPr>
        <w:t>σε ενοποιη-μένη</w:t>
      </w:r>
      <w:r>
        <w:rPr>
          <w:spacing w:val="-1"/>
          <w:sz w:val="16"/>
          <w:vertAlign w:val="baseline"/>
        </w:rPr>
        <w:t> </w:t>
      </w:r>
      <w:r>
        <w:rPr>
          <w:sz w:val="16"/>
          <w:vertAlign w:val="baseline"/>
        </w:rPr>
        <w:t>βάση.</w:t>
      </w:r>
    </w:p>
    <w:p>
      <w:pPr>
        <w:spacing w:before="19"/>
        <w:ind w:left="172" w:right="961" w:firstLine="0"/>
        <w:jc w:val="both"/>
        <w:rPr>
          <w:sz w:val="16"/>
        </w:rPr>
      </w:pPr>
      <w:bookmarkStart w:name="_bookmark103" w:id="104"/>
      <w:bookmarkEnd w:id="104"/>
      <w:r>
        <w:rPr/>
      </w:r>
      <w:r>
        <w:rPr>
          <w:sz w:val="16"/>
          <w:vertAlign w:val="superscript"/>
        </w:rPr>
        <w:t>71</w:t>
      </w:r>
      <w:r>
        <w:rPr>
          <w:sz w:val="16"/>
          <w:vertAlign w:val="baseline"/>
        </w:rPr>
        <w:t> Σημειώνεται ότι στις 19.12.2025 ολοκληρώθηκε η συγχώνευση με απορρόφηση της Πειραιώς Financial Holdings A.E. από την</w:t>
      </w:r>
      <w:r>
        <w:rPr>
          <w:spacing w:val="40"/>
          <w:sz w:val="16"/>
          <w:vertAlign w:val="baseline"/>
        </w:rPr>
        <w:t> </w:t>
      </w:r>
      <w:r>
        <w:rPr>
          <w:sz w:val="16"/>
          <w:vertAlign w:val="baseline"/>
        </w:rPr>
        <w:t>Τράπεζα Πειραιώς Α.Ε και κατά συνέπεια το ποσοστό 1% εφαρμόζεται στην Τράπεζα Πειραιώς Α.Ε. σε ενοποιημένη και ατομική</w:t>
      </w:r>
      <w:r>
        <w:rPr>
          <w:spacing w:val="40"/>
          <w:sz w:val="16"/>
          <w:vertAlign w:val="baseline"/>
        </w:rPr>
        <w:t> </w:t>
      </w:r>
      <w:r>
        <w:rPr>
          <w:spacing w:val="-2"/>
          <w:sz w:val="16"/>
          <w:vertAlign w:val="baseline"/>
        </w:rPr>
        <w:t>βάση.</w:t>
      </w:r>
    </w:p>
    <w:p>
      <w:pPr>
        <w:spacing w:before="21"/>
        <w:ind w:left="172" w:right="958" w:firstLine="0"/>
        <w:jc w:val="both"/>
        <w:rPr>
          <w:sz w:val="16"/>
        </w:rPr>
      </w:pPr>
      <w:bookmarkStart w:name="_bookmark104" w:id="105"/>
      <w:bookmarkEnd w:id="105"/>
      <w:r>
        <w:rPr/>
      </w:r>
      <w:r>
        <w:rPr>
          <w:sz w:val="16"/>
          <w:vertAlign w:val="superscript"/>
        </w:rPr>
        <w:t>72</w:t>
      </w:r>
      <w:r>
        <w:rPr>
          <w:sz w:val="16"/>
          <w:vertAlign w:val="baseline"/>
        </w:rPr>
        <w:t> “Θέσπιση μακροπροληπτικών μέτρων σχετικά με τη δανειακή επιβάρυνση που εφαρμόζονται σε επίπεδο δανειολήπτη για δάνεια</w:t>
      </w:r>
      <w:r>
        <w:rPr>
          <w:spacing w:val="40"/>
          <w:sz w:val="16"/>
          <w:vertAlign w:val="baseline"/>
        </w:rPr>
        <w:t> </w:t>
      </w:r>
      <w:r>
        <w:rPr>
          <w:sz w:val="16"/>
          <w:vertAlign w:val="baseline"/>
        </w:rPr>
        <w:t>και λοιπές πιστώσεις προς φυσικά πρόσωπα με εξασφάλιση οικιστικό ακίνητο σύμφωνα με το άρθρο 133Α του ν. 4261/2014”.</w:t>
      </w:r>
    </w:p>
    <w:p>
      <w:pPr>
        <w:spacing w:after="0"/>
        <w:jc w:val="both"/>
        <w:rPr>
          <w:sz w:val="16"/>
        </w:rPr>
        <w:sectPr>
          <w:pgSz w:w="11910" w:h="16850"/>
          <w:pgMar w:header="0" w:footer="1108" w:top="1840" w:bottom="1300" w:left="1417" w:right="850"/>
        </w:sectPr>
      </w:pPr>
    </w:p>
    <w:p>
      <w:pPr>
        <w:pStyle w:val="BodyText"/>
        <w:spacing w:line="285" w:lineRule="auto" w:before="66"/>
        <w:ind w:left="172" w:right="956"/>
        <w:jc w:val="both"/>
      </w:pPr>
      <w:r>
        <w:rPr/>
        <w:t>αξία</w:t>
      </w:r>
      <w:r>
        <w:rPr>
          <w:spacing w:val="-8"/>
        </w:rPr>
        <w:t> </w:t>
      </w:r>
      <w:r>
        <w:rPr/>
        <w:t>κατά</w:t>
      </w:r>
      <w:r>
        <w:rPr>
          <w:spacing w:val="-8"/>
        </w:rPr>
        <w:t> </w:t>
      </w:r>
      <w:r>
        <w:rPr/>
        <w:t>την</w:t>
      </w:r>
      <w:r>
        <w:rPr>
          <w:spacing w:val="-7"/>
        </w:rPr>
        <w:t> </w:t>
      </w:r>
      <w:r>
        <w:rPr/>
        <w:t>έγκριση</w:t>
      </w:r>
      <w:r>
        <w:rPr>
          <w:spacing w:val="-6"/>
        </w:rPr>
        <w:t> </w:t>
      </w:r>
      <w:r>
        <w:rPr/>
        <w:t>(loan-to-value</w:t>
      </w:r>
      <w:r>
        <w:rPr>
          <w:spacing w:val="-9"/>
        </w:rPr>
        <w:t> </w:t>
      </w:r>
      <w:r>
        <w:rPr/>
        <w:t>at</w:t>
      </w:r>
      <w:r>
        <w:rPr>
          <w:spacing w:val="-6"/>
        </w:rPr>
        <w:t> </w:t>
      </w:r>
      <w:r>
        <w:rPr/>
        <w:t>origination</w:t>
      </w:r>
      <w:r>
        <w:rPr>
          <w:spacing w:val="-7"/>
        </w:rPr>
        <w:t> </w:t>
      </w:r>
      <w:r>
        <w:rPr/>
        <w:t>–</w:t>
      </w:r>
      <w:r>
        <w:rPr>
          <w:spacing w:val="-9"/>
        </w:rPr>
        <w:t> </w:t>
      </w:r>
      <w:r>
        <w:rPr/>
        <w:t>LTV-O)</w:t>
      </w:r>
      <w:r>
        <w:rPr>
          <w:spacing w:val="-6"/>
        </w:rPr>
        <w:t> </w:t>
      </w:r>
      <w:r>
        <w:rPr/>
        <w:t>τέθηκε</w:t>
      </w:r>
      <w:r>
        <w:rPr>
          <w:spacing w:val="-6"/>
        </w:rPr>
        <w:t> </w:t>
      </w:r>
      <w:r>
        <w:rPr/>
        <w:t>σε</w:t>
      </w:r>
      <w:r>
        <w:rPr>
          <w:spacing w:val="-6"/>
        </w:rPr>
        <w:t> </w:t>
      </w:r>
      <w:r>
        <w:rPr/>
        <w:t>90%</w:t>
      </w:r>
      <w:r>
        <w:rPr>
          <w:spacing w:val="-9"/>
        </w:rPr>
        <w:t> </w:t>
      </w:r>
      <w:r>
        <w:rPr/>
        <w:t>για</w:t>
      </w:r>
      <w:r>
        <w:rPr>
          <w:spacing w:val="-9"/>
        </w:rPr>
        <w:t> </w:t>
      </w:r>
      <w:r>
        <w:rPr/>
        <w:t>τους</w:t>
      </w:r>
      <w:r>
        <w:rPr>
          <w:spacing w:val="-8"/>
        </w:rPr>
        <w:t> </w:t>
      </w:r>
      <w:r>
        <w:rPr/>
        <w:t>δανειολή-πτες που είναι αγοραστές για πρώτη φορά</w:t>
      </w:r>
      <w:hyperlink w:history="true" w:anchor="_bookmark105">
        <w:r>
          <w:rPr>
            <w:position w:val="6"/>
            <w:sz w:val="10"/>
          </w:rPr>
          <w:t>73</w:t>
        </w:r>
      </w:hyperlink>
      <w:r>
        <w:rPr>
          <w:spacing w:val="35"/>
          <w:position w:val="6"/>
          <w:sz w:val="10"/>
        </w:rPr>
        <w:t> </w:t>
      </w:r>
      <w:r>
        <w:rPr/>
        <w:t>και σε 80% για τους λοιπούς δανειολήπτες. Επίσης, το ανώτατο επιτρεπόμενο όριο για τον δείκτη εξυπηρέτησης δανείου προς εισόδημα κατά την έγκριση</w:t>
      </w:r>
      <w:r>
        <w:rPr>
          <w:spacing w:val="-2"/>
        </w:rPr>
        <w:t> </w:t>
      </w:r>
      <w:r>
        <w:rPr/>
        <w:t>(debt</w:t>
      </w:r>
      <w:r>
        <w:rPr>
          <w:spacing w:val="-3"/>
        </w:rPr>
        <w:t> </w:t>
      </w:r>
      <w:r>
        <w:rPr/>
        <w:t>service-to-income</w:t>
      </w:r>
      <w:r>
        <w:rPr>
          <w:spacing w:val="-3"/>
        </w:rPr>
        <w:t> </w:t>
      </w:r>
      <w:r>
        <w:rPr/>
        <w:t>at</w:t>
      </w:r>
      <w:r>
        <w:rPr>
          <w:spacing w:val="-1"/>
        </w:rPr>
        <w:t> </w:t>
      </w:r>
      <w:r>
        <w:rPr/>
        <w:t>origination</w:t>
      </w:r>
      <w:r>
        <w:rPr>
          <w:spacing w:val="-2"/>
        </w:rPr>
        <w:t> </w:t>
      </w:r>
      <w:r>
        <w:rPr/>
        <w:t>–</w:t>
      </w:r>
      <w:r>
        <w:rPr>
          <w:spacing w:val="-2"/>
        </w:rPr>
        <w:t> </w:t>
      </w:r>
      <w:r>
        <w:rPr/>
        <w:t>DSTI-O)</w:t>
      </w:r>
      <w:r>
        <w:rPr>
          <w:spacing w:val="-2"/>
        </w:rPr>
        <w:t> </w:t>
      </w:r>
      <w:r>
        <w:rPr/>
        <w:t>τέθηκε</w:t>
      </w:r>
      <w:r>
        <w:rPr>
          <w:spacing w:val="-2"/>
        </w:rPr>
        <w:t> </w:t>
      </w:r>
      <w:r>
        <w:rPr/>
        <w:t>σε</w:t>
      </w:r>
      <w:r>
        <w:rPr>
          <w:spacing w:val="-2"/>
        </w:rPr>
        <w:t> </w:t>
      </w:r>
      <w:r>
        <w:rPr/>
        <w:t>50%</w:t>
      </w:r>
      <w:r>
        <w:rPr>
          <w:spacing w:val="-4"/>
        </w:rPr>
        <w:t> </w:t>
      </w:r>
      <w:r>
        <w:rPr/>
        <w:t>για</w:t>
      </w:r>
      <w:r>
        <w:rPr>
          <w:spacing w:val="-2"/>
        </w:rPr>
        <w:t> </w:t>
      </w:r>
      <w:r>
        <w:rPr/>
        <w:t>τους</w:t>
      </w:r>
      <w:r>
        <w:rPr>
          <w:spacing w:val="-3"/>
        </w:rPr>
        <w:t> </w:t>
      </w:r>
      <w:r>
        <w:rPr/>
        <w:t>δανειολήπτες που</w:t>
      </w:r>
      <w:r>
        <w:rPr>
          <w:spacing w:val="-1"/>
        </w:rPr>
        <w:t> </w:t>
      </w:r>
      <w:r>
        <w:rPr/>
        <w:t>είναι αγοραστές</w:t>
      </w:r>
      <w:r>
        <w:rPr>
          <w:spacing w:val="-3"/>
        </w:rPr>
        <w:t> </w:t>
      </w:r>
      <w:r>
        <w:rPr/>
        <w:t>για</w:t>
      </w:r>
      <w:r>
        <w:rPr>
          <w:spacing w:val="-1"/>
        </w:rPr>
        <w:t> </w:t>
      </w:r>
      <w:r>
        <w:rPr/>
        <w:t>πρώτη φορά και</w:t>
      </w:r>
      <w:r>
        <w:rPr>
          <w:spacing w:val="-5"/>
        </w:rPr>
        <w:t> </w:t>
      </w:r>
      <w:r>
        <w:rPr/>
        <w:t>σε</w:t>
      </w:r>
      <w:r>
        <w:rPr>
          <w:spacing w:val="-2"/>
        </w:rPr>
        <w:t> </w:t>
      </w:r>
      <w:r>
        <w:rPr/>
        <w:t>40%</w:t>
      </w:r>
      <w:r>
        <w:rPr>
          <w:spacing w:val="-2"/>
        </w:rPr>
        <w:t> </w:t>
      </w:r>
      <w:r>
        <w:rPr/>
        <w:t>για</w:t>
      </w:r>
      <w:r>
        <w:rPr>
          <w:spacing w:val="-2"/>
        </w:rPr>
        <w:t> </w:t>
      </w:r>
      <w:r>
        <w:rPr/>
        <w:t>τους</w:t>
      </w:r>
      <w:r>
        <w:rPr>
          <w:spacing w:val="-3"/>
        </w:rPr>
        <w:t> </w:t>
      </w:r>
      <w:r>
        <w:rPr/>
        <w:t>λοιπούς</w:t>
      </w:r>
      <w:r>
        <w:rPr>
          <w:spacing w:val="-1"/>
        </w:rPr>
        <w:t> </w:t>
      </w:r>
      <w:r>
        <w:rPr/>
        <w:t>δανειολήπτες.</w:t>
      </w:r>
      <w:r>
        <w:rPr>
          <w:spacing w:val="-2"/>
        </w:rPr>
        <w:t> </w:t>
      </w:r>
      <w:r>
        <w:rPr/>
        <w:t>Επισημαίνεται ότι</w:t>
      </w:r>
      <w:r>
        <w:rPr>
          <w:spacing w:val="-10"/>
        </w:rPr>
        <w:t> </w:t>
      </w:r>
      <w:r>
        <w:rPr/>
        <w:t>ο</w:t>
      </w:r>
      <w:r>
        <w:rPr>
          <w:spacing w:val="-11"/>
        </w:rPr>
        <w:t> </w:t>
      </w:r>
      <w:r>
        <w:rPr/>
        <w:t>δείκτης</w:t>
      </w:r>
      <w:r>
        <w:rPr>
          <w:spacing w:val="-12"/>
        </w:rPr>
        <w:t> </w:t>
      </w:r>
      <w:r>
        <w:rPr/>
        <w:t>DSTI-O</w:t>
      </w:r>
      <w:r>
        <w:rPr>
          <w:spacing w:val="-12"/>
        </w:rPr>
        <w:t> </w:t>
      </w:r>
      <w:r>
        <w:rPr/>
        <w:t>νοείται</w:t>
      </w:r>
      <w:r>
        <w:rPr>
          <w:spacing w:val="-11"/>
        </w:rPr>
        <w:t> </w:t>
      </w:r>
      <w:r>
        <w:rPr/>
        <w:t>ως</w:t>
      </w:r>
      <w:r>
        <w:rPr>
          <w:spacing w:val="-12"/>
        </w:rPr>
        <w:t> </w:t>
      </w:r>
      <w:r>
        <w:rPr/>
        <w:t>το</w:t>
      </w:r>
      <w:r>
        <w:rPr>
          <w:spacing w:val="-11"/>
        </w:rPr>
        <w:t> </w:t>
      </w:r>
      <w:r>
        <w:rPr/>
        <w:t>ετήσιο</w:t>
      </w:r>
      <w:r>
        <w:rPr>
          <w:spacing w:val="-10"/>
        </w:rPr>
        <w:t> </w:t>
      </w:r>
      <w:r>
        <w:rPr/>
        <w:t>κόστος</w:t>
      </w:r>
      <w:r>
        <w:rPr>
          <w:spacing w:val="-12"/>
        </w:rPr>
        <w:t> </w:t>
      </w:r>
      <w:r>
        <w:rPr/>
        <w:t>εξυπηρέτησης</w:t>
      </w:r>
      <w:r>
        <w:rPr>
          <w:spacing w:val="-12"/>
        </w:rPr>
        <w:t> </w:t>
      </w:r>
      <w:r>
        <w:rPr/>
        <w:t>του</w:t>
      </w:r>
      <w:r>
        <w:rPr>
          <w:spacing w:val="-10"/>
        </w:rPr>
        <w:t> </w:t>
      </w:r>
      <w:r>
        <w:rPr/>
        <w:t>συνολικού</w:t>
      </w:r>
      <w:r>
        <w:rPr>
          <w:spacing w:val="-10"/>
        </w:rPr>
        <w:t> </w:t>
      </w:r>
      <w:r>
        <w:rPr/>
        <w:t>χρέους</w:t>
      </w:r>
      <w:r>
        <w:rPr>
          <w:spacing w:val="-12"/>
        </w:rPr>
        <w:t> </w:t>
      </w:r>
      <w:r>
        <w:rPr/>
        <w:t>σε</w:t>
      </w:r>
      <w:r>
        <w:rPr>
          <w:spacing w:val="-10"/>
        </w:rPr>
        <w:t> </w:t>
      </w:r>
      <w:r>
        <w:rPr/>
        <w:t>σχέση με το συνολικό ετήσιο διαθέσιμο εισόδημα του δανειολήπτη κατά τον χρόνο έγκρισης του δα-νείου ή της πίστωσης, ενώ ο δείκτης LTV-O νοείται ως το σύνολο των δανείων ή τμημάτων δανείων και λοιπών πιστώσεων που εξασφαλίζονται με ακίνητο από τον δανειολήπτη κατά τον χρόνο έγκρισης σε σχέση με την αξία του υπέγγυου ακινήτου κατά τον χρόνο έγκρισης.</w:t>
      </w:r>
    </w:p>
    <w:p>
      <w:pPr>
        <w:pStyle w:val="BodyText"/>
        <w:spacing w:line="285" w:lineRule="auto" w:before="49"/>
        <w:ind w:left="172" w:right="954"/>
        <w:jc w:val="both"/>
      </w:pPr>
      <w:r>
        <w:rPr/>
        <w:t>Κρίθηκε</w:t>
      </w:r>
      <w:r>
        <w:rPr>
          <w:spacing w:val="-8"/>
        </w:rPr>
        <w:t> </w:t>
      </w:r>
      <w:r>
        <w:rPr/>
        <w:t>σκόπιμο</w:t>
      </w:r>
      <w:r>
        <w:rPr>
          <w:spacing w:val="-9"/>
        </w:rPr>
        <w:t> </w:t>
      </w:r>
      <w:r>
        <w:rPr/>
        <w:t>να</w:t>
      </w:r>
      <w:r>
        <w:rPr>
          <w:spacing w:val="-7"/>
        </w:rPr>
        <w:t> </w:t>
      </w:r>
      <w:r>
        <w:rPr/>
        <w:t>τεθούν</w:t>
      </w:r>
      <w:r>
        <w:rPr>
          <w:spacing w:val="-5"/>
        </w:rPr>
        <w:t> </w:t>
      </w:r>
      <w:r>
        <w:rPr/>
        <w:t>λιγότερο</w:t>
      </w:r>
      <w:r>
        <w:rPr>
          <w:spacing w:val="-6"/>
        </w:rPr>
        <w:t> </w:t>
      </w:r>
      <w:r>
        <w:rPr/>
        <w:t>αυστηρά</w:t>
      </w:r>
      <w:r>
        <w:rPr>
          <w:spacing w:val="-9"/>
        </w:rPr>
        <w:t> </w:t>
      </w:r>
      <w:r>
        <w:rPr/>
        <w:t>όρια</w:t>
      </w:r>
      <w:r>
        <w:rPr>
          <w:spacing w:val="-9"/>
        </w:rPr>
        <w:t> </w:t>
      </w:r>
      <w:r>
        <w:rPr/>
        <w:t>για</w:t>
      </w:r>
      <w:r>
        <w:rPr>
          <w:spacing w:val="-7"/>
        </w:rPr>
        <w:t> </w:t>
      </w:r>
      <w:r>
        <w:rPr/>
        <w:t>τους</w:t>
      </w:r>
      <w:r>
        <w:rPr>
          <w:spacing w:val="-7"/>
        </w:rPr>
        <w:t> </w:t>
      </w:r>
      <w:r>
        <w:rPr/>
        <w:t>αγοραστές</w:t>
      </w:r>
      <w:r>
        <w:rPr>
          <w:spacing w:val="-10"/>
        </w:rPr>
        <w:t> </w:t>
      </w:r>
      <w:r>
        <w:rPr/>
        <w:t>για</w:t>
      </w:r>
      <w:r>
        <w:rPr>
          <w:spacing w:val="-6"/>
        </w:rPr>
        <w:t> </w:t>
      </w:r>
      <w:r>
        <w:rPr/>
        <w:t>πρώτη</w:t>
      </w:r>
      <w:r>
        <w:rPr>
          <w:spacing w:val="-6"/>
        </w:rPr>
        <w:t> </w:t>
      </w:r>
      <w:r>
        <w:rPr/>
        <w:t>φορά</w:t>
      </w:r>
      <w:r>
        <w:rPr>
          <w:spacing w:val="-9"/>
        </w:rPr>
        <w:t> </w:t>
      </w:r>
      <w:r>
        <w:rPr/>
        <w:t>ώστε</w:t>
      </w:r>
      <w:r>
        <w:rPr>
          <w:spacing w:val="-8"/>
        </w:rPr>
        <w:t> </w:t>
      </w:r>
      <w:r>
        <w:rPr/>
        <w:t>να διευκολύνεται</w:t>
      </w:r>
      <w:r>
        <w:rPr>
          <w:spacing w:val="-8"/>
        </w:rPr>
        <w:t> </w:t>
      </w:r>
      <w:r>
        <w:rPr/>
        <w:t>η</w:t>
      </w:r>
      <w:r>
        <w:rPr>
          <w:spacing w:val="-11"/>
        </w:rPr>
        <w:t> </w:t>
      </w:r>
      <w:r>
        <w:rPr/>
        <w:t>πρόσβασή</w:t>
      </w:r>
      <w:r>
        <w:rPr>
          <w:spacing w:val="-12"/>
        </w:rPr>
        <w:t> </w:t>
      </w:r>
      <w:r>
        <w:rPr/>
        <w:t>τους</w:t>
      </w:r>
      <w:r>
        <w:rPr>
          <w:spacing w:val="-12"/>
        </w:rPr>
        <w:t> </w:t>
      </w:r>
      <w:r>
        <w:rPr/>
        <w:t>στη</w:t>
      </w:r>
      <w:r>
        <w:rPr>
          <w:spacing w:val="-11"/>
        </w:rPr>
        <w:t> </w:t>
      </w:r>
      <w:r>
        <w:rPr/>
        <w:t>στεγαστική</w:t>
      </w:r>
      <w:r>
        <w:rPr>
          <w:spacing w:val="-9"/>
        </w:rPr>
        <w:t> </w:t>
      </w:r>
      <w:r>
        <w:rPr/>
        <w:t>πίστη.</w:t>
      </w:r>
      <w:r>
        <w:rPr>
          <w:spacing w:val="-13"/>
        </w:rPr>
        <w:t> </w:t>
      </w:r>
      <w:r>
        <w:rPr/>
        <w:t>Επιπροσθέτως,</w:t>
      </w:r>
      <w:r>
        <w:rPr>
          <w:spacing w:val="-9"/>
        </w:rPr>
        <w:t> </w:t>
      </w:r>
      <w:r>
        <w:rPr/>
        <w:t>ποσοστό</w:t>
      </w:r>
      <w:r>
        <w:rPr>
          <w:spacing w:val="-11"/>
        </w:rPr>
        <w:t> </w:t>
      </w:r>
      <w:r>
        <w:rPr/>
        <w:t>έως</w:t>
      </w:r>
      <w:r>
        <w:rPr>
          <w:spacing w:val="-10"/>
        </w:rPr>
        <w:t> </w:t>
      </w:r>
      <w:r>
        <w:rPr/>
        <w:t>10%</w:t>
      </w:r>
      <w:r>
        <w:rPr>
          <w:spacing w:val="-10"/>
        </w:rPr>
        <w:t> </w:t>
      </w:r>
      <w:r>
        <w:rPr/>
        <w:t>επί</w:t>
      </w:r>
      <w:r>
        <w:rPr>
          <w:spacing w:val="-10"/>
        </w:rPr>
        <w:t> </w:t>
      </w:r>
      <w:r>
        <w:rPr/>
        <w:t>του συνολικού αριθμού των δανείων και λοιπών πιστώσεων που εγκρίνονται και έχουν έστω και εν μέρει</w:t>
      </w:r>
      <w:r>
        <w:rPr>
          <w:spacing w:val="-3"/>
        </w:rPr>
        <w:t> </w:t>
      </w:r>
      <w:r>
        <w:rPr/>
        <w:t>εκταμιευθεί</w:t>
      </w:r>
      <w:r>
        <w:rPr>
          <w:spacing w:val="-3"/>
        </w:rPr>
        <w:t> </w:t>
      </w:r>
      <w:r>
        <w:rPr/>
        <w:t>εντός</w:t>
      </w:r>
      <w:r>
        <w:rPr>
          <w:spacing w:val="-1"/>
        </w:rPr>
        <w:t> </w:t>
      </w:r>
      <w:r>
        <w:rPr/>
        <w:t>του εκάστοτε ημερολογιακού</w:t>
      </w:r>
      <w:r>
        <w:rPr>
          <w:spacing w:val="-2"/>
        </w:rPr>
        <w:t> </w:t>
      </w:r>
      <w:r>
        <w:rPr/>
        <w:t>τριμήνου</w:t>
      </w:r>
      <w:r>
        <w:rPr>
          <w:spacing w:val="-2"/>
        </w:rPr>
        <w:t> </w:t>
      </w:r>
      <w:r>
        <w:rPr/>
        <w:t>σε επίπεδο</w:t>
      </w:r>
      <w:r>
        <w:rPr>
          <w:spacing w:val="-1"/>
        </w:rPr>
        <w:t> </w:t>
      </w:r>
      <w:r>
        <w:rPr/>
        <w:t>ιδρύματος</w:t>
      </w:r>
      <w:r>
        <w:rPr>
          <w:spacing w:val="-3"/>
        </w:rPr>
        <w:t> </w:t>
      </w:r>
      <w:r>
        <w:rPr/>
        <w:t>ή</w:t>
      </w:r>
      <w:r>
        <w:rPr>
          <w:spacing w:val="-1"/>
        </w:rPr>
        <w:t> </w:t>
      </w:r>
      <w:r>
        <w:rPr/>
        <w:t>οντότη-τας δύναται να υπερβαίνει τα ανώτατα επιτρεπόμενα όρια LTV-O και DSTI-O. Η αξιολόγηση της</w:t>
      </w:r>
      <w:r>
        <w:rPr>
          <w:spacing w:val="-4"/>
        </w:rPr>
        <w:t> </w:t>
      </w:r>
      <w:r>
        <w:rPr/>
        <w:t>υπέρβασης</w:t>
      </w:r>
      <w:r>
        <w:rPr>
          <w:spacing w:val="-6"/>
        </w:rPr>
        <w:t> </w:t>
      </w:r>
      <w:r>
        <w:rPr/>
        <w:t>των</w:t>
      </w:r>
      <w:r>
        <w:rPr>
          <w:spacing w:val="-4"/>
        </w:rPr>
        <w:t> </w:t>
      </w:r>
      <w:r>
        <w:rPr/>
        <w:t>ορίων</w:t>
      </w:r>
      <w:r>
        <w:rPr>
          <w:spacing w:val="-4"/>
        </w:rPr>
        <w:t> </w:t>
      </w:r>
      <w:r>
        <w:rPr/>
        <w:t>γίνεται</w:t>
      </w:r>
      <w:r>
        <w:rPr>
          <w:spacing w:val="-2"/>
        </w:rPr>
        <w:t> </w:t>
      </w:r>
      <w:r>
        <w:rPr/>
        <w:t>διακριτά</w:t>
      </w:r>
      <w:r>
        <w:rPr>
          <w:spacing w:val="-4"/>
        </w:rPr>
        <w:t> </w:t>
      </w:r>
      <w:r>
        <w:rPr/>
        <w:t>για</w:t>
      </w:r>
      <w:r>
        <w:rPr>
          <w:spacing w:val="-4"/>
        </w:rPr>
        <w:t> </w:t>
      </w:r>
      <w:r>
        <w:rPr/>
        <w:t>τους</w:t>
      </w:r>
      <w:r>
        <w:rPr>
          <w:spacing w:val="-3"/>
        </w:rPr>
        <w:t> </w:t>
      </w:r>
      <w:r>
        <w:rPr/>
        <w:t>αγοραστές</w:t>
      </w:r>
      <w:r>
        <w:rPr>
          <w:spacing w:val="-3"/>
        </w:rPr>
        <w:t> </w:t>
      </w:r>
      <w:r>
        <w:rPr/>
        <w:t>για</w:t>
      </w:r>
      <w:r>
        <w:rPr>
          <w:spacing w:val="-2"/>
        </w:rPr>
        <w:t> </w:t>
      </w:r>
      <w:r>
        <w:rPr/>
        <w:t>πρώτη</w:t>
      </w:r>
      <w:r>
        <w:rPr>
          <w:spacing w:val="-2"/>
        </w:rPr>
        <w:t> </w:t>
      </w:r>
      <w:r>
        <w:rPr/>
        <w:t>φορά</w:t>
      </w:r>
      <w:r>
        <w:rPr>
          <w:spacing w:val="-2"/>
        </w:rPr>
        <w:t> </w:t>
      </w:r>
      <w:r>
        <w:rPr/>
        <w:t>και</w:t>
      </w:r>
      <w:r>
        <w:rPr>
          <w:spacing w:val="-2"/>
        </w:rPr>
        <w:t> </w:t>
      </w:r>
      <w:r>
        <w:rPr/>
        <w:t>για</w:t>
      </w:r>
      <w:r>
        <w:rPr>
          <w:spacing w:val="-2"/>
        </w:rPr>
        <w:t> </w:t>
      </w:r>
      <w:r>
        <w:rPr/>
        <w:t>τους</w:t>
      </w:r>
      <w:r>
        <w:rPr>
          <w:spacing w:val="-6"/>
        </w:rPr>
        <w:t> </w:t>
      </w:r>
      <w:r>
        <w:rPr/>
        <w:t>λοι-πούς δανειολήπτες. Διευκρινίζεται ότι τα προαναφερθέντα όρια</w:t>
      </w:r>
      <w:r>
        <w:rPr>
          <w:spacing w:val="-1"/>
        </w:rPr>
        <w:t> </w:t>
      </w:r>
      <w:r>
        <w:rPr/>
        <w:t>δεν εφαρμόζονται σε μη εξυπη-ρετούμενα</w:t>
      </w:r>
      <w:r>
        <w:rPr>
          <w:spacing w:val="-9"/>
        </w:rPr>
        <w:t> </w:t>
      </w:r>
      <w:r>
        <w:rPr/>
        <w:t>ανοίγματα,</w:t>
      </w:r>
      <w:r>
        <w:rPr>
          <w:spacing w:val="-11"/>
        </w:rPr>
        <w:t> </w:t>
      </w:r>
      <w:r>
        <w:rPr/>
        <w:t>σε</w:t>
      </w:r>
      <w:r>
        <w:rPr>
          <w:spacing w:val="-7"/>
        </w:rPr>
        <w:t> </w:t>
      </w:r>
      <w:r>
        <w:rPr/>
        <w:t>δάνεια</w:t>
      </w:r>
      <w:r>
        <w:rPr>
          <w:spacing w:val="-8"/>
        </w:rPr>
        <w:t> </w:t>
      </w:r>
      <w:r>
        <w:rPr/>
        <w:t>που</w:t>
      </w:r>
      <w:r>
        <w:rPr>
          <w:spacing w:val="-7"/>
        </w:rPr>
        <w:t> </w:t>
      </w:r>
      <w:r>
        <w:rPr/>
        <w:t>τελούν</w:t>
      </w:r>
      <w:r>
        <w:rPr>
          <w:spacing w:val="-7"/>
        </w:rPr>
        <w:t> </w:t>
      </w:r>
      <w:r>
        <w:rPr/>
        <w:t>υπό</w:t>
      </w:r>
      <w:r>
        <w:rPr>
          <w:spacing w:val="-8"/>
        </w:rPr>
        <w:t> </w:t>
      </w:r>
      <w:r>
        <w:rPr/>
        <w:t>καθεστώς</w:t>
      </w:r>
      <w:r>
        <w:rPr>
          <w:spacing w:val="-9"/>
        </w:rPr>
        <w:t> </w:t>
      </w:r>
      <w:r>
        <w:rPr/>
        <w:t>ρύθμισης,</w:t>
      </w:r>
      <w:r>
        <w:rPr>
          <w:spacing w:val="-8"/>
        </w:rPr>
        <w:t> </w:t>
      </w:r>
      <w:r>
        <w:rPr/>
        <w:t>σε</w:t>
      </w:r>
      <w:r>
        <w:rPr>
          <w:spacing w:val="-7"/>
        </w:rPr>
        <w:t> </w:t>
      </w:r>
      <w:r>
        <w:rPr/>
        <w:t>μεταβιβαζόμενα</w:t>
      </w:r>
      <w:r>
        <w:rPr>
          <w:spacing w:val="-9"/>
        </w:rPr>
        <w:t> </w:t>
      </w:r>
      <w:r>
        <w:rPr/>
        <w:t>χαρτο-φυλάκια από εταιρίες διαχείρισης απαιτήσεων από δάνεια και πιστώσεις, καθώς και σε δάνεια που εντάσσονται</w:t>
      </w:r>
      <w:r>
        <w:rPr>
          <w:spacing w:val="-2"/>
        </w:rPr>
        <w:t> </w:t>
      </w:r>
      <w:r>
        <w:rPr/>
        <w:t>σε προγράμματα εθνικής στεγαστικής πολιτικής</w:t>
      </w:r>
      <w:r>
        <w:rPr>
          <w:spacing w:val="-1"/>
        </w:rPr>
        <w:t> </w:t>
      </w:r>
      <w:r>
        <w:rPr/>
        <w:t>ή αφορούν τη μετάβαση</w:t>
      </w:r>
      <w:r>
        <w:rPr>
          <w:spacing w:val="-2"/>
        </w:rPr>
        <w:t> </w:t>
      </w:r>
      <w:r>
        <w:rPr/>
        <w:t>στην πράσινη οικονομία.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2"/>
        <w:rPr>
          <w:sz w:val="20"/>
        </w:rPr>
      </w:pPr>
      <w:r>
        <w:rPr>
          <w:sz w:val="20"/>
        </w:rPr>
        <mc:AlternateContent>
          <mc:Choice Requires="wps">
            <w:drawing>
              <wp:anchor distT="0" distB="0" distL="0" distR="0" allowOverlap="1" layoutInCell="1" locked="0" behindDoc="1" simplePos="0" relativeHeight="487642112">
                <wp:simplePos x="0" y="0"/>
                <wp:positionH relativeFrom="page">
                  <wp:posOffset>1009192</wp:posOffset>
                </wp:positionH>
                <wp:positionV relativeFrom="paragraph">
                  <wp:posOffset>188210</wp:posOffset>
                </wp:positionV>
                <wp:extent cx="1829435" cy="7620"/>
                <wp:effectExtent l="0" t="0" r="0" b="0"/>
                <wp:wrapTopAndBottom/>
                <wp:docPr id="547" name="Graphic 547"/>
                <wp:cNvGraphicFramePr>
                  <a:graphicFrameLocks/>
                </wp:cNvGraphicFramePr>
                <a:graphic>
                  <a:graphicData uri="http://schemas.microsoft.com/office/word/2010/wordprocessingShape">
                    <wps:wsp>
                      <wps:cNvPr id="547" name="Graphic 54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4.819732pt;width:144.020pt;height:.599980pt;mso-position-horizontal-relative:page;mso-position-vertical-relative:paragraph;z-index:-15674368;mso-wrap-distance-left:0;mso-wrap-distance-right:0" id="docshape519" filled="true" fillcolor="#000000" stroked="false">
                <v:fill type="solid"/>
                <w10:wrap type="topAndBottom"/>
              </v:rect>
            </w:pict>
          </mc:Fallback>
        </mc:AlternateContent>
      </w:r>
    </w:p>
    <w:p>
      <w:pPr>
        <w:spacing w:line="266" w:lineRule="auto" w:before="167"/>
        <w:ind w:left="172" w:right="1154" w:firstLine="0"/>
        <w:jc w:val="left"/>
        <w:rPr>
          <w:sz w:val="16"/>
        </w:rPr>
      </w:pPr>
      <w:bookmarkStart w:name="_bookmark105" w:id="106"/>
      <w:bookmarkEnd w:id="106"/>
      <w:r>
        <w:rPr/>
      </w:r>
      <w:r>
        <w:rPr>
          <w:sz w:val="16"/>
          <w:vertAlign w:val="superscript"/>
        </w:rPr>
        <w:t>73</w:t>
      </w:r>
      <w:r>
        <w:rPr>
          <w:spacing w:val="-1"/>
          <w:sz w:val="16"/>
          <w:vertAlign w:val="baseline"/>
        </w:rPr>
        <w:t> </w:t>
      </w:r>
      <w:r>
        <w:rPr>
          <w:sz w:val="16"/>
          <w:vertAlign w:val="baseline"/>
        </w:rPr>
        <w:t>Αγοραστής</w:t>
      </w:r>
      <w:r>
        <w:rPr>
          <w:spacing w:val="-2"/>
          <w:sz w:val="16"/>
          <w:vertAlign w:val="baseline"/>
        </w:rPr>
        <w:t> </w:t>
      </w:r>
      <w:r>
        <w:rPr>
          <w:sz w:val="16"/>
          <w:vertAlign w:val="baseline"/>
        </w:rPr>
        <w:t>για</w:t>
      </w:r>
      <w:r>
        <w:rPr>
          <w:spacing w:val="-4"/>
          <w:sz w:val="16"/>
          <w:vertAlign w:val="baseline"/>
        </w:rPr>
        <w:t> </w:t>
      </w:r>
      <w:r>
        <w:rPr>
          <w:sz w:val="16"/>
          <w:vertAlign w:val="baseline"/>
        </w:rPr>
        <w:t>πρώτη</w:t>
      </w:r>
      <w:r>
        <w:rPr>
          <w:spacing w:val="-3"/>
          <w:sz w:val="16"/>
          <w:vertAlign w:val="baseline"/>
        </w:rPr>
        <w:t> </w:t>
      </w:r>
      <w:r>
        <w:rPr>
          <w:sz w:val="16"/>
          <w:vertAlign w:val="baseline"/>
        </w:rPr>
        <w:t>φορά</w:t>
      </w:r>
      <w:r>
        <w:rPr>
          <w:spacing w:val="-1"/>
          <w:sz w:val="16"/>
          <w:vertAlign w:val="baseline"/>
        </w:rPr>
        <w:t> </w:t>
      </w:r>
      <w:r>
        <w:rPr>
          <w:sz w:val="16"/>
          <w:vertAlign w:val="baseline"/>
        </w:rPr>
        <w:t>είναι</w:t>
      </w:r>
      <w:r>
        <w:rPr>
          <w:spacing w:val="-3"/>
          <w:sz w:val="16"/>
          <w:vertAlign w:val="baseline"/>
        </w:rPr>
        <w:t> </w:t>
      </w:r>
      <w:r>
        <w:rPr>
          <w:sz w:val="16"/>
          <w:vertAlign w:val="baseline"/>
        </w:rPr>
        <w:t>ο</w:t>
      </w:r>
      <w:r>
        <w:rPr>
          <w:spacing w:val="-2"/>
          <w:sz w:val="16"/>
          <w:vertAlign w:val="baseline"/>
        </w:rPr>
        <w:t> </w:t>
      </w:r>
      <w:r>
        <w:rPr>
          <w:sz w:val="16"/>
          <w:vertAlign w:val="baseline"/>
        </w:rPr>
        <w:t>δανειολήπτης</w:t>
      </w:r>
      <w:r>
        <w:rPr>
          <w:spacing w:val="-2"/>
          <w:sz w:val="16"/>
          <w:vertAlign w:val="baseline"/>
        </w:rPr>
        <w:t> </w:t>
      </w:r>
      <w:r>
        <w:rPr>
          <w:sz w:val="16"/>
          <w:vertAlign w:val="baseline"/>
        </w:rPr>
        <w:t>ο</w:t>
      </w:r>
      <w:r>
        <w:rPr>
          <w:spacing w:val="-2"/>
          <w:sz w:val="16"/>
          <w:vertAlign w:val="baseline"/>
        </w:rPr>
        <w:t> </w:t>
      </w:r>
      <w:r>
        <w:rPr>
          <w:sz w:val="16"/>
          <w:vertAlign w:val="baseline"/>
        </w:rPr>
        <w:t>οποίος</w:t>
      </w:r>
      <w:r>
        <w:rPr>
          <w:spacing w:val="-2"/>
          <w:sz w:val="16"/>
          <w:vertAlign w:val="baseline"/>
        </w:rPr>
        <w:t> </w:t>
      </w:r>
      <w:r>
        <w:rPr>
          <w:sz w:val="16"/>
          <w:vertAlign w:val="baseline"/>
        </w:rPr>
        <w:t>κατά</w:t>
      </w:r>
      <w:r>
        <w:rPr>
          <w:spacing w:val="-3"/>
          <w:sz w:val="16"/>
          <w:vertAlign w:val="baseline"/>
        </w:rPr>
        <w:t> </w:t>
      </w:r>
      <w:r>
        <w:rPr>
          <w:sz w:val="16"/>
          <w:vertAlign w:val="baseline"/>
        </w:rPr>
        <w:t>την</w:t>
      </w:r>
      <w:r>
        <w:rPr>
          <w:spacing w:val="-1"/>
          <w:sz w:val="16"/>
          <w:vertAlign w:val="baseline"/>
        </w:rPr>
        <w:t> </w:t>
      </w:r>
      <w:r>
        <w:rPr>
          <w:sz w:val="16"/>
          <w:vertAlign w:val="baseline"/>
        </w:rPr>
        <w:t>έγκριση</w:t>
      </w:r>
      <w:r>
        <w:rPr>
          <w:spacing w:val="-1"/>
          <w:sz w:val="16"/>
          <w:vertAlign w:val="baseline"/>
        </w:rPr>
        <w:t> </w:t>
      </w:r>
      <w:r>
        <w:rPr>
          <w:sz w:val="16"/>
          <w:vertAlign w:val="baseline"/>
        </w:rPr>
        <w:t>του</w:t>
      </w:r>
      <w:r>
        <w:rPr>
          <w:spacing w:val="-4"/>
          <w:sz w:val="16"/>
          <w:vertAlign w:val="baseline"/>
        </w:rPr>
        <w:t> </w:t>
      </w:r>
      <w:r>
        <w:rPr>
          <w:sz w:val="16"/>
          <w:vertAlign w:val="baseline"/>
        </w:rPr>
        <w:t>δανείου</w:t>
      </w:r>
      <w:r>
        <w:rPr>
          <w:spacing w:val="-4"/>
          <w:sz w:val="16"/>
          <w:vertAlign w:val="baseline"/>
        </w:rPr>
        <w:t> </w:t>
      </w:r>
      <w:r>
        <w:rPr>
          <w:sz w:val="16"/>
          <w:vertAlign w:val="baseline"/>
        </w:rPr>
        <w:t>δεν</w:t>
      </w:r>
      <w:r>
        <w:rPr>
          <w:spacing w:val="-2"/>
          <w:sz w:val="16"/>
          <w:vertAlign w:val="baseline"/>
        </w:rPr>
        <w:t> </w:t>
      </w:r>
      <w:r>
        <w:rPr>
          <w:sz w:val="16"/>
          <w:vertAlign w:val="baseline"/>
        </w:rPr>
        <w:t>έχει</w:t>
      </w:r>
      <w:r>
        <w:rPr>
          <w:spacing w:val="-1"/>
          <w:sz w:val="16"/>
          <w:vertAlign w:val="baseline"/>
        </w:rPr>
        <w:t> </w:t>
      </w:r>
      <w:r>
        <w:rPr>
          <w:sz w:val="16"/>
          <w:vertAlign w:val="baseline"/>
        </w:rPr>
        <w:t>υφιστάμενο δάνειο που</w:t>
      </w:r>
      <w:r>
        <w:rPr>
          <w:spacing w:val="40"/>
          <w:sz w:val="16"/>
          <w:vertAlign w:val="baseline"/>
        </w:rPr>
        <w:t> </w:t>
      </w:r>
      <w:r>
        <w:rPr>
          <w:sz w:val="16"/>
          <w:vertAlign w:val="baseline"/>
        </w:rPr>
        <w:t>αφορά οικιστικό ακίνητο.</w:t>
      </w:r>
    </w:p>
    <w:p>
      <w:pPr>
        <w:spacing w:after="0" w:line="266" w:lineRule="auto"/>
        <w:jc w:val="left"/>
        <w:rPr>
          <w:sz w:val="16"/>
        </w:rPr>
        <w:sectPr>
          <w:pgSz w:w="11910" w:h="16850"/>
          <w:pgMar w:header="0" w:footer="1108" w:top="1840" w:bottom="1300" w:left="1417" w:right="850"/>
        </w:sectPr>
      </w:pPr>
    </w:p>
    <w:p>
      <w:pPr>
        <w:pStyle w:val="Heading1"/>
        <w:numPr>
          <w:ilvl w:val="0"/>
          <w:numId w:val="2"/>
        </w:numPr>
        <w:tabs>
          <w:tab w:pos="527" w:val="left" w:leader="none"/>
          <w:tab w:pos="529" w:val="left" w:leader="none"/>
        </w:tabs>
        <w:spacing w:line="240" w:lineRule="auto" w:before="71" w:after="0"/>
        <w:ind w:left="529" w:right="1071" w:hanging="358"/>
        <w:jc w:val="left"/>
      </w:pPr>
      <w:bookmarkStart w:name="_bookmark106" w:id="107"/>
      <w:bookmarkEnd w:id="107"/>
      <w:r>
        <w:rPr>
          <w:b w:val="0"/>
        </w:rPr>
      </w:r>
      <w:r>
        <w:rPr>
          <w:color w:val="1F487C"/>
          <w:spacing w:val="23"/>
        </w:rPr>
        <w:t>ΛΟΙΠΟΙ</w:t>
      </w:r>
      <w:r>
        <w:rPr>
          <w:color w:val="1F487C"/>
          <w:spacing w:val="40"/>
        </w:rPr>
        <w:t> </w:t>
      </w:r>
      <w:r>
        <w:rPr>
          <w:color w:val="1F487C"/>
          <w:spacing w:val="23"/>
        </w:rPr>
        <w:t>ΤΟΜΕΙΣ</w:t>
      </w:r>
      <w:r>
        <w:rPr>
          <w:color w:val="1F487C"/>
          <w:spacing w:val="23"/>
        </w:rPr>
        <w:t> </w:t>
      </w:r>
      <w:r>
        <w:rPr>
          <w:color w:val="1F487C"/>
          <w:spacing w:val="18"/>
        </w:rPr>
        <w:t>ΤΟΥ</w:t>
      </w:r>
      <w:r>
        <w:rPr>
          <w:color w:val="1F487C"/>
          <w:spacing w:val="26"/>
        </w:rPr>
        <w:t> ΧΡΗΜΑΤΟΠΙΣΤΩΤΙΚΟΥ</w:t>
      </w:r>
      <w:r>
        <w:rPr>
          <w:color w:val="1F487C"/>
          <w:spacing w:val="26"/>
        </w:rPr>
        <w:t> </w:t>
      </w:r>
      <w:r>
        <w:rPr>
          <w:color w:val="1F487C"/>
          <w:spacing w:val="19"/>
        </w:rPr>
        <w:t>ΣΥ-</w:t>
      </w:r>
      <w:r>
        <w:rPr>
          <w:color w:val="1F487C"/>
          <w:spacing w:val="22"/>
        </w:rPr>
        <w:t>ΣΤΗΜΑΤΟΣ</w:t>
      </w:r>
    </w:p>
    <w:p>
      <w:pPr>
        <w:pStyle w:val="Heading2"/>
        <w:numPr>
          <w:ilvl w:val="1"/>
          <w:numId w:val="2"/>
        </w:numPr>
        <w:tabs>
          <w:tab w:pos="568" w:val="left" w:leader="none"/>
        </w:tabs>
        <w:spacing w:line="240" w:lineRule="auto" w:before="239" w:after="0"/>
        <w:ind w:left="568" w:right="0" w:hanging="396"/>
        <w:jc w:val="left"/>
        <w:rPr>
          <w:color w:val="1F487C"/>
        </w:rPr>
      </w:pPr>
      <w:bookmarkStart w:name="_bookmark107" w:id="108"/>
      <w:bookmarkEnd w:id="108"/>
      <w:r>
        <w:rPr>
          <w:b w:val="0"/>
        </w:rPr>
      </w:r>
      <w:r>
        <w:rPr>
          <w:color w:val="1F487C"/>
        </w:rPr>
        <w:t>ΔΙΑΡΘΡΩΣΗ</w:t>
      </w:r>
      <w:r>
        <w:rPr>
          <w:color w:val="1F487C"/>
          <w:spacing w:val="-5"/>
        </w:rPr>
        <w:t> </w:t>
      </w:r>
      <w:r>
        <w:rPr>
          <w:color w:val="1F487C"/>
        </w:rPr>
        <w:t>ΤΟΥ</w:t>
      </w:r>
      <w:r>
        <w:rPr>
          <w:color w:val="1F487C"/>
          <w:spacing w:val="-3"/>
        </w:rPr>
        <w:t> </w:t>
      </w:r>
      <w:r>
        <w:rPr>
          <w:color w:val="1F487C"/>
        </w:rPr>
        <w:t>ΕΓΧΩΡΙΟΥ</w:t>
      </w:r>
      <w:r>
        <w:rPr>
          <w:color w:val="1F487C"/>
          <w:spacing w:val="-2"/>
        </w:rPr>
        <w:t> </w:t>
      </w:r>
      <w:r>
        <w:rPr>
          <w:color w:val="1F487C"/>
        </w:rPr>
        <w:t>ΧΡΗΜΑΤΟΠΙΣΤΩΤΙΚΟΥ</w:t>
      </w:r>
      <w:r>
        <w:rPr>
          <w:color w:val="1F487C"/>
          <w:spacing w:val="-3"/>
        </w:rPr>
        <w:t> </w:t>
      </w:r>
      <w:r>
        <w:rPr>
          <w:color w:val="1F487C"/>
          <w:spacing w:val="-2"/>
        </w:rPr>
        <w:t>ΣΥΣΤΗΜΑΤΟΣ</w:t>
      </w:r>
    </w:p>
    <w:p>
      <w:pPr>
        <w:pStyle w:val="BodyText"/>
        <w:spacing w:line="285" w:lineRule="auto" w:before="95" w:after="18"/>
        <w:ind w:left="172" w:right="956"/>
        <w:jc w:val="both"/>
      </w:pPr>
      <w:r>
        <w:rPr/>
        <w:t>Το</w:t>
      </w:r>
      <w:r>
        <w:rPr>
          <w:spacing w:val="-13"/>
        </w:rPr>
        <w:t> </w:t>
      </w:r>
      <w:r>
        <w:rPr/>
        <w:t>2025</w:t>
      </w:r>
      <w:r>
        <w:rPr>
          <w:spacing w:val="-13"/>
        </w:rPr>
        <w:t> </w:t>
      </w:r>
      <w:r>
        <w:rPr/>
        <w:t>η</w:t>
      </w:r>
      <w:r>
        <w:rPr>
          <w:spacing w:val="-13"/>
        </w:rPr>
        <w:t> </w:t>
      </w:r>
      <w:r>
        <w:rPr/>
        <w:t>διάρθρωση</w:t>
      </w:r>
      <w:r>
        <w:rPr>
          <w:spacing w:val="-13"/>
        </w:rPr>
        <w:t> </w:t>
      </w:r>
      <w:r>
        <w:rPr/>
        <w:t>του</w:t>
      </w:r>
      <w:r>
        <w:rPr>
          <w:spacing w:val="-12"/>
        </w:rPr>
        <w:t> </w:t>
      </w:r>
      <w:r>
        <w:rPr/>
        <w:t>εγχώριου</w:t>
      </w:r>
      <w:r>
        <w:rPr>
          <w:spacing w:val="-12"/>
        </w:rPr>
        <w:t> </w:t>
      </w:r>
      <w:r>
        <w:rPr/>
        <w:t>χρηματοπιστωτικού</w:t>
      </w:r>
      <w:r>
        <w:rPr>
          <w:spacing w:val="-12"/>
        </w:rPr>
        <w:t> </w:t>
      </w:r>
      <w:r>
        <w:rPr/>
        <w:t>συστήματος</w:t>
      </w:r>
      <w:r>
        <w:rPr>
          <w:spacing w:val="-14"/>
        </w:rPr>
        <w:t> </w:t>
      </w:r>
      <w:r>
        <w:rPr/>
        <w:t>δεν</w:t>
      </w:r>
      <w:r>
        <w:rPr>
          <w:spacing w:val="-12"/>
        </w:rPr>
        <w:t> </w:t>
      </w:r>
      <w:r>
        <w:rPr/>
        <w:t>παρουσίασε</w:t>
      </w:r>
      <w:r>
        <w:rPr>
          <w:spacing w:val="-12"/>
        </w:rPr>
        <w:t> </w:t>
      </w:r>
      <w:r>
        <w:rPr/>
        <w:t>αξιοσημεί-ωτες</w:t>
      </w:r>
      <w:r>
        <w:rPr>
          <w:spacing w:val="-1"/>
        </w:rPr>
        <w:t> </w:t>
      </w:r>
      <w:r>
        <w:rPr/>
        <w:t>μεταβολές, με τις</w:t>
      </w:r>
      <w:r>
        <w:rPr>
          <w:spacing w:val="-1"/>
        </w:rPr>
        <w:t> </w:t>
      </w:r>
      <w:r>
        <w:rPr/>
        <w:t>τράπεζες</w:t>
      </w:r>
      <w:r>
        <w:rPr>
          <w:spacing w:val="-1"/>
        </w:rPr>
        <w:t> </w:t>
      </w:r>
      <w:r>
        <w:rPr/>
        <w:t>να</w:t>
      </w:r>
      <w:r>
        <w:rPr>
          <w:spacing w:val="-3"/>
        </w:rPr>
        <w:t> </w:t>
      </w:r>
      <w:r>
        <w:rPr/>
        <w:t>παραμένουν ο</w:t>
      </w:r>
      <w:r>
        <w:rPr>
          <w:spacing w:val="-2"/>
        </w:rPr>
        <w:t> </w:t>
      </w:r>
      <w:r>
        <w:rPr/>
        <w:t>βασικός</w:t>
      </w:r>
      <w:r>
        <w:rPr>
          <w:spacing w:val="-1"/>
        </w:rPr>
        <w:t> </w:t>
      </w:r>
      <w:r>
        <w:rPr/>
        <w:t>πυλώνας</w:t>
      </w:r>
      <w:r>
        <w:rPr>
          <w:spacing w:val="-2"/>
        </w:rPr>
        <w:t> </w:t>
      </w:r>
      <w:r>
        <w:rPr/>
        <w:t>του</w:t>
      </w:r>
      <w:r>
        <w:rPr>
          <w:spacing w:val="-1"/>
        </w:rPr>
        <w:t> </w:t>
      </w:r>
      <w:r>
        <w:rPr/>
        <w:t>(βλ. Πίνακα</w:t>
      </w:r>
      <w:r>
        <w:rPr>
          <w:spacing w:val="-1"/>
        </w:rPr>
        <w:t> </w:t>
      </w:r>
      <w:r>
        <w:rPr/>
        <w:t>V.1). Ειδι-κότερα, το ενεργητικό του τραπεζικού τομέα ανήλθε σε 84,1% επί του συνολικού ενεργητικού του χρηματοπιστωτικού συστήματος, με τις σημαντικές τράπεζες (significant institutions – SΙs) να αντιπροσωπεύουν το 77,8% του συνόλου, ενώ οι λιγότερο σημαντικές τράπεζες (less significant institutions – LSIs) και τα υποκαταστήματα ξένων τραπεζών αντιπροσωπεύουν το 5,1% και το 1,2%, αντίστοιχα. Επισημαίνεται ότι, οι τέσσερις σημαντικές τράπεζες αντιπροσω-πεύουν το 92,5% του ενεργητικού του τραπεζικού τομέα.</w:t>
      </w: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6"/>
        <w:gridCol w:w="619"/>
        <w:gridCol w:w="893"/>
        <w:gridCol w:w="581"/>
        <w:gridCol w:w="645"/>
        <w:gridCol w:w="951"/>
        <w:gridCol w:w="616"/>
        <w:gridCol w:w="627"/>
        <w:gridCol w:w="876"/>
        <w:gridCol w:w="585"/>
      </w:tblGrid>
      <w:tr>
        <w:trPr>
          <w:trHeight w:val="340" w:hRule="atLeast"/>
        </w:trPr>
        <w:tc>
          <w:tcPr>
            <w:tcW w:w="8539" w:type="dxa"/>
            <w:gridSpan w:val="10"/>
            <w:shd w:val="clear" w:color="auto" w:fill="1F487C"/>
          </w:tcPr>
          <w:p>
            <w:pPr>
              <w:pStyle w:val="TableParagraph"/>
              <w:spacing w:before="67"/>
              <w:ind w:left="220"/>
              <w:rPr>
                <w:b/>
                <w:sz w:val="18"/>
              </w:rPr>
            </w:pPr>
            <w:r>
              <w:rPr>
                <w:b/>
                <w:color w:val="FFFFFF"/>
                <w:sz w:val="18"/>
              </w:rPr>
              <w:t>Πίνακας</w:t>
            </w:r>
            <w:r>
              <w:rPr>
                <w:b/>
                <w:color w:val="FFFFFF"/>
                <w:spacing w:val="-5"/>
                <w:sz w:val="18"/>
              </w:rPr>
              <w:t> </w:t>
            </w:r>
            <w:r>
              <w:rPr>
                <w:b/>
                <w:color w:val="FFFFFF"/>
                <w:sz w:val="18"/>
              </w:rPr>
              <w:t>V.1</w:t>
            </w:r>
            <w:r>
              <w:rPr>
                <w:b/>
                <w:color w:val="FFFFFF"/>
                <w:spacing w:val="-5"/>
                <w:sz w:val="18"/>
              </w:rPr>
              <w:t> </w:t>
            </w:r>
            <w:r>
              <w:rPr>
                <w:b/>
                <w:color w:val="FFFFFF"/>
                <w:sz w:val="18"/>
              </w:rPr>
              <w:t>Δ</w:t>
            </w:r>
            <w:r>
              <w:rPr>
                <w:b/>
                <w:smallCaps/>
                <w:color w:val="FFFFFF"/>
                <w:sz w:val="18"/>
              </w:rPr>
              <w:t>ι</w:t>
            </w:r>
            <w:r>
              <w:rPr>
                <w:b/>
                <w:smallCaps w:val="0"/>
                <w:color w:val="FFFFFF"/>
                <w:sz w:val="18"/>
              </w:rPr>
              <w:t>άρθρωση</w:t>
            </w:r>
            <w:r>
              <w:rPr>
                <w:b/>
                <w:smallCaps w:val="0"/>
                <w:color w:val="FFFFFF"/>
                <w:spacing w:val="-8"/>
                <w:sz w:val="18"/>
              </w:rPr>
              <w:t> </w:t>
            </w:r>
            <w:r>
              <w:rPr>
                <w:b/>
                <w:smallCaps w:val="0"/>
                <w:color w:val="FFFFFF"/>
                <w:sz w:val="18"/>
              </w:rPr>
              <w:t>του</w:t>
            </w:r>
            <w:r>
              <w:rPr>
                <w:b/>
                <w:smallCaps w:val="0"/>
                <w:color w:val="FFFFFF"/>
                <w:spacing w:val="-7"/>
                <w:sz w:val="18"/>
              </w:rPr>
              <w:t> </w:t>
            </w:r>
            <w:r>
              <w:rPr>
                <w:b/>
                <w:smallCaps w:val="0"/>
                <w:color w:val="FFFFFF"/>
                <w:sz w:val="18"/>
              </w:rPr>
              <w:t>εγχώρ</w:t>
            </w:r>
            <w:r>
              <w:rPr>
                <w:b/>
                <w:smallCaps/>
                <w:color w:val="FFFFFF"/>
                <w:sz w:val="18"/>
              </w:rPr>
              <w:t>ιο</w:t>
            </w:r>
            <w:r>
              <w:rPr>
                <w:b/>
                <w:smallCaps w:val="0"/>
                <w:color w:val="FFFFFF"/>
                <w:sz w:val="18"/>
              </w:rPr>
              <w:t>υ</w:t>
            </w:r>
            <w:r>
              <w:rPr>
                <w:b/>
                <w:smallCaps w:val="0"/>
                <w:color w:val="FFFFFF"/>
                <w:spacing w:val="-6"/>
                <w:sz w:val="18"/>
              </w:rPr>
              <w:t> </w:t>
            </w:r>
            <w:r>
              <w:rPr>
                <w:b/>
                <w:smallCaps w:val="0"/>
                <w:color w:val="FFFFFF"/>
                <w:sz w:val="18"/>
              </w:rPr>
              <w:t>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κού</w:t>
            </w:r>
            <w:r>
              <w:rPr>
                <w:b/>
                <w:smallCaps w:val="0"/>
                <w:color w:val="FFFFFF"/>
                <w:spacing w:val="-6"/>
                <w:sz w:val="18"/>
              </w:rPr>
              <w:t> </w:t>
            </w:r>
            <w:r>
              <w:rPr>
                <w:b/>
                <w:smallCaps w:val="0"/>
                <w:color w:val="FFFFFF"/>
                <w:spacing w:val="-2"/>
                <w:sz w:val="18"/>
              </w:rPr>
              <w:t>συστήματος</w:t>
            </w:r>
          </w:p>
        </w:tc>
      </w:tr>
      <w:tr>
        <w:trPr>
          <w:trHeight w:val="191" w:hRule="atLeast"/>
        </w:trPr>
        <w:tc>
          <w:tcPr>
            <w:tcW w:w="2146" w:type="dxa"/>
            <w:shd w:val="clear" w:color="auto" w:fill="BEBEBE"/>
          </w:tcPr>
          <w:p>
            <w:pPr>
              <w:pStyle w:val="TableParagraph"/>
              <w:rPr>
                <w:sz w:val="12"/>
              </w:rPr>
            </w:pPr>
          </w:p>
        </w:tc>
        <w:tc>
          <w:tcPr>
            <w:tcW w:w="619" w:type="dxa"/>
            <w:shd w:val="clear" w:color="auto" w:fill="BEBEBE"/>
          </w:tcPr>
          <w:p>
            <w:pPr>
              <w:pStyle w:val="TableParagraph"/>
              <w:rPr>
                <w:sz w:val="12"/>
              </w:rPr>
            </w:pPr>
          </w:p>
        </w:tc>
        <w:tc>
          <w:tcPr>
            <w:tcW w:w="893" w:type="dxa"/>
            <w:shd w:val="clear" w:color="auto" w:fill="BEBEBE"/>
          </w:tcPr>
          <w:p>
            <w:pPr>
              <w:pStyle w:val="TableParagraph"/>
              <w:spacing w:line="172" w:lineRule="exact"/>
              <w:ind w:right="90"/>
              <w:jc w:val="center"/>
              <w:rPr>
                <w:b/>
                <w:sz w:val="16"/>
              </w:rPr>
            </w:pPr>
            <w:r>
              <w:rPr>
                <w:b/>
                <w:color w:val="1F487C"/>
                <w:spacing w:val="-4"/>
                <w:sz w:val="16"/>
              </w:rPr>
              <w:t>2023</w:t>
            </w:r>
          </w:p>
        </w:tc>
        <w:tc>
          <w:tcPr>
            <w:tcW w:w="581" w:type="dxa"/>
            <w:shd w:val="clear" w:color="auto" w:fill="BEBEBE"/>
          </w:tcPr>
          <w:p>
            <w:pPr>
              <w:pStyle w:val="TableParagraph"/>
              <w:rPr>
                <w:sz w:val="12"/>
              </w:rPr>
            </w:pPr>
          </w:p>
        </w:tc>
        <w:tc>
          <w:tcPr>
            <w:tcW w:w="645" w:type="dxa"/>
            <w:shd w:val="clear" w:color="auto" w:fill="BEBEBE"/>
          </w:tcPr>
          <w:p>
            <w:pPr>
              <w:pStyle w:val="TableParagraph"/>
              <w:rPr>
                <w:sz w:val="12"/>
              </w:rPr>
            </w:pPr>
          </w:p>
        </w:tc>
        <w:tc>
          <w:tcPr>
            <w:tcW w:w="951" w:type="dxa"/>
            <w:shd w:val="clear" w:color="auto" w:fill="BEBEBE"/>
          </w:tcPr>
          <w:p>
            <w:pPr>
              <w:pStyle w:val="TableParagraph"/>
              <w:spacing w:line="172" w:lineRule="exact"/>
              <w:ind w:left="267"/>
              <w:rPr>
                <w:b/>
                <w:sz w:val="16"/>
              </w:rPr>
            </w:pPr>
            <w:r>
              <w:rPr>
                <w:b/>
                <w:color w:val="1F487C"/>
                <w:spacing w:val="-4"/>
                <w:sz w:val="16"/>
              </w:rPr>
              <w:t>2024</w:t>
            </w:r>
          </w:p>
        </w:tc>
        <w:tc>
          <w:tcPr>
            <w:tcW w:w="616" w:type="dxa"/>
            <w:shd w:val="clear" w:color="auto" w:fill="BEBEBE"/>
          </w:tcPr>
          <w:p>
            <w:pPr>
              <w:pStyle w:val="TableParagraph"/>
              <w:rPr>
                <w:sz w:val="12"/>
              </w:rPr>
            </w:pPr>
          </w:p>
        </w:tc>
        <w:tc>
          <w:tcPr>
            <w:tcW w:w="627" w:type="dxa"/>
            <w:shd w:val="clear" w:color="auto" w:fill="BEBEBE"/>
          </w:tcPr>
          <w:p>
            <w:pPr>
              <w:pStyle w:val="TableParagraph"/>
              <w:rPr>
                <w:sz w:val="12"/>
              </w:rPr>
            </w:pPr>
          </w:p>
        </w:tc>
        <w:tc>
          <w:tcPr>
            <w:tcW w:w="876" w:type="dxa"/>
            <w:shd w:val="clear" w:color="auto" w:fill="BEBEBE"/>
          </w:tcPr>
          <w:p>
            <w:pPr>
              <w:pStyle w:val="TableParagraph"/>
              <w:spacing w:line="172" w:lineRule="exact"/>
              <w:ind w:left="18" w:right="66"/>
              <w:jc w:val="center"/>
              <w:rPr>
                <w:b/>
                <w:sz w:val="16"/>
              </w:rPr>
            </w:pPr>
            <w:r>
              <w:rPr>
                <w:b/>
                <w:color w:val="1F487C"/>
                <w:spacing w:val="-4"/>
                <w:sz w:val="16"/>
              </w:rPr>
              <w:t>2025</w:t>
            </w:r>
          </w:p>
        </w:tc>
        <w:tc>
          <w:tcPr>
            <w:tcW w:w="585" w:type="dxa"/>
            <w:shd w:val="clear" w:color="auto" w:fill="BEBEBE"/>
          </w:tcPr>
          <w:p>
            <w:pPr>
              <w:pStyle w:val="TableParagraph"/>
              <w:rPr>
                <w:sz w:val="12"/>
              </w:rPr>
            </w:pPr>
          </w:p>
        </w:tc>
      </w:tr>
      <w:tr>
        <w:trPr>
          <w:trHeight w:val="369" w:hRule="atLeast"/>
        </w:trPr>
        <w:tc>
          <w:tcPr>
            <w:tcW w:w="2146" w:type="dxa"/>
            <w:tcBorders>
              <w:bottom w:val="single" w:sz="8" w:space="0" w:color="FFFFFF"/>
            </w:tcBorders>
            <w:shd w:val="clear" w:color="auto" w:fill="BEBEBE"/>
          </w:tcPr>
          <w:p>
            <w:pPr>
              <w:pStyle w:val="TableParagraph"/>
              <w:rPr>
                <w:sz w:val="16"/>
              </w:rPr>
            </w:pPr>
          </w:p>
        </w:tc>
        <w:tc>
          <w:tcPr>
            <w:tcW w:w="619" w:type="dxa"/>
            <w:tcBorders>
              <w:bottom w:val="single" w:sz="8" w:space="0" w:color="FFFFFF"/>
            </w:tcBorders>
            <w:shd w:val="clear" w:color="auto" w:fill="BEBEBE"/>
          </w:tcPr>
          <w:p>
            <w:pPr>
              <w:pStyle w:val="TableParagraph"/>
              <w:spacing w:before="93"/>
              <w:ind w:left="9"/>
              <w:jc w:val="center"/>
              <w:rPr>
                <w:b/>
                <w:sz w:val="16"/>
              </w:rPr>
            </w:pPr>
            <w:r>
              <w:rPr>
                <w:b/>
                <w:color w:val="1F487C"/>
                <w:spacing w:val="-2"/>
                <w:sz w:val="16"/>
              </w:rPr>
              <w:t>Πλήθος</w:t>
            </w:r>
          </w:p>
        </w:tc>
        <w:tc>
          <w:tcPr>
            <w:tcW w:w="893" w:type="dxa"/>
            <w:tcBorders>
              <w:bottom w:val="single" w:sz="8" w:space="0" w:color="FFFFFF"/>
            </w:tcBorders>
            <w:shd w:val="clear" w:color="auto" w:fill="BEBEBE"/>
          </w:tcPr>
          <w:p>
            <w:pPr>
              <w:pStyle w:val="TableParagraph"/>
              <w:spacing w:line="183" w:lineRule="exact" w:before="14"/>
              <w:ind w:left="38"/>
              <w:rPr>
                <w:b/>
                <w:sz w:val="16"/>
              </w:rPr>
            </w:pPr>
            <w:r>
              <w:rPr>
                <w:b/>
                <w:color w:val="1F487C"/>
                <w:spacing w:val="-2"/>
                <w:sz w:val="16"/>
              </w:rPr>
              <w:t>Ενεργητ</w:t>
            </w:r>
            <w:r>
              <w:rPr>
                <w:b/>
                <w:smallCaps/>
                <w:color w:val="1F487C"/>
                <w:spacing w:val="-2"/>
                <w:sz w:val="16"/>
              </w:rPr>
              <w:t>ι</w:t>
            </w:r>
            <w:r>
              <w:rPr>
                <w:b/>
                <w:smallCaps w:val="0"/>
                <w:color w:val="1F487C"/>
                <w:spacing w:val="-2"/>
                <w:sz w:val="16"/>
              </w:rPr>
              <w:t>κό</w:t>
            </w:r>
          </w:p>
          <w:p>
            <w:pPr>
              <w:pStyle w:val="TableParagraph"/>
              <w:spacing w:line="152" w:lineRule="exact"/>
              <w:ind w:left="77"/>
              <w:rPr>
                <w:sz w:val="14"/>
              </w:rPr>
            </w:pPr>
            <w:r>
              <w:rPr>
                <w:color w:val="1F487C"/>
                <w:sz w:val="14"/>
              </w:rPr>
              <w:t>(εκατ.</w:t>
            </w:r>
            <w:r>
              <w:rPr>
                <w:color w:val="1F487C"/>
                <w:spacing w:val="-5"/>
                <w:sz w:val="14"/>
              </w:rPr>
              <w:t> </w:t>
            </w:r>
            <w:r>
              <w:rPr>
                <w:color w:val="1F487C"/>
                <w:spacing w:val="-2"/>
                <w:sz w:val="14"/>
              </w:rPr>
              <w:t>ευρώ)</w:t>
            </w:r>
          </w:p>
        </w:tc>
        <w:tc>
          <w:tcPr>
            <w:tcW w:w="581" w:type="dxa"/>
            <w:tcBorders>
              <w:bottom w:val="single" w:sz="8" w:space="0" w:color="FFFFFF"/>
            </w:tcBorders>
            <w:shd w:val="clear" w:color="auto" w:fill="BEBEBE"/>
          </w:tcPr>
          <w:p>
            <w:pPr>
              <w:pStyle w:val="TableParagraph"/>
              <w:spacing w:before="93"/>
              <w:ind w:left="7" w:right="31"/>
              <w:jc w:val="center"/>
              <w:rPr>
                <w:b/>
                <w:sz w:val="16"/>
              </w:rPr>
            </w:pPr>
            <w:r>
              <w:rPr>
                <w:b/>
                <w:color w:val="1F487C"/>
                <w:spacing w:val="-10"/>
                <w:sz w:val="16"/>
              </w:rPr>
              <w:t>%</w:t>
            </w:r>
          </w:p>
        </w:tc>
        <w:tc>
          <w:tcPr>
            <w:tcW w:w="645" w:type="dxa"/>
            <w:tcBorders>
              <w:bottom w:val="single" w:sz="8" w:space="0" w:color="FFFFFF"/>
            </w:tcBorders>
            <w:shd w:val="clear" w:color="auto" w:fill="BEBEBE"/>
          </w:tcPr>
          <w:p>
            <w:pPr>
              <w:pStyle w:val="TableParagraph"/>
              <w:spacing w:before="93"/>
              <w:ind w:left="21" w:right="68"/>
              <w:jc w:val="center"/>
              <w:rPr>
                <w:b/>
                <w:sz w:val="16"/>
              </w:rPr>
            </w:pPr>
            <w:r>
              <w:rPr>
                <w:b/>
                <w:color w:val="1F487C"/>
                <w:spacing w:val="-2"/>
                <w:sz w:val="16"/>
              </w:rPr>
              <w:t>Πλήθος</w:t>
            </w:r>
          </w:p>
        </w:tc>
        <w:tc>
          <w:tcPr>
            <w:tcW w:w="951" w:type="dxa"/>
            <w:tcBorders>
              <w:bottom w:val="single" w:sz="8" w:space="0" w:color="FFFFFF"/>
            </w:tcBorders>
            <w:shd w:val="clear" w:color="auto" w:fill="BEBEBE"/>
          </w:tcPr>
          <w:p>
            <w:pPr>
              <w:pStyle w:val="TableParagraph"/>
              <w:spacing w:before="2"/>
              <w:ind w:left="86"/>
              <w:rPr>
                <w:b/>
                <w:sz w:val="16"/>
              </w:rPr>
            </w:pPr>
            <w:r>
              <w:rPr>
                <w:b/>
                <w:color w:val="1F487C"/>
                <w:spacing w:val="-2"/>
                <w:sz w:val="16"/>
              </w:rPr>
              <w:t>Ενεργητ</w:t>
            </w:r>
            <w:r>
              <w:rPr>
                <w:b/>
                <w:smallCaps/>
                <w:color w:val="1F487C"/>
                <w:spacing w:val="-2"/>
                <w:sz w:val="16"/>
              </w:rPr>
              <w:t>ι</w:t>
            </w:r>
            <w:r>
              <w:rPr>
                <w:b/>
                <w:smallCaps w:val="0"/>
                <w:color w:val="1F487C"/>
                <w:spacing w:val="-2"/>
                <w:sz w:val="16"/>
              </w:rPr>
              <w:t>κό</w:t>
            </w:r>
          </w:p>
          <w:p>
            <w:pPr>
              <w:pStyle w:val="TableParagraph"/>
              <w:spacing w:line="163" w:lineRule="exact" w:before="1"/>
              <w:ind w:left="77"/>
              <w:rPr>
                <w:sz w:val="16"/>
              </w:rPr>
            </w:pPr>
            <w:r>
              <w:rPr>
                <w:color w:val="1F487C"/>
                <w:sz w:val="16"/>
              </w:rPr>
              <w:t>(εκατ. </w:t>
            </w:r>
            <w:r>
              <w:rPr>
                <w:color w:val="1F487C"/>
                <w:spacing w:val="-2"/>
                <w:sz w:val="16"/>
              </w:rPr>
              <w:t>ευρώ)</w:t>
            </w:r>
          </w:p>
        </w:tc>
        <w:tc>
          <w:tcPr>
            <w:tcW w:w="616" w:type="dxa"/>
            <w:tcBorders>
              <w:bottom w:val="single" w:sz="8" w:space="0" w:color="FFFFFF"/>
            </w:tcBorders>
            <w:shd w:val="clear" w:color="auto" w:fill="BEBEBE"/>
          </w:tcPr>
          <w:p>
            <w:pPr>
              <w:pStyle w:val="TableParagraph"/>
              <w:spacing w:before="93"/>
              <w:ind w:right="208"/>
              <w:jc w:val="right"/>
              <w:rPr>
                <w:b/>
                <w:sz w:val="16"/>
              </w:rPr>
            </w:pPr>
            <w:r>
              <w:rPr>
                <w:b/>
                <w:color w:val="1F487C"/>
                <w:spacing w:val="-10"/>
                <w:sz w:val="16"/>
              </w:rPr>
              <w:t>%</w:t>
            </w:r>
          </w:p>
        </w:tc>
        <w:tc>
          <w:tcPr>
            <w:tcW w:w="627" w:type="dxa"/>
            <w:tcBorders>
              <w:bottom w:val="single" w:sz="8" w:space="0" w:color="FFFFFF"/>
            </w:tcBorders>
            <w:shd w:val="clear" w:color="auto" w:fill="BEBEBE"/>
          </w:tcPr>
          <w:p>
            <w:pPr>
              <w:pStyle w:val="TableParagraph"/>
              <w:spacing w:before="93"/>
              <w:ind w:left="23"/>
              <w:jc w:val="center"/>
              <w:rPr>
                <w:b/>
                <w:sz w:val="16"/>
              </w:rPr>
            </w:pPr>
            <w:r>
              <w:rPr>
                <w:b/>
                <w:color w:val="1F487C"/>
                <w:spacing w:val="-2"/>
                <w:sz w:val="16"/>
              </w:rPr>
              <w:t>Πλήθος</w:t>
            </w:r>
          </w:p>
        </w:tc>
        <w:tc>
          <w:tcPr>
            <w:tcW w:w="876" w:type="dxa"/>
            <w:tcBorders>
              <w:bottom w:val="single" w:sz="8" w:space="0" w:color="FFFFFF"/>
            </w:tcBorders>
            <w:shd w:val="clear" w:color="auto" w:fill="BEBEBE"/>
          </w:tcPr>
          <w:p>
            <w:pPr>
              <w:pStyle w:val="TableParagraph"/>
              <w:spacing w:line="183" w:lineRule="exact" w:before="14"/>
              <w:ind w:left="29"/>
              <w:rPr>
                <w:b/>
                <w:sz w:val="16"/>
              </w:rPr>
            </w:pPr>
            <w:r>
              <w:rPr>
                <w:b/>
                <w:color w:val="1F487C"/>
                <w:spacing w:val="-2"/>
                <w:sz w:val="16"/>
              </w:rPr>
              <w:t>Ενεργητ</w:t>
            </w:r>
            <w:r>
              <w:rPr>
                <w:b/>
                <w:smallCaps/>
                <w:color w:val="1F487C"/>
                <w:spacing w:val="-2"/>
                <w:sz w:val="16"/>
              </w:rPr>
              <w:t>ι</w:t>
            </w:r>
            <w:r>
              <w:rPr>
                <w:b/>
                <w:smallCaps w:val="0"/>
                <w:color w:val="1F487C"/>
                <w:spacing w:val="-2"/>
                <w:sz w:val="16"/>
              </w:rPr>
              <w:t>κό</w:t>
            </w:r>
          </w:p>
          <w:p>
            <w:pPr>
              <w:pStyle w:val="TableParagraph"/>
              <w:spacing w:line="152" w:lineRule="exact"/>
              <w:ind w:left="70"/>
              <w:rPr>
                <w:sz w:val="14"/>
              </w:rPr>
            </w:pPr>
            <w:r>
              <w:rPr>
                <w:color w:val="1F487C"/>
                <w:sz w:val="14"/>
              </w:rPr>
              <w:t>(εκατ.</w:t>
            </w:r>
            <w:r>
              <w:rPr>
                <w:color w:val="1F487C"/>
                <w:spacing w:val="-5"/>
                <w:sz w:val="14"/>
              </w:rPr>
              <w:t> </w:t>
            </w:r>
            <w:r>
              <w:rPr>
                <w:color w:val="1F487C"/>
                <w:spacing w:val="-2"/>
                <w:sz w:val="14"/>
              </w:rPr>
              <w:t>ευρώ)</w:t>
            </w:r>
          </w:p>
        </w:tc>
        <w:tc>
          <w:tcPr>
            <w:tcW w:w="585" w:type="dxa"/>
            <w:tcBorders>
              <w:bottom w:val="single" w:sz="8" w:space="0" w:color="FFFFFF"/>
            </w:tcBorders>
            <w:shd w:val="clear" w:color="auto" w:fill="BEBEBE"/>
          </w:tcPr>
          <w:p>
            <w:pPr>
              <w:pStyle w:val="TableParagraph"/>
              <w:spacing w:before="93"/>
              <w:ind w:right="50"/>
              <w:jc w:val="center"/>
              <w:rPr>
                <w:b/>
                <w:sz w:val="16"/>
              </w:rPr>
            </w:pPr>
            <w:r>
              <w:rPr>
                <w:b/>
                <w:color w:val="1F487C"/>
                <w:spacing w:val="-10"/>
                <w:sz w:val="16"/>
              </w:rPr>
              <w:t>%</w:t>
            </w:r>
          </w:p>
        </w:tc>
      </w:tr>
      <w:tr>
        <w:trPr>
          <w:trHeight w:val="340" w:hRule="atLeast"/>
        </w:trPr>
        <w:tc>
          <w:tcPr>
            <w:tcW w:w="2146" w:type="dxa"/>
            <w:tcBorders>
              <w:top w:val="single" w:sz="8" w:space="0" w:color="FFFFFF"/>
            </w:tcBorders>
            <w:shd w:val="clear" w:color="auto" w:fill="D9D9D9"/>
          </w:tcPr>
          <w:p>
            <w:pPr>
              <w:pStyle w:val="TableParagraph"/>
              <w:spacing w:before="109"/>
              <w:ind w:left="108"/>
              <w:rPr>
                <w:b/>
                <w:sz w:val="16"/>
              </w:rPr>
            </w:pPr>
            <w:r>
              <w:rPr>
                <w:b/>
                <w:color w:val="1F487C"/>
                <w:spacing w:val="-2"/>
                <w:sz w:val="16"/>
              </w:rPr>
              <w:t>Τραπεζ</w:t>
            </w:r>
            <w:r>
              <w:rPr>
                <w:b/>
                <w:smallCaps/>
                <w:color w:val="1F487C"/>
                <w:spacing w:val="-2"/>
                <w:sz w:val="16"/>
              </w:rPr>
              <w:t>ι</w:t>
            </w:r>
            <w:r>
              <w:rPr>
                <w:b/>
                <w:smallCaps w:val="0"/>
                <w:color w:val="1F487C"/>
                <w:spacing w:val="-2"/>
                <w:sz w:val="16"/>
              </w:rPr>
              <w:t>κός</w:t>
            </w:r>
            <w:r>
              <w:rPr>
                <w:b/>
                <w:smallCaps w:val="0"/>
                <w:color w:val="1F487C"/>
                <w:spacing w:val="9"/>
                <w:sz w:val="16"/>
              </w:rPr>
              <w:t> </w:t>
            </w:r>
            <w:r>
              <w:rPr>
                <w:b/>
                <w:smallCaps w:val="0"/>
                <w:color w:val="1F487C"/>
                <w:spacing w:val="-2"/>
                <w:sz w:val="16"/>
              </w:rPr>
              <w:t>Τομέας</w:t>
            </w:r>
          </w:p>
        </w:tc>
        <w:tc>
          <w:tcPr>
            <w:tcW w:w="619" w:type="dxa"/>
            <w:tcBorders>
              <w:top w:val="single" w:sz="8" w:space="0" w:color="FFFFFF"/>
            </w:tcBorders>
            <w:shd w:val="clear" w:color="auto" w:fill="D9D9D9"/>
          </w:tcPr>
          <w:p>
            <w:pPr>
              <w:pStyle w:val="TableParagraph"/>
              <w:spacing w:before="109"/>
              <w:ind w:left="9" w:right="65"/>
              <w:jc w:val="center"/>
              <w:rPr>
                <w:b/>
                <w:sz w:val="16"/>
              </w:rPr>
            </w:pPr>
            <w:r>
              <w:rPr>
                <w:b/>
                <w:color w:val="1F487C"/>
                <w:spacing w:val="-5"/>
                <w:sz w:val="16"/>
              </w:rPr>
              <w:t>33</w:t>
            </w:r>
          </w:p>
        </w:tc>
        <w:tc>
          <w:tcPr>
            <w:tcW w:w="893" w:type="dxa"/>
            <w:tcBorders>
              <w:top w:val="single" w:sz="8" w:space="0" w:color="FFFFFF"/>
            </w:tcBorders>
            <w:shd w:val="clear" w:color="auto" w:fill="D9D9D9"/>
          </w:tcPr>
          <w:p>
            <w:pPr>
              <w:pStyle w:val="TableParagraph"/>
              <w:spacing w:before="109"/>
              <w:ind w:left="58" w:right="90"/>
              <w:jc w:val="center"/>
              <w:rPr>
                <w:b/>
                <w:sz w:val="16"/>
              </w:rPr>
            </w:pPr>
            <w:r>
              <w:rPr>
                <w:b/>
                <w:color w:val="1F487C"/>
                <w:spacing w:val="-2"/>
                <w:sz w:val="16"/>
              </w:rPr>
              <w:t>294.415</w:t>
            </w:r>
          </w:p>
        </w:tc>
        <w:tc>
          <w:tcPr>
            <w:tcW w:w="581" w:type="dxa"/>
            <w:tcBorders>
              <w:top w:val="single" w:sz="8" w:space="0" w:color="FFFFFF"/>
            </w:tcBorders>
            <w:shd w:val="clear" w:color="auto" w:fill="D9D9D9"/>
          </w:tcPr>
          <w:p>
            <w:pPr>
              <w:pStyle w:val="TableParagraph"/>
              <w:spacing w:before="109"/>
              <w:ind w:left="7" w:right="25"/>
              <w:jc w:val="center"/>
              <w:rPr>
                <w:b/>
                <w:sz w:val="16"/>
              </w:rPr>
            </w:pPr>
            <w:r>
              <w:rPr>
                <w:b/>
                <w:color w:val="1F487C"/>
                <w:spacing w:val="-2"/>
                <w:sz w:val="16"/>
              </w:rPr>
              <w:t>86,1%</w:t>
            </w:r>
          </w:p>
        </w:tc>
        <w:tc>
          <w:tcPr>
            <w:tcW w:w="645" w:type="dxa"/>
            <w:tcBorders>
              <w:top w:val="single" w:sz="8" w:space="0" w:color="FFFFFF"/>
            </w:tcBorders>
            <w:shd w:val="clear" w:color="auto" w:fill="D9D9D9"/>
          </w:tcPr>
          <w:p>
            <w:pPr>
              <w:pStyle w:val="TableParagraph"/>
              <w:spacing w:before="109"/>
              <w:ind w:left="1" w:right="68"/>
              <w:jc w:val="center"/>
              <w:rPr>
                <w:b/>
                <w:sz w:val="16"/>
              </w:rPr>
            </w:pPr>
            <w:r>
              <w:rPr>
                <w:b/>
                <w:color w:val="1F487C"/>
                <w:spacing w:val="-5"/>
                <w:sz w:val="16"/>
              </w:rPr>
              <w:t>33</w:t>
            </w:r>
          </w:p>
        </w:tc>
        <w:tc>
          <w:tcPr>
            <w:tcW w:w="951" w:type="dxa"/>
            <w:tcBorders>
              <w:top w:val="single" w:sz="8" w:space="0" w:color="FFFFFF"/>
            </w:tcBorders>
            <w:shd w:val="clear" w:color="auto" w:fill="D9D9D9"/>
          </w:tcPr>
          <w:p>
            <w:pPr>
              <w:pStyle w:val="TableParagraph"/>
              <w:spacing w:before="109"/>
              <w:ind w:right="222"/>
              <w:jc w:val="right"/>
              <w:rPr>
                <w:b/>
                <w:sz w:val="16"/>
              </w:rPr>
            </w:pPr>
            <w:r>
              <w:rPr>
                <w:b/>
                <w:color w:val="1F487C"/>
                <w:spacing w:val="-2"/>
                <w:sz w:val="16"/>
              </w:rPr>
              <w:t>303.924</w:t>
            </w:r>
          </w:p>
        </w:tc>
        <w:tc>
          <w:tcPr>
            <w:tcW w:w="616" w:type="dxa"/>
            <w:tcBorders>
              <w:top w:val="single" w:sz="8" w:space="0" w:color="FFFFFF"/>
            </w:tcBorders>
            <w:shd w:val="clear" w:color="auto" w:fill="D9D9D9"/>
          </w:tcPr>
          <w:p>
            <w:pPr>
              <w:pStyle w:val="TableParagraph"/>
              <w:spacing w:before="109"/>
              <w:ind w:right="122"/>
              <w:jc w:val="right"/>
              <w:rPr>
                <w:b/>
                <w:sz w:val="16"/>
              </w:rPr>
            </w:pPr>
            <w:r>
              <w:rPr>
                <w:b/>
                <w:color w:val="1F487C"/>
                <w:spacing w:val="-2"/>
                <w:sz w:val="16"/>
              </w:rPr>
              <w:t>84,7%</w:t>
            </w:r>
          </w:p>
        </w:tc>
        <w:tc>
          <w:tcPr>
            <w:tcW w:w="627" w:type="dxa"/>
            <w:tcBorders>
              <w:top w:val="single" w:sz="8" w:space="0" w:color="FFFFFF"/>
            </w:tcBorders>
            <w:shd w:val="clear" w:color="auto" w:fill="D9D9D9"/>
          </w:tcPr>
          <w:p>
            <w:pPr>
              <w:pStyle w:val="TableParagraph"/>
              <w:spacing w:before="109"/>
              <w:ind w:left="23" w:right="15"/>
              <w:jc w:val="center"/>
              <w:rPr>
                <w:b/>
                <w:sz w:val="16"/>
              </w:rPr>
            </w:pPr>
            <w:r>
              <w:rPr>
                <w:b/>
                <w:color w:val="1F487C"/>
                <w:spacing w:val="-5"/>
                <w:sz w:val="16"/>
              </w:rPr>
              <w:t>33</w:t>
            </w:r>
          </w:p>
        </w:tc>
        <w:tc>
          <w:tcPr>
            <w:tcW w:w="876" w:type="dxa"/>
            <w:tcBorders>
              <w:top w:val="single" w:sz="8" w:space="0" w:color="FFFFFF"/>
            </w:tcBorders>
            <w:shd w:val="clear" w:color="auto" w:fill="D9D9D9"/>
          </w:tcPr>
          <w:p>
            <w:pPr>
              <w:pStyle w:val="TableParagraph"/>
              <w:spacing w:before="109"/>
              <w:ind w:left="64" w:right="48"/>
              <w:jc w:val="center"/>
              <w:rPr>
                <w:b/>
                <w:sz w:val="16"/>
              </w:rPr>
            </w:pPr>
            <w:r>
              <w:rPr>
                <w:b/>
                <w:color w:val="1F487C"/>
                <w:spacing w:val="-2"/>
                <w:sz w:val="16"/>
              </w:rPr>
              <w:t>328.647</w:t>
            </w:r>
          </w:p>
        </w:tc>
        <w:tc>
          <w:tcPr>
            <w:tcW w:w="585" w:type="dxa"/>
            <w:tcBorders>
              <w:top w:val="single" w:sz="8" w:space="0" w:color="FFFFFF"/>
            </w:tcBorders>
            <w:shd w:val="clear" w:color="auto" w:fill="D9D9D9"/>
          </w:tcPr>
          <w:p>
            <w:pPr>
              <w:pStyle w:val="TableParagraph"/>
              <w:spacing w:before="109"/>
              <w:ind w:left="1" w:right="50"/>
              <w:jc w:val="center"/>
              <w:rPr>
                <w:b/>
                <w:sz w:val="16"/>
              </w:rPr>
            </w:pPr>
            <w:r>
              <w:rPr>
                <w:b/>
                <w:color w:val="1F487C"/>
                <w:spacing w:val="-2"/>
                <w:sz w:val="16"/>
              </w:rPr>
              <w:t>84,1%</w:t>
            </w:r>
          </w:p>
        </w:tc>
      </w:tr>
      <w:tr>
        <w:trPr>
          <w:trHeight w:val="381" w:hRule="atLeast"/>
        </w:trPr>
        <w:tc>
          <w:tcPr>
            <w:tcW w:w="2146" w:type="dxa"/>
            <w:shd w:val="clear" w:color="auto" w:fill="BEBEBE"/>
          </w:tcPr>
          <w:p>
            <w:pPr>
              <w:pStyle w:val="TableParagraph"/>
              <w:spacing w:line="160" w:lineRule="atLeast" w:before="39"/>
              <w:ind w:left="108" w:right="551"/>
              <w:rPr>
                <w:sz w:val="14"/>
              </w:rPr>
            </w:pPr>
            <w:r>
              <w:rPr>
                <w:spacing w:val="-2"/>
                <w:sz w:val="14"/>
              </w:rPr>
              <w:t>Σημαντικά</w:t>
            </w:r>
            <w:r>
              <w:rPr>
                <w:spacing w:val="-7"/>
                <w:sz w:val="14"/>
              </w:rPr>
              <w:t> </w:t>
            </w:r>
            <w:r>
              <w:rPr>
                <w:spacing w:val="-2"/>
                <w:sz w:val="14"/>
              </w:rPr>
              <w:t>πιστωτικά</w:t>
            </w:r>
            <w:r>
              <w:rPr>
                <w:spacing w:val="40"/>
                <w:sz w:val="14"/>
              </w:rPr>
              <w:t> </w:t>
            </w:r>
            <w:r>
              <w:rPr>
                <w:spacing w:val="-2"/>
                <w:sz w:val="14"/>
              </w:rPr>
              <w:t>ιδρύματα</w:t>
            </w:r>
          </w:p>
        </w:tc>
        <w:tc>
          <w:tcPr>
            <w:tcW w:w="619" w:type="dxa"/>
            <w:shd w:val="clear" w:color="auto" w:fill="BEBEBE"/>
          </w:tcPr>
          <w:p>
            <w:pPr>
              <w:pStyle w:val="TableParagraph"/>
              <w:spacing w:before="129"/>
              <w:ind w:left="9" w:right="65"/>
              <w:jc w:val="center"/>
              <w:rPr>
                <w:sz w:val="16"/>
              </w:rPr>
            </w:pPr>
            <w:r>
              <w:rPr>
                <w:spacing w:val="-10"/>
                <w:sz w:val="16"/>
              </w:rPr>
              <w:t>4</w:t>
            </w:r>
          </w:p>
        </w:tc>
        <w:tc>
          <w:tcPr>
            <w:tcW w:w="893" w:type="dxa"/>
            <w:shd w:val="clear" w:color="auto" w:fill="BEBEBE"/>
          </w:tcPr>
          <w:p>
            <w:pPr>
              <w:pStyle w:val="TableParagraph"/>
              <w:spacing w:before="129"/>
              <w:ind w:left="58" w:right="90"/>
              <w:jc w:val="center"/>
              <w:rPr>
                <w:sz w:val="16"/>
              </w:rPr>
            </w:pPr>
            <w:r>
              <w:rPr>
                <w:spacing w:val="-2"/>
                <w:sz w:val="16"/>
              </w:rPr>
              <w:t>277.319</w:t>
            </w:r>
          </w:p>
        </w:tc>
        <w:tc>
          <w:tcPr>
            <w:tcW w:w="581" w:type="dxa"/>
            <w:shd w:val="clear" w:color="auto" w:fill="BEBEBE"/>
          </w:tcPr>
          <w:p>
            <w:pPr>
              <w:pStyle w:val="TableParagraph"/>
              <w:spacing w:before="129"/>
              <w:ind w:left="7" w:right="28"/>
              <w:jc w:val="center"/>
              <w:rPr>
                <w:sz w:val="16"/>
              </w:rPr>
            </w:pPr>
            <w:r>
              <w:rPr>
                <w:spacing w:val="-2"/>
                <w:sz w:val="16"/>
              </w:rPr>
              <w:t>81,1%</w:t>
            </w:r>
          </w:p>
        </w:tc>
        <w:tc>
          <w:tcPr>
            <w:tcW w:w="645" w:type="dxa"/>
            <w:shd w:val="clear" w:color="auto" w:fill="BEBEBE"/>
          </w:tcPr>
          <w:p>
            <w:pPr>
              <w:pStyle w:val="TableParagraph"/>
              <w:spacing w:before="129"/>
              <w:ind w:right="68"/>
              <w:jc w:val="center"/>
              <w:rPr>
                <w:sz w:val="16"/>
              </w:rPr>
            </w:pPr>
            <w:r>
              <w:rPr>
                <w:spacing w:val="-10"/>
                <w:sz w:val="16"/>
              </w:rPr>
              <w:t>4</w:t>
            </w:r>
          </w:p>
        </w:tc>
        <w:tc>
          <w:tcPr>
            <w:tcW w:w="951" w:type="dxa"/>
            <w:shd w:val="clear" w:color="auto" w:fill="BEBEBE"/>
          </w:tcPr>
          <w:p>
            <w:pPr>
              <w:pStyle w:val="TableParagraph"/>
              <w:spacing w:before="129"/>
              <w:ind w:right="222"/>
              <w:jc w:val="right"/>
              <w:rPr>
                <w:sz w:val="16"/>
              </w:rPr>
            </w:pPr>
            <w:r>
              <w:rPr>
                <w:spacing w:val="-2"/>
                <w:sz w:val="16"/>
              </w:rPr>
              <w:t>283.851</w:t>
            </w:r>
          </w:p>
        </w:tc>
        <w:tc>
          <w:tcPr>
            <w:tcW w:w="616" w:type="dxa"/>
            <w:shd w:val="clear" w:color="auto" w:fill="BEBEBE"/>
          </w:tcPr>
          <w:p>
            <w:pPr>
              <w:pStyle w:val="TableParagraph"/>
              <w:spacing w:before="129"/>
              <w:ind w:right="135"/>
              <w:jc w:val="right"/>
              <w:rPr>
                <w:sz w:val="16"/>
              </w:rPr>
            </w:pPr>
            <w:r>
              <w:rPr>
                <w:spacing w:val="-2"/>
                <w:sz w:val="16"/>
              </w:rPr>
              <w:t>79,1%</w:t>
            </w:r>
          </w:p>
        </w:tc>
        <w:tc>
          <w:tcPr>
            <w:tcW w:w="627" w:type="dxa"/>
            <w:shd w:val="clear" w:color="auto" w:fill="BEBEBE"/>
          </w:tcPr>
          <w:p>
            <w:pPr>
              <w:pStyle w:val="TableParagraph"/>
              <w:spacing w:before="129"/>
              <w:ind w:left="23" w:right="16"/>
              <w:jc w:val="center"/>
              <w:rPr>
                <w:sz w:val="16"/>
              </w:rPr>
            </w:pPr>
            <w:r>
              <w:rPr>
                <w:spacing w:val="-10"/>
                <w:sz w:val="16"/>
              </w:rPr>
              <w:t>4</w:t>
            </w:r>
          </w:p>
        </w:tc>
        <w:tc>
          <w:tcPr>
            <w:tcW w:w="876" w:type="dxa"/>
            <w:shd w:val="clear" w:color="auto" w:fill="BEBEBE"/>
          </w:tcPr>
          <w:p>
            <w:pPr>
              <w:pStyle w:val="TableParagraph"/>
              <w:spacing w:before="129"/>
              <w:ind w:left="64" w:right="48"/>
              <w:jc w:val="center"/>
              <w:rPr>
                <w:sz w:val="16"/>
              </w:rPr>
            </w:pPr>
            <w:r>
              <w:rPr>
                <w:spacing w:val="-2"/>
                <w:sz w:val="16"/>
              </w:rPr>
              <w:t>304.023</w:t>
            </w:r>
          </w:p>
        </w:tc>
        <w:tc>
          <w:tcPr>
            <w:tcW w:w="585" w:type="dxa"/>
            <w:shd w:val="clear" w:color="auto" w:fill="BEBEBE"/>
          </w:tcPr>
          <w:p>
            <w:pPr>
              <w:pStyle w:val="TableParagraph"/>
              <w:spacing w:before="129"/>
              <w:ind w:left="3" w:right="50"/>
              <w:jc w:val="center"/>
              <w:rPr>
                <w:sz w:val="16"/>
              </w:rPr>
            </w:pPr>
            <w:r>
              <w:rPr>
                <w:spacing w:val="-2"/>
                <w:sz w:val="16"/>
              </w:rPr>
              <w:t>77,8%</w:t>
            </w:r>
          </w:p>
        </w:tc>
      </w:tr>
      <w:tr>
        <w:trPr>
          <w:trHeight w:val="381" w:hRule="atLeast"/>
        </w:trPr>
        <w:tc>
          <w:tcPr>
            <w:tcW w:w="2146" w:type="dxa"/>
            <w:shd w:val="clear" w:color="auto" w:fill="D9D9D9"/>
          </w:tcPr>
          <w:p>
            <w:pPr>
              <w:pStyle w:val="TableParagraph"/>
              <w:spacing w:line="160" w:lineRule="atLeast" w:before="39"/>
              <w:ind w:left="108" w:right="157"/>
              <w:rPr>
                <w:sz w:val="14"/>
              </w:rPr>
            </w:pPr>
            <w:r>
              <w:rPr>
                <w:sz w:val="14"/>
              </w:rPr>
              <w:t>Μη</w:t>
            </w:r>
            <w:r>
              <w:rPr>
                <w:spacing w:val="26"/>
                <w:sz w:val="14"/>
              </w:rPr>
              <w:t> </w:t>
            </w:r>
            <w:r>
              <w:rPr>
                <w:sz w:val="14"/>
              </w:rPr>
              <w:t>σημαντικά</w:t>
            </w:r>
            <w:r>
              <w:rPr>
                <w:spacing w:val="26"/>
                <w:sz w:val="14"/>
              </w:rPr>
              <w:t> </w:t>
            </w:r>
            <w:r>
              <w:rPr>
                <w:sz w:val="14"/>
              </w:rPr>
              <w:t>πιστωτικά</w:t>
            </w:r>
            <w:r>
              <w:rPr>
                <w:spacing w:val="26"/>
                <w:sz w:val="14"/>
              </w:rPr>
              <w:t> </w:t>
            </w:r>
            <w:r>
              <w:rPr>
                <w:sz w:val="14"/>
              </w:rPr>
              <w:t>ιδρύ-</w:t>
            </w:r>
            <w:r>
              <w:rPr>
                <w:spacing w:val="-4"/>
                <w:sz w:val="14"/>
              </w:rPr>
              <w:t>ματα</w:t>
            </w:r>
          </w:p>
        </w:tc>
        <w:tc>
          <w:tcPr>
            <w:tcW w:w="619" w:type="dxa"/>
            <w:shd w:val="clear" w:color="auto" w:fill="D9D9D9"/>
          </w:tcPr>
          <w:p>
            <w:pPr>
              <w:pStyle w:val="TableParagraph"/>
              <w:spacing w:before="129"/>
              <w:ind w:left="9" w:right="65"/>
              <w:jc w:val="center"/>
              <w:rPr>
                <w:sz w:val="16"/>
              </w:rPr>
            </w:pPr>
            <w:r>
              <w:rPr>
                <w:spacing w:val="-10"/>
                <w:sz w:val="16"/>
              </w:rPr>
              <w:t>8</w:t>
            </w:r>
          </w:p>
        </w:tc>
        <w:tc>
          <w:tcPr>
            <w:tcW w:w="893" w:type="dxa"/>
            <w:shd w:val="clear" w:color="auto" w:fill="D9D9D9"/>
          </w:tcPr>
          <w:p>
            <w:pPr>
              <w:pStyle w:val="TableParagraph"/>
              <w:spacing w:before="129"/>
              <w:ind w:left="57" w:right="90"/>
              <w:jc w:val="center"/>
              <w:rPr>
                <w:sz w:val="16"/>
              </w:rPr>
            </w:pPr>
            <w:r>
              <w:rPr>
                <w:spacing w:val="-2"/>
                <w:sz w:val="16"/>
              </w:rPr>
              <w:t>13.854</w:t>
            </w:r>
          </w:p>
        </w:tc>
        <w:tc>
          <w:tcPr>
            <w:tcW w:w="581" w:type="dxa"/>
            <w:shd w:val="clear" w:color="auto" w:fill="D9D9D9"/>
          </w:tcPr>
          <w:p>
            <w:pPr>
              <w:pStyle w:val="TableParagraph"/>
              <w:spacing w:before="129"/>
              <w:ind w:left="8" w:right="24"/>
              <w:jc w:val="center"/>
              <w:rPr>
                <w:sz w:val="16"/>
              </w:rPr>
            </w:pPr>
            <w:r>
              <w:rPr>
                <w:spacing w:val="-4"/>
                <w:sz w:val="16"/>
              </w:rPr>
              <w:t>4,0%</w:t>
            </w:r>
          </w:p>
        </w:tc>
        <w:tc>
          <w:tcPr>
            <w:tcW w:w="645" w:type="dxa"/>
            <w:shd w:val="clear" w:color="auto" w:fill="D9D9D9"/>
          </w:tcPr>
          <w:p>
            <w:pPr>
              <w:pStyle w:val="TableParagraph"/>
              <w:spacing w:before="129"/>
              <w:ind w:right="68"/>
              <w:jc w:val="center"/>
              <w:rPr>
                <w:sz w:val="16"/>
              </w:rPr>
            </w:pPr>
            <w:r>
              <w:rPr>
                <w:spacing w:val="-10"/>
                <w:sz w:val="16"/>
              </w:rPr>
              <w:t>8</w:t>
            </w:r>
          </w:p>
        </w:tc>
        <w:tc>
          <w:tcPr>
            <w:tcW w:w="951" w:type="dxa"/>
            <w:shd w:val="clear" w:color="auto" w:fill="D9D9D9"/>
          </w:tcPr>
          <w:p>
            <w:pPr>
              <w:pStyle w:val="TableParagraph"/>
              <w:spacing w:before="129"/>
              <w:ind w:right="264"/>
              <w:jc w:val="right"/>
              <w:rPr>
                <w:sz w:val="16"/>
              </w:rPr>
            </w:pPr>
            <w:r>
              <w:rPr>
                <w:spacing w:val="-2"/>
                <w:sz w:val="16"/>
              </w:rPr>
              <w:t>16.042</w:t>
            </w:r>
          </w:p>
        </w:tc>
        <w:tc>
          <w:tcPr>
            <w:tcW w:w="616" w:type="dxa"/>
            <w:shd w:val="clear" w:color="auto" w:fill="D9D9D9"/>
          </w:tcPr>
          <w:p>
            <w:pPr>
              <w:pStyle w:val="TableParagraph"/>
              <w:spacing w:before="129"/>
              <w:ind w:right="173"/>
              <w:jc w:val="right"/>
              <w:rPr>
                <w:sz w:val="16"/>
              </w:rPr>
            </w:pPr>
            <w:r>
              <w:rPr>
                <w:spacing w:val="-4"/>
                <w:sz w:val="16"/>
              </w:rPr>
              <w:t>4,5%</w:t>
            </w:r>
          </w:p>
        </w:tc>
        <w:tc>
          <w:tcPr>
            <w:tcW w:w="627" w:type="dxa"/>
            <w:shd w:val="clear" w:color="auto" w:fill="D9D9D9"/>
          </w:tcPr>
          <w:p>
            <w:pPr>
              <w:pStyle w:val="TableParagraph"/>
              <w:spacing w:before="129"/>
              <w:ind w:left="23" w:right="16"/>
              <w:jc w:val="center"/>
              <w:rPr>
                <w:sz w:val="16"/>
              </w:rPr>
            </w:pPr>
            <w:r>
              <w:rPr>
                <w:spacing w:val="-10"/>
                <w:sz w:val="16"/>
              </w:rPr>
              <w:t>8</w:t>
            </w:r>
          </w:p>
        </w:tc>
        <w:tc>
          <w:tcPr>
            <w:tcW w:w="876" w:type="dxa"/>
            <w:shd w:val="clear" w:color="auto" w:fill="D9D9D9"/>
          </w:tcPr>
          <w:p>
            <w:pPr>
              <w:pStyle w:val="TableParagraph"/>
              <w:spacing w:before="129"/>
              <w:ind w:left="63" w:right="48"/>
              <w:jc w:val="center"/>
              <w:rPr>
                <w:sz w:val="16"/>
              </w:rPr>
            </w:pPr>
            <w:r>
              <w:rPr>
                <w:spacing w:val="-2"/>
                <w:sz w:val="16"/>
              </w:rPr>
              <w:t>19.831</w:t>
            </w:r>
          </w:p>
        </w:tc>
        <w:tc>
          <w:tcPr>
            <w:tcW w:w="585" w:type="dxa"/>
            <w:shd w:val="clear" w:color="auto" w:fill="D9D9D9"/>
          </w:tcPr>
          <w:p>
            <w:pPr>
              <w:pStyle w:val="TableParagraph"/>
              <w:spacing w:before="129"/>
              <w:ind w:left="3" w:right="50"/>
              <w:jc w:val="center"/>
              <w:rPr>
                <w:sz w:val="16"/>
              </w:rPr>
            </w:pPr>
            <w:r>
              <w:rPr>
                <w:spacing w:val="-4"/>
                <w:sz w:val="16"/>
              </w:rPr>
              <w:t>5,1%</w:t>
            </w:r>
          </w:p>
        </w:tc>
      </w:tr>
      <w:tr>
        <w:trPr>
          <w:trHeight w:val="381" w:hRule="atLeast"/>
        </w:trPr>
        <w:tc>
          <w:tcPr>
            <w:tcW w:w="2146" w:type="dxa"/>
            <w:shd w:val="clear" w:color="auto" w:fill="BEBEBE"/>
          </w:tcPr>
          <w:p>
            <w:pPr>
              <w:pStyle w:val="TableParagraph"/>
              <w:spacing w:line="160" w:lineRule="atLeast" w:before="39"/>
              <w:ind w:left="108" w:right="157"/>
              <w:rPr>
                <w:sz w:val="14"/>
              </w:rPr>
            </w:pPr>
            <w:r>
              <w:rPr>
                <w:sz w:val="14"/>
              </w:rPr>
              <w:t>Υποκαταστήματα</w:t>
            </w:r>
            <w:r>
              <w:rPr>
                <w:spacing w:val="-9"/>
                <w:sz w:val="14"/>
              </w:rPr>
              <w:t> </w:t>
            </w:r>
            <w:r>
              <w:rPr>
                <w:sz w:val="14"/>
              </w:rPr>
              <w:t>ξένων</w:t>
            </w:r>
            <w:r>
              <w:rPr>
                <w:spacing w:val="-9"/>
                <w:sz w:val="14"/>
              </w:rPr>
              <w:t> </w:t>
            </w:r>
            <w:r>
              <w:rPr>
                <w:sz w:val="14"/>
              </w:rPr>
              <w:t>πιστωτι-κών</w:t>
            </w:r>
            <w:r>
              <w:rPr>
                <w:spacing w:val="-8"/>
                <w:sz w:val="14"/>
              </w:rPr>
              <w:t> </w:t>
            </w:r>
            <w:r>
              <w:rPr>
                <w:sz w:val="14"/>
              </w:rPr>
              <w:t>ιδρυμάτων</w:t>
            </w:r>
          </w:p>
        </w:tc>
        <w:tc>
          <w:tcPr>
            <w:tcW w:w="619" w:type="dxa"/>
            <w:shd w:val="clear" w:color="auto" w:fill="BEBEBE"/>
          </w:tcPr>
          <w:p>
            <w:pPr>
              <w:pStyle w:val="TableParagraph"/>
              <w:spacing w:before="129"/>
              <w:ind w:left="9" w:right="65"/>
              <w:jc w:val="center"/>
              <w:rPr>
                <w:sz w:val="16"/>
              </w:rPr>
            </w:pPr>
            <w:r>
              <w:rPr>
                <w:spacing w:val="-5"/>
                <w:sz w:val="16"/>
              </w:rPr>
              <w:t>21</w:t>
            </w:r>
          </w:p>
        </w:tc>
        <w:tc>
          <w:tcPr>
            <w:tcW w:w="893" w:type="dxa"/>
            <w:shd w:val="clear" w:color="auto" w:fill="BEBEBE"/>
          </w:tcPr>
          <w:p>
            <w:pPr>
              <w:pStyle w:val="TableParagraph"/>
              <w:spacing w:before="129"/>
              <w:ind w:left="56" w:right="90"/>
              <w:jc w:val="center"/>
              <w:rPr>
                <w:sz w:val="16"/>
              </w:rPr>
            </w:pPr>
            <w:r>
              <w:rPr>
                <w:spacing w:val="-2"/>
                <w:sz w:val="16"/>
              </w:rPr>
              <w:t>3.242</w:t>
            </w:r>
          </w:p>
        </w:tc>
        <w:tc>
          <w:tcPr>
            <w:tcW w:w="581" w:type="dxa"/>
            <w:shd w:val="clear" w:color="auto" w:fill="BEBEBE"/>
          </w:tcPr>
          <w:p>
            <w:pPr>
              <w:pStyle w:val="TableParagraph"/>
              <w:spacing w:before="129"/>
              <w:ind w:left="8" w:right="24"/>
              <w:jc w:val="center"/>
              <w:rPr>
                <w:sz w:val="16"/>
              </w:rPr>
            </w:pPr>
            <w:r>
              <w:rPr>
                <w:spacing w:val="-4"/>
                <w:sz w:val="16"/>
              </w:rPr>
              <w:t>0,9%</w:t>
            </w:r>
          </w:p>
        </w:tc>
        <w:tc>
          <w:tcPr>
            <w:tcW w:w="645" w:type="dxa"/>
            <w:shd w:val="clear" w:color="auto" w:fill="BEBEBE"/>
          </w:tcPr>
          <w:p>
            <w:pPr>
              <w:pStyle w:val="TableParagraph"/>
              <w:spacing w:before="129"/>
              <w:ind w:left="1" w:right="68"/>
              <w:jc w:val="center"/>
              <w:rPr>
                <w:sz w:val="16"/>
              </w:rPr>
            </w:pPr>
            <w:r>
              <w:rPr>
                <w:spacing w:val="-5"/>
                <w:sz w:val="16"/>
              </w:rPr>
              <w:t>21</w:t>
            </w:r>
          </w:p>
        </w:tc>
        <w:tc>
          <w:tcPr>
            <w:tcW w:w="951" w:type="dxa"/>
            <w:shd w:val="clear" w:color="auto" w:fill="BEBEBE"/>
          </w:tcPr>
          <w:p>
            <w:pPr>
              <w:pStyle w:val="TableParagraph"/>
              <w:spacing w:before="129"/>
              <w:ind w:right="303"/>
              <w:jc w:val="right"/>
              <w:rPr>
                <w:sz w:val="16"/>
              </w:rPr>
            </w:pPr>
            <w:r>
              <w:rPr>
                <w:spacing w:val="-2"/>
                <w:sz w:val="16"/>
              </w:rPr>
              <w:t>4.031</w:t>
            </w:r>
          </w:p>
        </w:tc>
        <w:tc>
          <w:tcPr>
            <w:tcW w:w="616" w:type="dxa"/>
            <w:shd w:val="clear" w:color="auto" w:fill="BEBEBE"/>
          </w:tcPr>
          <w:p>
            <w:pPr>
              <w:pStyle w:val="TableParagraph"/>
              <w:spacing w:before="129"/>
              <w:ind w:right="173"/>
              <w:jc w:val="right"/>
              <w:rPr>
                <w:sz w:val="16"/>
              </w:rPr>
            </w:pPr>
            <w:r>
              <w:rPr>
                <w:spacing w:val="-4"/>
                <w:sz w:val="16"/>
              </w:rPr>
              <w:t>1,1%</w:t>
            </w:r>
          </w:p>
        </w:tc>
        <w:tc>
          <w:tcPr>
            <w:tcW w:w="627" w:type="dxa"/>
            <w:shd w:val="clear" w:color="auto" w:fill="BEBEBE"/>
          </w:tcPr>
          <w:p>
            <w:pPr>
              <w:pStyle w:val="TableParagraph"/>
              <w:spacing w:before="129"/>
              <w:ind w:left="23" w:right="15"/>
              <w:jc w:val="center"/>
              <w:rPr>
                <w:sz w:val="16"/>
              </w:rPr>
            </w:pPr>
            <w:r>
              <w:rPr>
                <w:spacing w:val="-5"/>
                <w:sz w:val="16"/>
              </w:rPr>
              <w:t>21</w:t>
            </w:r>
          </w:p>
        </w:tc>
        <w:tc>
          <w:tcPr>
            <w:tcW w:w="876" w:type="dxa"/>
            <w:shd w:val="clear" w:color="auto" w:fill="BEBEBE"/>
          </w:tcPr>
          <w:p>
            <w:pPr>
              <w:pStyle w:val="TableParagraph"/>
              <w:spacing w:before="129"/>
              <w:ind w:left="66" w:right="48"/>
              <w:jc w:val="center"/>
              <w:rPr>
                <w:sz w:val="16"/>
              </w:rPr>
            </w:pPr>
            <w:r>
              <w:rPr>
                <w:spacing w:val="-2"/>
                <w:sz w:val="16"/>
              </w:rPr>
              <w:t>4.793</w:t>
            </w:r>
          </w:p>
        </w:tc>
        <w:tc>
          <w:tcPr>
            <w:tcW w:w="585" w:type="dxa"/>
            <w:shd w:val="clear" w:color="auto" w:fill="BEBEBE"/>
          </w:tcPr>
          <w:p>
            <w:pPr>
              <w:pStyle w:val="TableParagraph"/>
              <w:spacing w:before="129"/>
              <w:ind w:left="3" w:right="50"/>
              <w:jc w:val="center"/>
              <w:rPr>
                <w:sz w:val="16"/>
              </w:rPr>
            </w:pPr>
            <w:r>
              <w:rPr>
                <w:spacing w:val="-4"/>
                <w:sz w:val="16"/>
              </w:rPr>
              <w:t>1,2%</w:t>
            </w:r>
          </w:p>
        </w:tc>
      </w:tr>
      <w:tr>
        <w:trPr>
          <w:trHeight w:val="427" w:hRule="atLeast"/>
        </w:trPr>
        <w:tc>
          <w:tcPr>
            <w:tcW w:w="2146" w:type="dxa"/>
            <w:shd w:val="clear" w:color="auto" w:fill="D9D9D9"/>
          </w:tcPr>
          <w:p>
            <w:pPr>
              <w:pStyle w:val="TableParagraph"/>
              <w:spacing w:line="182" w:lineRule="exact" w:before="43"/>
              <w:ind w:left="108" w:right="157"/>
              <w:rPr>
                <w:b/>
                <w:sz w:val="16"/>
              </w:rPr>
            </w:pPr>
            <w:r>
              <w:rPr>
                <w:b/>
                <w:color w:val="1F487C"/>
                <w:sz w:val="16"/>
              </w:rPr>
              <w:t>Μη</w:t>
            </w:r>
            <w:r>
              <w:rPr>
                <w:b/>
                <w:color w:val="1F487C"/>
                <w:spacing w:val="-1"/>
                <w:sz w:val="16"/>
              </w:rPr>
              <w:t> </w:t>
            </w:r>
            <w:r>
              <w:rPr>
                <w:b/>
                <w:color w:val="1F487C"/>
                <w:sz w:val="16"/>
              </w:rPr>
              <w:t>τραπεζ</w:t>
            </w:r>
            <w:r>
              <w:rPr>
                <w:b/>
                <w:smallCaps/>
                <w:color w:val="1F487C"/>
                <w:sz w:val="16"/>
              </w:rPr>
              <w:t>ι</w:t>
            </w:r>
            <w:r>
              <w:rPr>
                <w:b/>
                <w:smallCaps w:val="0"/>
                <w:color w:val="1F487C"/>
                <w:sz w:val="16"/>
              </w:rPr>
              <w:t>κός</w:t>
            </w:r>
            <w:r>
              <w:rPr>
                <w:b/>
                <w:smallCaps w:val="0"/>
                <w:color w:val="1F487C"/>
                <w:spacing w:val="40"/>
                <w:sz w:val="16"/>
              </w:rPr>
              <w:t> </w:t>
            </w:r>
            <w:r>
              <w:rPr>
                <w:b/>
                <w:smallCaps w:val="0"/>
                <w:color w:val="1F487C"/>
                <w:sz w:val="16"/>
              </w:rPr>
              <w:t>χρηματοπ</w:t>
            </w:r>
            <w:r>
              <w:rPr>
                <w:b/>
                <w:smallCaps/>
                <w:color w:val="1F487C"/>
                <w:sz w:val="16"/>
              </w:rPr>
              <w:t>ι</w:t>
            </w:r>
            <w:r>
              <w:rPr>
                <w:b/>
                <w:smallCaps w:val="0"/>
                <w:color w:val="1F487C"/>
                <w:sz w:val="16"/>
              </w:rPr>
              <w:t>στωτ</w:t>
            </w:r>
            <w:r>
              <w:rPr>
                <w:b/>
                <w:smallCaps/>
                <w:color w:val="1F487C"/>
                <w:sz w:val="16"/>
              </w:rPr>
              <w:t>ι</w:t>
            </w:r>
            <w:r>
              <w:rPr>
                <w:b/>
                <w:smallCaps w:val="0"/>
                <w:color w:val="1F487C"/>
                <w:sz w:val="16"/>
              </w:rPr>
              <w:t>κός</w:t>
            </w:r>
            <w:r>
              <w:rPr>
                <w:b/>
                <w:smallCaps w:val="0"/>
                <w:color w:val="1F487C"/>
                <w:spacing w:val="-10"/>
                <w:sz w:val="16"/>
              </w:rPr>
              <w:t> </w:t>
            </w:r>
            <w:r>
              <w:rPr>
                <w:b/>
                <w:smallCaps w:val="0"/>
                <w:color w:val="1F487C"/>
                <w:sz w:val="16"/>
              </w:rPr>
              <w:t>τομέας</w:t>
            </w:r>
          </w:p>
        </w:tc>
        <w:tc>
          <w:tcPr>
            <w:tcW w:w="619" w:type="dxa"/>
            <w:shd w:val="clear" w:color="auto" w:fill="D9D9D9"/>
          </w:tcPr>
          <w:p>
            <w:pPr>
              <w:pStyle w:val="TableParagraph"/>
              <w:spacing w:before="153"/>
              <w:ind w:left="9" w:right="69"/>
              <w:jc w:val="center"/>
              <w:rPr>
                <w:b/>
                <w:sz w:val="16"/>
              </w:rPr>
            </w:pPr>
            <w:r>
              <w:rPr>
                <w:b/>
                <w:color w:val="1F487C"/>
                <w:spacing w:val="-5"/>
                <w:sz w:val="16"/>
              </w:rPr>
              <w:t>362</w:t>
            </w:r>
          </w:p>
        </w:tc>
        <w:tc>
          <w:tcPr>
            <w:tcW w:w="893" w:type="dxa"/>
            <w:shd w:val="clear" w:color="auto" w:fill="D9D9D9"/>
          </w:tcPr>
          <w:p>
            <w:pPr>
              <w:pStyle w:val="TableParagraph"/>
              <w:spacing w:before="153"/>
              <w:ind w:left="58" w:right="90"/>
              <w:jc w:val="center"/>
              <w:rPr>
                <w:b/>
                <w:sz w:val="16"/>
              </w:rPr>
            </w:pPr>
            <w:r>
              <w:rPr>
                <w:b/>
                <w:color w:val="1F487C"/>
                <w:spacing w:val="-2"/>
                <w:sz w:val="16"/>
              </w:rPr>
              <w:t>47.687</w:t>
            </w:r>
          </w:p>
        </w:tc>
        <w:tc>
          <w:tcPr>
            <w:tcW w:w="581" w:type="dxa"/>
            <w:shd w:val="clear" w:color="auto" w:fill="D9D9D9"/>
          </w:tcPr>
          <w:p>
            <w:pPr>
              <w:pStyle w:val="TableParagraph"/>
              <w:spacing w:before="153"/>
              <w:ind w:left="7" w:right="25"/>
              <w:jc w:val="center"/>
              <w:rPr>
                <w:b/>
                <w:sz w:val="16"/>
              </w:rPr>
            </w:pPr>
            <w:r>
              <w:rPr>
                <w:b/>
                <w:color w:val="1F487C"/>
                <w:spacing w:val="-2"/>
                <w:sz w:val="16"/>
              </w:rPr>
              <w:t>13,9%</w:t>
            </w:r>
          </w:p>
        </w:tc>
        <w:tc>
          <w:tcPr>
            <w:tcW w:w="645" w:type="dxa"/>
            <w:shd w:val="clear" w:color="auto" w:fill="D9D9D9"/>
          </w:tcPr>
          <w:p>
            <w:pPr>
              <w:pStyle w:val="TableParagraph"/>
              <w:spacing w:before="153"/>
              <w:ind w:left="2" w:right="68"/>
              <w:jc w:val="center"/>
              <w:rPr>
                <w:b/>
                <w:sz w:val="16"/>
              </w:rPr>
            </w:pPr>
            <w:r>
              <w:rPr>
                <w:b/>
                <w:color w:val="1F487C"/>
                <w:spacing w:val="-5"/>
                <w:sz w:val="16"/>
              </w:rPr>
              <w:t>385</w:t>
            </w:r>
          </w:p>
        </w:tc>
        <w:tc>
          <w:tcPr>
            <w:tcW w:w="951" w:type="dxa"/>
            <w:shd w:val="clear" w:color="auto" w:fill="D9D9D9"/>
          </w:tcPr>
          <w:p>
            <w:pPr>
              <w:pStyle w:val="TableParagraph"/>
              <w:spacing w:before="153"/>
              <w:ind w:right="264"/>
              <w:jc w:val="right"/>
              <w:rPr>
                <w:b/>
                <w:sz w:val="16"/>
              </w:rPr>
            </w:pPr>
            <w:r>
              <w:rPr>
                <w:b/>
                <w:color w:val="1F487C"/>
                <w:spacing w:val="-2"/>
                <w:sz w:val="16"/>
              </w:rPr>
              <w:t>54.911</w:t>
            </w:r>
          </w:p>
        </w:tc>
        <w:tc>
          <w:tcPr>
            <w:tcW w:w="616" w:type="dxa"/>
            <w:shd w:val="clear" w:color="auto" w:fill="D9D9D9"/>
          </w:tcPr>
          <w:p>
            <w:pPr>
              <w:pStyle w:val="TableParagraph"/>
              <w:spacing w:before="153"/>
              <w:ind w:right="122"/>
              <w:jc w:val="right"/>
              <w:rPr>
                <w:b/>
                <w:sz w:val="16"/>
              </w:rPr>
            </w:pPr>
            <w:r>
              <w:rPr>
                <w:b/>
                <w:color w:val="1F487C"/>
                <w:spacing w:val="-2"/>
                <w:sz w:val="16"/>
              </w:rPr>
              <w:t>15,3%</w:t>
            </w:r>
          </w:p>
        </w:tc>
        <w:tc>
          <w:tcPr>
            <w:tcW w:w="627" w:type="dxa"/>
            <w:shd w:val="clear" w:color="auto" w:fill="D9D9D9"/>
          </w:tcPr>
          <w:p>
            <w:pPr>
              <w:pStyle w:val="TableParagraph"/>
              <w:spacing w:before="153"/>
              <w:ind w:left="23" w:right="13"/>
              <w:jc w:val="center"/>
              <w:rPr>
                <w:b/>
                <w:sz w:val="16"/>
              </w:rPr>
            </w:pPr>
            <w:r>
              <w:rPr>
                <w:b/>
                <w:color w:val="1F487C"/>
                <w:spacing w:val="-5"/>
                <w:sz w:val="16"/>
              </w:rPr>
              <w:t>419</w:t>
            </w:r>
          </w:p>
        </w:tc>
        <w:tc>
          <w:tcPr>
            <w:tcW w:w="876" w:type="dxa"/>
            <w:shd w:val="clear" w:color="auto" w:fill="D9D9D9"/>
          </w:tcPr>
          <w:p>
            <w:pPr>
              <w:pStyle w:val="TableParagraph"/>
              <w:spacing w:before="153"/>
              <w:ind w:left="64" w:right="48"/>
              <w:jc w:val="center"/>
              <w:rPr>
                <w:b/>
                <w:sz w:val="16"/>
              </w:rPr>
            </w:pPr>
            <w:r>
              <w:rPr>
                <w:b/>
                <w:color w:val="1F487C"/>
                <w:spacing w:val="-2"/>
                <w:sz w:val="16"/>
              </w:rPr>
              <w:t>62.005</w:t>
            </w:r>
          </w:p>
        </w:tc>
        <w:tc>
          <w:tcPr>
            <w:tcW w:w="585" w:type="dxa"/>
            <w:shd w:val="clear" w:color="auto" w:fill="D9D9D9"/>
          </w:tcPr>
          <w:p>
            <w:pPr>
              <w:pStyle w:val="TableParagraph"/>
              <w:spacing w:before="153"/>
              <w:ind w:left="1" w:right="50"/>
              <w:jc w:val="center"/>
              <w:rPr>
                <w:b/>
                <w:sz w:val="16"/>
              </w:rPr>
            </w:pPr>
            <w:r>
              <w:rPr>
                <w:b/>
                <w:color w:val="1F487C"/>
                <w:spacing w:val="-2"/>
                <w:sz w:val="16"/>
              </w:rPr>
              <w:t>15,9%</w:t>
            </w:r>
          </w:p>
        </w:tc>
      </w:tr>
      <w:tr>
        <w:trPr>
          <w:trHeight w:val="383" w:hRule="atLeast"/>
        </w:trPr>
        <w:tc>
          <w:tcPr>
            <w:tcW w:w="2146" w:type="dxa"/>
            <w:shd w:val="clear" w:color="auto" w:fill="BEBEBE"/>
          </w:tcPr>
          <w:p>
            <w:pPr>
              <w:pStyle w:val="TableParagraph"/>
              <w:spacing w:line="160" w:lineRule="atLeast" w:before="42"/>
              <w:ind w:left="108" w:right="551"/>
              <w:rPr>
                <w:sz w:val="14"/>
              </w:rPr>
            </w:pPr>
            <w:r>
              <w:rPr>
                <w:spacing w:val="-2"/>
                <w:sz w:val="14"/>
              </w:rPr>
              <w:t>Ασφαλιστικές</w:t>
            </w:r>
            <w:r>
              <w:rPr>
                <w:spacing w:val="40"/>
                <w:sz w:val="14"/>
              </w:rPr>
              <w:t> </w:t>
            </w:r>
            <w:r>
              <w:rPr>
                <w:spacing w:val="-2"/>
                <w:sz w:val="14"/>
              </w:rPr>
              <w:t>επιχειρήσεις*</w:t>
            </w:r>
          </w:p>
        </w:tc>
        <w:tc>
          <w:tcPr>
            <w:tcW w:w="619" w:type="dxa"/>
            <w:shd w:val="clear" w:color="auto" w:fill="BEBEBE"/>
          </w:tcPr>
          <w:p>
            <w:pPr>
              <w:pStyle w:val="TableParagraph"/>
              <w:spacing w:before="131"/>
              <w:ind w:left="9" w:right="65"/>
              <w:jc w:val="center"/>
              <w:rPr>
                <w:sz w:val="16"/>
              </w:rPr>
            </w:pPr>
            <w:r>
              <w:rPr>
                <w:spacing w:val="-5"/>
                <w:sz w:val="16"/>
              </w:rPr>
              <w:t>31</w:t>
            </w:r>
          </w:p>
        </w:tc>
        <w:tc>
          <w:tcPr>
            <w:tcW w:w="893" w:type="dxa"/>
            <w:shd w:val="clear" w:color="auto" w:fill="BEBEBE"/>
          </w:tcPr>
          <w:p>
            <w:pPr>
              <w:pStyle w:val="TableParagraph"/>
              <w:spacing w:before="131"/>
              <w:ind w:left="57" w:right="90"/>
              <w:jc w:val="center"/>
              <w:rPr>
                <w:sz w:val="16"/>
              </w:rPr>
            </w:pPr>
            <w:r>
              <w:rPr>
                <w:spacing w:val="-2"/>
                <w:sz w:val="16"/>
              </w:rPr>
              <w:t>20.287</w:t>
            </w:r>
          </w:p>
        </w:tc>
        <w:tc>
          <w:tcPr>
            <w:tcW w:w="581" w:type="dxa"/>
            <w:shd w:val="clear" w:color="auto" w:fill="BEBEBE"/>
          </w:tcPr>
          <w:p>
            <w:pPr>
              <w:pStyle w:val="TableParagraph"/>
              <w:spacing w:before="131"/>
              <w:ind w:left="8" w:right="24"/>
              <w:jc w:val="center"/>
              <w:rPr>
                <w:sz w:val="16"/>
              </w:rPr>
            </w:pPr>
            <w:r>
              <w:rPr>
                <w:spacing w:val="-4"/>
                <w:sz w:val="16"/>
              </w:rPr>
              <w:t>5,9%</w:t>
            </w:r>
          </w:p>
        </w:tc>
        <w:tc>
          <w:tcPr>
            <w:tcW w:w="645" w:type="dxa"/>
            <w:shd w:val="clear" w:color="auto" w:fill="BEBEBE"/>
          </w:tcPr>
          <w:p>
            <w:pPr>
              <w:pStyle w:val="TableParagraph"/>
              <w:spacing w:before="131"/>
              <w:ind w:left="1" w:right="68"/>
              <w:jc w:val="center"/>
              <w:rPr>
                <w:sz w:val="16"/>
              </w:rPr>
            </w:pPr>
            <w:r>
              <w:rPr>
                <w:spacing w:val="-5"/>
                <w:sz w:val="16"/>
              </w:rPr>
              <w:t>31</w:t>
            </w:r>
          </w:p>
        </w:tc>
        <w:tc>
          <w:tcPr>
            <w:tcW w:w="951" w:type="dxa"/>
            <w:shd w:val="clear" w:color="auto" w:fill="BEBEBE"/>
          </w:tcPr>
          <w:p>
            <w:pPr>
              <w:pStyle w:val="TableParagraph"/>
              <w:spacing w:before="131"/>
              <w:ind w:right="264"/>
              <w:jc w:val="right"/>
              <w:rPr>
                <w:sz w:val="16"/>
              </w:rPr>
            </w:pPr>
            <w:r>
              <w:rPr>
                <w:spacing w:val="-2"/>
                <w:sz w:val="16"/>
              </w:rPr>
              <w:t>21.224</w:t>
            </w:r>
          </w:p>
        </w:tc>
        <w:tc>
          <w:tcPr>
            <w:tcW w:w="616" w:type="dxa"/>
            <w:shd w:val="clear" w:color="auto" w:fill="BEBEBE"/>
          </w:tcPr>
          <w:p>
            <w:pPr>
              <w:pStyle w:val="TableParagraph"/>
              <w:spacing w:before="131"/>
              <w:ind w:right="173"/>
              <w:jc w:val="right"/>
              <w:rPr>
                <w:sz w:val="16"/>
              </w:rPr>
            </w:pPr>
            <w:r>
              <w:rPr>
                <w:spacing w:val="-4"/>
                <w:sz w:val="16"/>
              </w:rPr>
              <w:t>5,9%</w:t>
            </w:r>
          </w:p>
        </w:tc>
        <w:tc>
          <w:tcPr>
            <w:tcW w:w="627" w:type="dxa"/>
            <w:shd w:val="clear" w:color="auto" w:fill="BEBEBE"/>
          </w:tcPr>
          <w:p>
            <w:pPr>
              <w:pStyle w:val="TableParagraph"/>
              <w:spacing w:before="131"/>
              <w:ind w:left="23" w:right="15"/>
              <w:jc w:val="center"/>
              <w:rPr>
                <w:sz w:val="16"/>
              </w:rPr>
            </w:pPr>
            <w:r>
              <w:rPr>
                <w:spacing w:val="-5"/>
                <w:sz w:val="16"/>
              </w:rPr>
              <w:t>31</w:t>
            </w:r>
          </w:p>
        </w:tc>
        <w:tc>
          <w:tcPr>
            <w:tcW w:w="876" w:type="dxa"/>
            <w:shd w:val="clear" w:color="auto" w:fill="BEBEBE"/>
          </w:tcPr>
          <w:p>
            <w:pPr>
              <w:pStyle w:val="TableParagraph"/>
              <w:spacing w:before="131"/>
              <w:ind w:left="63" w:right="48"/>
              <w:jc w:val="center"/>
              <w:rPr>
                <w:sz w:val="16"/>
              </w:rPr>
            </w:pPr>
            <w:r>
              <w:rPr>
                <w:spacing w:val="-2"/>
                <w:sz w:val="16"/>
              </w:rPr>
              <w:t>22.064</w:t>
            </w:r>
          </w:p>
        </w:tc>
        <w:tc>
          <w:tcPr>
            <w:tcW w:w="585" w:type="dxa"/>
            <w:shd w:val="clear" w:color="auto" w:fill="BEBEBE"/>
          </w:tcPr>
          <w:p>
            <w:pPr>
              <w:pStyle w:val="TableParagraph"/>
              <w:spacing w:before="131"/>
              <w:ind w:left="3" w:right="50"/>
              <w:jc w:val="center"/>
              <w:rPr>
                <w:sz w:val="16"/>
              </w:rPr>
            </w:pPr>
            <w:r>
              <w:rPr>
                <w:spacing w:val="-4"/>
                <w:sz w:val="16"/>
              </w:rPr>
              <w:t>5,6%</w:t>
            </w:r>
          </w:p>
        </w:tc>
      </w:tr>
      <w:tr>
        <w:trPr>
          <w:trHeight w:val="703" w:hRule="atLeast"/>
        </w:trPr>
        <w:tc>
          <w:tcPr>
            <w:tcW w:w="2146" w:type="dxa"/>
            <w:shd w:val="clear" w:color="auto" w:fill="D9D9D9"/>
          </w:tcPr>
          <w:p>
            <w:pPr>
              <w:pStyle w:val="TableParagraph"/>
              <w:spacing w:before="59"/>
              <w:ind w:left="108" w:right="217"/>
              <w:rPr>
                <w:sz w:val="14"/>
              </w:rPr>
            </w:pPr>
            <w:r>
              <w:rPr>
                <w:sz w:val="14"/>
              </w:rPr>
              <w:t>Ταμεία</w:t>
            </w:r>
            <w:r>
              <w:rPr>
                <w:spacing w:val="-9"/>
                <w:sz w:val="14"/>
              </w:rPr>
              <w:t> </w:t>
            </w:r>
            <w:r>
              <w:rPr>
                <w:sz w:val="14"/>
              </w:rPr>
              <w:t>επαγγελματικής</w:t>
            </w:r>
            <w:r>
              <w:rPr>
                <w:spacing w:val="-9"/>
                <w:sz w:val="14"/>
              </w:rPr>
              <w:t> </w:t>
            </w:r>
            <w:r>
              <w:rPr>
                <w:sz w:val="14"/>
              </w:rPr>
              <w:t>ασφάλι-σης</w:t>
            </w:r>
            <w:r>
              <w:rPr>
                <w:spacing w:val="-6"/>
                <w:sz w:val="14"/>
              </w:rPr>
              <w:t> </w:t>
            </w:r>
            <w:r>
              <w:rPr>
                <w:sz w:val="14"/>
              </w:rPr>
              <w:t>και</w:t>
            </w:r>
          </w:p>
          <w:p>
            <w:pPr>
              <w:pStyle w:val="TableParagraph"/>
              <w:spacing w:line="160" w:lineRule="exact"/>
              <w:ind w:left="108" w:right="335"/>
              <w:rPr>
                <w:sz w:val="14"/>
              </w:rPr>
            </w:pPr>
            <w:r>
              <w:rPr>
                <w:sz w:val="14"/>
              </w:rPr>
              <w:t>ιδρύματα</w:t>
            </w:r>
            <w:r>
              <w:rPr>
                <w:spacing w:val="-9"/>
                <w:sz w:val="14"/>
              </w:rPr>
              <w:t> </w:t>
            </w:r>
            <w:r>
              <w:rPr>
                <w:sz w:val="14"/>
              </w:rPr>
              <w:t>επαγγελματικών</w:t>
            </w:r>
            <w:r>
              <w:rPr>
                <w:spacing w:val="-9"/>
                <w:sz w:val="14"/>
              </w:rPr>
              <w:t> </w:t>
            </w:r>
            <w:r>
              <w:rPr>
                <w:sz w:val="14"/>
              </w:rPr>
              <w:t>συ-νταξιοδοτικών</w:t>
            </w:r>
            <w:r>
              <w:rPr>
                <w:spacing w:val="-8"/>
                <w:sz w:val="14"/>
              </w:rPr>
              <w:t> </w:t>
            </w:r>
            <w:r>
              <w:rPr>
                <w:sz w:val="14"/>
              </w:rPr>
              <w:t>παροχών</w:t>
            </w:r>
          </w:p>
        </w:tc>
        <w:tc>
          <w:tcPr>
            <w:tcW w:w="619" w:type="dxa"/>
            <w:shd w:val="clear" w:color="auto" w:fill="D9D9D9"/>
          </w:tcPr>
          <w:p>
            <w:pPr>
              <w:pStyle w:val="TableParagraph"/>
              <w:spacing w:before="106"/>
              <w:rPr>
                <w:sz w:val="16"/>
              </w:rPr>
            </w:pPr>
          </w:p>
          <w:p>
            <w:pPr>
              <w:pStyle w:val="TableParagraph"/>
              <w:ind w:left="9" w:right="65"/>
              <w:jc w:val="center"/>
              <w:rPr>
                <w:sz w:val="16"/>
              </w:rPr>
            </w:pPr>
            <w:r>
              <w:rPr>
                <w:spacing w:val="-5"/>
                <w:sz w:val="16"/>
              </w:rPr>
              <w:t>31</w:t>
            </w:r>
          </w:p>
        </w:tc>
        <w:tc>
          <w:tcPr>
            <w:tcW w:w="893" w:type="dxa"/>
            <w:shd w:val="clear" w:color="auto" w:fill="D9D9D9"/>
          </w:tcPr>
          <w:p>
            <w:pPr>
              <w:pStyle w:val="TableParagraph"/>
              <w:spacing w:before="106"/>
              <w:rPr>
                <w:sz w:val="16"/>
              </w:rPr>
            </w:pPr>
          </w:p>
          <w:p>
            <w:pPr>
              <w:pStyle w:val="TableParagraph"/>
              <w:ind w:left="56" w:right="90"/>
              <w:jc w:val="center"/>
              <w:rPr>
                <w:sz w:val="16"/>
              </w:rPr>
            </w:pPr>
            <w:r>
              <w:rPr>
                <w:spacing w:val="-2"/>
                <w:sz w:val="16"/>
              </w:rPr>
              <w:t>2.196</w:t>
            </w:r>
          </w:p>
        </w:tc>
        <w:tc>
          <w:tcPr>
            <w:tcW w:w="581" w:type="dxa"/>
            <w:shd w:val="clear" w:color="auto" w:fill="D9D9D9"/>
          </w:tcPr>
          <w:p>
            <w:pPr>
              <w:pStyle w:val="TableParagraph"/>
              <w:spacing w:before="106"/>
              <w:rPr>
                <w:sz w:val="16"/>
              </w:rPr>
            </w:pPr>
          </w:p>
          <w:p>
            <w:pPr>
              <w:pStyle w:val="TableParagraph"/>
              <w:ind w:left="8" w:right="24"/>
              <w:jc w:val="center"/>
              <w:rPr>
                <w:sz w:val="16"/>
              </w:rPr>
            </w:pPr>
            <w:r>
              <w:rPr>
                <w:spacing w:val="-4"/>
                <w:sz w:val="16"/>
              </w:rPr>
              <w:t>0,6%</w:t>
            </w:r>
          </w:p>
        </w:tc>
        <w:tc>
          <w:tcPr>
            <w:tcW w:w="645" w:type="dxa"/>
            <w:shd w:val="clear" w:color="auto" w:fill="D9D9D9"/>
          </w:tcPr>
          <w:p>
            <w:pPr>
              <w:pStyle w:val="TableParagraph"/>
              <w:spacing w:before="106"/>
              <w:rPr>
                <w:sz w:val="16"/>
              </w:rPr>
            </w:pPr>
          </w:p>
          <w:p>
            <w:pPr>
              <w:pStyle w:val="TableParagraph"/>
              <w:ind w:left="1" w:right="68"/>
              <w:jc w:val="center"/>
              <w:rPr>
                <w:sz w:val="16"/>
              </w:rPr>
            </w:pPr>
            <w:r>
              <w:rPr>
                <w:spacing w:val="-5"/>
                <w:sz w:val="16"/>
              </w:rPr>
              <w:t>31</w:t>
            </w:r>
          </w:p>
        </w:tc>
        <w:tc>
          <w:tcPr>
            <w:tcW w:w="951" w:type="dxa"/>
            <w:shd w:val="clear" w:color="auto" w:fill="D9D9D9"/>
          </w:tcPr>
          <w:p>
            <w:pPr>
              <w:pStyle w:val="TableParagraph"/>
              <w:spacing w:before="106"/>
              <w:rPr>
                <w:sz w:val="16"/>
              </w:rPr>
            </w:pPr>
          </w:p>
          <w:p>
            <w:pPr>
              <w:pStyle w:val="TableParagraph"/>
              <w:ind w:right="303"/>
              <w:jc w:val="right"/>
              <w:rPr>
                <w:sz w:val="16"/>
              </w:rPr>
            </w:pPr>
            <w:r>
              <w:rPr>
                <w:spacing w:val="-2"/>
                <w:sz w:val="16"/>
              </w:rPr>
              <w:t>2.513</w:t>
            </w:r>
          </w:p>
        </w:tc>
        <w:tc>
          <w:tcPr>
            <w:tcW w:w="616" w:type="dxa"/>
            <w:shd w:val="clear" w:color="auto" w:fill="D9D9D9"/>
          </w:tcPr>
          <w:p>
            <w:pPr>
              <w:pStyle w:val="TableParagraph"/>
              <w:spacing w:before="106"/>
              <w:rPr>
                <w:sz w:val="16"/>
              </w:rPr>
            </w:pPr>
          </w:p>
          <w:p>
            <w:pPr>
              <w:pStyle w:val="TableParagraph"/>
              <w:ind w:right="173"/>
              <w:jc w:val="right"/>
              <w:rPr>
                <w:sz w:val="16"/>
              </w:rPr>
            </w:pPr>
            <w:r>
              <w:rPr>
                <w:spacing w:val="-4"/>
                <w:sz w:val="16"/>
              </w:rPr>
              <w:t>0,7%</w:t>
            </w:r>
          </w:p>
        </w:tc>
        <w:tc>
          <w:tcPr>
            <w:tcW w:w="627" w:type="dxa"/>
            <w:shd w:val="clear" w:color="auto" w:fill="D9D9D9"/>
          </w:tcPr>
          <w:p>
            <w:pPr>
              <w:pStyle w:val="TableParagraph"/>
              <w:spacing w:before="106"/>
              <w:rPr>
                <w:sz w:val="16"/>
              </w:rPr>
            </w:pPr>
          </w:p>
          <w:p>
            <w:pPr>
              <w:pStyle w:val="TableParagraph"/>
              <w:ind w:left="23" w:right="15"/>
              <w:jc w:val="center"/>
              <w:rPr>
                <w:sz w:val="16"/>
              </w:rPr>
            </w:pPr>
            <w:r>
              <w:rPr>
                <w:spacing w:val="-5"/>
                <w:sz w:val="16"/>
              </w:rPr>
              <w:t>32</w:t>
            </w:r>
          </w:p>
        </w:tc>
        <w:tc>
          <w:tcPr>
            <w:tcW w:w="876" w:type="dxa"/>
            <w:shd w:val="clear" w:color="auto" w:fill="D9D9D9"/>
          </w:tcPr>
          <w:p>
            <w:pPr>
              <w:pStyle w:val="TableParagraph"/>
              <w:spacing w:before="106"/>
              <w:rPr>
                <w:sz w:val="16"/>
              </w:rPr>
            </w:pPr>
          </w:p>
          <w:p>
            <w:pPr>
              <w:pStyle w:val="TableParagraph"/>
              <w:ind w:left="66" w:right="48"/>
              <w:jc w:val="center"/>
              <w:rPr>
                <w:sz w:val="16"/>
              </w:rPr>
            </w:pPr>
            <w:r>
              <w:rPr>
                <w:spacing w:val="-2"/>
                <w:sz w:val="16"/>
              </w:rPr>
              <w:t>2.833</w:t>
            </w:r>
          </w:p>
        </w:tc>
        <w:tc>
          <w:tcPr>
            <w:tcW w:w="585" w:type="dxa"/>
            <w:shd w:val="clear" w:color="auto" w:fill="D9D9D9"/>
          </w:tcPr>
          <w:p>
            <w:pPr>
              <w:pStyle w:val="TableParagraph"/>
              <w:spacing w:before="106"/>
              <w:rPr>
                <w:sz w:val="16"/>
              </w:rPr>
            </w:pPr>
          </w:p>
          <w:p>
            <w:pPr>
              <w:pStyle w:val="TableParagraph"/>
              <w:ind w:left="3" w:right="50"/>
              <w:jc w:val="center"/>
              <w:rPr>
                <w:sz w:val="16"/>
              </w:rPr>
            </w:pPr>
            <w:r>
              <w:rPr>
                <w:spacing w:val="-4"/>
                <w:sz w:val="16"/>
              </w:rPr>
              <w:t>0,7%</w:t>
            </w:r>
          </w:p>
        </w:tc>
      </w:tr>
      <w:tr>
        <w:trPr>
          <w:trHeight w:val="381" w:hRule="atLeast"/>
        </w:trPr>
        <w:tc>
          <w:tcPr>
            <w:tcW w:w="2146" w:type="dxa"/>
            <w:shd w:val="clear" w:color="auto" w:fill="BEBEBE"/>
          </w:tcPr>
          <w:p>
            <w:pPr>
              <w:pStyle w:val="TableParagraph"/>
              <w:spacing w:line="160" w:lineRule="atLeast" w:before="39"/>
              <w:ind w:left="108" w:right="157"/>
              <w:rPr>
                <w:sz w:val="14"/>
              </w:rPr>
            </w:pPr>
            <w:r>
              <w:rPr>
                <w:sz w:val="14"/>
              </w:rPr>
              <w:t>Οργανισμοί συλλογικών επενδύ-σεων σε κινητές αξίες (ΟΣΕΚΑ)</w:t>
            </w:r>
          </w:p>
        </w:tc>
        <w:tc>
          <w:tcPr>
            <w:tcW w:w="619" w:type="dxa"/>
            <w:shd w:val="clear" w:color="auto" w:fill="BEBEBE"/>
          </w:tcPr>
          <w:p>
            <w:pPr>
              <w:pStyle w:val="TableParagraph"/>
              <w:spacing w:before="129"/>
              <w:ind w:left="9" w:right="69"/>
              <w:jc w:val="center"/>
              <w:rPr>
                <w:sz w:val="16"/>
              </w:rPr>
            </w:pPr>
            <w:r>
              <w:rPr>
                <w:spacing w:val="-5"/>
                <w:sz w:val="16"/>
              </w:rPr>
              <w:t>193</w:t>
            </w:r>
          </w:p>
        </w:tc>
        <w:tc>
          <w:tcPr>
            <w:tcW w:w="893" w:type="dxa"/>
            <w:shd w:val="clear" w:color="auto" w:fill="BEBEBE"/>
          </w:tcPr>
          <w:p>
            <w:pPr>
              <w:pStyle w:val="TableParagraph"/>
              <w:spacing w:before="129"/>
              <w:ind w:left="57" w:right="90"/>
              <w:jc w:val="center"/>
              <w:rPr>
                <w:sz w:val="16"/>
              </w:rPr>
            </w:pPr>
            <w:r>
              <w:rPr>
                <w:spacing w:val="-2"/>
                <w:sz w:val="16"/>
              </w:rPr>
              <w:t>11.237</w:t>
            </w:r>
          </w:p>
        </w:tc>
        <w:tc>
          <w:tcPr>
            <w:tcW w:w="581" w:type="dxa"/>
            <w:shd w:val="clear" w:color="auto" w:fill="BEBEBE"/>
          </w:tcPr>
          <w:p>
            <w:pPr>
              <w:pStyle w:val="TableParagraph"/>
              <w:spacing w:before="129"/>
              <w:ind w:left="8" w:right="24"/>
              <w:jc w:val="center"/>
              <w:rPr>
                <w:sz w:val="16"/>
              </w:rPr>
            </w:pPr>
            <w:r>
              <w:rPr>
                <w:spacing w:val="-4"/>
                <w:sz w:val="16"/>
              </w:rPr>
              <w:t>3,3%</w:t>
            </w:r>
          </w:p>
        </w:tc>
        <w:tc>
          <w:tcPr>
            <w:tcW w:w="645" w:type="dxa"/>
            <w:shd w:val="clear" w:color="auto" w:fill="BEBEBE"/>
          </w:tcPr>
          <w:p>
            <w:pPr>
              <w:pStyle w:val="TableParagraph"/>
              <w:spacing w:before="129"/>
              <w:ind w:left="2" w:right="68"/>
              <w:jc w:val="center"/>
              <w:rPr>
                <w:sz w:val="16"/>
              </w:rPr>
            </w:pPr>
            <w:r>
              <w:rPr>
                <w:spacing w:val="-5"/>
                <w:sz w:val="16"/>
              </w:rPr>
              <w:t>225</w:t>
            </w:r>
          </w:p>
        </w:tc>
        <w:tc>
          <w:tcPr>
            <w:tcW w:w="951" w:type="dxa"/>
            <w:shd w:val="clear" w:color="auto" w:fill="BEBEBE"/>
          </w:tcPr>
          <w:p>
            <w:pPr>
              <w:pStyle w:val="TableParagraph"/>
              <w:spacing w:before="129"/>
              <w:ind w:right="264"/>
              <w:jc w:val="right"/>
              <w:rPr>
                <w:sz w:val="16"/>
              </w:rPr>
            </w:pPr>
            <w:r>
              <w:rPr>
                <w:spacing w:val="-2"/>
                <w:sz w:val="16"/>
              </w:rPr>
              <w:t>16.117</w:t>
            </w:r>
          </w:p>
        </w:tc>
        <w:tc>
          <w:tcPr>
            <w:tcW w:w="616" w:type="dxa"/>
            <w:shd w:val="clear" w:color="auto" w:fill="BEBEBE"/>
          </w:tcPr>
          <w:p>
            <w:pPr>
              <w:pStyle w:val="TableParagraph"/>
              <w:spacing w:before="129"/>
              <w:ind w:right="173"/>
              <w:jc w:val="right"/>
              <w:rPr>
                <w:sz w:val="16"/>
              </w:rPr>
            </w:pPr>
            <w:r>
              <w:rPr>
                <w:spacing w:val="-4"/>
                <w:sz w:val="16"/>
              </w:rPr>
              <w:t>4,5%</w:t>
            </w:r>
          </w:p>
        </w:tc>
        <w:tc>
          <w:tcPr>
            <w:tcW w:w="627" w:type="dxa"/>
            <w:shd w:val="clear" w:color="auto" w:fill="BEBEBE"/>
          </w:tcPr>
          <w:p>
            <w:pPr>
              <w:pStyle w:val="TableParagraph"/>
              <w:spacing w:before="129"/>
              <w:ind w:left="23" w:right="14"/>
              <w:jc w:val="center"/>
              <w:rPr>
                <w:sz w:val="16"/>
              </w:rPr>
            </w:pPr>
            <w:r>
              <w:rPr>
                <w:spacing w:val="-5"/>
                <w:sz w:val="16"/>
              </w:rPr>
              <w:t>255</w:t>
            </w:r>
          </w:p>
        </w:tc>
        <w:tc>
          <w:tcPr>
            <w:tcW w:w="876" w:type="dxa"/>
            <w:shd w:val="clear" w:color="auto" w:fill="BEBEBE"/>
          </w:tcPr>
          <w:p>
            <w:pPr>
              <w:pStyle w:val="TableParagraph"/>
              <w:spacing w:before="129"/>
              <w:ind w:left="63" w:right="48"/>
              <w:jc w:val="center"/>
              <w:rPr>
                <w:sz w:val="16"/>
              </w:rPr>
            </w:pPr>
            <w:r>
              <w:rPr>
                <w:spacing w:val="-2"/>
                <w:sz w:val="16"/>
              </w:rPr>
              <w:t>20.627</w:t>
            </w:r>
          </w:p>
        </w:tc>
        <w:tc>
          <w:tcPr>
            <w:tcW w:w="585" w:type="dxa"/>
            <w:shd w:val="clear" w:color="auto" w:fill="BEBEBE"/>
          </w:tcPr>
          <w:p>
            <w:pPr>
              <w:pStyle w:val="TableParagraph"/>
              <w:spacing w:before="129"/>
              <w:ind w:left="3" w:right="50"/>
              <w:jc w:val="center"/>
              <w:rPr>
                <w:sz w:val="16"/>
              </w:rPr>
            </w:pPr>
            <w:r>
              <w:rPr>
                <w:spacing w:val="-4"/>
                <w:sz w:val="16"/>
              </w:rPr>
              <w:t>5,3%</w:t>
            </w:r>
          </w:p>
        </w:tc>
      </w:tr>
      <w:tr>
        <w:trPr>
          <w:trHeight w:val="360" w:hRule="atLeast"/>
        </w:trPr>
        <w:tc>
          <w:tcPr>
            <w:tcW w:w="2146" w:type="dxa"/>
            <w:shd w:val="clear" w:color="auto" w:fill="D9D9D9"/>
          </w:tcPr>
          <w:p>
            <w:pPr>
              <w:pStyle w:val="TableParagraph"/>
              <w:spacing w:line="148" w:lineRule="exact" w:before="44"/>
              <w:ind w:left="280"/>
              <w:rPr>
                <w:i/>
                <w:sz w:val="13"/>
              </w:rPr>
            </w:pPr>
            <w:r>
              <w:rPr>
                <w:i/>
                <w:sz w:val="13"/>
              </w:rPr>
              <w:t>Αμοιβαία</w:t>
            </w:r>
            <w:r>
              <w:rPr>
                <w:i/>
                <w:spacing w:val="40"/>
                <w:sz w:val="13"/>
              </w:rPr>
              <w:t> </w:t>
            </w:r>
            <w:r>
              <w:rPr>
                <w:i/>
                <w:sz w:val="13"/>
              </w:rPr>
              <w:t>κεφάλαια</w:t>
            </w:r>
            <w:r>
              <w:rPr>
                <w:i/>
                <w:spacing w:val="40"/>
                <w:sz w:val="13"/>
              </w:rPr>
              <w:t> </w:t>
            </w:r>
            <w:r>
              <w:rPr>
                <w:i/>
                <w:sz w:val="13"/>
              </w:rPr>
              <w:t>(μετοχικά,</w:t>
            </w:r>
            <w:r>
              <w:rPr>
                <w:i/>
                <w:spacing w:val="40"/>
                <w:sz w:val="13"/>
              </w:rPr>
              <w:t> </w:t>
            </w:r>
            <w:r>
              <w:rPr>
                <w:i/>
                <w:sz w:val="13"/>
              </w:rPr>
              <w:t>μεικτά,</w:t>
            </w:r>
            <w:r>
              <w:rPr>
                <w:i/>
                <w:spacing w:val="-6"/>
                <w:sz w:val="13"/>
              </w:rPr>
              <w:t> </w:t>
            </w:r>
            <w:r>
              <w:rPr>
                <w:i/>
                <w:sz w:val="13"/>
              </w:rPr>
              <w:t>ομολογιακά</w:t>
            </w:r>
            <w:r>
              <w:rPr>
                <w:i/>
                <w:spacing w:val="-6"/>
                <w:sz w:val="13"/>
              </w:rPr>
              <w:t> </w:t>
            </w:r>
            <w:r>
              <w:rPr>
                <w:i/>
                <w:sz w:val="13"/>
              </w:rPr>
              <w:t>και</w:t>
            </w:r>
            <w:r>
              <w:rPr>
                <w:i/>
                <w:spacing w:val="-6"/>
                <w:sz w:val="13"/>
              </w:rPr>
              <w:t> </w:t>
            </w:r>
            <w:r>
              <w:rPr>
                <w:i/>
                <w:spacing w:val="-2"/>
                <w:sz w:val="13"/>
              </w:rPr>
              <w:t>σύνθετα)</w:t>
            </w:r>
          </w:p>
        </w:tc>
        <w:tc>
          <w:tcPr>
            <w:tcW w:w="619" w:type="dxa"/>
            <w:shd w:val="clear" w:color="auto" w:fill="D9D9D9"/>
          </w:tcPr>
          <w:p>
            <w:pPr>
              <w:pStyle w:val="TableParagraph"/>
              <w:spacing w:before="119"/>
              <w:ind w:left="9" w:right="69"/>
              <w:jc w:val="center"/>
              <w:rPr>
                <w:i/>
                <w:sz w:val="16"/>
              </w:rPr>
            </w:pPr>
            <w:r>
              <w:rPr>
                <w:i/>
                <w:spacing w:val="-5"/>
                <w:sz w:val="16"/>
              </w:rPr>
              <w:t>185</w:t>
            </w:r>
          </w:p>
        </w:tc>
        <w:tc>
          <w:tcPr>
            <w:tcW w:w="893" w:type="dxa"/>
            <w:shd w:val="clear" w:color="auto" w:fill="D9D9D9"/>
          </w:tcPr>
          <w:p>
            <w:pPr>
              <w:pStyle w:val="TableParagraph"/>
              <w:spacing w:before="119"/>
              <w:ind w:left="57" w:right="90"/>
              <w:jc w:val="center"/>
              <w:rPr>
                <w:i/>
                <w:sz w:val="16"/>
              </w:rPr>
            </w:pPr>
            <w:r>
              <w:rPr>
                <w:i/>
                <w:spacing w:val="-2"/>
                <w:sz w:val="16"/>
              </w:rPr>
              <w:t>10.449</w:t>
            </w:r>
          </w:p>
        </w:tc>
        <w:tc>
          <w:tcPr>
            <w:tcW w:w="581" w:type="dxa"/>
            <w:shd w:val="clear" w:color="auto" w:fill="D9D9D9"/>
          </w:tcPr>
          <w:p>
            <w:pPr>
              <w:pStyle w:val="TableParagraph"/>
              <w:spacing w:before="119"/>
              <w:ind w:left="8" w:right="24"/>
              <w:jc w:val="center"/>
              <w:rPr>
                <w:i/>
                <w:sz w:val="16"/>
              </w:rPr>
            </w:pPr>
            <w:r>
              <w:rPr>
                <w:i/>
                <w:spacing w:val="-4"/>
                <w:sz w:val="16"/>
              </w:rPr>
              <w:t>3,1%</w:t>
            </w:r>
          </w:p>
        </w:tc>
        <w:tc>
          <w:tcPr>
            <w:tcW w:w="645" w:type="dxa"/>
            <w:shd w:val="clear" w:color="auto" w:fill="D9D9D9"/>
          </w:tcPr>
          <w:p>
            <w:pPr>
              <w:pStyle w:val="TableParagraph"/>
              <w:spacing w:before="119"/>
              <w:ind w:left="2" w:right="68"/>
              <w:jc w:val="center"/>
              <w:rPr>
                <w:i/>
                <w:sz w:val="16"/>
              </w:rPr>
            </w:pPr>
            <w:r>
              <w:rPr>
                <w:i/>
                <w:spacing w:val="-5"/>
                <w:sz w:val="16"/>
              </w:rPr>
              <w:t>217</w:t>
            </w:r>
          </w:p>
        </w:tc>
        <w:tc>
          <w:tcPr>
            <w:tcW w:w="951" w:type="dxa"/>
            <w:shd w:val="clear" w:color="auto" w:fill="D9D9D9"/>
          </w:tcPr>
          <w:p>
            <w:pPr>
              <w:pStyle w:val="TableParagraph"/>
              <w:spacing w:before="119"/>
              <w:ind w:right="264"/>
              <w:jc w:val="right"/>
              <w:rPr>
                <w:i/>
                <w:sz w:val="16"/>
              </w:rPr>
            </w:pPr>
            <w:r>
              <w:rPr>
                <w:i/>
                <w:spacing w:val="-2"/>
                <w:sz w:val="16"/>
              </w:rPr>
              <w:t>14.986</w:t>
            </w:r>
          </w:p>
        </w:tc>
        <w:tc>
          <w:tcPr>
            <w:tcW w:w="616" w:type="dxa"/>
            <w:shd w:val="clear" w:color="auto" w:fill="D9D9D9"/>
          </w:tcPr>
          <w:p>
            <w:pPr>
              <w:pStyle w:val="TableParagraph"/>
              <w:spacing w:before="119"/>
              <w:ind w:right="173"/>
              <w:jc w:val="right"/>
              <w:rPr>
                <w:i/>
                <w:sz w:val="16"/>
              </w:rPr>
            </w:pPr>
            <w:r>
              <w:rPr>
                <w:i/>
                <w:spacing w:val="-4"/>
                <w:sz w:val="16"/>
              </w:rPr>
              <w:t>4,2%</w:t>
            </w:r>
          </w:p>
        </w:tc>
        <w:tc>
          <w:tcPr>
            <w:tcW w:w="627" w:type="dxa"/>
            <w:shd w:val="clear" w:color="auto" w:fill="D9D9D9"/>
          </w:tcPr>
          <w:p>
            <w:pPr>
              <w:pStyle w:val="TableParagraph"/>
              <w:spacing w:before="119"/>
              <w:ind w:left="23" w:right="14"/>
              <w:jc w:val="center"/>
              <w:rPr>
                <w:i/>
                <w:sz w:val="16"/>
              </w:rPr>
            </w:pPr>
            <w:r>
              <w:rPr>
                <w:i/>
                <w:spacing w:val="-5"/>
                <w:sz w:val="16"/>
              </w:rPr>
              <w:t>243</w:t>
            </w:r>
          </w:p>
        </w:tc>
        <w:tc>
          <w:tcPr>
            <w:tcW w:w="876" w:type="dxa"/>
            <w:shd w:val="clear" w:color="auto" w:fill="D9D9D9"/>
          </w:tcPr>
          <w:p>
            <w:pPr>
              <w:pStyle w:val="TableParagraph"/>
              <w:spacing w:before="119"/>
              <w:ind w:left="63" w:right="48"/>
              <w:jc w:val="center"/>
              <w:rPr>
                <w:i/>
                <w:sz w:val="16"/>
              </w:rPr>
            </w:pPr>
            <w:r>
              <w:rPr>
                <w:i/>
                <w:spacing w:val="-2"/>
                <w:sz w:val="16"/>
              </w:rPr>
              <w:t>19.376</w:t>
            </w:r>
          </w:p>
        </w:tc>
        <w:tc>
          <w:tcPr>
            <w:tcW w:w="585" w:type="dxa"/>
            <w:shd w:val="clear" w:color="auto" w:fill="D9D9D9"/>
          </w:tcPr>
          <w:p>
            <w:pPr>
              <w:pStyle w:val="TableParagraph"/>
              <w:spacing w:before="119"/>
              <w:ind w:left="3" w:right="50"/>
              <w:jc w:val="center"/>
              <w:rPr>
                <w:i/>
                <w:sz w:val="16"/>
              </w:rPr>
            </w:pPr>
            <w:r>
              <w:rPr>
                <w:i/>
                <w:spacing w:val="-4"/>
                <w:sz w:val="16"/>
              </w:rPr>
              <w:t>5,0%</w:t>
            </w:r>
          </w:p>
        </w:tc>
      </w:tr>
      <w:tr>
        <w:trPr>
          <w:trHeight w:val="508" w:hRule="atLeast"/>
        </w:trPr>
        <w:tc>
          <w:tcPr>
            <w:tcW w:w="2146" w:type="dxa"/>
            <w:shd w:val="clear" w:color="auto" w:fill="BEBEBE"/>
          </w:tcPr>
          <w:p>
            <w:pPr>
              <w:pStyle w:val="TableParagraph"/>
              <w:spacing w:before="133"/>
              <w:ind w:left="280" w:right="157"/>
              <w:rPr>
                <w:i/>
                <w:sz w:val="13"/>
              </w:rPr>
            </w:pPr>
            <w:r>
              <w:rPr>
                <w:i/>
                <w:sz w:val="13"/>
              </w:rPr>
              <w:t>Αμοιβαία</w:t>
            </w:r>
            <w:r>
              <w:rPr>
                <w:i/>
                <w:spacing w:val="23"/>
                <w:sz w:val="13"/>
              </w:rPr>
              <w:t> </w:t>
            </w:r>
            <w:r>
              <w:rPr>
                <w:i/>
                <w:sz w:val="13"/>
              </w:rPr>
              <w:t>κεφάλαια</w:t>
            </w:r>
            <w:r>
              <w:rPr>
                <w:i/>
                <w:spacing w:val="23"/>
                <w:sz w:val="13"/>
              </w:rPr>
              <w:t> </w:t>
            </w:r>
            <w:r>
              <w:rPr>
                <w:i/>
                <w:sz w:val="13"/>
              </w:rPr>
              <w:t>χρηματαγο-ράς-</w:t>
            </w:r>
            <w:r>
              <w:rPr>
                <w:i/>
                <w:spacing w:val="-6"/>
                <w:sz w:val="13"/>
              </w:rPr>
              <w:t> </w:t>
            </w:r>
            <w:r>
              <w:rPr>
                <w:i/>
                <w:sz w:val="13"/>
              </w:rPr>
              <w:t>διαθεσίμων</w:t>
            </w:r>
          </w:p>
        </w:tc>
        <w:tc>
          <w:tcPr>
            <w:tcW w:w="619" w:type="dxa"/>
            <w:shd w:val="clear" w:color="auto" w:fill="BEBEBE"/>
          </w:tcPr>
          <w:p>
            <w:pPr>
              <w:pStyle w:val="TableParagraph"/>
              <w:spacing w:before="9"/>
              <w:rPr>
                <w:sz w:val="16"/>
              </w:rPr>
            </w:pPr>
          </w:p>
          <w:p>
            <w:pPr>
              <w:pStyle w:val="TableParagraph"/>
              <w:spacing w:before="1"/>
              <w:ind w:left="9" w:right="65"/>
              <w:jc w:val="center"/>
              <w:rPr>
                <w:i/>
                <w:sz w:val="16"/>
              </w:rPr>
            </w:pPr>
            <w:r>
              <w:rPr>
                <w:i/>
                <w:spacing w:val="-10"/>
                <w:sz w:val="16"/>
              </w:rPr>
              <w:t>8</w:t>
            </w:r>
          </w:p>
        </w:tc>
        <w:tc>
          <w:tcPr>
            <w:tcW w:w="893" w:type="dxa"/>
            <w:shd w:val="clear" w:color="auto" w:fill="BEBEBE"/>
          </w:tcPr>
          <w:p>
            <w:pPr>
              <w:pStyle w:val="TableParagraph"/>
              <w:spacing w:before="9"/>
              <w:rPr>
                <w:sz w:val="16"/>
              </w:rPr>
            </w:pPr>
          </w:p>
          <w:p>
            <w:pPr>
              <w:pStyle w:val="TableParagraph"/>
              <w:spacing w:before="1"/>
              <w:ind w:left="56" w:right="90"/>
              <w:jc w:val="center"/>
              <w:rPr>
                <w:i/>
                <w:sz w:val="16"/>
              </w:rPr>
            </w:pPr>
            <w:r>
              <w:rPr>
                <w:i/>
                <w:spacing w:val="-5"/>
                <w:sz w:val="16"/>
              </w:rPr>
              <w:t>788</w:t>
            </w:r>
          </w:p>
        </w:tc>
        <w:tc>
          <w:tcPr>
            <w:tcW w:w="581" w:type="dxa"/>
            <w:shd w:val="clear" w:color="auto" w:fill="BEBEBE"/>
          </w:tcPr>
          <w:p>
            <w:pPr>
              <w:pStyle w:val="TableParagraph"/>
              <w:spacing w:before="9"/>
              <w:rPr>
                <w:sz w:val="16"/>
              </w:rPr>
            </w:pPr>
          </w:p>
          <w:p>
            <w:pPr>
              <w:pStyle w:val="TableParagraph"/>
              <w:spacing w:before="1"/>
              <w:ind w:left="8" w:right="24"/>
              <w:jc w:val="center"/>
              <w:rPr>
                <w:i/>
                <w:sz w:val="16"/>
              </w:rPr>
            </w:pPr>
            <w:r>
              <w:rPr>
                <w:i/>
                <w:spacing w:val="-4"/>
                <w:sz w:val="16"/>
              </w:rPr>
              <w:t>0,2%</w:t>
            </w:r>
          </w:p>
        </w:tc>
        <w:tc>
          <w:tcPr>
            <w:tcW w:w="645" w:type="dxa"/>
            <w:shd w:val="clear" w:color="auto" w:fill="BEBEBE"/>
          </w:tcPr>
          <w:p>
            <w:pPr>
              <w:pStyle w:val="TableParagraph"/>
              <w:spacing w:before="9"/>
              <w:rPr>
                <w:sz w:val="16"/>
              </w:rPr>
            </w:pPr>
          </w:p>
          <w:p>
            <w:pPr>
              <w:pStyle w:val="TableParagraph"/>
              <w:spacing w:before="1"/>
              <w:ind w:right="68"/>
              <w:jc w:val="center"/>
              <w:rPr>
                <w:i/>
                <w:sz w:val="16"/>
              </w:rPr>
            </w:pPr>
            <w:r>
              <w:rPr>
                <w:i/>
                <w:spacing w:val="-10"/>
                <w:sz w:val="16"/>
              </w:rPr>
              <w:t>8</w:t>
            </w:r>
          </w:p>
        </w:tc>
        <w:tc>
          <w:tcPr>
            <w:tcW w:w="951" w:type="dxa"/>
            <w:shd w:val="clear" w:color="auto" w:fill="BEBEBE"/>
          </w:tcPr>
          <w:p>
            <w:pPr>
              <w:pStyle w:val="TableParagraph"/>
              <w:spacing w:before="9"/>
              <w:rPr>
                <w:sz w:val="16"/>
              </w:rPr>
            </w:pPr>
          </w:p>
          <w:p>
            <w:pPr>
              <w:pStyle w:val="TableParagraph"/>
              <w:spacing w:before="1"/>
              <w:ind w:right="303"/>
              <w:jc w:val="right"/>
              <w:rPr>
                <w:i/>
                <w:sz w:val="16"/>
              </w:rPr>
            </w:pPr>
            <w:r>
              <w:rPr>
                <w:i/>
                <w:spacing w:val="-2"/>
                <w:sz w:val="16"/>
              </w:rPr>
              <w:t>1.131</w:t>
            </w:r>
          </w:p>
        </w:tc>
        <w:tc>
          <w:tcPr>
            <w:tcW w:w="616" w:type="dxa"/>
            <w:shd w:val="clear" w:color="auto" w:fill="BEBEBE"/>
          </w:tcPr>
          <w:p>
            <w:pPr>
              <w:pStyle w:val="TableParagraph"/>
              <w:spacing w:before="9"/>
              <w:rPr>
                <w:sz w:val="16"/>
              </w:rPr>
            </w:pPr>
          </w:p>
          <w:p>
            <w:pPr>
              <w:pStyle w:val="TableParagraph"/>
              <w:spacing w:before="1"/>
              <w:ind w:right="173"/>
              <w:jc w:val="right"/>
              <w:rPr>
                <w:i/>
                <w:sz w:val="16"/>
              </w:rPr>
            </w:pPr>
            <w:r>
              <w:rPr>
                <w:i/>
                <w:spacing w:val="-4"/>
                <w:sz w:val="16"/>
              </w:rPr>
              <w:t>0,3%</w:t>
            </w:r>
          </w:p>
        </w:tc>
        <w:tc>
          <w:tcPr>
            <w:tcW w:w="627" w:type="dxa"/>
            <w:shd w:val="clear" w:color="auto" w:fill="BEBEBE"/>
          </w:tcPr>
          <w:p>
            <w:pPr>
              <w:pStyle w:val="TableParagraph"/>
              <w:spacing w:before="9"/>
              <w:rPr>
                <w:sz w:val="16"/>
              </w:rPr>
            </w:pPr>
          </w:p>
          <w:p>
            <w:pPr>
              <w:pStyle w:val="TableParagraph"/>
              <w:spacing w:before="1"/>
              <w:ind w:left="23" w:right="15"/>
              <w:jc w:val="center"/>
              <w:rPr>
                <w:i/>
                <w:sz w:val="16"/>
              </w:rPr>
            </w:pPr>
            <w:r>
              <w:rPr>
                <w:i/>
                <w:spacing w:val="-5"/>
                <w:sz w:val="16"/>
              </w:rPr>
              <w:t>12</w:t>
            </w:r>
          </w:p>
        </w:tc>
        <w:tc>
          <w:tcPr>
            <w:tcW w:w="876" w:type="dxa"/>
            <w:shd w:val="clear" w:color="auto" w:fill="BEBEBE"/>
          </w:tcPr>
          <w:p>
            <w:pPr>
              <w:pStyle w:val="TableParagraph"/>
              <w:spacing w:before="9"/>
              <w:rPr>
                <w:sz w:val="16"/>
              </w:rPr>
            </w:pPr>
          </w:p>
          <w:p>
            <w:pPr>
              <w:pStyle w:val="TableParagraph"/>
              <w:spacing w:before="1"/>
              <w:ind w:left="66" w:right="48"/>
              <w:jc w:val="center"/>
              <w:rPr>
                <w:i/>
                <w:sz w:val="16"/>
              </w:rPr>
            </w:pPr>
            <w:r>
              <w:rPr>
                <w:i/>
                <w:spacing w:val="-2"/>
                <w:sz w:val="16"/>
              </w:rPr>
              <w:t>1.251</w:t>
            </w:r>
          </w:p>
        </w:tc>
        <w:tc>
          <w:tcPr>
            <w:tcW w:w="585" w:type="dxa"/>
            <w:shd w:val="clear" w:color="auto" w:fill="BEBEBE"/>
          </w:tcPr>
          <w:p>
            <w:pPr>
              <w:pStyle w:val="TableParagraph"/>
              <w:spacing w:before="9"/>
              <w:rPr>
                <w:sz w:val="16"/>
              </w:rPr>
            </w:pPr>
          </w:p>
          <w:p>
            <w:pPr>
              <w:pStyle w:val="TableParagraph"/>
              <w:spacing w:before="1"/>
              <w:ind w:left="3" w:right="50"/>
              <w:jc w:val="center"/>
              <w:rPr>
                <w:i/>
                <w:sz w:val="16"/>
              </w:rPr>
            </w:pPr>
            <w:r>
              <w:rPr>
                <w:i/>
                <w:spacing w:val="-4"/>
                <w:sz w:val="16"/>
              </w:rPr>
              <w:t>0,3%</w:t>
            </w:r>
          </w:p>
        </w:tc>
      </w:tr>
      <w:tr>
        <w:trPr>
          <w:trHeight w:val="614" w:hRule="atLeast"/>
        </w:trPr>
        <w:tc>
          <w:tcPr>
            <w:tcW w:w="2146" w:type="dxa"/>
            <w:shd w:val="clear" w:color="auto" w:fill="D9D9D9"/>
          </w:tcPr>
          <w:p>
            <w:pPr>
              <w:pStyle w:val="TableParagraph"/>
              <w:spacing w:before="95"/>
              <w:ind w:left="108" w:right="157"/>
              <w:jc w:val="both"/>
              <w:rPr>
                <w:sz w:val="14"/>
              </w:rPr>
            </w:pPr>
            <w:r>
              <w:rPr>
                <w:spacing w:val="-2"/>
                <w:sz w:val="14"/>
              </w:rPr>
              <w:t>Εταιρίες επενδύσεων χαρτοφυλα-</w:t>
            </w:r>
            <w:r>
              <w:rPr>
                <w:sz w:val="14"/>
              </w:rPr>
              <w:t>κίου</w:t>
            </w:r>
            <w:r>
              <w:rPr>
                <w:spacing w:val="-1"/>
                <w:sz w:val="14"/>
              </w:rPr>
              <w:t> </w:t>
            </w:r>
            <w:r>
              <w:rPr>
                <w:sz w:val="14"/>
              </w:rPr>
              <w:t>(ΑΕΕΧ)</w:t>
            </w:r>
            <w:r>
              <w:rPr>
                <w:spacing w:val="-3"/>
                <w:sz w:val="14"/>
              </w:rPr>
              <w:t> </w:t>
            </w:r>
            <w:r>
              <w:rPr>
                <w:sz w:val="14"/>
              </w:rPr>
              <w:t>και</w:t>
            </w:r>
            <w:r>
              <w:rPr>
                <w:spacing w:val="-1"/>
                <w:sz w:val="14"/>
              </w:rPr>
              <w:t> </w:t>
            </w:r>
            <w:r>
              <w:rPr>
                <w:sz w:val="14"/>
              </w:rPr>
              <w:t>επενδύσεων</w:t>
            </w:r>
            <w:r>
              <w:rPr>
                <w:spacing w:val="-3"/>
                <w:sz w:val="14"/>
              </w:rPr>
              <w:t> </w:t>
            </w:r>
            <w:r>
              <w:rPr>
                <w:sz w:val="14"/>
              </w:rPr>
              <w:t>σε</w:t>
            </w:r>
            <w:r>
              <w:rPr>
                <w:spacing w:val="40"/>
                <w:sz w:val="14"/>
              </w:rPr>
              <w:t> </w:t>
            </w:r>
            <w:r>
              <w:rPr>
                <w:sz w:val="14"/>
              </w:rPr>
              <w:t>ακίνητη περιουσία (ΑΕΕΑΠ)</w:t>
            </w:r>
          </w:p>
        </w:tc>
        <w:tc>
          <w:tcPr>
            <w:tcW w:w="619" w:type="dxa"/>
            <w:shd w:val="clear" w:color="auto" w:fill="D9D9D9"/>
          </w:tcPr>
          <w:p>
            <w:pPr>
              <w:pStyle w:val="TableParagraph"/>
              <w:spacing w:before="62"/>
              <w:rPr>
                <w:sz w:val="16"/>
              </w:rPr>
            </w:pPr>
          </w:p>
          <w:p>
            <w:pPr>
              <w:pStyle w:val="TableParagraph"/>
              <w:ind w:left="9" w:right="65"/>
              <w:jc w:val="center"/>
              <w:rPr>
                <w:sz w:val="16"/>
              </w:rPr>
            </w:pPr>
            <w:r>
              <w:rPr>
                <w:spacing w:val="-5"/>
                <w:sz w:val="16"/>
              </w:rPr>
              <w:t>11</w:t>
            </w:r>
          </w:p>
        </w:tc>
        <w:tc>
          <w:tcPr>
            <w:tcW w:w="893" w:type="dxa"/>
            <w:shd w:val="clear" w:color="auto" w:fill="D9D9D9"/>
          </w:tcPr>
          <w:p>
            <w:pPr>
              <w:pStyle w:val="TableParagraph"/>
              <w:spacing w:before="62"/>
              <w:rPr>
                <w:sz w:val="16"/>
              </w:rPr>
            </w:pPr>
          </w:p>
          <w:p>
            <w:pPr>
              <w:pStyle w:val="TableParagraph"/>
              <w:ind w:left="56" w:right="90"/>
              <w:jc w:val="center"/>
              <w:rPr>
                <w:sz w:val="16"/>
              </w:rPr>
            </w:pPr>
            <w:r>
              <w:rPr>
                <w:spacing w:val="-2"/>
                <w:sz w:val="16"/>
              </w:rPr>
              <w:t>4.946</w:t>
            </w:r>
          </w:p>
        </w:tc>
        <w:tc>
          <w:tcPr>
            <w:tcW w:w="581" w:type="dxa"/>
            <w:shd w:val="clear" w:color="auto" w:fill="D9D9D9"/>
          </w:tcPr>
          <w:p>
            <w:pPr>
              <w:pStyle w:val="TableParagraph"/>
              <w:spacing w:before="62"/>
              <w:rPr>
                <w:sz w:val="16"/>
              </w:rPr>
            </w:pPr>
          </w:p>
          <w:p>
            <w:pPr>
              <w:pStyle w:val="TableParagraph"/>
              <w:ind w:left="8" w:right="24"/>
              <w:jc w:val="center"/>
              <w:rPr>
                <w:sz w:val="16"/>
              </w:rPr>
            </w:pPr>
            <w:r>
              <w:rPr>
                <w:spacing w:val="-4"/>
                <w:sz w:val="16"/>
              </w:rPr>
              <w:t>1,4%</w:t>
            </w:r>
          </w:p>
        </w:tc>
        <w:tc>
          <w:tcPr>
            <w:tcW w:w="645" w:type="dxa"/>
            <w:shd w:val="clear" w:color="auto" w:fill="D9D9D9"/>
          </w:tcPr>
          <w:p>
            <w:pPr>
              <w:pStyle w:val="TableParagraph"/>
              <w:spacing w:before="62"/>
              <w:rPr>
                <w:sz w:val="16"/>
              </w:rPr>
            </w:pPr>
          </w:p>
          <w:p>
            <w:pPr>
              <w:pStyle w:val="TableParagraph"/>
              <w:ind w:left="1" w:right="68"/>
              <w:jc w:val="center"/>
              <w:rPr>
                <w:sz w:val="16"/>
              </w:rPr>
            </w:pPr>
            <w:r>
              <w:rPr>
                <w:spacing w:val="-5"/>
                <w:sz w:val="16"/>
              </w:rPr>
              <w:t>10</w:t>
            </w:r>
          </w:p>
        </w:tc>
        <w:tc>
          <w:tcPr>
            <w:tcW w:w="951" w:type="dxa"/>
            <w:shd w:val="clear" w:color="auto" w:fill="D9D9D9"/>
          </w:tcPr>
          <w:p>
            <w:pPr>
              <w:pStyle w:val="TableParagraph"/>
              <w:spacing w:before="62"/>
              <w:rPr>
                <w:sz w:val="16"/>
              </w:rPr>
            </w:pPr>
          </w:p>
          <w:p>
            <w:pPr>
              <w:pStyle w:val="TableParagraph"/>
              <w:ind w:right="303"/>
              <w:jc w:val="right"/>
              <w:rPr>
                <w:sz w:val="16"/>
              </w:rPr>
            </w:pPr>
            <w:r>
              <w:rPr>
                <w:spacing w:val="-2"/>
                <w:sz w:val="16"/>
              </w:rPr>
              <w:t>5.472</w:t>
            </w:r>
          </w:p>
        </w:tc>
        <w:tc>
          <w:tcPr>
            <w:tcW w:w="616" w:type="dxa"/>
            <w:shd w:val="clear" w:color="auto" w:fill="D9D9D9"/>
          </w:tcPr>
          <w:p>
            <w:pPr>
              <w:pStyle w:val="TableParagraph"/>
              <w:spacing w:before="62"/>
              <w:rPr>
                <w:sz w:val="16"/>
              </w:rPr>
            </w:pPr>
          </w:p>
          <w:p>
            <w:pPr>
              <w:pStyle w:val="TableParagraph"/>
              <w:ind w:right="173"/>
              <w:jc w:val="right"/>
              <w:rPr>
                <w:sz w:val="16"/>
              </w:rPr>
            </w:pPr>
            <w:r>
              <w:rPr>
                <w:spacing w:val="-4"/>
                <w:sz w:val="16"/>
              </w:rPr>
              <w:t>1,5%</w:t>
            </w:r>
          </w:p>
        </w:tc>
        <w:tc>
          <w:tcPr>
            <w:tcW w:w="627" w:type="dxa"/>
            <w:shd w:val="clear" w:color="auto" w:fill="D9D9D9"/>
          </w:tcPr>
          <w:p>
            <w:pPr>
              <w:pStyle w:val="TableParagraph"/>
              <w:spacing w:before="62"/>
              <w:rPr>
                <w:sz w:val="16"/>
              </w:rPr>
            </w:pPr>
          </w:p>
          <w:p>
            <w:pPr>
              <w:pStyle w:val="TableParagraph"/>
              <w:ind w:left="23" w:right="15"/>
              <w:jc w:val="center"/>
              <w:rPr>
                <w:sz w:val="16"/>
              </w:rPr>
            </w:pPr>
            <w:r>
              <w:rPr>
                <w:spacing w:val="-5"/>
                <w:sz w:val="16"/>
              </w:rPr>
              <w:t>10</w:t>
            </w:r>
          </w:p>
        </w:tc>
        <w:tc>
          <w:tcPr>
            <w:tcW w:w="876" w:type="dxa"/>
            <w:shd w:val="clear" w:color="auto" w:fill="D9D9D9"/>
          </w:tcPr>
          <w:p>
            <w:pPr>
              <w:pStyle w:val="TableParagraph"/>
              <w:spacing w:before="62"/>
              <w:rPr>
                <w:sz w:val="16"/>
              </w:rPr>
            </w:pPr>
          </w:p>
          <w:p>
            <w:pPr>
              <w:pStyle w:val="TableParagraph"/>
              <w:ind w:left="66" w:right="48"/>
              <w:jc w:val="center"/>
              <w:rPr>
                <w:sz w:val="16"/>
              </w:rPr>
            </w:pPr>
            <w:r>
              <w:rPr>
                <w:spacing w:val="-2"/>
                <w:sz w:val="16"/>
              </w:rPr>
              <w:t>5.629</w:t>
            </w:r>
          </w:p>
        </w:tc>
        <w:tc>
          <w:tcPr>
            <w:tcW w:w="585" w:type="dxa"/>
            <w:shd w:val="clear" w:color="auto" w:fill="D9D9D9"/>
          </w:tcPr>
          <w:p>
            <w:pPr>
              <w:pStyle w:val="TableParagraph"/>
              <w:spacing w:before="62"/>
              <w:rPr>
                <w:sz w:val="16"/>
              </w:rPr>
            </w:pPr>
          </w:p>
          <w:p>
            <w:pPr>
              <w:pStyle w:val="TableParagraph"/>
              <w:ind w:left="3" w:right="50"/>
              <w:jc w:val="center"/>
              <w:rPr>
                <w:sz w:val="16"/>
              </w:rPr>
            </w:pPr>
            <w:r>
              <w:rPr>
                <w:spacing w:val="-4"/>
                <w:sz w:val="16"/>
              </w:rPr>
              <w:t>1,4%</w:t>
            </w:r>
          </w:p>
        </w:tc>
      </w:tr>
      <w:tr>
        <w:trPr>
          <w:trHeight w:val="544" w:hRule="atLeast"/>
        </w:trPr>
        <w:tc>
          <w:tcPr>
            <w:tcW w:w="2146" w:type="dxa"/>
            <w:shd w:val="clear" w:color="auto" w:fill="BEBEBE"/>
          </w:tcPr>
          <w:p>
            <w:pPr>
              <w:pStyle w:val="TableParagraph"/>
              <w:spacing w:before="59"/>
              <w:ind w:left="108"/>
              <w:rPr>
                <w:sz w:val="14"/>
              </w:rPr>
            </w:pPr>
            <w:r>
              <w:rPr>
                <w:sz w:val="14"/>
              </w:rPr>
              <w:t>Εταιρίες</w:t>
            </w:r>
            <w:r>
              <w:rPr>
                <w:spacing w:val="8"/>
                <w:sz w:val="14"/>
              </w:rPr>
              <w:t> </w:t>
            </w:r>
            <w:r>
              <w:rPr>
                <w:sz w:val="14"/>
              </w:rPr>
              <w:t>χρηματοδοτικής</w:t>
            </w:r>
            <w:r>
              <w:rPr>
                <w:spacing w:val="8"/>
                <w:sz w:val="14"/>
              </w:rPr>
              <w:t> </w:t>
            </w:r>
            <w:r>
              <w:rPr>
                <w:spacing w:val="-2"/>
                <w:sz w:val="14"/>
              </w:rPr>
              <w:t>μίσθω-</w:t>
            </w:r>
          </w:p>
          <w:p>
            <w:pPr>
              <w:pStyle w:val="TableParagraph"/>
              <w:spacing w:line="160" w:lineRule="atLeast"/>
              <w:ind w:left="108" w:right="158"/>
              <w:rPr>
                <w:sz w:val="14"/>
              </w:rPr>
            </w:pPr>
            <w:r>
              <w:rPr>
                <w:sz w:val="14"/>
              </w:rPr>
              <w:t>σης</w:t>
            </w:r>
            <w:r>
              <w:rPr>
                <w:spacing w:val="-7"/>
                <w:sz w:val="14"/>
              </w:rPr>
              <w:t> </w:t>
            </w:r>
            <w:r>
              <w:rPr>
                <w:sz w:val="14"/>
              </w:rPr>
              <w:t>και</w:t>
            </w:r>
            <w:r>
              <w:rPr>
                <w:spacing w:val="-7"/>
                <w:sz w:val="14"/>
              </w:rPr>
              <w:t> </w:t>
            </w:r>
            <w:r>
              <w:rPr>
                <w:sz w:val="14"/>
              </w:rPr>
              <w:t>πρακτορείας</w:t>
            </w:r>
            <w:r>
              <w:rPr>
                <w:spacing w:val="-7"/>
                <w:sz w:val="14"/>
              </w:rPr>
              <w:t> </w:t>
            </w:r>
            <w:r>
              <w:rPr>
                <w:sz w:val="14"/>
              </w:rPr>
              <w:t>επιχειρημα-τικών</w:t>
            </w:r>
            <w:r>
              <w:rPr>
                <w:spacing w:val="-8"/>
                <w:sz w:val="14"/>
              </w:rPr>
              <w:t> </w:t>
            </w:r>
            <w:r>
              <w:rPr>
                <w:sz w:val="14"/>
              </w:rPr>
              <w:t>απαιτήσεων</w:t>
            </w:r>
          </w:p>
        </w:tc>
        <w:tc>
          <w:tcPr>
            <w:tcW w:w="619" w:type="dxa"/>
            <w:shd w:val="clear" w:color="auto" w:fill="BEBEBE"/>
          </w:tcPr>
          <w:p>
            <w:pPr>
              <w:pStyle w:val="TableParagraph"/>
              <w:spacing w:before="26"/>
              <w:rPr>
                <w:sz w:val="16"/>
              </w:rPr>
            </w:pPr>
          </w:p>
          <w:p>
            <w:pPr>
              <w:pStyle w:val="TableParagraph"/>
              <w:ind w:left="9" w:right="65"/>
              <w:jc w:val="center"/>
              <w:rPr>
                <w:sz w:val="16"/>
              </w:rPr>
            </w:pPr>
            <w:r>
              <w:rPr>
                <w:spacing w:val="-5"/>
                <w:sz w:val="16"/>
              </w:rPr>
              <w:t>12</w:t>
            </w:r>
          </w:p>
        </w:tc>
        <w:tc>
          <w:tcPr>
            <w:tcW w:w="893" w:type="dxa"/>
            <w:shd w:val="clear" w:color="auto" w:fill="BEBEBE"/>
          </w:tcPr>
          <w:p>
            <w:pPr>
              <w:pStyle w:val="TableParagraph"/>
              <w:spacing w:before="26"/>
              <w:rPr>
                <w:sz w:val="16"/>
              </w:rPr>
            </w:pPr>
          </w:p>
          <w:p>
            <w:pPr>
              <w:pStyle w:val="TableParagraph"/>
              <w:ind w:left="56" w:right="90"/>
              <w:jc w:val="center"/>
              <w:rPr>
                <w:sz w:val="16"/>
              </w:rPr>
            </w:pPr>
            <w:r>
              <w:rPr>
                <w:spacing w:val="-2"/>
                <w:sz w:val="16"/>
              </w:rPr>
              <w:t>6.618</w:t>
            </w:r>
          </w:p>
        </w:tc>
        <w:tc>
          <w:tcPr>
            <w:tcW w:w="581" w:type="dxa"/>
            <w:shd w:val="clear" w:color="auto" w:fill="BEBEBE"/>
          </w:tcPr>
          <w:p>
            <w:pPr>
              <w:pStyle w:val="TableParagraph"/>
              <w:spacing w:before="26"/>
              <w:rPr>
                <w:sz w:val="16"/>
              </w:rPr>
            </w:pPr>
          </w:p>
          <w:p>
            <w:pPr>
              <w:pStyle w:val="TableParagraph"/>
              <w:ind w:left="8" w:right="24"/>
              <w:jc w:val="center"/>
              <w:rPr>
                <w:sz w:val="16"/>
              </w:rPr>
            </w:pPr>
            <w:r>
              <w:rPr>
                <w:spacing w:val="-4"/>
                <w:sz w:val="16"/>
              </w:rPr>
              <w:t>1,9%</w:t>
            </w:r>
          </w:p>
        </w:tc>
        <w:tc>
          <w:tcPr>
            <w:tcW w:w="645" w:type="dxa"/>
            <w:shd w:val="clear" w:color="auto" w:fill="BEBEBE"/>
          </w:tcPr>
          <w:p>
            <w:pPr>
              <w:pStyle w:val="TableParagraph"/>
              <w:spacing w:before="26"/>
              <w:rPr>
                <w:sz w:val="16"/>
              </w:rPr>
            </w:pPr>
          </w:p>
          <w:p>
            <w:pPr>
              <w:pStyle w:val="TableParagraph"/>
              <w:ind w:left="1" w:right="68"/>
              <w:jc w:val="center"/>
              <w:rPr>
                <w:sz w:val="16"/>
              </w:rPr>
            </w:pPr>
            <w:r>
              <w:rPr>
                <w:spacing w:val="-5"/>
                <w:sz w:val="16"/>
              </w:rPr>
              <w:t>13</w:t>
            </w:r>
          </w:p>
        </w:tc>
        <w:tc>
          <w:tcPr>
            <w:tcW w:w="951" w:type="dxa"/>
            <w:shd w:val="clear" w:color="auto" w:fill="BEBEBE"/>
          </w:tcPr>
          <w:p>
            <w:pPr>
              <w:pStyle w:val="TableParagraph"/>
              <w:spacing w:before="26"/>
              <w:rPr>
                <w:sz w:val="16"/>
              </w:rPr>
            </w:pPr>
          </w:p>
          <w:p>
            <w:pPr>
              <w:pStyle w:val="TableParagraph"/>
              <w:ind w:right="303"/>
              <w:jc w:val="right"/>
              <w:rPr>
                <w:sz w:val="16"/>
              </w:rPr>
            </w:pPr>
            <w:r>
              <w:rPr>
                <w:spacing w:val="-2"/>
                <w:sz w:val="16"/>
              </w:rPr>
              <w:t>7.196</w:t>
            </w:r>
          </w:p>
        </w:tc>
        <w:tc>
          <w:tcPr>
            <w:tcW w:w="616" w:type="dxa"/>
            <w:shd w:val="clear" w:color="auto" w:fill="BEBEBE"/>
          </w:tcPr>
          <w:p>
            <w:pPr>
              <w:pStyle w:val="TableParagraph"/>
              <w:spacing w:before="26"/>
              <w:rPr>
                <w:sz w:val="16"/>
              </w:rPr>
            </w:pPr>
          </w:p>
          <w:p>
            <w:pPr>
              <w:pStyle w:val="TableParagraph"/>
              <w:ind w:right="173"/>
              <w:jc w:val="right"/>
              <w:rPr>
                <w:sz w:val="16"/>
              </w:rPr>
            </w:pPr>
            <w:r>
              <w:rPr>
                <w:spacing w:val="-4"/>
                <w:sz w:val="16"/>
              </w:rPr>
              <w:t>2,0%</w:t>
            </w:r>
          </w:p>
        </w:tc>
        <w:tc>
          <w:tcPr>
            <w:tcW w:w="627" w:type="dxa"/>
            <w:shd w:val="clear" w:color="auto" w:fill="BEBEBE"/>
          </w:tcPr>
          <w:p>
            <w:pPr>
              <w:pStyle w:val="TableParagraph"/>
              <w:spacing w:before="26"/>
              <w:rPr>
                <w:sz w:val="16"/>
              </w:rPr>
            </w:pPr>
          </w:p>
          <w:p>
            <w:pPr>
              <w:pStyle w:val="TableParagraph"/>
              <w:ind w:left="23" w:right="15"/>
              <w:jc w:val="center"/>
              <w:rPr>
                <w:sz w:val="16"/>
              </w:rPr>
            </w:pPr>
            <w:r>
              <w:rPr>
                <w:spacing w:val="-5"/>
                <w:sz w:val="16"/>
              </w:rPr>
              <w:t>13</w:t>
            </w:r>
          </w:p>
        </w:tc>
        <w:tc>
          <w:tcPr>
            <w:tcW w:w="876" w:type="dxa"/>
            <w:shd w:val="clear" w:color="auto" w:fill="BEBEBE"/>
          </w:tcPr>
          <w:p>
            <w:pPr>
              <w:pStyle w:val="TableParagraph"/>
              <w:spacing w:before="26"/>
              <w:rPr>
                <w:sz w:val="16"/>
              </w:rPr>
            </w:pPr>
          </w:p>
          <w:p>
            <w:pPr>
              <w:pStyle w:val="TableParagraph"/>
              <w:ind w:left="66" w:right="48"/>
              <w:jc w:val="center"/>
              <w:rPr>
                <w:sz w:val="16"/>
              </w:rPr>
            </w:pPr>
            <w:r>
              <w:rPr>
                <w:spacing w:val="-2"/>
                <w:sz w:val="16"/>
              </w:rPr>
              <w:t>7.597</w:t>
            </w:r>
          </w:p>
        </w:tc>
        <w:tc>
          <w:tcPr>
            <w:tcW w:w="585" w:type="dxa"/>
            <w:shd w:val="clear" w:color="auto" w:fill="BEBEBE"/>
          </w:tcPr>
          <w:p>
            <w:pPr>
              <w:pStyle w:val="TableParagraph"/>
              <w:spacing w:before="26"/>
              <w:rPr>
                <w:sz w:val="16"/>
              </w:rPr>
            </w:pPr>
          </w:p>
          <w:p>
            <w:pPr>
              <w:pStyle w:val="TableParagraph"/>
              <w:ind w:left="3" w:right="50"/>
              <w:jc w:val="center"/>
              <w:rPr>
                <w:sz w:val="16"/>
              </w:rPr>
            </w:pPr>
            <w:r>
              <w:rPr>
                <w:spacing w:val="-4"/>
                <w:sz w:val="16"/>
              </w:rPr>
              <w:t>1,9%</w:t>
            </w:r>
          </w:p>
        </w:tc>
      </w:tr>
      <w:tr>
        <w:trPr>
          <w:trHeight w:val="381" w:hRule="atLeast"/>
        </w:trPr>
        <w:tc>
          <w:tcPr>
            <w:tcW w:w="2146" w:type="dxa"/>
            <w:shd w:val="clear" w:color="auto" w:fill="D9D9D9"/>
          </w:tcPr>
          <w:p>
            <w:pPr>
              <w:pStyle w:val="TableParagraph"/>
              <w:tabs>
                <w:tab w:pos="873" w:val="left" w:leader="none"/>
              </w:tabs>
              <w:spacing w:line="160" w:lineRule="atLeast" w:before="39"/>
              <w:ind w:left="108" w:right="156"/>
              <w:rPr>
                <w:sz w:val="14"/>
              </w:rPr>
            </w:pPr>
            <w:r>
              <w:rPr>
                <w:spacing w:val="-2"/>
                <w:sz w:val="14"/>
              </w:rPr>
              <w:t>Ιδρύματα</w:t>
            </w:r>
            <w:r>
              <w:rPr>
                <w:sz w:val="14"/>
              </w:rPr>
              <w:tab/>
            </w:r>
            <w:r>
              <w:rPr>
                <w:sz w:val="14"/>
              </w:rPr>
              <w:t>μικροχρηματοδοτή-</w:t>
            </w:r>
            <w:r>
              <w:rPr>
                <w:spacing w:val="-4"/>
                <w:sz w:val="14"/>
              </w:rPr>
              <w:t>σεων</w:t>
            </w:r>
          </w:p>
        </w:tc>
        <w:tc>
          <w:tcPr>
            <w:tcW w:w="619" w:type="dxa"/>
            <w:shd w:val="clear" w:color="auto" w:fill="D9D9D9"/>
          </w:tcPr>
          <w:p>
            <w:pPr>
              <w:pStyle w:val="TableParagraph"/>
              <w:spacing w:before="129"/>
              <w:ind w:left="9" w:right="65"/>
              <w:jc w:val="center"/>
              <w:rPr>
                <w:sz w:val="16"/>
              </w:rPr>
            </w:pPr>
            <w:r>
              <w:rPr>
                <w:spacing w:val="-10"/>
                <w:sz w:val="16"/>
              </w:rPr>
              <w:t>3</w:t>
            </w:r>
          </w:p>
        </w:tc>
        <w:tc>
          <w:tcPr>
            <w:tcW w:w="893" w:type="dxa"/>
            <w:shd w:val="clear" w:color="auto" w:fill="D9D9D9"/>
          </w:tcPr>
          <w:p>
            <w:pPr>
              <w:pStyle w:val="TableParagraph"/>
              <w:spacing w:before="129"/>
              <w:ind w:left="58" w:right="90"/>
              <w:jc w:val="center"/>
              <w:rPr>
                <w:sz w:val="16"/>
              </w:rPr>
            </w:pPr>
            <w:r>
              <w:rPr>
                <w:spacing w:val="-10"/>
                <w:sz w:val="16"/>
              </w:rPr>
              <w:t>4</w:t>
            </w:r>
          </w:p>
        </w:tc>
        <w:tc>
          <w:tcPr>
            <w:tcW w:w="581" w:type="dxa"/>
            <w:shd w:val="clear" w:color="auto" w:fill="D9D9D9"/>
          </w:tcPr>
          <w:p>
            <w:pPr>
              <w:pStyle w:val="TableParagraph"/>
              <w:spacing w:before="129"/>
              <w:ind w:left="7" w:right="25"/>
              <w:jc w:val="center"/>
              <w:rPr>
                <w:sz w:val="16"/>
              </w:rPr>
            </w:pPr>
            <w:r>
              <w:rPr>
                <w:spacing w:val="-4"/>
                <w:sz w:val="16"/>
              </w:rPr>
              <w:t>0.0%</w:t>
            </w:r>
          </w:p>
        </w:tc>
        <w:tc>
          <w:tcPr>
            <w:tcW w:w="645" w:type="dxa"/>
            <w:shd w:val="clear" w:color="auto" w:fill="D9D9D9"/>
          </w:tcPr>
          <w:p>
            <w:pPr>
              <w:pStyle w:val="TableParagraph"/>
              <w:spacing w:before="129"/>
              <w:ind w:right="68"/>
              <w:jc w:val="center"/>
              <w:rPr>
                <w:sz w:val="16"/>
              </w:rPr>
            </w:pPr>
            <w:r>
              <w:rPr>
                <w:spacing w:val="-10"/>
                <w:sz w:val="16"/>
              </w:rPr>
              <w:t>3</w:t>
            </w:r>
          </w:p>
        </w:tc>
        <w:tc>
          <w:tcPr>
            <w:tcW w:w="951" w:type="dxa"/>
            <w:shd w:val="clear" w:color="auto" w:fill="D9D9D9"/>
          </w:tcPr>
          <w:p>
            <w:pPr>
              <w:pStyle w:val="TableParagraph"/>
              <w:spacing w:before="129"/>
              <w:ind w:left="4" w:right="19"/>
              <w:jc w:val="center"/>
              <w:rPr>
                <w:sz w:val="16"/>
              </w:rPr>
            </w:pPr>
            <w:r>
              <w:rPr>
                <w:spacing w:val="-5"/>
                <w:sz w:val="16"/>
              </w:rPr>
              <w:t>10</w:t>
            </w:r>
          </w:p>
        </w:tc>
        <w:tc>
          <w:tcPr>
            <w:tcW w:w="616" w:type="dxa"/>
            <w:shd w:val="clear" w:color="auto" w:fill="D9D9D9"/>
          </w:tcPr>
          <w:p>
            <w:pPr>
              <w:pStyle w:val="TableParagraph"/>
              <w:spacing w:before="129"/>
              <w:ind w:right="173"/>
              <w:jc w:val="right"/>
              <w:rPr>
                <w:sz w:val="16"/>
              </w:rPr>
            </w:pPr>
            <w:r>
              <w:rPr>
                <w:spacing w:val="-4"/>
                <w:sz w:val="16"/>
              </w:rPr>
              <w:t>0,0%</w:t>
            </w:r>
          </w:p>
        </w:tc>
        <w:tc>
          <w:tcPr>
            <w:tcW w:w="627" w:type="dxa"/>
            <w:shd w:val="clear" w:color="auto" w:fill="D9D9D9"/>
          </w:tcPr>
          <w:p>
            <w:pPr>
              <w:pStyle w:val="TableParagraph"/>
              <w:spacing w:before="129"/>
              <w:ind w:left="23" w:right="16"/>
              <w:jc w:val="center"/>
              <w:rPr>
                <w:sz w:val="16"/>
              </w:rPr>
            </w:pPr>
            <w:r>
              <w:rPr>
                <w:spacing w:val="-10"/>
                <w:sz w:val="16"/>
              </w:rPr>
              <w:t>5</w:t>
            </w:r>
          </w:p>
        </w:tc>
        <w:tc>
          <w:tcPr>
            <w:tcW w:w="876" w:type="dxa"/>
            <w:shd w:val="clear" w:color="auto" w:fill="D9D9D9"/>
          </w:tcPr>
          <w:p>
            <w:pPr>
              <w:pStyle w:val="TableParagraph"/>
              <w:spacing w:before="129"/>
              <w:ind w:left="65" w:right="48"/>
              <w:jc w:val="center"/>
              <w:rPr>
                <w:sz w:val="16"/>
              </w:rPr>
            </w:pPr>
            <w:r>
              <w:rPr>
                <w:spacing w:val="-5"/>
                <w:sz w:val="16"/>
              </w:rPr>
              <w:t>23</w:t>
            </w:r>
          </w:p>
        </w:tc>
        <w:tc>
          <w:tcPr>
            <w:tcW w:w="585" w:type="dxa"/>
            <w:shd w:val="clear" w:color="auto" w:fill="D9D9D9"/>
          </w:tcPr>
          <w:p>
            <w:pPr>
              <w:pStyle w:val="TableParagraph"/>
              <w:spacing w:before="129"/>
              <w:ind w:left="3" w:right="50"/>
              <w:jc w:val="center"/>
              <w:rPr>
                <w:sz w:val="16"/>
              </w:rPr>
            </w:pPr>
            <w:r>
              <w:rPr>
                <w:spacing w:val="-4"/>
                <w:sz w:val="16"/>
              </w:rPr>
              <w:t>0,0%</w:t>
            </w:r>
          </w:p>
        </w:tc>
      </w:tr>
      <w:tr>
        <w:trPr>
          <w:trHeight w:val="382" w:hRule="atLeast"/>
        </w:trPr>
        <w:tc>
          <w:tcPr>
            <w:tcW w:w="2146" w:type="dxa"/>
            <w:shd w:val="clear" w:color="auto" w:fill="BEBEBE"/>
          </w:tcPr>
          <w:p>
            <w:pPr>
              <w:pStyle w:val="TableParagraph"/>
              <w:tabs>
                <w:tab w:pos="1540" w:val="left" w:leader="none"/>
              </w:tabs>
              <w:spacing w:line="160" w:lineRule="atLeast" w:before="40"/>
              <w:ind w:left="108" w:right="157"/>
              <w:rPr>
                <w:sz w:val="14"/>
              </w:rPr>
            </w:pPr>
            <w:r>
              <w:rPr>
                <w:spacing w:val="-2"/>
                <w:sz w:val="14"/>
              </w:rPr>
              <w:t>Χρηματιστηριακές</w:t>
            </w:r>
            <w:r>
              <w:rPr>
                <w:sz w:val="14"/>
              </w:rPr>
              <w:tab/>
            </w:r>
            <w:r>
              <w:rPr>
                <w:spacing w:val="-2"/>
                <w:sz w:val="14"/>
              </w:rPr>
              <w:t>εταιρίες</w:t>
            </w:r>
            <w:r>
              <w:rPr>
                <w:spacing w:val="40"/>
                <w:sz w:val="14"/>
              </w:rPr>
              <w:t> </w:t>
            </w:r>
            <w:r>
              <w:rPr>
                <w:spacing w:val="-2"/>
                <w:sz w:val="14"/>
              </w:rPr>
              <w:t>(ΑΕΠΕΥ)</w:t>
            </w:r>
          </w:p>
        </w:tc>
        <w:tc>
          <w:tcPr>
            <w:tcW w:w="619" w:type="dxa"/>
            <w:shd w:val="clear" w:color="auto" w:fill="BEBEBE"/>
          </w:tcPr>
          <w:p>
            <w:pPr>
              <w:pStyle w:val="TableParagraph"/>
              <w:spacing w:before="129"/>
              <w:ind w:left="9" w:right="65"/>
              <w:jc w:val="center"/>
              <w:rPr>
                <w:sz w:val="16"/>
              </w:rPr>
            </w:pPr>
            <w:r>
              <w:rPr>
                <w:spacing w:val="-5"/>
                <w:sz w:val="16"/>
              </w:rPr>
              <w:t>44</w:t>
            </w:r>
          </w:p>
        </w:tc>
        <w:tc>
          <w:tcPr>
            <w:tcW w:w="893" w:type="dxa"/>
            <w:shd w:val="clear" w:color="auto" w:fill="BEBEBE"/>
          </w:tcPr>
          <w:p>
            <w:pPr>
              <w:pStyle w:val="TableParagraph"/>
              <w:spacing w:before="129"/>
              <w:ind w:left="56" w:right="90"/>
              <w:jc w:val="center"/>
              <w:rPr>
                <w:sz w:val="16"/>
              </w:rPr>
            </w:pPr>
            <w:r>
              <w:rPr>
                <w:spacing w:val="-5"/>
                <w:sz w:val="16"/>
              </w:rPr>
              <w:t>818</w:t>
            </w:r>
          </w:p>
        </w:tc>
        <w:tc>
          <w:tcPr>
            <w:tcW w:w="581" w:type="dxa"/>
            <w:shd w:val="clear" w:color="auto" w:fill="BEBEBE"/>
          </w:tcPr>
          <w:p>
            <w:pPr>
              <w:pStyle w:val="TableParagraph"/>
              <w:spacing w:before="129"/>
              <w:ind w:left="8" w:right="24"/>
              <w:jc w:val="center"/>
              <w:rPr>
                <w:sz w:val="16"/>
              </w:rPr>
            </w:pPr>
            <w:r>
              <w:rPr>
                <w:spacing w:val="-4"/>
                <w:sz w:val="16"/>
              </w:rPr>
              <w:t>0,2%</w:t>
            </w:r>
          </w:p>
        </w:tc>
        <w:tc>
          <w:tcPr>
            <w:tcW w:w="645" w:type="dxa"/>
            <w:shd w:val="clear" w:color="auto" w:fill="BEBEBE"/>
          </w:tcPr>
          <w:p>
            <w:pPr>
              <w:pStyle w:val="TableParagraph"/>
              <w:spacing w:before="129"/>
              <w:ind w:left="1" w:right="68"/>
              <w:jc w:val="center"/>
              <w:rPr>
                <w:sz w:val="16"/>
              </w:rPr>
            </w:pPr>
            <w:r>
              <w:rPr>
                <w:spacing w:val="-5"/>
                <w:sz w:val="16"/>
              </w:rPr>
              <w:t>41</w:t>
            </w:r>
          </w:p>
        </w:tc>
        <w:tc>
          <w:tcPr>
            <w:tcW w:w="951" w:type="dxa"/>
            <w:shd w:val="clear" w:color="auto" w:fill="BEBEBE"/>
          </w:tcPr>
          <w:p>
            <w:pPr>
              <w:pStyle w:val="TableParagraph"/>
              <w:spacing w:before="129"/>
              <w:ind w:right="19"/>
              <w:jc w:val="center"/>
              <w:rPr>
                <w:sz w:val="16"/>
              </w:rPr>
            </w:pPr>
            <w:r>
              <w:rPr>
                <w:spacing w:val="-5"/>
                <w:sz w:val="16"/>
              </w:rPr>
              <w:t>882</w:t>
            </w:r>
          </w:p>
        </w:tc>
        <w:tc>
          <w:tcPr>
            <w:tcW w:w="616" w:type="dxa"/>
            <w:shd w:val="clear" w:color="auto" w:fill="BEBEBE"/>
          </w:tcPr>
          <w:p>
            <w:pPr>
              <w:pStyle w:val="TableParagraph"/>
              <w:spacing w:before="129"/>
              <w:ind w:right="173"/>
              <w:jc w:val="right"/>
              <w:rPr>
                <w:sz w:val="16"/>
              </w:rPr>
            </w:pPr>
            <w:r>
              <w:rPr>
                <w:spacing w:val="-4"/>
                <w:sz w:val="16"/>
              </w:rPr>
              <w:t>0,2%</w:t>
            </w:r>
          </w:p>
        </w:tc>
        <w:tc>
          <w:tcPr>
            <w:tcW w:w="627" w:type="dxa"/>
            <w:shd w:val="clear" w:color="auto" w:fill="BEBEBE"/>
          </w:tcPr>
          <w:p>
            <w:pPr>
              <w:pStyle w:val="TableParagraph"/>
              <w:spacing w:before="129"/>
              <w:ind w:left="23" w:right="15"/>
              <w:jc w:val="center"/>
              <w:rPr>
                <w:sz w:val="16"/>
              </w:rPr>
            </w:pPr>
            <w:r>
              <w:rPr>
                <w:spacing w:val="-5"/>
                <w:sz w:val="16"/>
              </w:rPr>
              <w:t>43</w:t>
            </w:r>
          </w:p>
        </w:tc>
        <w:tc>
          <w:tcPr>
            <w:tcW w:w="876" w:type="dxa"/>
            <w:shd w:val="clear" w:color="auto" w:fill="BEBEBE"/>
          </w:tcPr>
          <w:p>
            <w:pPr>
              <w:pStyle w:val="TableParagraph"/>
              <w:spacing w:before="129"/>
              <w:ind w:left="66" w:right="48"/>
              <w:jc w:val="center"/>
              <w:rPr>
                <w:sz w:val="16"/>
              </w:rPr>
            </w:pPr>
            <w:r>
              <w:rPr>
                <w:spacing w:val="-2"/>
                <w:sz w:val="16"/>
              </w:rPr>
              <w:t>1.600</w:t>
            </w:r>
          </w:p>
        </w:tc>
        <w:tc>
          <w:tcPr>
            <w:tcW w:w="585" w:type="dxa"/>
            <w:shd w:val="clear" w:color="auto" w:fill="BEBEBE"/>
          </w:tcPr>
          <w:p>
            <w:pPr>
              <w:pStyle w:val="TableParagraph"/>
              <w:spacing w:before="129"/>
              <w:ind w:left="3" w:right="50"/>
              <w:jc w:val="center"/>
              <w:rPr>
                <w:sz w:val="16"/>
              </w:rPr>
            </w:pPr>
            <w:r>
              <w:rPr>
                <w:spacing w:val="-4"/>
                <w:sz w:val="16"/>
              </w:rPr>
              <w:t>0,4%</w:t>
            </w:r>
          </w:p>
        </w:tc>
      </w:tr>
      <w:tr>
        <w:trPr>
          <w:trHeight w:val="381" w:hRule="atLeast"/>
        </w:trPr>
        <w:tc>
          <w:tcPr>
            <w:tcW w:w="2146" w:type="dxa"/>
            <w:shd w:val="clear" w:color="auto" w:fill="D9D9D9"/>
          </w:tcPr>
          <w:p>
            <w:pPr>
              <w:pStyle w:val="TableParagraph"/>
              <w:spacing w:line="160" w:lineRule="atLeast" w:before="39"/>
              <w:ind w:left="108" w:right="157"/>
              <w:rPr>
                <w:sz w:val="14"/>
              </w:rPr>
            </w:pPr>
            <w:r>
              <w:rPr>
                <w:spacing w:val="-2"/>
                <w:sz w:val="14"/>
              </w:rPr>
              <w:t>Ανώνυμες εταιρίες διαχείρισης α-</w:t>
            </w:r>
            <w:r>
              <w:rPr>
                <w:sz w:val="14"/>
              </w:rPr>
              <w:t>μοιβαίων κεφαλαίων (ΑΕΔΑΚ)</w:t>
            </w:r>
          </w:p>
        </w:tc>
        <w:tc>
          <w:tcPr>
            <w:tcW w:w="619" w:type="dxa"/>
            <w:shd w:val="clear" w:color="auto" w:fill="D9D9D9"/>
          </w:tcPr>
          <w:p>
            <w:pPr>
              <w:pStyle w:val="TableParagraph"/>
              <w:spacing w:before="129"/>
              <w:ind w:left="9" w:right="65"/>
              <w:jc w:val="center"/>
              <w:rPr>
                <w:sz w:val="16"/>
              </w:rPr>
            </w:pPr>
            <w:r>
              <w:rPr>
                <w:spacing w:val="-5"/>
                <w:sz w:val="16"/>
              </w:rPr>
              <w:t>14</w:t>
            </w:r>
          </w:p>
        </w:tc>
        <w:tc>
          <w:tcPr>
            <w:tcW w:w="893" w:type="dxa"/>
            <w:shd w:val="clear" w:color="auto" w:fill="D9D9D9"/>
          </w:tcPr>
          <w:p>
            <w:pPr>
              <w:pStyle w:val="TableParagraph"/>
              <w:spacing w:before="129"/>
              <w:ind w:left="56" w:right="90"/>
              <w:jc w:val="center"/>
              <w:rPr>
                <w:sz w:val="16"/>
              </w:rPr>
            </w:pPr>
            <w:r>
              <w:rPr>
                <w:spacing w:val="-5"/>
                <w:sz w:val="16"/>
              </w:rPr>
              <w:t>286</w:t>
            </w:r>
          </w:p>
        </w:tc>
        <w:tc>
          <w:tcPr>
            <w:tcW w:w="581" w:type="dxa"/>
            <w:shd w:val="clear" w:color="auto" w:fill="D9D9D9"/>
          </w:tcPr>
          <w:p>
            <w:pPr>
              <w:pStyle w:val="TableParagraph"/>
              <w:spacing w:before="129"/>
              <w:ind w:left="8" w:right="24"/>
              <w:jc w:val="center"/>
              <w:rPr>
                <w:sz w:val="16"/>
              </w:rPr>
            </w:pPr>
            <w:r>
              <w:rPr>
                <w:spacing w:val="-4"/>
                <w:sz w:val="16"/>
              </w:rPr>
              <w:t>0,1%</w:t>
            </w:r>
          </w:p>
        </w:tc>
        <w:tc>
          <w:tcPr>
            <w:tcW w:w="645" w:type="dxa"/>
            <w:shd w:val="clear" w:color="auto" w:fill="D9D9D9"/>
          </w:tcPr>
          <w:p>
            <w:pPr>
              <w:pStyle w:val="TableParagraph"/>
              <w:spacing w:before="129"/>
              <w:ind w:left="1" w:right="68"/>
              <w:jc w:val="center"/>
              <w:rPr>
                <w:sz w:val="16"/>
              </w:rPr>
            </w:pPr>
            <w:r>
              <w:rPr>
                <w:spacing w:val="-5"/>
                <w:sz w:val="16"/>
              </w:rPr>
              <w:t>13</w:t>
            </w:r>
          </w:p>
        </w:tc>
        <w:tc>
          <w:tcPr>
            <w:tcW w:w="951" w:type="dxa"/>
            <w:shd w:val="clear" w:color="auto" w:fill="D9D9D9"/>
          </w:tcPr>
          <w:p>
            <w:pPr>
              <w:pStyle w:val="TableParagraph"/>
              <w:spacing w:before="129"/>
              <w:ind w:right="19"/>
              <w:jc w:val="center"/>
              <w:rPr>
                <w:sz w:val="16"/>
              </w:rPr>
            </w:pPr>
            <w:r>
              <w:rPr>
                <w:spacing w:val="-5"/>
                <w:sz w:val="16"/>
              </w:rPr>
              <w:t>283</w:t>
            </w:r>
          </w:p>
        </w:tc>
        <w:tc>
          <w:tcPr>
            <w:tcW w:w="616" w:type="dxa"/>
            <w:shd w:val="clear" w:color="auto" w:fill="D9D9D9"/>
          </w:tcPr>
          <w:p>
            <w:pPr>
              <w:pStyle w:val="TableParagraph"/>
              <w:spacing w:before="129"/>
              <w:ind w:right="173"/>
              <w:jc w:val="right"/>
              <w:rPr>
                <w:sz w:val="16"/>
              </w:rPr>
            </w:pPr>
            <w:r>
              <w:rPr>
                <w:spacing w:val="-4"/>
                <w:sz w:val="16"/>
              </w:rPr>
              <w:t>0,1%</w:t>
            </w:r>
          </w:p>
        </w:tc>
        <w:tc>
          <w:tcPr>
            <w:tcW w:w="627" w:type="dxa"/>
            <w:shd w:val="clear" w:color="auto" w:fill="D9D9D9"/>
          </w:tcPr>
          <w:p>
            <w:pPr>
              <w:pStyle w:val="TableParagraph"/>
              <w:spacing w:before="129"/>
              <w:ind w:left="23" w:right="15"/>
              <w:jc w:val="center"/>
              <w:rPr>
                <w:sz w:val="16"/>
              </w:rPr>
            </w:pPr>
            <w:r>
              <w:rPr>
                <w:spacing w:val="-5"/>
                <w:sz w:val="16"/>
              </w:rPr>
              <w:t>13</w:t>
            </w:r>
          </w:p>
        </w:tc>
        <w:tc>
          <w:tcPr>
            <w:tcW w:w="876" w:type="dxa"/>
            <w:shd w:val="clear" w:color="auto" w:fill="D9D9D9"/>
          </w:tcPr>
          <w:p>
            <w:pPr>
              <w:pStyle w:val="TableParagraph"/>
              <w:spacing w:before="129"/>
              <w:ind w:left="66" w:right="48"/>
              <w:jc w:val="center"/>
              <w:rPr>
                <w:sz w:val="16"/>
              </w:rPr>
            </w:pPr>
            <w:r>
              <w:rPr>
                <w:spacing w:val="-5"/>
                <w:sz w:val="16"/>
              </w:rPr>
              <w:t>369</w:t>
            </w:r>
          </w:p>
        </w:tc>
        <w:tc>
          <w:tcPr>
            <w:tcW w:w="585" w:type="dxa"/>
            <w:shd w:val="clear" w:color="auto" w:fill="D9D9D9"/>
          </w:tcPr>
          <w:p>
            <w:pPr>
              <w:pStyle w:val="TableParagraph"/>
              <w:spacing w:before="129"/>
              <w:ind w:left="3" w:right="50"/>
              <w:jc w:val="center"/>
              <w:rPr>
                <w:sz w:val="16"/>
              </w:rPr>
            </w:pPr>
            <w:r>
              <w:rPr>
                <w:spacing w:val="-4"/>
                <w:sz w:val="16"/>
              </w:rPr>
              <w:t>0,1%</w:t>
            </w:r>
          </w:p>
        </w:tc>
      </w:tr>
      <w:tr>
        <w:trPr>
          <w:trHeight w:val="244" w:hRule="atLeast"/>
        </w:trPr>
        <w:tc>
          <w:tcPr>
            <w:tcW w:w="2146" w:type="dxa"/>
            <w:shd w:val="clear" w:color="auto" w:fill="BEBEBE"/>
          </w:tcPr>
          <w:p>
            <w:pPr>
              <w:pStyle w:val="TableParagraph"/>
              <w:spacing w:line="154" w:lineRule="exact" w:before="71"/>
              <w:ind w:left="108"/>
              <w:rPr>
                <w:sz w:val="14"/>
              </w:rPr>
            </w:pPr>
            <w:r>
              <w:rPr>
                <w:spacing w:val="-2"/>
                <w:sz w:val="14"/>
              </w:rPr>
              <w:t>Διαχειριστές</w:t>
            </w:r>
            <w:r>
              <w:rPr>
                <w:spacing w:val="13"/>
                <w:sz w:val="14"/>
              </w:rPr>
              <w:t> </w:t>
            </w:r>
            <w:r>
              <w:rPr>
                <w:spacing w:val="-2"/>
                <w:sz w:val="14"/>
              </w:rPr>
              <w:t>πιστώσεων</w:t>
            </w:r>
          </w:p>
        </w:tc>
        <w:tc>
          <w:tcPr>
            <w:tcW w:w="619" w:type="dxa"/>
            <w:shd w:val="clear" w:color="auto" w:fill="BEBEBE"/>
          </w:tcPr>
          <w:p>
            <w:pPr>
              <w:pStyle w:val="TableParagraph"/>
              <w:spacing w:line="163" w:lineRule="exact" w:before="62"/>
              <w:ind w:left="9" w:right="65"/>
              <w:jc w:val="center"/>
              <w:rPr>
                <w:sz w:val="16"/>
              </w:rPr>
            </w:pPr>
            <w:r>
              <w:rPr>
                <w:spacing w:val="-5"/>
                <w:sz w:val="16"/>
              </w:rPr>
              <w:t>23</w:t>
            </w:r>
          </w:p>
        </w:tc>
        <w:tc>
          <w:tcPr>
            <w:tcW w:w="893" w:type="dxa"/>
            <w:shd w:val="clear" w:color="auto" w:fill="BEBEBE"/>
          </w:tcPr>
          <w:p>
            <w:pPr>
              <w:pStyle w:val="TableParagraph"/>
              <w:spacing w:line="163" w:lineRule="exact" w:before="62"/>
              <w:ind w:left="56" w:right="90"/>
              <w:jc w:val="center"/>
              <w:rPr>
                <w:sz w:val="16"/>
              </w:rPr>
            </w:pPr>
            <w:r>
              <w:rPr>
                <w:spacing w:val="-2"/>
                <w:sz w:val="16"/>
              </w:rPr>
              <w:t>1.294</w:t>
            </w:r>
          </w:p>
        </w:tc>
        <w:tc>
          <w:tcPr>
            <w:tcW w:w="581" w:type="dxa"/>
            <w:shd w:val="clear" w:color="auto" w:fill="BEBEBE"/>
          </w:tcPr>
          <w:p>
            <w:pPr>
              <w:pStyle w:val="TableParagraph"/>
              <w:spacing w:line="163" w:lineRule="exact" w:before="62"/>
              <w:ind w:left="8" w:right="24"/>
              <w:jc w:val="center"/>
              <w:rPr>
                <w:sz w:val="16"/>
              </w:rPr>
            </w:pPr>
            <w:r>
              <w:rPr>
                <w:spacing w:val="-4"/>
                <w:sz w:val="16"/>
              </w:rPr>
              <w:t>0,4%</w:t>
            </w:r>
          </w:p>
        </w:tc>
        <w:tc>
          <w:tcPr>
            <w:tcW w:w="645" w:type="dxa"/>
            <w:shd w:val="clear" w:color="auto" w:fill="BEBEBE"/>
          </w:tcPr>
          <w:p>
            <w:pPr>
              <w:pStyle w:val="TableParagraph"/>
              <w:spacing w:line="163" w:lineRule="exact" w:before="62"/>
              <w:ind w:left="1" w:right="68"/>
              <w:jc w:val="center"/>
              <w:rPr>
                <w:sz w:val="16"/>
              </w:rPr>
            </w:pPr>
            <w:r>
              <w:rPr>
                <w:spacing w:val="-5"/>
                <w:sz w:val="16"/>
              </w:rPr>
              <w:t>18</w:t>
            </w:r>
          </w:p>
        </w:tc>
        <w:tc>
          <w:tcPr>
            <w:tcW w:w="951" w:type="dxa"/>
            <w:shd w:val="clear" w:color="auto" w:fill="BEBEBE"/>
          </w:tcPr>
          <w:p>
            <w:pPr>
              <w:pStyle w:val="TableParagraph"/>
              <w:spacing w:line="163" w:lineRule="exact" w:before="62"/>
              <w:ind w:right="303"/>
              <w:jc w:val="right"/>
              <w:rPr>
                <w:sz w:val="16"/>
              </w:rPr>
            </w:pPr>
            <w:r>
              <w:rPr>
                <w:spacing w:val="-2"/>
                <w:sz w:val="16"/>
              </w:rPr>
              <w:t>1.213</w:t>
            </w:r>
          </w:p>
        </w:tc>
        <w:tc>
          <w:tcPr>
            <w:tcW w:w="616" w:type="dxa"/>
            <w:shd w:val="clear" w:color="auto" w:fill="BEBEBE"/>
          </w:tcPr>
          <w:p>
            <w:pPr>
              <w:pStyle w:val="TableParagraph"/>
              <w:spacing w:line="163" w:lineRule="exact" w:before="62"/>
              <w:ind w:right="173"/>
              <w:jc w:val="right"/>
              <w:rPr>
                <w:sz w:val="16"/>
              </w:rPr>
            </w:pPr>
            <w:r>
              <w:rPr>
                <w:spacing w:val="-4"/>
                <w:sz w:val="16"/>
              </w:rPr>
              <w:t>0,3%</w:t>
            </w:r>
          </w:p>
        </w:tc>
        <w:tc>
          <w:tcPr>
            <w:tcW w:w="627" w:type="dxa"/>
            <w:shd w:val="clear" w:color="auto" w:fill="BEBEBE"/>
          </w:tcPr>
          <w:p>
            <w:pPr>
              <w:pStyle w:val="TableParagraph"/>
              <w:spacing w:line="163" w:lineRule="exact" w:before="62"/>
              <w:ind w:left="23" w:right="15"/>
              <w:jc w:val="center"/>
              <w:rPr>
                <w:sz w:val="16"/>
              </w:rPr>
            </w:pPr>
            <w:r>
              <w:rPr>
                <w:spacing w:val="-5"/>
                <w:sz w:val="16"/>
              </w:rPr>
              <w:t>17</w:t>
            </w:r>
          </w:p>
        </w:tc>
        <w:tc>
          <w:tcPr>
            <w:tcW w:w="876" w:type="dxa"/>
            <w:shd w:val="clear" w:color="auto" w:fill="BEBEBE"/>
          </w:tcPr>
          <w:p>
            <w:pPr>
              <w:pStyle w:val="TableParagraph"/>
              <w:spacing w:line="163" w:lineRule="exact" w:before="62"/>
              <w:ind w:left="66" w:right="48"/>
              <w:jc w:val="center"/>
              <w:rPr>
                <w:sz w:val="16"/>
              </w:rPr>
            </w:pPr>
            <w:r>
              <w:rPr>
                <w:spacing w:val="-2"/>
                <w:sz w:val="16"/>
              </w:rPr>
              <w:t>1.263</w:t>
            </w:r>
          </w:p>
        </w:tc>
        <w:tc>
          <w:tcPr>
            <w:tcW w:w="585" w:type="dxa"/>
            <w:shd w:val="clear" w:color="auto" w:fill="BEBEBE"/>
          </w:tcPr>
          <w:p>
            <w:pPr>
              <w:pStyle w:val="TableParagraph"/>
              <w:spacing w:line="163" w:lineRule="exact" w:before="62"/>
              <w:ind w:left="3" w:right="50"/>
              <w:jc w:val="center"/>
              <w:rPr>
                <w:sz w:val="16"/>
              </w:rPr>
            </w:pPr>
            <w:r>
              <w:rPr>
                <w:spacing w:val="-4"/>
                <w:sz w:val="16"/>
              </w:rPr>
              <w:t>0,3%</w:t>
            </w:r>
          </w:p>
        </w:tc>
      </w:tr>
      <w:tr>
        <w:trPr>
          <w:trHeight w:val="338" w:hRule="atLeast"/>
        </w:trPr>
        <w:tc>
          <w:tcPr>
            <w:tcW w:w="2146" w:type="dxa"/>
            <w:shd w:val="clear" w:color="auto" w:fill="D9D9D9"/>
          </w:tcPr>
          <w:p>
            <w:pPr>
              <w:pStyle w:val="TableParagraph"/>
              <w:spacing w:before="96"/>
              <w:ind w:left="108"/>
              <w:rPr>
                <w:b/>
                <w:sz w:val="18"/>
              </w:rPr>
            </w:pPr>
            <w:r>
              <w:rPr>
                <w:b/>
                <w:color w:val="1F487C"/>
                <w:spacing w:val="-2"/>
                <w:sz w:val="18"/>
              </w:rPr>
              <w:t>Σύνολο</w:t>
            </w:r>
          </w:p>
        </w:tc>
        <w:tc>
          <w:tcPr>
            <w:tcW w:w="619" w:type="dxa"/>
            <w:shd w:val="clear" w:color="auto" w:fill="D9D9D9"/>
          </w:tcPr>
          <w:p>
            <w:pPr>
              <w:pStyle w:val="TableParagraph"/>
              <w:spacing w:before="107"/>
              <w:ind w:left="9" w:right="68"/>
              <w:jc w:val="center"/>
              <w:rPr>
                <w:b/>
                <w:sz w:val="16"/>
              </w:rPr>
            </w:pPr>
            <w:r>
              <w:rPr>
                <w:b/>
                <w:color w:val="1F487C"/>
                <w:spacing w:val="-5"/>
                <w:sz w:val="16"/>
              </w:rPr>
              <w:t>395</w:t>
            </w:r>
          </w:p>
        </w:tc>
        <w:tc>
          <w:tcPr>
            <w:tcW w:w="893" w:type="dxa"/>
            <w:shd w:val="clear" w:color="auto" w:fill="D9D9D9"/>
          </w:tcPr>
          <w:p>
            <w:pPr>
              <w:pStyle w:val="TableParagraph"/>
              <w:spacing w:before="107"/>
              <w:ind w:left="58" w:right="90"/>
              <w:jc w:val="center"/>
              <w:rPr>
                <w:b/>
                <w:sz w:val="16"/>
              </w:rPr>
            </w:pPr>
            <w:r>
              <w:rPr>
                <w:b/>
                <w:color w:val="1F487C"/>
                <w:spacing w:val="-2"/>
                <w:sz w:val="16"/>
              </w:rPr>
              <w:t>342.102</w:t>
            </w:r>
          </w:p>
        </w:tc>
        <w:tc>
          <w:tcPr>
            <w:tcW w:w="581" w:type="dxa"/>
            <w:shd w:val="clear" w:color="auto" w:fill="D9D9D9"/>
          </w:tcPr>
          <w:p>
            <w:pPr>
              <w:pStyle w:val="TableParagraph"/>
              <w:spacing w:before="107"/>
              <w:ind w:left="7" w:right="24"/>
              <w:jc w:val="center"/>
              <w:rPr>
                <w:b/>
                <w:sz w:val="16"/>
              </w:rPr>
            </w:pPr>
            <w:r>
              <w:rPr>
                <w:b/>
                <w:color w:val="1F487C"/>
                <w:spacing w:val="-4"/>
                <w:sz w:val="16"/>
              </w:rPr>
              <w:t>100%</w:t>
            </w:r>
          </w:p>
        </w:tc>
        <w:tc>
          <w:tcPr>
            <w:tcW w:w="645" w:type="dxa"/>
            <w:shd w:val="clear" w:color="auto" w:fill="D9D9D9"/>
          </w:tcPr>
          <w:p>
            <w:pPr>
              <w:pStyle w:val="TableParagraph"/>
              <w:spacing w:before="107"/>
              <w:ind w:left="2" w:right="68"/>
              <w:jc w:val="center"/>
              <w:rPr>
                <w:b/>
                <w:sz w:val="16"/>
              </w:rPr>
            </w:pPr>
            <w:r>
              <w:rPr>
                <w:b/>
                <w:color w:val="1F487C"/>
                <w:spacing w:val="-5"/>
                <w:sz w:val="16"/>
              </w:rPr>
              <w:t>418</w:t>
            </w:r>
          </w:p>
        </w:tc>
        <w:tc>
          <w:tcPr>
            <w:tcW w:w="951" w:type="dxa"/>
            <w:shd w:val="clear" w:color="auto" w:fill="D9D9D9"/>
          </w:tcPr>
          <w:p>
            <w:pPr>
              <w:pStyle w:val="TableParagraph"/>
              <w:spacing w:before="107"/>
              <w:ind w:right="222"/>
              <w:jc w:val="right"/>
              <w:rPr>
                <w:b/>
                <w:sz w:val="16"/>
              </w:rPr>
            </w:pPr>
            <w:r>
              <w:rPr>
                <w:b/>
                <w:color w:val="1F487C"/>
                <w:spacing w:val="-2"/>
                <w:sz w:val="16"/>
              </w:rPr>
              <w:t>358.834</w:t>
            </w:r>
          </w:p>
        </w:tc>
        <w:tc>
          <w:tcPr>
            <w:tcW w:w="616" w:type="dxa"/>
            <w:shd w:val="clear" w:color="auto" w:fill="D9D9D9"/>
          </w:tcPr>
          <w:p>
            <w:pPr>
              <w:pStyle w:val="TableParagraph"/>
              <w:spacing w:before="107"/>
              <w:ind w:right="141"/>
              <w:jc w:val="right"/>
              <w:rPr>
                <w:b/>
                <w:sz w:val="16"/>
              </w:rPr>
            </w:pPr>
            <w:r>
              <w:rPr>
                <w:b/>
                <w:color w:val="1F487C"/>
                <w:spacing w:val="-4"/>
                <w:sz w:val="16"/>
              </w:rPr>
              <w:t>100%</w:t>
            </w:r>
          </w:p>
        </w:tc>
        <w:tc>
          <w:tcPr>
            <w:tcW w:w="627" w:type="dxa"/>
            <w:shd w:val="clear" w:color="auto" w:fill="D9D9D9"/>
          </w:tcPr>
          <w:p>
            <w:pPr>
              <w:pStyle w:val="TableParagraph"/>
              <w:spacing w:before="107"/>
              <w:ind w:left="23" w:right="13"/>
              <w:jc w:val="center"/>
              <w:rPr>
                <w:b/>
                <w:sz w:val="16"/>
              </w:rPr>
            </w:pPr>
            <w:r>
              <w:rPr>
                <w:b/>
                <w:color w:val="1F487C"/>
                <w:spacing w:val="-5"/>
                <w:sz w:val="16"/>
              </w:rPr>
              <w:t>452</w:t>
            </w:r>
          </w:p>
        </w:tc>
        <w:tc>
          <w:tcPr>
            <w:tcW w:w="876" w:type="dxa"/>
            <w:shd w:val="clear" w:color="auto" w:fill="D9D9D9"/>
          </w:tcPr>
          <w:p>
            <w:pPr>
              <w:pStyle w:val="TableParagraph"/>
              <w:spacing w:before="107"/>
              <w:ind w:left="65" w:right="48"/>
              <w:jc w:val="center"/>
              <w:rPr>
                <w:b/>
                <w:sz w:val="16"/>
              </w:rPr>
            </w:pPr>
            <w:r>
              <w:rPr>
                <w:b/>
                <w:color w:val="1F487C"/>
                <w:spacing w:val="-2"/>
                <w:sz w:val="16"/>
              </w:rPr>
              <w:t>390.653</w:t>
            </w:r>
          </w:p>
        </w:tc>
        <w:tc>
          <w:tcPr>
            <w:tcW w:w="585" w:type="dxa"/>
            <w:shd w:val="clear" w:color="auto" w:fill="D9D9D9"/>
          </w:tcPr>
          <w:p>
            <w:pPr>
              <w:pStyle w:val="TableParagraph"/>
              <w:spacing w:before="107"/>
              <w:ind w:left="2" w:right="50"/>
              <w:jc w:val="center"/>
              <w:rPr>
                <w:b/>
                <w:sz w:val="16"/>
              </w:rPr>
            </w:pPr>
            <w:r>
              <w:rPr>
                <w:b/>
                <w:color w:val="1F487C"/>
                <w:spacing w:val="-4"/>
                <w:sz w:val="16"/>
              </w:rPr>
              <w:t>100%</w:t>
            </w:r>
          </w:p>
        </w:tc>
      </w:tr>
      <w:tr>
        <w:trPr>
          <w:trHeight w:val="739" w:hRule="atLeast"/>
        </w:trPr>
        <w:tc>
          <w:tcPr>
            <w:tcW w:w="8539" w:type="dxa"/>
            <w:gridSpan w:val="10"/>
            <w:shd w:val="clear" w:color="auto" w:fill="BEBEBE"/>
          </w:tcPr>
          <w:p>
            <w:pPr>
              <w:pStyle w:val="TableParagraph"/>
              <w:spacing w:before="88"/>
              <w:ind w:left="220"/>
              <w:rPr>
                <w:sz w:val="16"/>
              </w:rPr>
            </w:pPr>
            <w:r>
              <w:rPr>
                <w:sz w:val="14"/>
              </w:rPr>
              <w:t>Πηγή:</w:t>
            </w:r>
            <w:r>
              <w:rPr>
                <w:spacing w:val="-3"/>
                <w:sz w:val="14"/>
              </w:rPr>
              <w:t> </w:t>
            </w:r>
            <w:r>
              <w:rPr>
                <w:sz w:val="14"/>
              </w:rPr>
              <w:t>Τράπε</w:t>
            </w:r>
            <w:r>
              <w:rPr>
                <w:sz w:val="16"/>
              </w:rPr>
              <w:t>ζα</w:t>
            </w:r>
            <w:r>
              <w:rPr>
                <w:spacing w:val="-3"/>
                <w:sz w:val="16"/>
              </w:rPr>
              <w:t> </w:t>
            </w:r>
            <w:r>
              <w:rPr>
                <w:sz w:val="16"/>
              </w:rPr>
              <w:t>της</w:t>
            </w:r>
            <w:r>
              <w:rPr>
                <w:spacing w:val="-3"/>
                <w:sz w:val="16"/>
              </w:rPr>
              <w:t> </w:t>
            </w:r>
            <w:r>
              <w:rPr>
                <w:spacing w:val="-2"/>
                <w:sz w:val="16"/>
              </w:rPr>
              <w:t>Ελλάδος.</w:t>
            </w:r>
          </w:p>
          <w:p>
            <w:pPr>
              <w:pStyle w:val="TableParagraph"/>
              <w:spacing w:before="58"/>
              <w:ind w:left="220" w:right="161"/>
              <w:rPr>
                <w:sz w:val="14"/>
              </w:rPr>
            </w:pPr>
            <w:r>
              <w:rPr>
                <w:sz w:val="14"/>
              </w:rPr>
              <w:t>*</w:t>
            </w:r>
            <w:r>
              <w:rPr>
                <w:spacing w:val="-2"/>
                <w:sz w:val="14"/>
              </w:rPr>
              <w:t> </w:t>
            </w:r>
            <w:r>
              <w:rPr>
                <w:sz w:val="14"/>
              </w:rPr>
              <w:t>Tο</w:t>
            </w:r>
            <w:r>
              <w:rPr>
                <w:spacing w:val="-3"/>
                <w:sz w:val="14"/>
              </w:rPr>
              <w:t> </w:t>
            </w:r>
            <w:r>
              <w:rPr>
                <w:sz w:val="14"/>
              </w:rPr>
              <w:t>πλήθος</w:t>
            </w:r>
            <w:r>
              <w:rPr>
                <w:spacing w:val="-3"/>
                <w:sz w:val="14"/>
              </w:rPr>
              <w:t> </w:t>
            </w:r>
            <w:r>
              <w:rPr>
                <w:sz w:val="14"/>
              </w:rPr>
              <w:t>των</w:t>
            </w:r>
            <w:r>
              <w:rPr>
                <w:spacing w:val="-1"/>
                <w:sz w:val="14"/>
              </w:rPr>
              <w:t> </w:t>
            </w:r>
            <w:r>
              <w:rPr>
                <w:sz w:val="14"/>
              </w:rPr>
              <w:t>ασφαλιστικών</w:t>
            </w:r>
            <w:r>
              <w:rPr>
                <w:spacing w:val="-4"/>
                <w:sz w:val="14"/>
              </w:rPr>
              <w:t> </w:t>
            </w:r>
            <w:r>
              <w:rPr>
                <w:sz w:val="14"/>
              </w:rPr>
              <w:t>επιχειρήσεων</w:t>
            </w:r>
            <w:r>
              <w:rPr>
                <w:spacing w:val="-4"/>
                <w:sz w:val="14"/>
              </w:rPr>
              <w:t> </w:t>
            </w:r>
            <w:r>
              <w:rPr>
                <w:sz w:val="14"/>
              </w:rPr>
              <w:t>αφορά</w:t>
            </w:r>
            <w:r>
              <w:rPr>
                <w:spacing w:val="-3"/>
                <w:sz w:val="14"/>
              </w:rPr>
              <w:t> </w:t>
            </w:r>
            <w:r>
              <w:rPr>
                <w:sz w:val="14"/>
              </w:rPr>
              <w:t>τις</w:t>
            </w:r>
            <w:r>
              <w:rPr>
                <w:spacing w:val="-3"/>
                <w:sz w:val="14"/>
              </w:rPr>
              <w:t> </w:t>
            </w:r>
            <w:r>
              <w:rPr>
                <w:sz w:val="14"/>
              </w:rPr>
              <w:t>ασφαλιστικές</w:t>
            </w:r>
            <w:r>
              <w:rPr>
                <w:spacing w:val="-3"/>
                <w:sz w:val="14"/>
              </w:rPr>
              <w:t> </w:t>
            </w:r>
            <w:r>
              <w:rPr>
                <w:sz w:val="14"/>
              </w:rPr>
              <w:t>επιχειρήσεις</w:t>
            </w:r>
            <w:r>
              <w:rPr>
                <w:spacing w:val="-3"/>
                <w:sz w:val="14"/>
              </w:rPr>
              <w:t> </w:t>
            </w:r>
            <w:r>
              <w:rPr>
                <w:sz w:val="14"/>
              </w:rPr>
              <w:t>που</w:t>
            </w:r>
            <w:r>
              <w:rPr>
                <w:spacing w:val="-2"/>
                <w:sz w:val="14"/>
              </w:rPr>
              <w:t> </w:t>
            </w:r>
            <w:r>
              <w:rPr>
                <w:sz w:val="14"/>
              </w:rPr>
              <w:t>λειτουργούν</w:t>
            </w:r>
            <w:r>
              <w:rPr>
                <w:spacing w:val="-3"/>
                <w:sz w:val="14"/>
              </w:rPr>
              <w:t> </w:t>
            </w:r>
            <w:r>
              <w:rPr>
                <w:sz w:val="14"/>
              </w:rPr>
              <w:t>και</w:t>
            </w:r>
            <w:r>
              <w:rPr>
                <w:spacing w:val="-2"/>
                <w:sz w:val="14"/>
              </w:rPr>
              <w:t> </w:t>
            </w:r>
            <w:r>
              <w:rPr>
                <w:sz w:val="14"/>
              </w:rPr>
              <w:t>εποπτεύονται</w:t>
            </w:r>
            <w:r>
              <w:rPr>
                <w:spacing w:val="-2"/>
                <w:sz w:val="14"/>
              </w:rPr>
              <w:t> </w:t>
            </w:r>
            <w:r>
              <w:rPr>
                <w:sz w:val="14"/>
              </w:rPr>
              <w:t>σύμφωνα</w:t>
            </w:r>
            <w:r>
              <w:rPr>
                <w:spacing w:val="-1"/>
                <w:sz w:val="14"/>
              </w:rPr>
              <w:t> </w:t>
            </w:r>
            <w:r>
              <w:rPr>
                <w:sz w:val="14"/>
              </w:rPr>
              <w:t>με</w:t>
            </w:r>
            <w:r>
              <w:rPr>
                <w:spacing w:val="-4"/>
                <w:sz w:val="14"/>
              </w:rPr>
              <w:t> </w:t>
            </w:r>
            <w:r>
              <w:rPr>
                <w:sz w:val="14"/>
              </w:rPr>
              <w:t>την</w:t>
            </w:r>
            <w:r>
              <w:rPr>
                <w:spacing w:val="-3"/>
                <w:sz w:val="14"/>
              </w:rPr>
              <w:t> </w:t>
            </w:r>
            <w:r>
              <w:rPr>
                <w:sz w:val="14"/>
              </w:rPr>
              <w:t>ευρωπα-ϊκή οδηγία “Φερεγγυότητα II” (Solvency II).</w:t>
            </w:r>
          </w:p>
        </w:tc>
      </w:tr>
    </w:tbl>
    <w:p>
      <w:pPr>
        <w:pStyle w:val="BodyText"/>
        <w:spacing w:line="276" w:lineRule="auto" w:before="72"/>
        <w:ind w:left="172" w:right="954"/>
        <w:jc w:val="both"/>
      </w:pPr>
      <w:r>
        <w:rPr/>
        <w:t>Το 2025 το μερίδιο του μη τραπεζικού χρηματοπιστωτικού τομέα ενισχύθηκε σε 15,9%, με το ενεργητικό</w:t>
      </w:r>
      <w:r>
        <w:rPr>
          <w:spacing w:val="-9"/>
        </w:rPr>
        <w:t> </w:t>
      </w:r>
      <w:r>
        <w:rPr/>
        <w:t>του</w:t>
      </w:r>
      <w:r>
        <w:rPr>
          <w:spacing w:val="-8"/>
        </w:rPr>
        <w:t> </w:t>
      </w:r>
      <w:r>
        <w:rPr/>
        <w:t>να</w:t>
      </w:r>
      <w:r>
        <w:rPr>
          <w:spacing w:val="-9"/>
        </w:rPr>
        <w:t> </w:t>
      </w:r>
      <w:r>
        <w:rPr/>
        <w:t>διαμορφώνεται</w:t>
      </w:r>
      <w:r>
        <w:rPr>
          <w:spacing w:val="-11"/>
        </w:rPr>
        <w:t> </w:t>
      </w:r>
      <w:r>
        <w:rPr/>
        <w:t>σε</w:t>
      </w:r>
      <w:r>
        <w:rPr>
          <w:spacing w:val="-5"/>
        </w:rPr>
        <w:t> </w:t>
      </w:r>
      <w:r>
        <w:rPr/>
        <w:t>62,0</w:t>
      </w:r>
      <w:r>
        <w:rPr>
          <w:spacing w:val="-8"/>
        </w:rPr>
        <w:t> </w:t>
      </w:r>
      <w:r>
        <w:rPr/>
        <w:t>δισεκ.</w:t>
      </w:r>
      <w:r>
        <w:rPr>
          <w:spacing w:val="-9"/>
        </w:rPr>
        <w:t> </w:t>
      </w:r>
      <w:r>
        <w:rPr/>
        <w:t>ευρώ,</w:t>
      </w:r>
      <w:r>
        <w:rPr>
          <w:spacing w:val="-10"/>
        </w:rPr>
        <w:t> </w:t>
      </w:r>
      <w:r>
        <w:rPr/>
        <w:t>αυξημένο</w:t>
      </w:r>
      <w:r>
        <w:rPr>
          <w:spacing w:val="-9"/>
        </w:rPr>
        <w:t> </w:t>
      </w:r>
      <w:r>
        <w:rPr/>
        <w:t>κατά</w:t>
      </w:r>
      <w:r>
        <w:rPr>
          <w:spacing w:val="-9"/>
        </w:rPr>
        <w:t> </w:t>
      </w:r>
      <w:r>
        <w:rPr/>
        <w:t>7,1</w:t>
      </w:r>
      <w:r>
        <w:rPr>
          <w:spacing w:val="-9"/>
        </w:rPr>
        <w:t> </w:t>
      </w:r>
      <w:r>
        <w:rPr/>
        <w:t>δισεκ</w:t>
      </w:r>
      <w:r>
        <w:rPr>
          <w:spacing w:val="-9"/>
        </w:rPr>
        <w:t> </w:t>
      </w:r>
      <w:r>
        <w:rPr/>
        <w:t>ευρώ.</w:t>
      </w:r>
      <w:r>
        <w:rPr>
          <w:spacing w:val="-8"/>
        </w:rPr>
        <w:t> </w:t>
      </w:r>
      <w:r>
        <w:rPr/>
        <w:t>Η</w:t>
      </w:r>
      <w:r>
        <w:rPr>
          <w:spacing w:val="-9"/>
        </w:rPr>
        <w:t> </w:t>
      </w:r>
      <w:r>
        <w:rPr/>
        <w:t>άνοδος αυτή</w:t>
      </w:r>
      <w:r>
        <w:rPr>
          <w:spacing w:val="-9"/>
        </w:rPr>
        <w:t> </w:t>
      </w:r>
      <w:r>
        <w:rPr/>
        <w:t>οφείλεται</w:t>
      </w:r>
      <w:r>
        <w:rPr>
          <w:spacing w:val="-9"/>
        </w:rPr>
        <w:t> </w:t>
      </w:r>
      <w:r>
        <w:rPr/>
        <w:t>κυρίως</w:t>
      </w:r>
      <w:r>
        <w:rPr>
          <w:spacing w:val="-12"/>
        </w:rPr>
        <w:t> </w:t>
      </w:r>
      <w:r>
        <w:rPr/>
        <w:t>στην</w:t>
      </w:r>
      <w:r>
        <w:rPr>
          <w:spacing w:val="-8"/>
        </w:rPr>
        <w:t> </w:t>
      </w:r>
      <w:r>
        <w:rPr/>
        <w:t>αύξηση</w:t>
      </w:r>
      <w:r>
        <w:rPr>
          <w:spacing w:val="-11"/>
        </w:rPr>
        <w:t> </w:t>
      </w:r>
      <w:r>
        <w:rPr/>
        <w:t>του</w:t>
      </w:r>
      <w:r>
        <w:rPr>
          <w:spacing w:val="-11"/>
        </w:rPr>
        <w:t> </w:t>
      </w:r>
      <w:r>
        <w:rPr/>
        <w:t>ενεργητικού</w:t>
      </w:r>
      <w:r>
        <w:rPr>
          <w:spacing w:val="-8"/>
        </w:rPr>
        <w:t> </w:t>
      </w:r>
      <w:r>
        <w:rPr/>
        <w:t>των</w:t>
      </w:r>
      <w:r>
        <w:rPr>
          <w:spacing w:val="-7"/>
        </w:rPr>
        <w:t> </w:t>
      </w:r>
      <w:r>
        <w:rPr/>
        <w:t>Οργανισμών</w:t>
      </w:r>
      <w:r>
        <w:rPr>
          <w:spacing w:val="-11"/>
        </w:rPr>
        <w:t> </w:t>
      </w:r>
      <w:r>
        <w:rPr/>
        <w:t>Συλλογικών</w:t>
      </w:r>
      <w:r>
        <w:rPr>
          <w:spacing w:val="-8"/>
        </w:rPr>
        <w:t> </w:t>
      </w:r>
      <w:r>
        <w:rPr/>
        <w:t>Επενδύσεων</w:t>
      </w:r>
    </w:p>
    <w:p>
      <w:pPr>
        <w:pStyle w:val="BodyText"/>
        <w:spacing w:after="0" w:line="276" w:lineRule="auto"/>
        <w:jc w:val="both"/>
        <w:sectPr>
          <w:pgSz w:w="11910" w:h="16850"/>
          <w:pgMar w:header="0" w:footer="1108" w:top="1800" w:bottom="1300" w:left="1417" w:right="850"/>
        </w:sectPr>
      </w:pPr>
    </w:p>
    <w:p>
      <w:pPr>
        <w:pStyle w:val="BodyText"/>
        <w:spacing w:line="276" w:lineRule="auto" w:before="72"/>
        <w:ind w:left="172" w:right="957"/>
        <w:jc w:val="both"/>
        <w:rPr>
          <w:position w:val="6"/>
          <w:sz w:val="10"/>
        </w:rPr>
      </w:pPr>
      <w:r>
        <w:rPr/>
        <w:t>σε Κινητές Αξίες (ΟΣΕΚΑ) κατά 4,5 δισεκ ευρώ, με το ενεργητικό τους να διαμορφώνεται σε 20,6 δισεκ. ευρώ (5,3% του συνολικού ενεργητικού του χρηματοπιστωτικού συστήματος). Επι-σημαίνεται</w:t>
      </w:r>
      <w:r>
        <w:rPr>
          <w:spacing w:val="-14"/>
        </w:rPr>
        <w:t> </w:t>
      </w:r>
      <w:r>
        <w:rPr/>
        <w:t>ότι</w:t>
      </w:r>
      <w:r>
        <w:rPr>
          <w:spacing w:val="-14"/>
        </w:rPr>
        <w:t> </w:t>
      </w:r>
      <w:r>
        <w:rPr/>
        <w:t>το</w:t>
      </w:r>
      <w:r>
        <w:rPr>
          <w:spacing w:val="-14"/>
        </w:rPr>
        <w:t> </w:t>
      </w:r>
      <w:r>
        <w:rPr/>
        <w:t>ενεργητικό</w:t>
      </w:r>
      <w:r>
        <w:rPr>
          <w:spacing w:val="-13"/>
        </w:rPr>
        <w:t> </w:t>
      </w:r>
      <w:r>
        <w:rPr/>
        <w:t>των</w:t>
      </w:r>
      <w:r>
        <w:rPr>
          <w:spacing w:val="-14"/>
        </w:rPr>
        <w:t> </w:t>
      </w:r>
      <w:r>
        <w:rPr/>
        <w:t>αμοιβαίων</w:t>
      </w:r>
      <w:r>
        <w:rPr>
          <w:spacing w:val="-14"/>
        </w:rPr>
        <w:t> </w:t>
      </w:r>
      <w:r>
        <w:rPr/>
        <w:t>κεφαλαίων</w:t>
      </w:r>
      <w:r>
        <w:rPr>
          <w:spacing w:val="-14"/>
        </w:rPr>
        <w:t> </w:t>
      </w:r>
      <w:r>
        <w:rPr/>
        <w:t>(Α/Κ)</w:t>
      </w:r>
      <w:r>
        <w:rPr>
          <w:spacing w:val="-13"/>
        </w:rPr>
        <w:t> </w:t>
      </w:r>
      <w:r>
        <w:rPr/>
        <w:t>καταγράφει</w:t>
      </w:r>
      <w:r>
        <w:rPr>
          <w:spacing w:val="-14"/>
        </w:rPr>
        <w:t> </w:t>
      </w:r>
      <w:r>
        <w:rPr/>
        <w:t>αύξηση</w:t>
      </w:r>
      <w:r>
        <w:rPr>
          <w:spacing w:val="-14"/>
        </w:rPr>
        <w:t> </w:t>
      </w:r>
      <w:r>
        <w:rPr/>
        <w:t>την</w:t>
      </w:r>
      <w:r>
        <w:rPr>
          <w:spacing w:val="-14"/>
        </w:rPr>
        <w:t> </w:t>
      </w:r>
      <w:r>
        <w:rPr/>
        <w:t>τελευταία τριετία (σχεδόν διπλασιάστηκε σε σχέση με τον Δεκέμβριο του 2023),</w:t>
      </w:r>
      <w:r>
        <w:rPr>
          <w:spacing w:val="-13"/>
        </w:rPr>
        <w:t> </w:t>
      </w:r>
      <w:r>
        <w:rPr/>
        <w:t>καθώς οι επενδύσεις σε Α/Κ αποτελούν μια εναλλακτική επένδυση σε σχέση με τις απλές προθεσμιακές καταθέσεις, ει-δικά με τη διάθεση προς το επενδυτικό κοινό των Α/Κ “τακτής λήξης”.</w:t>
      </w:r>
      <w:hyperlink w:history="true" w:anchor="_bookmark108">
        <w:r>
          <w:rPr>
            <w:position w:val="6"/>
            <w:sz w:val="10"/>
          </w:rPr>
          <w:t>74</w:t>
        </w:r>
      </w:hyperlink>
    </w:p>
    <w:p>
      <w:pPr>
        <w:pStyle w:val="BodyText"/>
        <w:spacing w:line="276" w:lineRule="auto" w:before="60"/>
        <w:ind w:left="172" w:right="955"/>
        <w:jc w:val="both"/>
      </w:pPr>
      <w:r>
        <w:rPr/>
        <w:t>Οι ασφαλιστικές επιχειρήσεις συνεχίζουν να αποτελούν τον δεύτερο μεγαλύτερο τομέα του μη τραπεζικού χρηματοπιστωτικού συστήματος. Το 2025 το ενεργητικό τους διαμορφώθηκε σε 22 δισεκ.</w:t>
      </w:r>
      <w:r>
        <w:rPr>
          <w:spacing w:val="-1"/>
        </w:rPr>
        <w:t> </w:t>
      </w:r>
      <w:r>
        <w:rPr/>
        <w:t>ευρώ,</w:t>
      </w:r>
      <w:r>
        <w:rPr>
          <w:spacing w:val="-1"/>
        </w:rPr>
        <w:t> </w:t>
      </w:r>
      <w:r>
        <w:rPr/>
        <w:t>αυξημένο</w:t>
      </w:r>
      <w:r>
        <w:rPr>
          <w:spacing w:val="-1"/>
        </w:rPr>
        <w:t> </w:t>
      </w:r>
      <w:r>
        <w:rPr/>
        <w:t>κατά</w:t>
      </w:r>
      <w:r>
        <w:rPr>
          <w:spacing w:val="-1"/>
        </w:rPr>
        <w:t> </w:t>
      </w:r>
      <w:r>
        <w:rPr/>
        <w:t>4%</w:t>
      </w:r>
      <w:r>
        <w:rPr>
          <w:spacing w:val="-1"/>
        </w:rPr>
        <w:t> </w:t>
      </w:r>
      <w:r>
        <w:rPr/>
        <w:t>σε</w:t>
      </w:r>
      <w:r>
        <w:rPr>
          <w:spacing w:val="-3"/>
        </w:rPr>
        <w:t> </w:t>
      </w:r>
      <w:r>
        <w:rPr/>
        <w:t>σχέση</w:t>
      </w:r>
      <w:r>
        <w:rPr>
          <w:spacing w:val="-1"/>
        </w:rPr>
        <w:t> </w:t>
      </w:r>
      <w:r>
        <w:rPr/>
        <w:t>με</w:t>
      </w:r>
      <w:r>
        <w:rPr>
          <w:spacing w:val="-1"/>
        </w:rPr>
        <w:t> </w:t>
      </w:r>
      <w:r>
        <w:rPr/>
        <w:t>το</w:t>
      </w:r>
      <w:r>
        <w:rPr>
          <w:spacing w:val="-1"/>
        </w:rPr>
        <w:t> </w:t>
      </w:r>
      <w:r>
        <w:rPr/>
        <w:t>2024,</w:t>
      </w:r>
      <w:r>
        <w:rPr>
          <w:spacing w:val="-4"/>
        </w:rPr>
        <w:t> </w:t>
      </w:r>
      <w:r>
        <w:rPr/>
        <w:t>αλλά</w:t>
      </w:r>
      <w:r>
        <w:rPr>
          <w:spacing w:val="-1"/>
        </w:rPr>
        <w:t> </w:t>
      </w:r>
      <w:r>
        <w:rPr/>
        <w:t>μειώθηκε</w:t>
      </w:r>
      <w:r>
        <w:rPr>
          <w:spacing w:val="-1"/>
        </w:rPr>
        <w:t> </w:t>
      </w:r>
      <w:r>
        <w:rPr/>
        <w:t>οριακά</w:t>
      </w:r>
      <w:r>
        <w:rPr>
          <w:spacing w:val="-1"/>
        </w:rPr>
        <w:t> </w:t>
      </w:r>
      <w:r>
        <w:rPr/>
        <w:t>η</w:t>
      </w:r>
      <w:r>
        <w:rPr>
          <w:spacing w:val="-2"/>
        </w:rPr>
        <w:t> </w:t>
      </w:r>
      <w:r>
        <w:rPr/>
        <w:t>συμμετοχή</w:t>
      </w:r>
      <w:r>
        <w:rPr>
          <w:spacing w:val="-1"/>
        </w:rPr>
        <w:t> </w:t>
      </w:r>
      <w:r>
        <w:rPr/>
        <w:t>τους στο ενεργητικό του χρηματοπιστωτικού συστήματος (5,6%).</w:t>
      </w:r>
    </w:p>
    <w:p>
      <w:pPr>
        <w:pStyle w:val="BodyText"/>
        <w:spacing w:line="276" w:lineRule="auto" w:before="60"/>
        <w:ind w:left="172" w:right="956"/>
        <w:jc w:val="both"/>
      </w:pPr>
      <w:r>
        <w:rPr/>
        <w:t>Μικρό μερίδιο αγοράς εξακολουθούν να κατέχουν οι εταιρίες χρηματοδοτικής μίσθωσης και οι εταιρίες</w:t>
      </w:r>
      <w:r>
        <w:rPr>
          <w:spacing w:val="-6"/>
        </w:rPr>
        <w:t> </w:t>
      </w:r>
      <w:r>
        <w:rPr/>
        <w:t>πρακτορείας</w:t>
      </w:r>
      <w:r>
        <w:rPr>
          <w:spacing w:val="-9"/>
        </w:rPr>
        <w:t> </w:t>
      </w:r>
      <w:r>
        <w:rPr/>
        <w:t>επιχειρηματικών</w:t>
      </w:r>
      <w:r>
        <w:rPr>
          <w:spacing w:val="-4"/>
        </w:rPr>
        <w:t> </w:t>
      </w:r>
      <w:r>
        <w:rPr/>
        <w:t>απαιτήσεων,</w:t>
      </w:r>
      <w:r>
        <w:rPr>
          <w:spacing w:val="-6"/>
        </w:rPr>
        <w:t> </w:t>
      </w:r>
      <w:r>
        <w:rPr/>
        <w:t>αποτελώντας</w:t>
      </w:r>
      <w:r>
        <w:rPr>
          <w:spacing w:val="-7"/>
        </w:rPr>
        <w:t> </w:t>
      </w:r>
      <w:r>
        <w:rPr/>
        <w:t>το</w:t>
      </w:r>
      <w:r>
        <w:rPr>
          <w:spacing w:val="-8"/>
        </w:rPr>
        <w:t> </w:t>
      </w:r>
      <w:r>
        <w:rPr/>
        <w:t>1,9%</w:t>
      </w:r>
      <w:r>
        <w:rPr>
          <w:spacing w:val="-5"/>
        </w:rPr>
        <w:t> </w:t>
      </w:r>
      <w:r>
        <w:rPr/>
        <w:t>του</w:t>
      </w:r>
      <w:r>
        <w:rPr>
          <w:spacing w:val="-7"/>
        </w:rPr>
        <w:t> </w:t>
      </w:r>
      <w:r>
        <w:rPr/>
        <w:t>συνόλου</w:t>
      </w:r>
      <w:r>
        <w:rPr>
          <w:spacing w:val="-7"/>
        </w:rPr>
        <w:t> </w:t>
      </w:r>
      <w:r>
        <w:rPr/>
        <w:t>του</w:t>
      </w:r>
      <w:r>
        <w:rPr>
          <w:spacing w:val="-7"/>
        </w:rPr>
        <w:t> </w:t>
      </w:r>
      <w:r>
        <w:rPr/>
        <w:t>χρη-ματοπιστωτικού</w:t>
      </w:r>
      <w:r>
        <w:rPr>
          <w:spacing w:val="-5"/>
        </w:rPr>
        <w:t> </w:t>
      </w:r>
      <w:r>
        <w:rPr/>
        <w:t>συστήματος.</w:t>
      </w:r>
      <w:r>
        <w:rPr>
          <w:spacing w:val="-4"/>
        </w:rPr>
        <w:t> </w:t>
      </w:r>
      <w:r>
        <w:rPr/>
        <w:t>Αντίστοιχα,</w:t>
      </w:r>
      <w:r>
        <w:rPr>
          <w:spacing w:val="-6"/>
        </w:rPr>
        <w:t> </w:t>
      </w:r>
      <w:r>
        <w:rPr/>
        <w:t>μικρή</w:t>
      </w:r>
      <w:r>
        <w:rPr>
          <w:spacing w:val="-8"/>
        </w:rPr>
        <w:t> </w:t>
      </w:r>
      <w:r>
        <w:rPr/>
        <w:t>συνεισφορά</w:t>
      </w:r>
      <w:r>
        <w:rPr>
          <w:spacing w:val="-9"/>
        </w:rPr>
        <w:t> </w:t>
      </w:r>
      <w:r>
        <w:rPr/>
        <w:t>στο</w:t>
      </w:r>
      <w:r>
        <w:rPr>
          <w:spacing w:val="-8"/>
        </w:rPr>
        <w:t> </w:t>
      </w:r>
      <w:r>
        <w:rPr/>
        <w:t>χρηματοπιστωτικό</w:t>
      </w:r>
      <w:r>
        <w:rPr>
          <w:spacing w:val="-6"/>
        </w:rPr>
        <w:t> </w:t>
      </w:r>
      <w:r>
        <w:rPr/>
        <w:t>σύστημα</w:t>
      </w:r>
      <w:r>
        <w:rPr>
          <w:spacing w:val="-9"/>
        </w:rPr>
        <w:t> </w:t>
      </w:r>
      <w:r>
        <w:rPr/>
        <w:t>έ-χουν οι εταιρίες επενδύσεων χαρτοφυλακίου και οι εταιρίες επενδύσεων σε ακίνητη περιουσία </w:t>
      </w:r>
      <w:r>
        <w:rPr>
          <w:spacing w:val="-2"/>
        </w:rPr>
        <w:t>(1,4%).</w:t>
      </w:r>
    </w:p>
    <w:p>
      <w:pPr>
        <w:pStyle w:val="BodyText"/>
        <w:spacing w:line="276" w:lineRule="auto" w:before="60"/>
        <w:ind w:left="172" w:right="958"/>
        <w:jc w:val="both"/>
      </w:pPr>
      <w:r>
        <w:rPr/>
        <w:t>Επισημαίνεται ότι ο κλάδος των διαχειριστών πιστώσεων αποτελεί ένα πολύ μικρό τμήμα του χρηματοπιστωτικού συστήματος, με το ενεργητικό τους να ανέρχεται σε μόλις 0,3% του συνό-λου.</w:t>
      </w:r>
      <w:r>
        <w:rPr>
          <w:spacing w:val="-8"/>
        </w:rPr>
        <w:t> </w:t>
      </w:r>
      <w:r>
        <w:rPr/>
        <w:t>Εντούτοις,</w:t>
      </w:r>
      <w:r>
        <w:rPr>
          <w:spacing w:val="-6"/>
        </w:rPr>
        <w:t> </w:t>
      </w:r>
      <w:r>
        <w:rPr/>
        <w:t>παρά</w:t>
      </w:r>
      <w:r>
        <w:rPr>
          <w:spacing w:val="-7"/>
        </w:rPr>
        <w:t> </w:t>
      </w:r>
      <w:r>
        <w:rPr/>
        <w:t>το</w:t>
      </w:r>
      <w:r>
        <w:rPr>
          <w:spacing w:val="-6"/>
        </w:rPr>
        <w:t> </w:t>
      </w:r>
      <w:r>
        <w:rPr/>
        <w:t>περιορισμένο</w:t>
      </w:r>
      <w:r>
        <w:rPr>
          <w:spacing w:val="-6"/>
        </w:rPr>
        <w:t> </w:t>
      </w:r>
      <w:r>
        <w:rPr/>
        <w:t>μέγεθος</w:t>
      </w:r>
      <w:r>
        <w:rPr>
          <w:spacing w:val="-7"/>
        </w:rPr>
        <w:t> </w:t>
      </w:r>
      <w:r>
        <w:rPr/>
        <w:t>του</w:t>
      </w:r>
      <w:r>
        <w:rPr>
          <w:spacing w:val="-7"/>
        </w:rPr>
        <w:t> </w:t>
      </w:r>
      <w:r>
        <w:rPr/>
        <w:t>ενεργητικού</w:t>
      </w:r>
      <w:r>
        <w:rPr>
          <w:spacing w:val="-6"/>
        </w:rPr>
        <w:t> </w:t>
      </w:r>
      <w:r>
        <w:rPr/>
        <w:t>τους,</w:t>
      </w:r>
      <w:r>
        <w:rPr>
          <w:spacing w:val="-3"/>
        </w:rPr>
        <w:t> </w:t>
      </w:r>
      <w:r>
        <w:rPr/>
        <w:t>οι</w:t>
      </w:r>
      <w:r>
        <w:rPr>
          <w:spacing w:val="-6"/>
        </w:rPr>
        <w:t> </w:t>
      </w:r>
      <w:r>
        <w:rPr/>
        <w:t>διαχειριστές</w:t>
      </w:r>
      <w:r>
        <w:rPr>
          <w:spacing w:val="-7"/>
        </w:rPr>
        <w:t> </w:t>
      </w:r>
      <w:r>
        <w:rPr/>
        <w:t>πιστώσεων διαχειρίζονται χαρτοφυλάκια 91,5 δισεκ. ευρώ, που περιλαμβάνουν το μεγαλύτερο μέρος των ΜΕΔ του χρηματοπιστωτικού συστήματος.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3"/>
        <w:rPr>
          <w:sz w:val="20"/>
        </w:rPr>
      </w:pPr>
      <w:r>
        <w:rPr>
          <w:sz w:val="20"/>
        </w:rPr>
        <mc:AlternateContent>
          <mc:Choice Requires="wps">
            <w:drawing>
              <wp:anchor distT="0" distB="0" distL="0" distR="0" allowOverlap="1" layoutInCell="1" locked="0" behindDoc="1" simplePos="0" relativeHeight="487642624">
                <wp:simplePos x="0" y="0"/>
                <wp:positionH relativeFrom="page">
                  <wp:posOffset>1009192</wp:posOffset>
                </wp:positionH>
                <wp:positionV relativeFrom="paragraph">
                  <wp:posOffset>195097</wp:posOffset>
                </wp:positionV>
                <wp:extent cx="1829435" cy="7620"/>
                <wp:effectExtent l="0" t="0" r="0" b="0"/>
                <wp:wrapTopAndBottom/>
                <wp:docPr id="548" name="Graphic 548"/>
                <wp:cNvGraphicFramePr>
                  <a:graphicFrameLocks/>
                </wp:cNvGraphicFramePr>
                <a:graphic>
                  <a:graphicData uri="http://schemas.microsoft.com/office/word/2010/wordprocessingShape">
                    <wps:wsp>
                      <wps:cNvPr id="548" name="Graphic 54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5.362011pt;width:144.020pt;height:.60004pt;mso-position-horizontal-relative:page;mso-position-vertical-relative:paragraph;z-index:-15673856;mso-wrap-distance-left:0;mso-wrap-distance-right:0" id="docshape520" filled="true" fillcolor="#000000" stroked="false">
                <v:fill type="solid"/>
                <w10:wrap type="topAndBottom"/>
              </v:rect>
            </w:pict>
          </mc:Fallback>
        </mc:AlternateContent>
      </w:r>
    </w:p>
    <w:p>
      <w:pPr>
        <w:spacing w:before="167"/>
        <w:ind w:left="172" w:right="954" w:firstLine="0"/>
        <w:jc w:val="both"/>
        <w:rPr>
          <w:sz w:val="16"/>
        </w:rPr>
      </w:pPr>
      <w:bookmarkStart w:name="_bookmark108" w:id="109"/>
      <w:bookmarkEnd w:id="109"/>
      <w:r>
        <w:rPr/>
      </w:r>
      <w:r>
        <w:rPr>
          <w:sz w:val="16"/>
          <w:vertAlign w:val="superscript"/>
        </w:rPr>
        <w:t>74</w:t>
      </w:r>
      <w:r>
        <w:rPr>
          <w:sz w:val="16"/>
          <w:vertAlign w:val="baseline"/>
        </w:rPr>
        <w:t> Η αύξηση του ενεργητικού των Α/Κ αφορά σε μεγάλο βαθμό τα νέα αμοιβαία κεφάλαια με καθορισμένη διάρκεια (Α/Κ τακτής</w:t>
      </w:r>
      <w:r>
        <w:rPr>
          <w:spacing w:val="40"/>
          <w:sz w:val="16"/>
          <w:vertAlign w:val="baseline"/>
        </w:rPr>
        <w:t> </w:t>
      </w:r>
      <w:r>
        <w:rPr>
          <w:sz w:val="16"/>
          <w:vertAlign w:val="baseline"/>
        </w:rPr>
        <w:t>λήξης),</w:t>
      </w:r>
      <w:r>
        <w:rPr>
          <w:spacing w:val="-10"/>
          <w:sz w:val="16"/>
          <w:vertAlign w:val="baseline"/>
        </w:rPr>
        <w:t> </w:t>
      </w:r>
      <w:r>
        <w:rPr>
          <w:sz w:val="16"/>
          <w:vertAlign w:val="baseline"/>
        </w:rPr>
        <w:t>συνήθως</w:t>
      </w:r>
      <w:r>
        <w:rPr>
          <w:spacing w:val="-10"/>
          <w:sz w:val="16"/>
          <w:vertAlign w:val="baseline"/>
        </w:rPr>
        <w:t> </w:t>
      </w:r>
      <w:r>
        <w:rPr>
          <w:sz w:val="16"/>
          <w:vertAlign w:val="baseline"/>
        </w:rPr>
        <w:t>δύο</w:t>
      </w:r>
      <w:r>
        <w:rPr>
          <w:spacing w:val="-8"/>
          <w:sz w:val="16"/>
          <w:vertAlign w:val="baseline"/>
        </w:rPr>
        <w:t> </w:t>
      </w:r>
      <w:r>
        <w:rPr>
          <w:sz w:val="16"/>
          <w:vertAlign w:val="baseline"/>
        </w:rPr>
        <w:t>έως</w:t>
      </w:r>
      <w:r>
        <w:rPr>
          <w:spacing w:val="-8"/>
          <w:sz w:val="16"/>
          <w:vertAlign w:val="baseline"/>
        </w:rPr>
        <w:t> </w:t>
      </w:r>
      <w:r>
        <w:rPr>
          <w:sz w:val="16"/>
          <w:vertAlign w:val="baseline"/>
        </w:rPr>
        <w:t>πέντε</w:t>
      </w:r>
      <w:r>
        <w:rPr>
          <w:spacing w:val="-10"/>
          <w:sz w:val="16"/>
          <w:vertAlign w:val="baseline"/>
        </w:rPr>
        <w:t> </w:t>
      </w:r>
      <w:r>
        <w:rPr>
          <w:sz w:val="16"/>
          <w:vertAlign w:val="baseline"/>
        </w:rPr>
        <w:t>ετών.</w:t>
      </w:r>
      <w:r>
        <w:rPr>
          <w:spacing w:val="-10"/>
          <w:sz w:val="16"/>
          <w:vertAlign w:val="baseline"/>
        </w:rPr>
        <w:t> </w:t>
      </w:r>
      <w:r>
        <w:rPr>
          <w:sz w:val="16"/>
          <w:vertAlign w:val="baseline"/>
        </w:rPr>
        <w:t>Αναλυτικότερα</w:t>
      </w:r>
      <w:r>
        <w:rPr>
          <w:spacing w:val="-10"/>
          <w:sz w:val="16"/>
          <w:vertAlign w:val="baseline"/>
        </w:rPr>
        <w:t> </w:t>
      </w:r>
      <w:r>
        <w:rPr>
          <w:sz w:val="16"/>
          <w:vertAlign w:val="baseline"/>
        </w:rPr>
        <w:t>για</w:t>
      </w:r>
      <w:r>
        <w:rPr>
          <w:spacing w:val="-9"/>
          <w:sz w:val="16"/>
          <w:vertAlign w:val="baseline"/>
        </w:rPr>
        <w:t> </w:t>
      </w:r>
      <w:r>
        <w:rPr>
          <w:sz w:val="16"/>
          <w:vertAlign w:val="baseline"/>
        </w:rPr>
        <w:t>τα</w:t>
      </w:r>
      <w:r>
        <w:rPr>
          <w:spacing w:val="-10"/>
          <w:sz w:val="16"/>
          <w:vertAlign w:val="baseline"/>
        </w:rPr>
        <w:t> </w:t>
      </w:r>
      <w:r>
        <w:rPr>
          <w:sz w:val="16"/>
          <w:vertAlign w:val="baseline"/>
        </w:rPr>
        <w:t>Α/Κ</w:t>
      </w:r>
      <w:r>
        <w:rPr>
          <w:spacing w:val="-8"/>
          <w:sz w:val="16"/>
          <w:vertAlign w:val="baseline"/>
        </w:rPr>
        <w:t> </w:t>
      </w:r>
      <w:r>
        <w:rPr>
          <w:sz w:val="16"/>
          <w:vertAlign w:val="baseline"/>
        </w:rPr>
        <w:t>τακτής</w:t>
      </w:r>
      <w:r>
        <w:rPr>
          <w:spacing w:val="-10"/>
          <w:sz w:val="16"/>
          <w:vertAlign w:val="baseline"/>
        </w:rPr>
        <w:t> </w:t>
      </w:r>
      <w:r>
        <w:rPr>
          <w:sz w:val="16"/>
          <w:vertAlign w:val="baseline"/>
        </w:rPr>
        <w:t>λήξης</w:t>
      </w:r>
      <w:r>
        <w:rPr>
          <w:spacing w:val="-5"/>
          <w:sz w:val="16"/>
          <w:vertAlign w:val="baseline"/>
        </w:rPr>
        <w:t> </w:t>
      </w:r>
      <w:r>
        <w:rPr>
          <w:sz w:val="16"/>
          <w:vertAlign w:val="baseline"/>
        </w:rPr>
        <w:t>βλ.</w:t>
      </w:r>
      <w:r>
        <w:rPr>
          <w:spacing w:val="-10"/>
          <w:sz w:val="16"/>
          <w:vertAlign w:val="baseline"/>
        </w:rPr>
        <w:t> </w:t>
      </w:r>
      <w:r>
        <w:rPr>
          <w:sz w:val="16"/>
          <w:vertAlign w:val="baseline"/>
        </w:rPr>
        <w:t>Τράπεζα</w:t>
      </w:r>
      <w:r>
        <w:rPr>
          <w:spacing w:val="-10"/>
          <w:sz w:val="16"/>
          <w:vertAlign w:val="baseline"/>
        </w:rPr>
        <w:t> </w:t>
      </w:r>
      <w:r>
        <w:rPr>
          <w:sz w:val="16"/>
          <w:vertAlign w:val="baseline"/>
        </w:rPr>
        <w:t>της</w:t>
      </w:r>
      <w:r>
        <w:rPr>
          <w:spacing w:val="-8"/>
          <w:sz w:val="16"/>
          <w:vertAlign w:val="baseline"/>
        </w:rPr>
        <w:t> </w:t>
      </w:r>
      <w:r>
        <w:rPr>
          <w:sz w:val="16"/>
          <w:vertAlign w:val="baseline"/>
        </w:rPr>
        <w:t>Ελλάδος,</w:t>
      </w:r>
      <w:r>
        <w:rPr>
          <w:spacing w:val="-10"/>
          <w:sz w:val="16"/>
          <w:vertAlign w:val="baseline"/>
        </w:rPr>
        <w:t> </w:t>
      </w:r>
      <w:r>
        <w:rPr>
          <w:i/>
          <w:sz w:val="16"/>
          <w:vertAlign w:val="baseline"/>
        </w:rPr>
        <w:t>Έκθεση</w:t>
      </w:r>
      <w:r>
        <w:rPr>
          <w:i/>
          <w:spacing w:val="-10"/>
          <w:sz w:val="16"/>
          <w:vertAlign w:val="baseline"/>
        </w:rPr>
        <w:t> </w:t>
      </w:r>
      <w:r>
        <w:rPr>
          <w:i/>
          <w:sz w:val="16"/>
          <w:vertAlign w:val="baseline"/>
        </w:rPr>
        <w:t>Χρηματοπιστωτικής</w:t>
      </w:r>
      <w:r>
        <w:rPr>
          <w:i/>
          <w:spacing w:val="40"/>
          <w:sz w:val="16"/>
          <w:vertAlign w:val="baseline"/>
        </w:rPr>
        <w:t> </w:t>
      </w:r>
      <w:r>
        <w:rPr>
          <w:i/>
          <w:sz w:val="16"/>
          <w:vertAlign w:val="baseline"/>
        </w:rPr>
        <w:t>Σταθερότητας</w:t>
      </w:r>
      <w:r>
        <w:rPr>
          <w:sz w:val="16"/>
          <w:vertAlign w:val="baseline"/>
        </w:rPr>
        <w:t>, Μάιος 2025, Πλαίσιο V.1 “Εξελίξεις στην αγορά των Αμοιβαίων Κεφαλαίων”.</w:t>
      </w:r>
    </w:p>
    <w:p>
      <w:pPr>
        <w:spacing w:after="0"/>
        <w:jc w:val="both"/>
        <w:rPr>
          <w:sz w:val="16"/>
        </w:rPr>
        <w:sectPr>
          <w:pgSz w:w="11910" w:h="16850"/>
          <w:pgMar w:header="0" w:footer="1108" w:top="1800" w:bottom="1300" w:left="1417" w:right="850"/>
        </w:sectPr>
      </w:pPr>
    </w:p>
    <w:p>
      <w:pPr>
        <w:pStyle w:val="Heading2"/>
        <w:numPr>
          <w:ilvl w:val="1"/>
          <w:numId w:val="2"/>
        </w:numPr>
        <w:tabs>
          <w:tab w:pos="568" w:val="left" w:leader="none"/>
        </w:tabs>
        <w:spacing w:line="240" w:lineRule="auto" w:before="110" w:after="0"/>
        <w:ind w:left="568" w:right="0" w:hanging="396"/>
        <w:jc w:val="left"/>
        <w:rPr>
          <w:color w:val="1F487C"/>
        </w:rPr>
      </w:pPr>
      <w:bookmarkStart w:name="_bookmark109" w:id="110"/>
      <w:bookmarkEnd w:id="110"/>
      <w:r>
        <w:rPr>
          <w:b w:val="0"/>
        </w:rPr>
      </w:r>
      <w:r>
        <w:rPr>
          <w:color w:val="1F487C"/>
        </w:rPr>
        <w:t>ΕΠΑΓΓΕΛΜΑΤΙΚΗ</w:t>
      </w:r>
      <w:r>
        <w:rPr>
          <w:color w:val="1F487C"/>
          <w:spacing w:val="-3"/>
        </w:rPr>
        <w:t> </w:t>
      </w:r>
      <w:r>
        <w:rPr>
          <w:color w:val="1F487C"/>
        </w:rPr>
        <w:t>ΚΑΙ</w:t>
      </w:r>
      <w:r>
        <w:rPr>
          <w:color w:val="1F487C"/>
          <w:spacing w:val="-2"/>
        </w:rPr>
        <w:t> </w:t>
      </w:r>
      <w:r>
        <w:rPr>
          <w:color w:val="1F487C"/>
        </w:rPr>
        <w:t>ΙΔΙΩΤΙΚΗ</w:t>
      </w:r>
      <w:r>
        <w:rPr>
          <w:color w:val="1F487C"/>
          <w:spacing w:val="-2"/>
        </w:rPr>
        <w:t> ΑΣΦΑΛΙΣΗ</w:t>
      </w:r>
    </w:p>
    <w:p>
      <w:pPr>
        <w:pStyle w:val="Heading3"/>
        <w:numPr>
          <w:ilvl w:val="2"/>
          <w:numId w:val="2"/>
        </w:numPr>
        <w:tabs>
          <w:tab w:pos="738" w:val="left" w:leader="none"/>
        </w:tabs>
        <w:spacing w:line="240" w:lineRule="auto" w:before="122" w:after="0"/>
        <w:ind w:left="738" w:right="0" w:hanging="566"/>
        <w:jc w:val="left"/>
        <w:rPr>
          <w:color w:val="1F487C"/>
        </w:rPr>
      </w:pPr>
      <w:bookmarkStart w:name="_bookmark110" w:id="111"/>
      <w:bookmarkEnd w:id="111"/>
      <w:r>
        <w:rPr>
          <w:b w:val="0"/>
        </w:rPr>
      </w:r>
      <w:r>
        <w:rPr>
          <w:color w:val="1F487C"/>
        </w:rPr>
        <w:t>ΒΑΣΙΚΑ</w:t>
      </w:r>
      <w:r>
        <w:rPr>
          <w:color w:val="1F487C"/>
          <w:spacing w:val="-9"/>
        </w:rPr>
        <w:t> </w:t>
      </w:r>
      <w:r>
        <w:rPr>
          <w:color w:val="1F487C"/>
        </w:rPr>
        <w:t>ΜΕΓΕΘΗ</w:t>
      </w:r>
      <w:r>
        <w:rPr>
          <w:color w:val="1F487C"/>
          <w:spacing w:val="-4"/>
        </w:rPr>
        <w:t> </w:t>
      </w:r>
      <w:r>
        <w:rPr>
          <w:color w:val="1F487C"/>
        </w:rPr>
        <w:t>ΤΩΝ</w:t>
      </w:r>
      <w:r>
        <w:rPr>
          <w:color w:val="1F487C"/>
          <w:spacing w:val="-9"/>
        </w:rPr>
        <w:t> </w:t>
      </w:r>
      <w:r>
        <w:rPr>
          <w:color w:val="1F487C"/>
        </w:rPr>
        <w:t>ΕΠΙΧΕΙΡΗΣΕΩΝ</w:t>
      </w:r>
      <w:r>
        <w:rPr>
          <w:color w:val="1F487C"/>
          <w:spacing w:val="-6"/>
        </w:rPr>
        <w:t> </w:t>
      </w:r>
      <w:r>
        <w:rPr>
          <w:color w:val="1F487C"/>
        </w:rPr>
        <w:t>ΙΔΙΩΤΙΚΗΣ</w:t>
      </w:r>
      <w:r>
        <w:rPr>
          <w:color w:val="1F487C"/>
          <w:spacing w:val="-5"/>
        </w:rPr>
        <w:t> </w:t>
      </w:r>
      <w:r>
        <w:rPr>
          <w:color w:val="1F487C"/>
          <w:spacing w:val="-2"/>
        </w:rPr>
        <w:t>ΑΣΦΑΛΙΣΗΣ</w:t>
      </w:r>
      <w:hyperlink w:history="true" w:anchor="_bookmark111">
        <w:r>
          <w:rPr>
            <w:color w:val="1F487C"/>
            <w:spacing w:val="-2"/>
            <w:position w:val="6"/>
            <w:sz w:val="10"/>
          </w:rPr>
          <w:t>75</w:t>
        </w:r>
      </w:hyperlink>
    </w:p>
    <w:p>
      <w:pPr>
        <w:pStyle w:val="BodyText"/>
        <w:spacing w:before="200"/>
        <w:rPr>
          <w:b/>
        </w:rPr>
      </w:pPr>
    </w:p>
    <w:p>
      <w:pPr>
        <w:pStyle w:val="BodyText"/>
        <w:spacing w:line="285" w:lineRule="auto"/>
        <w:ind w:left="172" w:right="955"/>
        <w:jc w:val="both"/>
      </w:pPr>
      <w:r>
        <w:rPr/>
        <w:t>To</w:t>
      </w:r>
      <w:r>
        <w:rPr>
          <w:spacing w:val="-3"/>
        </w:rPr>
        <w:t> </w:t>
      </w:r>
      <w:r>
        <w:rPr/>
        <w:t>2025</w:t>
      </w:r>
      <w:r>
        <w:rPr>
          <w:spacing w:val="-5"/>
        </w:rPr>
        <w:t> </w:t>
      </w:r>
      <w:r>
        <w:rPr/>
        <w:t>δεν</w:t>
      </w:r>
      <w:r>
        <w:rPr>
          <w:spacing w:val="-2"/>
        </w:rPr>
        <w:t> </w:t>
      </w:r>
      <w:r>
        <w:rPr/>
        <w:t>παρατηρήθηκαν</w:t>
      </w:r>
      <w:r>
        <w:rPr>
          <w:spacing w:val="-3"/>
        </w:rPr>
        <w:t> </w:t>
      </w:r>
      <w:r>
        <w:rPr/>
        <w:t>αξιόλογες</w:t>
      </w:r>
      <w:r>
        <w:rPr>
          <w:spacing w:val="-6"/>
        </w:rPr>
        <w:t> </w:t>
      </w:r>
      <w:r>
        <w:rPr/>
        <w:t>μεταβολές</w:t>
      </w:r>
      <w:r>
        <w:rPr>
          <w:spacing w:val="-6"/>
        </w:rPr>
        <w:t> </w:t>
      </w:r>
      <w:r>
        <w:rPr/>
        <w:t>στη</w:t>
      </w:r>
      <w:r>
        <w:rPr>
          <w:spacing w:val="-3"/>
        </w:rPr>
        <w:t> </w:t>
      </w:r>
      <w:r>
        <w:rPr/>
        <w:t>διάρθρωση</w:t>
      </w:r>
      <w:r>
        <w:rPr>
          <w:spacing w:val="-1"/>
        </w:rPr>
        <w:t> </w:t>
      </w:r>
      <w:r>
        <w:rPr/>
        <w:t>της</w:t>
      </w:r>
      <w:r>
        <w:rPr>
          <w:spacing w:val="-6"/>
        </w:rPr>
        <w:t> </w:t>
      </w:r>
      <w:r>
        <w:rPr/>
        <w:t>ελληνικής</w:t>
      </w:r>
      <w:r>
        <w:rPr>
          <w:spacing w:val="-6"/>
        </w:rPr>
        <w:t> </w:t>
      </w:r>
      <w:r>
        <w:rPr/>
        <w:t>αγοράς</w:t>
      </w:r>
      <w:r>
        <w:rPr>
          <w:spacing w:val="-6"/>
        </w:rPr>
        <w:t> </w:t>
      </w:r>
      <w:r>
        <w:rPr/>
        <w:t>ιδιωτι-κής</w:t>
      </w:r>
      <w:r>
        <w:rPr>
          <w:spacing w:val="-2"/>
        </w:rPr>
        <w:t> </w:t>
      </w:r>
      <w:r>
        <w:rPr/>
        <w:t>ασφάλισης,</w:t>
      </w:r>
      <w:r>
        <w:rPr>
          <w:spacing w:val="-1"/>
        </w:rPr>
        <w:t> </w:t>
      </w:r>
      <w:r>
        <w:rPr/>
        <w:t>με 34</w:t>
      </w:r>
      <w:r>
        <w:rPr>
          <w:spacing w:val="-4"/>
        </w:rPr>
        <w:t> </w:t>
      </w:r>
      <w:r>
        <w:rPr/>
        <w:t>ασφαλιστικές</w:t>
      </w:r>
      <w:r>
        <w:rPr>
          <w:spacing w:val="-3"/>
        </w:rPr>
        <w:t> </w:t>
      </w:r>
      <w:r>
        <w:rPr/>
        <w:t>επιχειρήσεις</w:t>
      </w:r>
      <w:hyperlink w:history="true" w:anchor="_bookmark112">
        <w:r>
          <w:rPr>
            <w:position w:val="6"/>
            <w:sz w:val="10"/>
          </w:rPr>
          <w:t>76</w:t>
        </w:r>
      </w:hyperlink>
      <w:r>
        <w:rPr>
          <w:spacing w:val="29"/>
          <w:position w:val="6"/>
          <w:sz w:val="10"/>
        </w:rPr>
        <w:t> </w:t>
      </w:r>
      <w:r>
        <w:rPr/>
        <w:t>να</w:t>
      </w:r>
      <w:r>
        <w:rPr>
          <w:spacing w:val="-4"/>
        </w:rPr>
        <w:t> </w:t>
      </w:r>
      <w:r>
        <w:rPr/>
        <w:t>δραστηριοποιούνται</w:t>
      </w:r>
      <w:r>
        <w:rPr>
          <w:spacing w:val="-1"/>
        </w:rPr>
        <w:t> </w:t>
      </w:r>
      <w:r>
        <w:rPr/>
        <w:t>σε</w:t>
      </w:r>
      <w:r>
        <w:rPr>
          <w:spacing w:val="-3"/>
        </w:rPr>
        <w:t> </w:t>
      </w:r>
      <w:r>
        <w:rPr/>
        <w:t>αυτή.</w:t>
      </w:r>
      <w:r>
        <w:rPr>
          <w:spacing w:val="-1"/>
        </w:rPr>
        <w:t> </w:t>
      </w:r>
      <w:r>
        <w:rPr/>
        <w:t>Οι επιχειρή-σεις αυτές κατηγοριοποιούνται βάσει της άδειας λειτουργίας και των ασφαλιστικών τους εργα-σιών ως εξής:</w:t>
      </w:r>
    </w:p>
    <w:p>
      <w:pPr>
        <w:pStyle w:val="ListParagraph"/>
        <w:numPr>
          <w:ilvl w:val="3"/>
          <w:numId w:val="2"/>
        </w:numPr>
        <w:tabs>
          <w:tab w:pos="891" w:val="left" w:leader="none"/>
        </w:tabs>
        <w:spacing w:line="240" w:lineRule="auto" w:before="71" w:after="0"/>
        <w:ind w:left="891" w:right="0" w:hanging="359"/>
        <w:jc w:val="both"/>
        <w:rPr>
          <w:sz w:val="22"/>
        </w:rPr>
      </w:pPr>
      <w:r>
        <w:rPr>
          <w:sz w:val="22"/>
        </w:rPr>
        <w:t>δύο</w:t>
      </w:r>
      <w:r>
        <w:rPr>
          <w:spacing w:val="-6"/>
          <w:sz w:val="22"/>
        </w:rPr>
        <w:t> </w:t>
      </w:r>
      <w:r>
        <w:rPr>
          <w:sz w:val="22"/>
        </w:rPr>
        <w:t>επιχειρήσεις</w:t>
      </w:r>
      <w:r>
        <w:rPr>
          <w:spacing w:val="-6"/>
          <w:sz w:val="22"/>
        </w:rPr>
        <w:t> </w:t>
      </w:r>
      <w:r>
        <w:rPr>
          <w:sz w:val="22"/>
        </w:rPr>
        <w:t>ασφαλίσεων</w:t>
      </w:r>
      <w:r>
        <w:rPr>
          <w:spacing w:val="-5"/>
          <w:sz w:val="22"/>
        </w:rPr>
        <w:t> </w:t>
      </w:r>
      <w:r>
        <w:rPr>
          <w:spacing w:val="-4"/>
          <w:sz w:val="22"/>
        </w:rPr>
        <w:t>ζωής,</w:t>
      </w:r>
    </w:p>
    <w:p>
      <w:pPr>
        <w:pStyle w:val="ListParagraph"/>
        <w:numPr>
          <w:ilvl w:val="3"/>
          <w:numId w:val="2"/>
        </w:numPr>
        <w:tabs>
          <w:tab w:pos="891" w:val="left" w:leader="none"/>
        </w:tabs>
        <w:spacing w:line="240" w:lineRule="auto" w:before="50" w:after="0"/>
        <w:ind w:left="891" w:right="0" w:hanging="359"/>
        <w:jc w:val="both"/>
        <w:rPr>
          <w:sz w:val="22"/>
        </w:rPr>
      </w:pPr>
      <w:r>
        <w:rPr>
          <w:sz w:val="22"/>
        </w:rPr>
        <w:t>19</w:t>
      </w:r>
      <w:r>
        <w:rPr>
          <w:spacing w:val="-6"/>
          <w:sz w:val="22"/>
        </w:rPr>
        <w:t> </w:t>
      </w:r>
      <w:r>
        <w:rPr>
          <w:sz w:val="22"/>
        </w:rPr>
        <w:t>επιχειρήσεις</w:t>
      </w:r>
      <w:r>
        <w:rPr>
          <w:spacing w:val="-5"/>
          <w:sz w:val="22"/>
        </w:rPr>
        <w:t> </w:t>
      </w:r>
      <w:r>
        <w:rPr>
          <w:sz w:val="22"/>
        </w:rPr>
        <w:t>ασφαλίσεων</w:t>
      </w:r>
      <w:r>
        <w:rPr>
          <w:spacing w:val="-5"/>
          <w:sz w:val="22"/>
        </w:rPr>
        <w:t> </w:t>
      </w:r>
      <w:r>
        <w:rPr>
          <w:sz w:val="22"/>
        </w:rPr>
        <w:t>κατά</w:t>
      </w:r>
      <w:r>
        <w:rPr>
          <w:spacing w:val="-6"/>
          <w:sz w:val="22"/>
        </w:rPr>
        <w:t> </w:t>
      </w:r>
      <w:r>
        <w:rPr>
          <w:sz w:val="22"/>
        </w:rPr>
        <w:t>ζημιών</w:t>
      </w:r>
      <w:r>
        <w:rPr>
          <w:spacing w:val="-4"/>
          <w:sz w:val="22"/>
        </w:rPr>
        <w:t> </w:t>
      </w:r>
      <w:r>
        <w:rPr>
          <w:spacing w:val="-5"/>
          <w:sz w:val="22"/>
        </w:rPr>
        <w:t>και</w:t>
      </w:r>
    </w:p>
    <w:p>
      <w:pPr>
        <w:pStyle w:val="ListParagraph"/>
        <w:numPr>
          <w:ilvl w:val="3"/>
          <w:numId w:val="2"/>
        </w:numPr>
        <w:tabs>
          <w:tab w:pos="892" w:val="left" w:leader="none"/>
        </w:tabs>
        <w:spacing w:line="302" w:lineRule="auto" w:before="53" w:after="0"/>
        <w:ind w:left="892" w:right="960" w:hanging="360"/>
        <w:jc w:val="both"/>
        <w:rPr>
          <w:sz w:val="22"/>
        </w:rPr>
      </w:pPr>
      <w:r>
        <w:rPr>
          <w:sz w:val="22"/>
        </w:rPr>
        <w:t>13</w:t>
      </w:r>
      <w:r>
        <w:rPr>
          <w:spacing w:val="-4"/>
          <w:sz w:val="22"/>
        </w:rPr>
        <w:t> </w:t>
      </w:r>
      <w:r>
        <w:rPr>
          <w:sz w:val="22"/>
        </w:rPr>
        <w:t>επιχειρήσεις</w:t>
      </w:r>
      <w:r>
        <w:rPr>
          <w:spacing w:val="-4"/>
          <w:sz w:val="22"/>
        </w:rPr>
        <w:t> </w:t>
      </w:r>
      <w:r>
        <w:rPr>
          <w:sz w:val="22"/>
        </w:rPr>
        <w:t>που</w:t>
      </w:r>
      <w:r>
        <w:rPr>
          <w:spacing w:val="-3"/>
          <w:sz w:val="22"/>
        </w:rPr>
        <w:t> </w:t>
      </w:r>
      <w:r>
        <w:rPr>
          <w:sz w:val="22"/>
        </w:rPr>
        <w:t>ασκούν</w:t>
      </w:r>
      <w:r>
        <w:rPr>
          <w:spacing w:val="-3"/>
          <w:sz w:val="22"/>
        </w:rPr>
        <w:t> </w:t>
      </w:r>
      <w:r>
        <w:rPr>
          <w:sz w:val="22"/>
        </w:rPr>
        <w:t>ταυτόχρονα</w:t>
      </w:r>
      <w:r>
        <w:rPr>
          <w:spacing w:val="-4"/>
          <w:sz w:val="22"/>
        </w:rPr>
        <w:t> </w:t>
      </w:r>
      <w:r>
        <w:rPr>
          <w:sz w:val="22"/>
        </w:rPr>
        <w:t>δραστηριότητες</w:t>
      </w:r>
      <w:r>
        <w:rPr>
          <w:spacing w:val="-5"/>
          <w:sz w:val="22"/>
        </w:rPr>
        <w:t> </w:t>
      </w:r>
      <w:r>
        <w:rPr>
          <w:sz w:val="22"/>
        </w:rPr>
        <w:t>ασφαλίσεων</w:t>
      </w:r>
      <w:r>
        <w:rPr>
          <w:spacing w:val="-3"/>
          <w:sz w:val="22"/>
        </w:rPr>
        <w:t> </w:t>
      </w:r>
      <w:r>
        <w:rPr>
          <w:sz w:val="22"/>
        </w:rPr>
        <w:t>ζωής</w:t>
      </w:r>
      <w:r>
        <w:rPr>
          <w:spacing w:val="-6"/>
          <w:sz w:val="22"/>
        </w:rPr>
        <w:t> </w:t>
      </w:r>
      <w:r>
        <w:rPr>
          <w:sz w:val="22"/>
        </w:rPr>
        <w:t>και</w:t>
      </w:r>
      <w:r>
        <w:rPr>
          <w:spacing w:val="-4"/>
          <w:sz w:val="22"/>
        </w:rPr>
        <w:t> </w:t>
      </w:r>
      <w:r>
        <w:rPr>
          <w:sz w:val="22"/>
        </w:rPr>
        <w:t>ασφαλί-σεων κατά ζημιών (συμπεριλαμβάνονται επιχειρήσεις του κλάδου ζωής που, εκ των α-σφαλίσεων</w:t>
      </w:r>
      <w:r>
        <w:rPr>
          <w:spacing w:val="-7"/>
          <w:sz w:val="22"/>
        </w:rPr>
        <w:t> </w:t>
      </w:r>
      <w:r>
        <w:rPr>
          <w:sz w:val="22"/>
        </w:rPr>
        <w:t>κατά</w:t>
      </w:r>
      <w:r>
        <w:rPr>
          <w:spacing w:val="-9"/>
          <w:sz w:val="22"/>
        </w:rPr>
        <w:t> </w:t>
      </w:r>
      <w:r>
        <w:rPr>
          <w:sz w:val="22"/>
        </w:rPr>
        <w:t>ζημιών,</w:t>
      </w:r>
      <w:r>
        <w:rPr>
          <w:spacing w:val="-8"/>
          <w:sz w:val="22"/>
        </w:rPr>
        <w:t> </w:t>
      </w:r>
      <w:r>
        <w:rPr>
          <w:sz w:val="22"/>
        </w:rPr>
        <w:t>ασκούν</w:t>
      </w:r>
      <w:r>
        <w:rPr>
          <w:spacing w:val="-7"/>
          <w:sz w:val="22"/>
        </w:rPr>
        <w:t> </w:t>
      </w:r>
      <w:r>
        <w:rPr>
          <w:sz w:val="22"/>
        </w:rPr>
        <w:t>αποκλειστικά</w:t>
      </w:r>
      <w:r>
        <w:rPr>
          <w:spacing w:val="-9"/>
          <w:sz w:val="22"/>
        </w:rPr>
        <w:t> </w:t>
      </w:r>
      <w:r>
        <w:rPr>
          <w:sz w:val="22"/>
        </w:rPr>
        <w:t>αυτές</w:t>
      </w:r>
      <w:r>
        <w:rPr>
          <w:spacing w:val="-9"/>
          <w:sz w:val="22"/>
        </w:rPr>
        <w:t> </w:t>
      </w:r>
      <w:r>
        <w:rPr>
          <w:sz w:val="22"/>
        </w:rPr>
        <w:t>των</w:t>
      </w:r>
      <w:r>
        <w:rPr>
          <w:spacing w:val="-7"/>
          <w:sz w:val="22"/>
        </w:rPr>
        <w:t> </w:t>
      </w:r>
      <w:r>
        <w:rPr>
          <w:sz w:val="22"/>
        </w:rPr>
        <w:t>κλάδων</w:t>
      </w:r>
      <w:r>
        <w:rPr>
          <w:spacing w:val="-7"/>
          <w:sz w:val="22"/>
        </w:rPr>
        <w:t> </w:t>
      </w:r>
      <w:r>
        <w:rPr>
          <w:sz w:val="22"/>
        </w:rPr>
        <w:t>“Ατυχήματα”</w:t>
      </w:r>
      <w:r>
        <w:rPr>
          <w:spacing w:val="-10"/>
          <w:sz w:val="22"/>
        </w:rPr>
        <w:t> </w:t>
      </w:r>
      <w:r>
        <w:rPr>
          <w:sz w:val="22"/>
        </w:rPr>
        <w:t>και</w:t>
      </w:r>
      <w:r>
        <w:rPr>
          <w:spacing w:val="-8"/>
          <w:sz w:val="22"/>
        </w:rPr>
        <w:t> </w:t>
      </w:r>
      <w:r>
        <w:rPr>
          <w:sz w:val="22"/>
        </w:rPr>
        <w:t>“Α-</w:t>
      </w:r>
      <w:r>
        <w:rPr>
          <w:spacing w:val="-2"/>
          <w:sz w:val="22"/>
        </w:rPr>
        <w:t>σθένειες”).</w:t>
      </w:r>
    </w:p>
    <w:p>
      <w:pPr>
        <w:pStyle w:val="BodyText"/>
        <w:spacing w:line="285" w:lineRule="auto" w:before="27"/>
        <w:ind w:left="172" w:right="956"/>
        <w:jc w:val="both"/>
      </w:pPr>
      <w:r>
        <w:rPr/>
        <w:t>Από</w:t>
      </w:r>
      <w:r>
        <w:rPr>
          <w:spacing w:val="-6"/>
        </w:rPr>
        <w:t> </w:t>
      </w:r>
      <w:r>
        <w:rPr/>
        <w:t>τις</w:t>
      </w:r>
      <w:r>
        <w:rPr>
          <w:spacing w:val="-6"/>
        </w:rPr>
        <w:t> </w:t>
      </w:r>
      <w:r>
        <w:rPr/>
        <w:t>παραπάνω</w:t>
      </w:r>
      <w:r>
        <w:rPr>
          <w:spacing w:val="-4"/>
        </w:rPr>
        <w:t> </w:t>
      </w:r>
      <w:r>
        <w:rPr/>
        <w:t>34</w:t>
      </w:r>
      <w:r>
        <w:rPr>
          <w:spacing w:val="-6"/>
        </w:rPr>
        <w:t> </w:t>
      </w:r>
      <w:r>
        <w:rPr/>
        <w:t>ασφαλιστικές</w:t>
      </w:r>
      <w:r>
        <w:rPr>
          <w:spacing w:val="-9"/>
        </w:rPr>
        <w:t> </w:t>
      </w:r>
      <w:r>
        <w:rPr/>
        <w:t>επιχειρήσεις,</w:t>
      </w:r>
      <w:r>
        <w:rPr>
          <w:spacing w:val="-6"/>
        </w:rPr>
        <w:t> </w:t>
      </w:r>
      <w:r>
        <w:rPr/>
        <w:t>31</w:t>
      </w:r>
      <w:r>
        <w:rPr>
          <w:spacing w:val="-8"/>
        </w:rPr>
        <w:t> </w:t>
      </w:r>
      <w:r>
        <w:rPr/>
        <w:t>λειτουργούν</w:t>
      </w:r>
      <w:r>
        <w:rPr>
          <w:spacing w:val="-7"/>
        </w:rPr>
        <w:t> </w:t>
      </w:r>
      <w:r>
        <w:rPr/>
        <w:t>και</w:t>
      </w:r>
      <w:r>
        <w:rPr>
          <w:spacing w:val="-6"/>
        </w:rPr>
        <w:t> </w:t>
      </w:r>
      <w:r>
        <w:rPr/>
        <w:t>εποπτεύονται</w:t>
      </w:r>
      <w:r>
        <w:rPr>
          <w:spacing w:val="-5"/>
        </w:rPr>
        <w:t> </w:t>
      </w:r>
      <w:r>
        <w:rPr/>
        <w:t>σύμφωνα</w:t>
      </w:r>
      <w:r>
        <w:rPr>
          <w:spacing w:val="-6"/>
        </w:rPr>
        <w:t> </w:t>
      </w:r>
      <w:r>
        <w:rPr/>
        <w:t>με την</w:t>
      </w:r>
      <w:r>
        <w:rPr>
          <w:spacing w:val="-2"/>
        </w:rPr>
        <w:t> </w:t>
      </w:r>
      <w:r>
        <w:rPr/>
        <w:t>ευρωπαϊκή</w:t>
      </w:r>
      <w:r>
        <w:rPr>
          <w:spacing w:val="-2"/>
        </w:rPr>
        <w:t> </w:t>
      </w:r>
      <w:r>
        <w:rPr/>
        <w:t>οδηγία</w:t>
      </w:r>
      <w:r>
        <w:rPr>
          <w:spacing w:val="-3"/>
        </w:rPr>
        <w:t> </w:t>
      </w:r>
      <w:r>
        <w:rPr/>
        <w:t>“Φερεγγυότητα</w:t>
      </w:r>
      <w:r>
        <w:rPr>
          <w:spacing w:val="-1"/>
        </w:rPr>
        <w:t> </w:t>
      </w:r>
      <w:r>
        <w:rPr/>
        <w:t>II” (Solvency</w:t>
      </w:r>
      <w:r>
        <w:rPr>
          <w:spacing w:val="-2"/>
        </w:rPr>
        <w:t> </w:t>
      </w:r>
      <w:r>
        <w:rPr/>
        <w:t>II), που</w:t>
      </w:r>
      <w:r>
        <w:rPr>
          <w:spacing w:val="-1"/>
        </w:rPr>
        <w:t> </w:t>
      </w:r>
      <w:r>
        <w:rPr/>
        <w:t>εφαρμόζεται</w:t>
      </w:r>
      <w:r>
        <w:rPr>
          <w:spacing w:val="-2"/>
        </w:rPr>
        <w:t> </w:t>
      </w:r>
      <w:r>
        <w:rPr/>
        <w:t>σε όλες</w:t>
      </w:r>
      <w:r>
        <w:rPr>
          <w:spacing w:val="-1"/>
        </w:rPr>
        <w:t> </w:t>
      </w:r>
      <w:r>
        <w:rPr/>
        <w:t>τις</w:t>
      </w:r>
      <w:r>
        <w:rPr>
          <w:spacing w:val="-1"/>
        </w:rPr>
        <w:t> </w:t>
      </w:r>
      <w:r>
        <w:rPr/>
        <w:t>χώρες</w:t>
      </w:r>
      <w:r>
        <w:rPr>
          <w:spacing w:val="-3"/>
        </w:rPr>
        <w:t> </w:t>
      </w:r>
      <w:r>
        <w:rPr/>
        <w:t>της Ευρωπαϊκής</w:t>
      </w:r>
      <w:r>
        <w:rPr>
          <w:spacing w:val="-14"/>
        </w:rPr>
        <w:t> </w:t>
      </w:r>
      <w:r>
        <w:rPr/>
        <w:t>Ένωσης</w:t>
      </w:r>
      <w:r>
        <w:rPr>
          <w:spacing w:val="-14"/>
        </w:rPr>
        <w:t> </w:t>
      </w:r>
      <w:r>
        <w:rPr/>
        <w:t>(ΕΕ)</w:t>
      </w:r>
      <w:r>
        <w:rPr>
          <w:spacing w:val="-14"/>
        </w:rPr>
        <w:t> </w:t>
      </w:r>
      <w:r>
        <w:rPr/>
        <w:t>από</w:t>
      </w:r>
      <w:r>
        <w:rPr>
          <w:spacing w:val="-13"/>
        </w:rPr>
        <w:t> </w:t>
      </w:r>
      <w:r>
        <w:rPr/>
        <w:t>1.1.2016,</w:t>
      </w:r>
      <w:r>
        <w:rPr>
          <w:spacing w:val="-14"/>
        </w:rPr>
        <w:t> </w:t>
      </w:r>
      <w:r>
        <w:rPr/>
        <w:t>ενώ</w:t>
      </w:r>
      <w:r>
        <w:rPr>
          <w:spacing w:val="-14"/>
        </w:rPr>
        <w:t> </w:t>
      </w:r>
      <w:r>
        <w:rPr/>
        <w:t>τρεις</w:t>
      </w:r>
      <w:r>
        <w:rPr>
          <w:spacing w:val="-14"/>
        </w:rPr>
        <w:t> </w:t>
      </w:r>
      <w:r>
        <w:rPr/>
        <w:t>επιχειρήσεις</w:t>
      </w:r>
      <w:r>
        <w:rPr>
          <w:spacing w:val="-13"/>
        </w:rPr>
        <w:t> </w:t>
      </w:r>
      <w:r>
        <w:rPr/>
        <w:t>εξαιρούνται,</w:t>
      </w:r>
      <w:r>
        <w:rPr>
          <w:spacing w:val="-14"/>
        </w:rPr>
        <w:t> </w:t>
      </w:r>
      <w:r>
        <w:rPr/>
        <w:t>λόγω</w:t>
      </w:r>
      <w:r>
        <w:rPr>
          <w:spacing w:val="-14"/>
        </w:rPr>
        <w:t> </w:t>
      </w:r>
      <w:r>
        <w:rPr/>
        <w:t>μεγέθους,</w:t>
      </w:r>
      <w:r>
        <w:rPr>
          <w:spacing w:val="-14"/>
        </w:rPr>
        <w:t> </w:t>
      </w:r>
      <w:r>
        <w:rPr/>
        <w:t>από την</w:t>
      </w:r>
      <w:r>
        <w:rPr>
          <w:spacing w:val="-10"/>
        </w:rPr>
        <w:t> </w:t>
      </w:r>
      <w:r>
        <w:rPr/>
        <w:t>εφαρμογή</w:t>
      </w:r>
      <w:r>
        <w:rPr>
          <w:spacing w:val="-8"/>
        </w:rPr>
        <w:t> </w:t>
      </w:r>
      <w:r>
        <w:rPr/>
        <w:t>ορισμένων</w:t>
      </w:r>
      <w:r>
        <w:rPr>
          <w:spacing w:val="-6"/>
        </w:rPr>
        <w:t> </w:t>
      </w:r>
      <w:r>
        <w:rPr/>
        <w:t>απαιτήσεων</w:t>
      </w:r>
      <w:r>
        <w:rPr>
          <w:spacing w:val="-7"/>
        </w:rPr>
        <w:t> </w:t>
      </w:r>
      <w:r>
        <w:rPr/>
        <w:t>που</w:t>
      </w:r>
      <w:r>
        <w:rPr>
          <w:spacing w:val="-7"/>
        </w:rPr>
        <w:t> </w:t>
      </w:r>
      <w:r>
        <w:rPr/>
        <w:t>αφορούν</w:t>
      </w:r>
      <w:r>
        <w:rPr>
          <w:spacing w:val="-7"/>
        </w:rPr>
        <w:t> </w:t>
      </w:r>
      <w:r>
        <w:rPr/>
        <w:t>και</w:t>
      </w:r>
      <w:r>
        <w:rPr>
          <w:spacing w:val="-7"/>
        </w:rPr>
        <w:t> </w:t>
      </w:r>
      <w:r>
        <w:rPr/>
        <w:t>τους</w:t>
      </w:r>
      <w:r>
        <w:rPr>
          <w:spacing w:val="-9"/>
        </w:rPr>
        <w:t> </w:t>
      </w:r>
      <w:r>
        <w:rPr/>
        <w:t>τρεις</w:t>
      </w:r>
      <w:r>
        <w:rPr>
          <w:spacing w:val="-11"/>
        </w:rPr>
        <w:t> </w:t>
      </w:r>
      <w:r>
        <w:rPr/>
        <w:t>βασικούς</w:t>
      </w:r>
      <w:r>
        <w:rPr>
          <w:spacing w:val="-9"/>
        </w:rPr>
        <w:t> </w:t>
      </w:r>
      <w:r>
        <w:rPr/>
        <w:t>πυλώνες</w:t>
      </w:r>
      <w:r>
        <w:rPr>
          <w:spacing w:val="-9"/>
        </w:rPr>
        <w:t> </w:t>
      </w:r>
      <w:r>
        <w:rPr/>
        <w:t>της</w:t>
      </w:r>
      <w:r>
        <w:rPr>
          <w:spacing w:val="-12"/>
        </w:rPr>
        <w:t> </w:t>
      </w:r>
      <w:r>
        <w:rPr/>
        <w:t>Φερεγ-γυότητας ΙΙ</w:t>
      </w:r>
      <w:hyperlink w:history="true" w:anchor="_bookmark113">
        <w:r>
          <w:rPr/>
          <w:t>.</w:t>
        </w:r>
        <w:r>
          <w:rPr>
            <w:position w:val="6"/>
            <w:sz w:val="10"/>
          </w:rPr>
          <w:t>77</w:t>
        </w:r>
      </w:hyperlink>
      <w:r>
        <w:rPr>
          <w:spacing w:val="37"/>
          <w:position w:val="6"/>
          <w:sz w:val="10"/>
        </w:rPr>
        <w:t> </w:t>
      </w:r>
      <w:r>
        <w:rPr/>
        <w:t>Εκ των 31 ασφαλιστικών επιχειρήσεων που υπόκεινται στις διατάξεις της Φερεγ-γυότητας II, οι 11 ανήκουν σε ασφαλιστικούς ομίλους με έδρα στο εξωτερικό, οι επτά ανήκουν σε</w:t>
      </w:r>
      <w:r>
        <w:rPr>
          <w:spacing w:val="-2"/>
        </w:rPr>
        <w:t> </w:t>
      </w:r>
      <w:r>
        <w:rPr/>
        <w:t>ασφαλιστικούς</w:t>
      </w:r>
      <w:r>
        <w:rPr>
          <w:spacing w:val="-3"/>
        </w:rPr>
        <w:t> </w:t>
      </w:r>
      <w:r>
        <w:rPr/>
        <w:t>ομίλους</w:t>
      </w:r>
      <w:r>
        <w:rPr>
          <w:spacing w:val="-6"/>
        </w:rPr>
        <w:t> </w:t>
      </w:r>
      <w:r>
        <w:rPr/>
        <w:t>που</w:t>
      </w:r>
      <w:r>
        <w:rPr>
          <w:spacing w:val="-1"/>
        </w:rPr>
        <w:t> </w:t>
      </w:r>
      <w:r>
        <w:rPr/>
        <w:t>υπόκεινται</w:t>
      </w:r>
      <w:r>
        <w:rPr>
          <w:spacing w:val="-5"/>
        </w:rPr>
        <w:t> </w:t>
      </w:r>
      <w:r>
        <w:rPr/>
        <w:t>στην</w:t>
      </w:r>
      <w:r>
        <w:rPr>
          <w:spacing w:val="-1"/>
        </w:rPr>
        <w:t> </w:t>
      </w:r>
      <w:r>
        <w:rPr/>
        <w:t>εποπτεία</w:t>
      </w:r>
      <w:r>
        <w:rPr>
          <w:spacing w:val="-2"/>
        </w:rPr>
        <w:t> </w:t>
      </w:r>
      <w:r>
        <w:rPr/>
        <w:t>της</w:t>
      </w:r>
      <w:r>
        <w:rPr>
          <w:spacing w:val="-3"/>
        </w:rPr>
        <w:t> </w:t>
      </w:r>
      <w:r>
        <w:rPr/>
        <w:t>Τράπεζας</w:t>
      </w:r>
      <w:r>
        <w:rPr>
          <w:spacing w:val="-3"/>
        </w:rPr>
        <w:t> </w:t>
      </w:r>
      <w:r>
        <w:rPr/>
        <w:t>της</w:t>
      </w:r>
      <w:r>
        <w:rPr>
          <w:spacing w:val="-4"/>
        </w:rPr>
        <w:t> </w:t>
      </w:r>
      <w:r>
        <w:rPr/>
        <w:t>Ελλάδος και</w:t>
      </w:r>
      <w:r>
        <w:rPr>
          <w:spacing w:val="-2"/>
        </w:rPr>
        <w:t> </w:t>
      </w:r>
      <w:r>
        <w:rPr/>
        <w:t>οι</w:t>
      </w:r>
      <w:r>
        <w:rPr>
          <w:spacing w:val="-2"/>
        </w:rPr>
        <w:t> </w:t>
      </w:r>
      <w:r>
        <w:rPr/>
        <w:t>υπό-λοιπες 13 δεν ανήκουν σε όμιλο με έδρα στην ΕΕ. Επίσης, οκτώ ασφαλιστικές επιχειρήσεις με έδρα</w:t>
      </w:r>
      <w:r>
        <w:rPr>
          <w:spacing w:val="-5"/>
        </w:rPr>
        <w:t> </w:t>
      </w:r>
      <w:r>
        <w:rPr/>
        <w:t>στην</w:t>
      </w:r>
      <w:r>
        <w:rPr>
          <w:spacing w:val="-4"/>
        </w:rPr>
        <w:t> </w:t>
      </w:r>
      <w:r>
        <w:rPr/>
        <w:t>Ελλάδα</w:t>
      </w:r>
      <w:r>
        <w:rPr>
          <w:spacing w:val="-2"/>
        </w:rPr>
        <w:t> </w:t>
      </w:r>
      <w:r>
        <w:rPr/>
        <w:t>δραστηριοποιούνται</w:t>
      </w:r>
      <w:r>
        <w:rPr>
          <w:spacing w:val="-4"/>
        </w:rPr>
        <w:t> </w:t>
      </w:r>
      <w:r>
        <w:rPr/>
        <w:t>σε</w:t>
      </w:r>
      <w:r>
        <w:rPr>
          <w:spacing w:val="-2"/>
        </w:rPr>
        <w:t> </w:t>
      </w:r>
      <w:r>
        <w:rPr/>
        <w:t>άλλες</w:t>
      </w:r>
      <w:r>
        <w:rPr>
          <w:spacing w:val="-3"/>
        </w:rPr>
        <w:t> </w:t>
      </w:r>
      <w:r>
        <w:rPr/>
        <w:t>χώρες</w:t>
      </w:r>
      <w:r>
        <w:rPr>
          <w:spacing w:val="-6"/>
        </w:rPr>
        <w:t> </w:t>
      </w:r>
      <w:r>
        <w:rPr/>
        <w:t>της</w:t>
      </w:r>
      <w:r>
        <w:rPr>
          <w:spacing w:val="-4"/>
        </w:rPr>
        <w:t> </w:t>
      </w:r>
      <w:r>
        <w:rPr/>
        <w:t>ΕΕ</w:t>
      </w:r>
      <w:r>
        <w:rPr>
          <w:spacing w:val="-3"/>
        </w:rPr>
        <w:t> </w:t>
      </w:r>
      <w:r>
        <w:rPr/>
        <w:t>με</w:t>
      </w:r>
      <w:r>
        <w:rPr>
          <w:spacing w:val="-2"/>
        </w:rPr>
        <w:t> </w:t>
      </w:r>
      <w:r>
        <w:rPr/>
        <w:t>καθεστώς</w:t>
      </w:r>
      <w:r>
        <w:rPr>
          <w:spacing w:val="-3"/>
        </w:rPr>
        <w:t> </w:t>
      </w:r>
      <w:r>
        <w:rPr/>
        <w:t>ελεύθερης</w:t>
      </w:r>
      <w:r>
        <w:rPr>
          <w:spacing w:val="-3"/>
        </w:rPr>
        <w:t> </w:t>
      </w:r>
      <w:r>
        <w:rPr/>
        <w:t>παροχής υπηρεσιών (βλ. Πίνακα V.2).</w:t>
      </w:r>
    </w:p>
    <w:p>
      <w:pPr>
        <w:pStyle w:val="BodyText"/>
        <w:spacing w:line="285" w:lineRule="auto" w:before="50"/>
        <w:ind w:left="172" w:right="954"/>
        <w:jc w:val="both"/>
        <w:rPr>
          <w:position w:val="6"/>
          <w:sz w:val="10"/>
        </w:rPr>
      </w:pPr>
      <w:r>
        <w:rPr/>
        <w:t>Επιπρόσθετα, σύμφωνα με τα πιο πρόσφατα διαθέσιμα στοιχεία της Ευρωπαϊκής Αρχής Ασφα-λίσεων</w:t>
      </w:r>
      <w:r>
        <w:rPr>
          <w:spacing w:val="-14"/>
        </w:rPr>
        <w:t> </w:t>
      </w:r>
      <w:r>
        <w:rPr/>
        <w:t>και</w:t>
      </w:r>
      <w:r>
        <w:rPr>
          <w:spacing w:val="-14"/>
        </w:rPr>
        <w:t> </w:t>
      </w:r>
      <w:r>
        <w:rPr/>
        <w:t>Επαγγελματικών</w:t>
      </w:r>
      <w:r>
        <w:rPr>
          <w:spacing w:val="-14"/>
        </w:rPr>
        <w:t> </w:t>
      </w:r>
      <w:r>
        <w:rPr/>
        <w:t>Συντάξεων</w:t>
      </w:r>
      <w:r>
        <w:rPr>
          <w:spacing w:val="-13"/>
        </w:rPr>
        <w:t> </w:t>
      </w:r>
      <w:r>
        <w:rPr/>
        <w:t>(European</w:t>
      </w:r>
      <w:r>
        <w:rPr>
          <w:spacing w:val="-14"/>
        </w:rPr>
        <w:t> </w:t>
      </w:r>
      <w:r>
        <w:rPr/>
        <w:t>Insurance</w:t>
      </w:r>
      <w:r>
        <w:rPr>
          <w:spacing w:val="-14"/>
        </w:rPr>
        <w:t> </w:t>
      </w:r>
      <w:r>
        <w:rPr/>
        <w:t>and</w:t>
      </w:r>
      <w:r>
        <w:rPr>
          <w:spacing w:val="-14"/>
        </w:rPr>
        <w:t> </w:t>
      </w:r>
      <w:r>
        <w:rPr/>
        <w:t>Occupational</w:t>
      </w:r>
      <w:r>
        <w:rPr>
          <w:spacing w:val="-13"/>
        </w:rPr>
        <w:t> </w:t>
      </w:r>
      <w:r>
        <w:rPr/>
        <w:t>Pensions</w:t>
      </w:r>
      <w:r>
        <w:rPr>
          <w:spacing w:val="-14"/>
        </w:rPr>
        <w:t> </w:t>
      </w:r>
      <w:r>
        <w:rPr/>
        <w:t>Author-ity),</w:t>
      </w:r>
      <w:r>
        <w:rPr>
          <w:spacing w:val="-2"/>
        </w:rPr>
        <w:t> </w:t>
      </w:r>
      <w:r>
        <w:rPr/>
        <w:t>τον</w:t>
      </w:r>
      <w:r>
        <w:rPr>
          <w:spacing w:val="-4"/>
        </w:rPr>
        <w:t> </w:t>
      </w:r>
      <w:r>
        <w:rPr/>
        <w:t>Δεκέμβριο</w:t>
      </w:r>
      <w:r>
        <w:rPr>
          <w:spacing w:val="-5"/>
        </w:rPr>
        <w:t> </w:t>
      </w:r>
      <w:r>
        <w:rPr/>
        <w:t>του</w:t>
      </w:r>
      <w:r>
        <w:rPr>
          <w:spacing w:val="-1"/>
        </w:rPr>
        <w:t> </w:t>
      </w:r>
      <w:r>
        <w:rPr/>
        <w:t>2024</w:t>
      </w:r>
      <w:r>
        <w:rPr>
          <w:spacing w:val="-1"/>
        </w:rPr>
        <w:t> </w:t>
      </w:r>
      <w:r>
        <w:rPr/>
        <w:t>δραστηριότητα</w:t>
      </w:r>
      <w:r>
        <w:rPr>
          <w:spacing w:val="-5"/>
        </w:rPr>
        <w:t> </w:t>
      </w:r>
      <w:r>
        <w:rPr/>
        <w:t>στην</w:t>
      </w:r>
      <w:r>
        <w:rPr>
          <w:spacing w:val="-4"/>
        </w:rPr>
        <w:t> </w:t>
      </w:r>
      <w:r>
        <w:rPr/>
        <w:t>Ελλάδα,</w:t>
      </w:r>
      <w:r>
        <w:rPr>
          <w:spacing w:val="-2"/>
        </w:rPr>
        <w:t> </w:t>
      </w:r>
      <w:r>
        <w:rPr/>
        <w:t>με</w:t>
      </w:r>
      <w:r>
        <w:rPr>
          <w:spacing w:val="-4"/>
        </w:rPr>
        <w:t> </w:t>
      </w:r>
      <w:r>
        <w:rPr/>
        <w:t>καθεστώς</w:t>
      </w:r>
      <w:r>
        <w:rPr>
          <w:spacing w:val="-6"/>
        </w:rPr>
        <w:t> </w:t>
      </w:r>
      <w:r>
        <w:rPr/>
        <w:t>είτε</w:t>
      </w:r>
      <w:r>
        <w:rPr>
          <w:spacing w:val="-4"/>
        </w:rPr>
        <w:t> </w:t>
      </w:r>
      <w:r>
        <w:rPr/>
        <w:t>ελεύθερης</w:t>
      </w:r>
      <w:r>
        <w:rPr>
          <w:spacing w:val="-4"/>
        </w:rPr>
        <w:t> </w:t>
      </w:r>
      <w:r>
        <w:rPr/>
        <w:t>εγκατά-στασης (υποκατάστημα) είτε ελεύθερης παροχής υπηρεσιών, ασκούσαν και 211 ασφαλιστικές επιχειρήσεις</w:t>
      </w:r>
      <w:r>
        <w:rPr>
          <w:spacing w:val="-5"/>
        </w:rPr>
        <w:t> </w:t>
      </w:r>
      <w:r>
        <w:rPr/>
        <w:t>που</w:t>
      </w:r>
      <w:r>
        <w:rPr>
          <w:spacing w:val="-4"/>
        </w:rPr>
        <w:t> </w:t>
      </w:r>
      <w:r>
        <w:rPr/>
        <w:t>έχουν</w:t>
      </w:r>
      <w:r>
        <w:rPr>
          <w:spacing w:val="-1"/>
        </w:rPr>
        <w:t> </w:t>
      </w:r>
      <w:r>
        <w:rPr/>
        <w:t>την</w:t>
      </w:r>
      <w:r>
        <w:rPr>
          <w:spacing w:val="-4"/>
        </w:rPr>
        <w:t> </w:t>
      </w:r>
      <w:r>
        <w:rPr/>
        <w:t>έδρα</w:t>
      </w:r>
      <w:r>
        <w:rPr>
          <w:spacing w:val="-2"/>
        </w:rPr>
        <w:t> </w:t>
      </w:r>
      <w:r>
        <w:rPr/>
        <w:t>τους</w:t>
      </w:r>
      <w:r>
        <w:rPr>
          <w:spacing w:val="-6"/>
        </w:rPr>
        <w:t> </w:t>
      </w:r>
      <w:r>
        <w:rPr/>
        <w:t>σε</w:t>
      </w:r>
      <w:r>
        <w:rPr>
          <w:spacing w:val="-2"/>
        </w:rPr>
        <w:t> </w:t>
      </w:r>
      <w:r>
        <w:rPr/>
        <w:t>άλλο</w:t>
      </w:r>
      <w:r>
        <w:rPr>
          <w:spacing w:val="-2"/>
        </w:rPr>
        <w:t> </w:t>
      </w:r>
      <w:r>
        <w:rPr/>
        <w:t>κράτος-μέλος</w:t>
      </w:r>
      <w:r>
        <w:rPr>
          <w:spacing w:val="-3"/>
        </w:rPr>
        <w:t> </w:t>
      </w:r>
      <w:r>
        <w:rPr/>
        <w:t>της</w:t>
      </w:r>
      <w:r>
        <w:rPr>
          <w:spacing w:val="-4"/>
        </w:rPr>
        <w:t> </w:t>
      </w:r>
      <w:r>
        <w:rPr/>
        <w:t>ΕΕ</w:t>
      </w:r>
      <w:hyperlink w:history="true" w:anchor="_bookmark114">
        <w:r>
          <w:rPr>
            <w:position w:val="6"/>
            <w:sz w:val="10"/>
          </w:rPr>
          <w:t>78</w:t>
        </w:r>
      </w:hyperlink>
      <w:r>
        <w:rPr>
          <w:spacing w:val="28"/>
          <w:position w:val="6"/>
          <w:sz w:val="10"/>
        </w:rPr>
        <w:t> </w:t>
      </w:r>
      <w:r>
        <w:rPr/>
        <w:t>και</w:t>
      </w:r>
      <w:r>
        <w:rPr>
          <w:spacing w:val="-5"/>
        </w:rPr>
        <w:t> </w:t>
      </w:r>
      <w:r>
        <w:rPr/>
        <w:t>εποπτεύονται,</w:t>
      </w:r>
      <w:r>
        <w:rPr>
          <w:spacing w:val="-4"/>
        </w:rPr>
        <w:t> </w:t>
      </w:r>
      <w:r>
        <w:rPr/>
        <w:t>ως</w:t>
      </w:r>
      <w:r>
        <w:rPr>
          <w:spacing w:val="-3"/>
        </w:rPr>
        <w:t> </w:t>
      </w:r>
      <w:r>
        <w:rPr/>
        <w:t>προς τη</w:t>
      </w:r>
      <w:r>
        <w:rPr>
          <w:spacing w:val="-14"/>
        </w:rPr>
        <w:t> </w:t>
      </w:r>
      <w:r>
        <w:rPr/>
        <w:t>χρηματοοικονομική</w:t>
      </w:r>
      <w:r>
        <w:rPr>
          <w:spacing w:val="-14"/>
        </w:rPr>
        <w:t> </w:t>
      </w:r>
      <w:r>
        <w:rPr/>
        <w:t>τους</w:t>
      </w:r>
      <w:r>
        <w:rPr>
          <w:spacing w:val="-14"/>
        </w:rPr>
        <w:t> </w:t>
      </w:r>
      <w:r>
        <w:rPr/>
        <w:t>κατάσταση,</w:t>
      </w:r>
      <w:r>
        <w:rPr>
          <w:spacing w:val="-13"/>
        </w:rPr>
        <w:t> </w:t>
      </w:r>
      <w:r>
        <w:rPr/>
        <w:t>από</w:t>
      </w:r>
      <w:r>
        <w:rPr>
          <w:spacing w:val="-14"/>
        </w:rPr>
        <w:t> </w:t>
      </w:r>
      <w:r>
        <w:rPr/>
        <w:t>τις</w:t>
      </w:r>
      <w:r>
        <w:rPr>
          <w:spacing w:val="-14"/>
        </w:rPr>
        <w:t> </w:t>
      </w:r>
      <w:r>
        <w:rPr/>
        <w:t>αρμόδιες</w:t>
      </w:r>
      <w:r>
        <w:rPr>
          <w:spacing w:val="-14"/>
        </w:rPr>
        <w:t> </w:t>
      </w:r>
      <w:r>
        <w:rPr/>
        <w:t>εποπτικές</w:t>
      </w:r>
      <w:r>
        <w:rPr>
          <w:spacing w:val="-13"/>
        </w:rPr>
        <w:t> </w:t>
      </w:r>
      <w:r>
        <w:rPr/>
        <w:t>αρχές</w:t>
      </w:r>
      <w:r>
        <w:rPr>
          <w:spacing w:val="-14"/>
        </w:rPr>
        <w:t> </w:t>
      </w:r>
      <w:r>
        <w:rPr/>
        <w:t>των</w:t>
      </w:r>
      <w:r>
        <w:rPr>
          <w:spacing w:val="-14"/>
        </w:rPr>
        <w:t> </w:t>
      </w:r>
      <w:r>
        <w:rPr/>
        <w:t>χωρών</w:t>
      </w:r>
      <w:r>
        <w:rPr>
          <w:spacing w:val="-14"/>
        </w:rPr>
        <w:t> </w:t>
      </w:r>
      <w:r>
        <w:rPr/>
        <w:t>καταγωγής </w:t>
      </w:r>
      <w:r>
        <w:rPr>
          <w:spacing w:val="-2"/>
        </w:rPr>
        <w:t>τους</w:t>
      </w:r>
      <w:hyperlink w:history="true" w:anchor="_bookmark115">
        <w:r>
          <w:rPr>
            <w:spacing w:val="-2"/>
          </w:rPr>
          <w:t>.</w:t>
        </w:r>
        <w:r>
          <w:rPr>
            <w:spacing w:val="-2"/>
            <w:position w:val="6"/>
            <w:sz w:val="10"/>
          </w:rPr>
          <w:t>79</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3"/>
        <w:rPr>
          <w:sz w:val="20"/>
        </w:rPr>
      </w:pPr>
      <w:r>
        <w:rPr>
          <w:sz w:val="20"/>
        </w:rPr>
        <mc:AlternateContent>
          <mc:Choice Requires="wps">
            <w:drawing>
              <wp:anchor distT="0" distB="0" distL="0" distR="0" allowOverlap="1" layoutInCell="1" locked="0" behindDoc="1" simplePos="0" relativeHeight="487643136">
                <wp:simplePos x="0" y="0"/>
                <wp:positionH relativeFrom="page">
                  <wp:posOffset>1009192</wp:posOffset>
                </wp:positionH>
                <wp:positionV relativeFrom="paragraph">
                  <wp:posOffset>195295</wp:posOffset>
                </wp:positionV>
                <wp:extent cx="1829435" cy="7620"/>
                <wp:effectExtent l="0" t="0" r="0" b="0"/>
                <wp:wrapTopAndBottom/>
                <wp:docPr id="549" name="Graphic 549"/>
                <wp:cNvGraphicFramePr>
                  <a:graphicFrameLocks/>
                </wp:cNvGraphicFramePr>
                <a:graphic>
                  <a:graphicData uri="http://schemas.microsoft.com/office/word/2010/wordprocessingShape">
                    <wps:wsp>
                      <wps:cNvPr id="549" name="Graphic 54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5.377603pt;width:144.020pt;height:.599980pt;mso-position-horizontal-relative:page;mso-position-vertical-relative:paragraph;z-index:-15673344;mso-wrap-distance-left:0;mso-wrap-distance-right:0" id="docshape521" filled="true" fillcolor="#000000" stroked="false">
                <v:fill type="solid"/>
                <w10:wrap type="topAndBottom"/>
              </v:rect>
            </w:pict>
          </mc:Fallback>
        </mc:AlternateContent>
      </w:r>
    </w:p>
    <w:p>
      <w:pPr>
        <w:spacing w:before="167"/>
        <w:ind w:left="172" w:right="0" w:firstLine="0"/>
        <w:jc w:val="both"/>
        <w:rPr>
          <w:sz w:val="16"/>
        </w:rPr>
      </w:pPr>
      <w:bookmarkStart w:name="_bookmark111" w:id="112"/>
      <w:bookmarkEnd w:id="112"/>
      <w:r>
        <w:rPr/>
      </w:r>
      <w:r>
        <w:rPr>
          <w:sz w:val="16"/>
          <w:vertAlign w:val="superscript"/>
        </w:rPr>
        <w:t>75</w:t>
      </w:r>
      <w:r>
        <w:rPr>
          <w:spacing w:val="-7"/>
          <w:sz w:val="16"/>
          <w:vertAlign w:val="baseline"/>
        </w:rPr>
        <w:t> </w:t>
      </w:r>
      <w:r>
        <w:rPr>
          <w:sz w:val="16"/>
          <w:vertAlign w:val="baseline"/>
        </w:rPr>
        <w:t>Στο</w:t>
      </w:r>
      <w:r>
        <w:rPr>
          <w:spacing w:val="-4"/>
          <w:sz w:val="16"/>
          <w:vertAlign w:val="baseline"/>
        </w:rPr>
        <w:t> </w:t>
      </w:r>
      <w:r>
        <w:rPr>
          <w:sz w:val="16"/>
          <w:vertAlign w:val="baseline"/>
        </w:rPr>
        <w:t>παρόν</w:t>
      </w:r>
      <w:r>
        <w:rPr>
          <w:spacing w:val="-4"/>
          <w:sz w:val="16"/>
          <w:vertAlign w:val="baseline"/>
        </w:rPr>
        <w:t> </w:t>
      </w:r>
      <w:r>
        <w:rPr>
          <w:sz w:val="16"/>
          <w:vertAlign w:val="baseline"/>
        </w:rPr>
        <w:t>κεφάλαιο</w:t>
      </w:r>
      <w:r>
        <w:rPr>
          <w:spacing w:val="-5"/>
          <w:sz w:val="16"/>
          <w:vertAlign w:val="baseline"/>
        </w:rPr>
        <w:t> </w:t>
      </w:r>
      <w:r>
        <w:rPr>
          <w:sz w:val="16"/>
          <w:vertAlign w:val="baseline"/>
        </w:rPr>
        <w:t>έχουν</w:t>
      </w:r>
      <w:r>
        <w:rPr>
          <w:spacing w:val="-5"/>
          <w:sz w:val="16"/>
          <w:vertAlign w:val="baseline"/>
        </w:rPr>
        <w:t> </w:t>
      </w:r>
      <w:r>
        <w:rPr>
          <w:sz w:val="16"/>
          <w:vertAlign w:val="baseline"/>
        </w:rPr>
        <w:t>ληφθεί</w:t>
      </w:r>
      <w:r>
        <w:rPr>
          <w:spacing w:val="-6"/>
          <w:sz w:val="16"/>
          <w:vertAlign w:val="baseline"/>
        </w:rPr>
        <w:t> </w:t>
      </w:r>
      <w:r>
        <w:rPr>
          <w:sz w:val="16"/>
          <w:vertAlign w:val="baseline"/>
        </w:rPr>
        <w:t>υπόψη</w:t>
      </w:r>
      <w:r>
        <w:rPr>
          <w:spacing w:val="-6"/>
          <w:sz w:val="16"/>
          <w:vertAlign w:val="baseline"/>
        </w:rPr>
        <w:t> </w:t>
      </w:r>
      <w:r>
        <w:rPr>
          <w:sz w:val="16"/>
          <w:vertAlign w:val="baseline"/>
        </w:rPr>
        <w:t>πληροφορίες</w:t>
      </w:r>
      <w:r>
        <w:rPr>
          <w:spacing w:val="-3"/>
          <w:sz w:val="16"/>
          <w:vertAlign w:val="baseline"/>
        </w:rPr>
        <w:t> </w:t>
      </w:r>
      <w:r>
        <w:rPr>
          <w:sz w:val="16"/>
          <w:vertAlign w:val="baseline"/>
        </w:rPr>
        <w:t>και</w:t>
      </w:r>
      <w:r>
        <w:rPr>
          <w:spacing w:val="-7"/>
          <w:sz w:val="16"/>
          <w:vertAlign w:val="baseline"/>
        </w:rPr>
        <w:t> </w:t>
      </w:r>
      <w:r>
        <w:rPr>
          <w:sz w:val="16"/>
          <w:vertAlign w:val="baseline"/>
        </w:rPr>
        <w:t>στοιχεία</w:t>
      </w:r>
      <w:r>
        <w:rPr>
          <w:spacing w:val="-7"/>
          <w:sz w:val="16"/>
          <w:vertAlign w:val="baseline"/>
        </w:rPr>
        <w:t> </w:t>
      </w:r>
      <w:r>
        <w:rPr>
          <w:sz w:val="16"/>
          <w:vertAlign w:val="baseline"/>
        </w:rPr>
        <w:t>με</w:t>
      </w:r>
      <w:r>
        <w:rPr>
          <w:spacing w:val="-4"/>
          <w:sz w:val="16"/>
          <w:vertAlign w:val="baseline"/>
        </w:rPr>
        <w:t> </w:t>
      </w:r>
      <w:r>
        <w:rPr>
          <w:sz w:val="16"/>
          <w:vertAlign w:val="baseline"/>
        </w:rPr>
        <w:t>ημερομηνία</w:t>
      </w:r>
      <w:r>
        <w:rPr>
          <w:spacing w:val="-4"/>
          <w:sz w:val="16"/>
          <w:vertAlign w:val="baseline"/>
        </w:rPr>
        <w:t> </w:t>
      </w:r>
      <w:r>
        <w:rPr>
          <w:sz w:val="16"/>
          <w:vertAlign w:val="baseline"/>
        </w:rPr>
        <w:t>αναφοράς</w:t>
      </w:r>
      <w:r>
        <w:rPr>
          <w:spacing w:val="-4"/>
          <w:sz w:val="16"/>
          <w:vertAlign w:val="baseline"/>
        </w:rPr>
        <w:t> </w:t>
      </w:r>
      <w:r>
        <w:rPr>
          <w:spacing w:val="-2"/>
          <w:sz w:val="16"/>
          <w:vertAlign w:val="baseline"/>
        </w:rPr>
        <w:t>31.12.2025.</w:t>
      </w:r>
    </w:p>
    <w:p>
      <w:pPr>
        <w:spacing w:before="20"/>
        <w:ind w:left="172" w:right="0" w:firstLine="0"/>
        <w:jc w:val="both"/>
        <w:rPr>
          <w:sz w:val="16"/>
        </w:rPr>
      </w:pPr>
      <w:bookmarkStart w:name="_bookmark112" w:id="113"/>
      <w:bookmarkEnd w:id="113"/>
      <w:r>
        <w:rPr/>
      </w:r>
      <w:r>
        <w:rPr>
          <w:sz w:val="16"/>
          <w:vertAlign w:val="superscript"/>
        </w:rPr>
        <w:t>76</w:t>
      </w:r>
      <w:r>
        <w:rPr>
          <w:spacing w:val="-6"/>
          <w:sz w:val="16"/>
          <w:vertAlign w:val="baseline"/>
        </w:rPr>
        <w:t> </w:t>
      </w:r>
      <w:r>
        <w:rPr>
          <w:sz w:val="16"/>
          <w:vertAlign w:val="baseline"/>
        </w:rPr>
        <w:t>Εξαιρουμένων</w:t>
      </w:r>
      <w:r>
        <w:rPr>
          <w:spacing w:val="-5"/>
          <w:sz w:val="16"/>
          <w:vertAlign w:val="baseline"/>
        </w:rPr>
        <w:t> </w:t>
      </w:r>
      <w:r>
        <w:rPr>
          <w:sz w:val="16"/>
          <w:vertAlign w:val="baseline"/>
        </w:rPr>
        <w:t>των</w:t>
      </w:r>
      <w:r>
        <w:rPr>
          <w:spacing w:val="-5"/>
          <w:sz w:val="16"/>
          <w:vertAlign w:val="baseline"/>
        </w:rPr>
        <w:t> </w:t>
      </w:r>
      <w:r>
        <w:rPr>
          <w:sz w:val="16"/>
          <w:vertAlign w:val="baseline"/>
        </w:rPr>
        <w:t>αλληλασφαλιστικών</w:t>
      </w:r>
      <w:r>
        <w:rPr>
          <w:spacing w:val="-5"/>
          <w:sz w:val="16"/>
          <w:vertAlign w:val="baseline"/>
        </w:rPr>
        <w:t> </w:t>
      </w:r>
      <w:r>
        <w:rPr>
          <w:sz w:val="16"/>
          <w:vertAlign w:val="baseline"/>
        </w:rPr>
        <w:t>συνεταιρισμών</w:t>
      </w:r>
      <w:r>
        <w:rPr>
          <w:spacing w:val="-5"/>
          <w:sz w:val="16"/>
          <w:vertAlign w:val="baseline"/>
        </w:rPr>
        <w:t> </w:t>
      </w:r>
      <w:r>
        <w:rPr>
          <w:sz w:val="16"/>
          <w:vertAlign w:val="baseline"/>
        </w:rPr>
        <w:t>του</w:t>
      </w:r>
      <w:r>
        <w:rPr>
          <w:spacing w:val="-4"/>
          <w:sz w:val="16"/>
          <w:vertAlign w:val="baseline"/>
        </w:rPr>
        <w:t> </w:t>
      </w:r>
      <w:r>
        <w:rPr>
          <w:sz w:val="16"/>
          <w:vertAlign w:val="baseline"/>
        </w:rPr>
        <w:t>πρώτου</w:t>
      </w:r>
      <w:r>
        <w:rPr>
          <w:spacing w:val="-6"/>
          <w:sz w:val="16"/>
          <w:vertAlign w:val="baseline"/>
        </w:rPr>
        <w:t> </w:t>
      </w:r>
      <w:r>
        <w:rPr>
          <w:sz w:val="16"/>
          <w:vertAlign w:val="baseline"/>
        </w:rPr>
        <w:t>εδαφίου</w:t>
      </w:r>
      <w:r>
        <w:rPr>
          <w:spacing w:val="-4"/>
          <w:sz w:val="16"/>
          <w:vertAlign w:val="baseline"/>
        </w:rPr>
        <w:t> </w:t>
      </w:r>
      <w:r>
        <w:rPr>
          <w:sz w:val="16"/>
          <w:vertAlign w:val="baseline"/>
        </w:rPr>
        <w:t>της</w:t>
      </w:r>
      <w:r>
        <w:rPr>
          <w:spacing w:val="-5"/>
          <w:sz w:val="16"/>
          <w:vertAlign w:val="baseline"/>
        </w:rPr>
        <w:t> </w:t>
      </w:r>
      <w:r>
        <w:rPr>
          <w:sz w:val="16"/>
          <w:vertAlign w:val="baseline"/>
        </w:rPr>
        <w:t>παραγράφου</w:t>
      </w:r>
      <w:r>
        <w:rPr>
          <w:spacing w:val="-7"/>
          <w:sz w:val="16"/>
          <w:vertAlign w:val="baseline"/>
        </w:rPr>
        <w:t> </w:t>
      </w:r>
      <w:r>
        <w:rPr>
          <w:sz w:val="16"/>
          <w:vertAlign w:val="baseline"/>
        </w:rPr>
        <w:t>1</w:t>
      </w:r>
      <w:r>
        <w:rPr>
          <w:spacing w:val="-5"/>
          <w:sz w:val="16"/>
          <w:vertAlign w:val="baseline"/>
        </w:rPr>
        <w:t> </w:t>
      </w:r>
      <w:r>
        <w:rPr>
          <w:sz w:val="16"/>
          <w:vertAlign w:val="baseline"/>
        </w:rPr>
        <w:t>του</w:t>
      </w:r>
      <w:r>
        <w:rPr>
          <w:spacing w:val="-6"/>
          <w:sz w:val="16"/>
          <w:vertAlign w:val="baseline"/>
        </w:rPr>
        <w:t> </w:t>
      </w:r>
      <w:r>
        <w:rPr>
          <w:sz w:val="16"/>
          <w:vertAlign w:val="baseline"/>
        </w:rPr>
        <w:t>άρθρου</w:t>
      </w:r>
      <w:r>
        <w:rPr>
          <w:spacing w:val="-7"/>
          <w:sz w:val="16"/>
          <w:vertAlign w:val="baseline"/>
        </w:rPr>
        <w:t> </w:t>
      </w:r>
      <w:r>
        <w:rPr>
          <w:sz w:val="16"/>
          <w:vertAlign w:val="baseline"/>
        </w:rPr>
        <w:t>7</w:t>
      </w:r>
      <w:r>
        <w:rPr>
          <w:spacing w:val="-3"/>
          <w:sz w:val="16"/>
          <w:vertAlign w:val="baseline"/>
        </w:rPr>
        <w:t> </w:t>
      </w:r>
      <w:r>
        <w:rPr>
          <w:sz w:val="16"/>
          <w:vertAlign w:val="baseline"/>
        </w:rPr>
        <w:t>του</w:t>
      </w:r>
      <w:r>
        <w:rPr>
          <w:spacing w:val="-4"/>
          <w:sz w:val="16"/>
          <w:vertAlign w:val="baseline"/>
        </w:rPr>
        <w:t> </w:t>
      </w:r>
      <w:r>
        <w:rPr>
          <w:sz w:val="16"/>
          <w:vertAlign w:val="baseline"/>
        </w:rPr>
        <w:t>ν.</w:t>
      </w:r>
      <w:r>
        <w:rPr>
          <w:spacing w:val="-5"/>
          <w:sz w:val="16"/>
          <w:vertAlign w:val="baseline"/>
        </w:rPr>
        <w:t> </w:t>
      </w:r>
      <w:r>
        <w:rPr>
          <w:spacing w:val="-2"/>
          <w:sz w:val="16"/>
          <w:vertAlign w:val="baseline"/>
        </w:rPr>
        <w:t>4364/2016.</w:t>
      </w:r>
    </w:p>
    <w:p>
      <w:pPr>
        <w:spacing w:before="20"/>
        <w:ind w:left="172" w:right="959" w:firstLine="0"/>
        <w:jc w:val="both"/>
        <w:rPr>
          <w:sz w:val="16"/>
        </w:rPr>
      </w:pPr>
      <w:bookmarkStart w:name="_bookmark113" w:id="114"/>
      <w:bookmarkEnd w:id="114"/>
      <w:r>
        <w:rPr/>
      </w:r>
      <w:r>
        <w:rPr>
          <w:sz w:val="16"/>
          <w:vertAlign w:val="superscript"/>
        </w:rPr>
        <w:t>77</w:t>
      </w:r>
      <w:r>
        <w:rPr>
          <w:sz w:val="16"/>
          <w:vertAlign w:val="baseline"/>
        </w:rPr>
        <w:t> Η Τράπεζα της Ελλάδος, με βάση την αρχή της αναλογικότητας, έχει επιτρέψει σε 3 ασφαλιστικές επιχειρήσεις που πληρούν τα</w:t>
      </w:r>
      <w:r>
        <w:rPr>
          <w:spacing w:val="40"/>
          <w:sz w:val="16"/>
          <w:vertAlign w:val="baseline"/>
        </w:rPr>
        <w:t> </w:t>
      </w:r>
      <w:r>
        <w:rPr>
          <w:sz w:val="16"/>
          <w:vertAlign w:val="baseline"/>
        </w:rPr>
        <w:t>απαιτούμενα</w:t>
      </w:r>
      <w:r>
        <w:rPr>
          <w:spacing w:val="-10"/>
          <w:sz w:val="16"/>
          <w:vertAlign w:val="baseline"/>
        </w:rPr>
        <w:t> </w:t>
      </w:r>
      <w:r>
        <w:rPr>
          <w:sz w:val="16"/>
          <w:vertAlign w:val="baseline"/>
        </w:rPr>
        <w:t>κριτήρια</w:t>
      </w:r>
      <w:r>
        <w:rPr>
          <w:spacing w:val="-10"/>
          <w:sz w:val="16"/>
          <w:vertAlign w:val="baseline"/>
        </w:rPr>
        <w:t> </w:t>
      </w:r>
      <w:r>
        <w:rPr>
          <w:sz w:val="16"/>
          <w:vertAlign w:val="baseline"/>
        </w:rPr>
        <w:t>μεγέθους</w:t>
      </w:r>
      <w:r>
        <w:rPr>
          <w:spacing w:val="-9"/>
          <w:sz w:val="16"/>
          <w:vertAlign w:val="baseline"/>
        </w:rPr>
        <w:t> </w:t>
      </w:r>
      <w:r>
        <w:rPr>
          <w:sz w:val="16"/>
          <w:vertAlign w:val="baseline"/>
        </w:rPr>
        <w:t>και</w:t>
      </w:r>
      <w:r>
        <w:rPr>
          <w:spacing w:val="-10"/>
          <w:sz w:val="16"/>
          <w:vertAlign w:val="baseline"/>
        </w:rPr>
        <w:t> </w:t>
      </w:r>
      <w:r>
        <w:rPr>
          <w:sz w:val="16"/>
          <w:vertAlign w:val="baseline"/>
        </w:rPr>
        <w:t>εργασιών</w:t>
      </w:r>
      <w:r>
        <w:rPr>
          <w:spacing w:val="-10"/>
          <w:sz w:val="16"/>
          <w:vertAlign w:val="baseline"/>
        </w:rPr>
        <w:t> </w:t>
      </w:r>
      <w:r>
        <w:rPr>
          <w:sz w:val="16"/>
          <w:vertAlign w:val="baseline"/>
        </w:rPr>
        <w:t>να</w:t>
      </w:r>
      <w:r>
        <w:rPr>
          <w:spacing w:val="-9"/>
          <w:sz w:val="16"/>
          <w:vertAlign w:val="baseline"/>
        </w:rPr>
        <w:t> </w:t>
      </w:r>
      <w:r>
        <w:rPr>
          <w:sz w:val="16"/>
          <w:vertAlign w:val="baseline"/>
        </w:rPr>
        <w:t>εξαιρεθούν</w:t>
      </w:r>
      <w:r>
        <w:rPr>
          <w:spacing w:val="-10"/>
          <w:sz w:val="16"/>
          <w:vertAlign w:val="baseline"/>
        </w:rPr>
        <w:t> </w:t>
      </w:r>
      <w:r>
        <w:rPr>
          <w:sz w:val="16"/>
          <w:vertAlign w:val="baseline"/>
        </w:rPr>
        <w:t>από</w:t>
      </w:r>
      <w:r>
        <w:rPr>
          <w:spacing w:val="-10"/>
          <w:sz w:val="16"/>
          <w:vertAlign w:val="baseline"/>
        </w:rPr>
        <w:t> </w:t>
      </w:r>
      <w:r>
        <w:rPr>
          <w:sz w:val="16"/>
          <w:vertAlign w:val="baseline"/>
        </w:rPr>
        <w:t>ορισμένες</w:t>
      </w:r>
      <w:r>
        <w:rPr>
          <w:spacing w:val="-10"/>
          <w:sz w:val="16"/>
          <w:vertAlign w:val="baseline"/>
        </w:rPr>
        <w:t> </w:t>
      </w:r>
      <w:r>
        <w:rPr>
          <w:sz w:val="16"/>
          <w:vertAlign w:val="baseline"/>
        </w:rPr>
        <w:t>διατάξεις</w:t>
      </w:r>
      <w:r>
        <w:rPr>
          <w:spacing w:val="-10"/>
          <w:sz w:val="16"/>
          <w:vertAlign w:val="baseline"/>
        </w:rPr>
        <w:t> </w:t>
      </w:r>
      <w:r>
        <w:rPr>
          <w:sz w:val="16"/>
          <w:vertAlign w:val="baseline"/>
        </w:rPr>
        <w:t>της</w:t>
      </w:r>
      <w:r>
        <w:rPr>
          <w:spacing w:val="-10"/>
          <w:sz w:val="16"/>
          <w:vertAlign w:val="baseline"/>
        </w:rPr>
        <w:t> </w:t>
      </w:r>
      <w:r>
        <w:rPr>
          <w:sz w:val="16"/>
          <w:vertAlign w:val="baseline"/>
        </w:rPr>
        <w:t>Φερεγγυότητας</w:t>
      </w:r>
      <w:r>
        <w:rPr>
          <w:spacing w:val="-8"/>
          <w:sz w:val="16"/>
          <w:vertAlign w:val="baseline"/>
        </w:rPr>
        <w:t> </w:t>
      </w:r>
      <w:r>
        <w:rPr>
          <w:sz w:val="16"/>
          <w:vertAlign w:val="baseline"/>
        </w:rPr>
        <w:t>ΙΙ</w:t>
      </w:r>
      <w:r>
        <w:rPr>
          <w:spacing w:val="-10"/>
          <w:sz w:val="16"/>
          <w:vertAlign w:val="baseline"/>
        </w:rPr>
        <w:t> </w:t>
      </w:r>
      <w:r>
        <w:rPr>
          <w:sz w:val="16"/>
          <w:vertAlign w:val="baseline"/>
        </w:rPr>
        <w:t>σχετικά</w:t>
      </w:r>
      <w:r>
        <w:rPr>
          <w:spacing w:val="-9"/>
          <w:sz w:val="16"/>
          <w:vertAlign w:val="baseline"/>
        </w:rPr>
        <w:t> </w:t>
      </w:r>
      <w:r>
        <w:rPr>
          <w:sz w:val="16"/>
          <w:vertAlign w:val="baseline"/>
        </w:rPr>
        <w:t>με</w:t>
      </w:r>
      <w:r>
        <w:rPr>
          <w:spacing w:val="-10"/>
          <w:sz w:val="16"/>
          <w:vertAlign w:val="baseline"/>
        </w:rPr>
        <w:t> </w:t>
      </w:r>
      <w:r>
        <w:rPr>
          <w:sz w:val="16"/>
          <w:vertAlign w:val="baseline"/>
        </w:rPr>
        <w:t>τις</w:t>
      </w:r>
      <w:r>
        <w:rPr>
          <w:spacing w:val="-10"/>
          <w:sz w:val="16"/>
          <w:vertAlign w:val="baseline"/>
        </w:rPr>
        <w:t> </w:t>
      </w:r>
      <w:r>
        <w:rPr>
          <w:sz w:val="16"/>
          <w:vertAlign w:val="baseline"/>
        </w:rPr>
        <w:t>απαιτήσεις</w:t>
      </w:r>
      <w:r>
        <w:rPr>
          <w:spacing w:val="40"/>
          <w:sz w:val="16"/>
          <w:vertAlign w:val="baseline"/>
        </w:rPr>
        <w:t> </w:t>
      </w:r>
      <w:r>
        <w:rPr>
          <w:sz w:val="16"/>
          <w:vertAlign w:val="baseline"/>
        </w:rPr>
        <w:t>για τη φερεγγυότητα, το σύστημα διακυβέρνησης και τη δημοσιοποίηση εκθέσεων και αναφορών.</w:t>
      </w:r>
    </w:p>
    <w:p>
      <w:pPr>
        <w:spacing w:before="19"/>
        <w:ind w:left="172" w:right="956" w:firstLine="0"/>
        <w:jc w:val="both"/>
        <w:rPr>
          <w:sz w:val="16"/>
        </w:rPr>
      </w:pPr>
      <w:bookmarkStart w:name="_bookmark114" w:id="115"/>
      <w:bookmarkEnd w:id="115"/>
      <w:r>
        <w:rPr/>
      </w:r>
      <w:r>
        <w:rPr>
          <w:sz w:val="16"/>
          <w:vertAlign w:val="superscript"/>
        </w:rPr>
        <w:t>78</w:t>
      </w:r>
      <w:r>
        <w:rPr>
          <w:sz w:val="16"/>
          <w:vertAlign w:val="baseline"/>
        </w:rPr>
        <w:t> Πηγή: Ευρωπαϊκή Αρχή Ασφαλίσεων και</w:t>
      </w:r>
      <w:r>
        <w:rPr>
          <w:spacing w:val="-1"/>
          <w:sz w:val="16"/>
          <w:vertAlign w:val="baseline"/>
        </w:rPr>
        <w:t> </w:t>
      </w:r>
      <w:r>
        <w:rPr>
          <w:sz w:val="16"/>
          <w:vertAlign w:val="baseline"/>
        </w:rPr>
        <w:t>Επαγγελματικών Συντάξεων (ΕΑΑΕΣ)/European Insurance and Occupational Pensions</w:t>
      </w:r>
      <w:r>
        <w:rPr>
          <w:spacing w:val="40"/>
          <w:sz w:val="16"/>
          <w:vertAlign w:val="baseline"/>
        </w:rPr>
        <w:t> </w:t>
      </w:r>
      <w:r>
        <w:rPr>
          <w:sz w:val="16"/>
          <w:vertAlign w:val="baseline"/>
        </w:rPr>
        <w:t>Authority (EIOPA).</w:t>
      </w:r>
    </w:p>
    <w:p>
      <w:pPr>
        <w:spacing w:before="21"/>
        <w:ind w:left="172" w:right="0" w:firstLine="0"/>
        <w:jc w:val="left"/>
        <w:rPr>
          <w:sz w:val="16"/>
        </w:rPr>
      </w:pPr>
      <w:bookmarkStart w:name="_bookmark115" w:id="116"/>
      <w:bookmarkEnd w:id="116"/>
      <w:r>
        <w:rPr/>
      </w:r>
      <w:r>
        <w:rPr>
          <w:sz w:val="16"/>
          <w:vertAlign w:val="superscript"/>
        </w:rPr>
        <w:t>79</w:t>
      </w:r>
      <w:r>
        <w:rPr>
          <w:spacing w:val="8"/>
          <w:sz w:val="16"/>
          <w:vertAlign w:val="baseline"/>
        </w:rPr>
        <w:t> </w:t>
      </w:r>
      <w:r>
        <w:rPr>
          <w:sz w:val="16"/>
          <w:vertAlign w:val="baseline"/>
        </w:rPr>
        <w:t>Το</w:t>
      </w:r>
      <w:r>
        <w:rPr>
          <w:spacing w:val="11"/>
          <w:sz w:val="16"/>
          <w:vertAlign w:val="baseline"/>
        </w:rPr>
        <w:t> </w:t>
      </w:r>
      <w:r>
        <w:rPr>
          <w:sz w:val="16"/>
          <w:vertAlign w:val="baseline"/>
        </w:rPr>
        <w:t>2024</w:t>
      </w:r>
      <w:r>
        <w:rPr>
          <w:spacing w:val="11"/>
          <w:sz w:val="16"/>
          <w:vertAlign w:val="baseline"/>
        </w:rPr>
        <w:t> </w:t>
      </w:r>
      <w:r>
        <w:rPr>
          <w:sz w:val="16"/>
          <w:vertAlign w:val="baseline"/>
        </w:rPr>
        <w:t>η</w:t>
      </w:r>
      <w:r>
        <w:rPr>
          <w:spacing w:val="9"/>
          <w:sz w:val="16"/>
          <w:vertAlign w:val="baseline"/>
        </w:rPr>
        <w:t> </w:t>
      </w:r>
      <w:r>
        <w:rPr>
          <w:sz w:val="16"/>
          <w:vertAlign w:val="baseline"/>
        </w:rPr>
        <w:t>ετήσια</w:t>
      </w:r>
      <w:r>
        <w:rPr>
          <w:spacing w:val="9"/>
          <w:sz w:val="16"/>
          <w:vertAlign w:val="baseline"/>
        </w:rPr>
        <w:t> </w:t>
      </w:r>
      <w:r>
        <w:rPr>
          <w:sz w:val="16"/>
          <w:vertAlign w:val="baseline"/>
        </w:rPr>
        <w:t>παραγωγή</w:t>
      </w:r>
      <w:r>
        <w:rPr>
          <w:spacing w:val="9"/>
          <w:sz w:val="16"/>
          <w:vertAlign w:val="baseline"/>
        </w:rPr>
        <w:t> </w:t>
      </w:r>
      <w:r>
        <w:rPr>
          <w:sz w:val="16"/>
          <w:vertAlign w:val="baseline"/>
        </w:rPr>
        <w:t>ασφαλίστρων</w:t>
      </w:r>
      <w:r>
        <w:rPr>
          <w:spacing w:val="8"/>
          <w:sz w:val="16"/>
          <w:vertAlign w:val="baseline"/>
        </w:rPr>
        <w:t> </w:t>
      </w:r>
      <w:r>
        <w:rPr>
          <w:sz w:val="16"/>
          <w:vertAlign w:val="baseline"/>
        </w:rPr>
        <w:t>των</w:t>
      </w:r>
      <w:r>
        <w:rPr>
          <w:spacing w:val="8"/>
          <w:sz w:val="16"/>
          <w:vertAlign w:val="baseline"/>
        </w:rPr>
        <w:t> </w:t>
      </w:r>
      <w:r>
        <w:rPr>
          <w:sz w:val="16"/>
          <w:vertAlign w:val="baseline"/>
        </w:rPr>
        <w:t>επιχειρήσεων</w:t>
      </w:r>
      <w:r>
        <w:rPr>
          <w:spacing w:val="8"/>
          <w:sz w:val="16"/>
          <w:vertAlign w:val="baseline"/>
        </w:rPr>
        <w:t> </w:t>
      </w:r>
      <w:r>
        <w:rPr>
          <w:sz w:val="16"/>
          <w:vertAlign w:val="baseline"/>
        </w:rPr>
        <w:t>αυτών</w:t>
      </w:r>
      <w:r>
        <w:rPr>
          <w:spacing w:val="8"/>
          <w:sz w:val="16"/>
          <w:vertAlign w:val="baseline"/>
        </w:rPr>
        <w:t> </w:t>
      </w:r>
      <w:r>
        <w:rPr>
          <w:sz w:val="16"/>
          <w:vertAlign w:val="baseline"/>
        </w:rPr>
        <w:t>ανερχόταν</w:t>
      </w:r>
      <w:r>
        <w:rPr>
          <w:spacing w:val="7"/>
          <w:sz w:val="16"/>
          <w:vertAlign w:val="baseline"/>
        </w:rPr>
        <w:t> </w:t>
      </w:r>
      <w:r>
        <w:rPr>
          <w:sz w:val="16"/>
          <w:vertAlign w:val="baseline"/>
        </w:rPr>
        <w:t>σε</w:t>
      </w:r>
      <w:r>
        <w:rPr>
          <w:spacing w:val="11"/>
          <w:sz w:val="16"/>
          <w:vertAlign w:val="baseline"/>
        </w:rPr>
        <w:t> </w:t>
      </w:r>
      <w:r>
        <w:rPr>
          <w:sz w:val="16"/>
          <w:vertAlign w:val="baseline"/>
        </w:rPr>
        <w:t>416</w:t>
      </w:r>
      <w:r>
        <w:rPr>
          <w:spacing w:val="11"/>
          <w:sz w:val="16"/>
          <w:vertAlign w:val="baseline"/>
        </w:rPr>
        <w:t> </w:t>
      </w:r>
      <w:r>
        <w:rPr>
          <w:sz w:val="16"/>
          <w:vertAlign w:val="baseline"/>
        </w:rPr>
        <w:t>εκατ.</w:t>
      </w:r>
      <w:r>
        <w:rPr>
          <w:spacing w:val="10"/>
          <w:sz w:val="16"/>
          <w:vertAlign w:val="baseline"/>
        </w:rPr>
        <w:t> </w:t>
      </w:r>
      <w:r>
        <w:rPr>
          <w:sz w:val="16"/>
          <w:vertAlign w:val="baseline"/>
        </w:rPr>
        <w:t>ευρώ</w:t>
      </w:r>
      <w:r>
        <w:rPr>
          <w:spacing w:val="9"/>
          <w:sz w:val="16"/>
          <w:vertAlign w:val="baseline"/>
        </w:rPr>
        <w:t> </w:t>
      </w:r>
      <w:r>
        <w:rPr>
          <w:sz w:val="16"/>
          <w:vertAlign w:val="baseline"/>
        </w:rPr>
        <w:t>για</w:t>
      </w:r>
      <w:r>
        <w:rPr>
          <w:spacing w:val="9"/>
          <w:sz w:val="16"/>
          <w:vertAlign w:val="baseline"/>
        </w:rPr>
        <w:t> </w:t>
      </w:r>
      <w:r>
        <w:rPr>
          <w:sz w:val="16"/>
          <w:vertAlign w:val="baseline"/>
        </w:rPr>
        <w:t>τα</w:t>
      </w:r>
      <w:r>
        <w:rPr>
          <w:spacing w:val="9"/>
          <w:sz w:val="16"/>
          <w:vertAlign w:val="baseline"/>
        </w:rPr>
        <w:t> </w:t>
      </w:r>
      <w:r>
        <w:rPr>
          <w:sz w:val="16"/>
          <w:vertAlign w:val="baseline"/>
        </w:rPr>
        <w:t>υποκαταστήματα</w:t>
      </w:r>
      <w:r>
        <w:rPr>
          <w:spacing w:val="9"/>
          <w:sz w:val="16"/>
          <w:vertAlign w:val="baseline"/>
        </w:rPr>
        <w:t> </w:t>
      </w:r>
      <w:r>
        <w:rPr>
          <w:spacing w:val="-5"/>
          <w:sz w:val="16"/>
          <w:vertAlign w:val="baseline"/>
        </w:rPr>
        <w:t>και</w:t>
      </w:r>
    </w:p>
    <w:p>
      <w:pPr>
        <w:spacing w:before="1"/>
        <w:ind w:left="172" w:right="956" w:firstLine="0"/>
        <w:jc w:val="left"/>
        <w:rPr>
          <w:sz w:val="16"/>
        </w:rPr>
      </w:pPr>
      <w:r>
        <w:rPr>
          <w:sz w:val="16"/>
        </w:rPr>
        <w:t>1.219</w:t>
      </w:r>
      <w:r>
        <w:rPr>
          <w:spacing w:val="-4"/>
          <w:sz w:val="16"/>
        </w:rPr>
        <w:t> </w:t>
      </w:r>
      <w:r>
        <w:rPr>
          <w:sz w:val="16"/>
        </w:rPr>
        <w:t>εκατ.</w:t>
      </w:r>
      <w:r>
        <w:rPr>
          <w:spacing w:val="-5"/>
          <w:sz w:val="16"/>
        </w:rPr>
        <w:t> </w:t>
      </w:r>
      <w:r>
        <w:rPr>
          <w:sz w:val="16"/>
        </w:rPr>
        <w:t>ευρώ</w:t>
      </w:r>
      <w:r>
        <w:rPr>
          <w:spacing w:val="-8"/>
          <w:sz w:val="16"/>
        </w:rPr>
        <w:t> </w:t>
      </w:r>
      <w:r>
        <w:rPr>
          <w:sz w:val="16"/>
        </w:rPr>
        <w:t>για</w:t>
      </w:r>
      <w:r>
        <w:rPr>
          <w:spacing w:val="-6"/>
          <w:sz w:val="16"/>
        </w:rPr>
        <w:t> </w:t>
      </w:r>
      <w:r>
        <w:rPr>
          <w:sz w:val="16"/>
        </w:rPr>
        <w:t>δραστηριότητα</w:t>
      </w:r>
      <w:r>
        <w:rPr>
          <w:spacing w:val="-8"/>
          <w:sz w:val="16"/>
        </w:rPr>
        <w:t> </w:t>
      </w:r>
      <w:r>
        <w:rPr>
          <w:sz w:val="16"/>
        </w:rPr>
        <w:t>μέσω</w:t>
      </w:r>
      <w:r>
        <w:rPr>
          <w:spacing w:val="-6"/>
          <w:sz w:val="16"/>
        </w:rPr>
        <w:t> </w:t>
      </w:r>
      <w:r>
        <w:rPr>
          <w:sz w:val="16"/>
        </w:rPr>
        <w:t>ελεύθερης</w:t>
      </w:r>
      <w:r>
        <w:rPr>
          <w:spacing w:val="-5"/>
          <w:sz w:val="16"/>
        </w:rPr>
        <w:t> </w:t>
      </w:r>
      <w:r>
        <w:rPr>
          <w:sz w:val="16"/>
        </w:rPr>
        <w:t>παροχής</w:t>
      </w:r>
      <w:r>
        <w:rPr>
          <w:spacing w:val="-5"/>
          <w:sz w:val="16"/>
        </w:rPr>
        <w:t> </w:t>
      </w:r>
      <w:r>
        <w:rPr>
          <w:sz w:val="16"/>
        </w:rPr>
        <w:t>υπηρεσιών</w:t>
      </w:r>
      <w:r>
        <w:rPr>
          <w:spacing w:val="-6"/>
          <w:sz w:val="16"/>
        </w:rPr>
        <w:t> </w:t>
      </w:r>
      <w:r>
        <w:rPr>
          <w:sz w:val="16"/>
        </w:rPr>
        <w:t>ή</w:t>
      </w:r>
      <w:r>
        <w:rPr>
          <w:spacing w:val="-6"/>
          <w:sz w:val="16"/>
        </w:rPr>
        <w:t> </w:t>
      </w:r>
      <w:r>
        <w:rPr>
          <w:sz w:val="16"/>
        </w:rPr>
        <w:t>σε</w:t>
      </w:r>
      <w:r>
        <w:rPr>
          <w:spacing w:val="-6"/>
          <w:sz w:val="16"/>
        </w:rPr>
        <w:t> </w:t>
      </w:r>
      <w:r>
        <w:rPr>
          <w:sz w:val="16"/>
        </w:rPr>
        <w:t>ποσοστό</w:t>
      </w:r>
      <w:r>
        <w:rPr>
          <w:spacing w:val="-6"/>
          <w:sz w:val="16"/>
        </w:rPr>
        <w:t> </w:t>
      </w:r>
      <w:r>
        <w:rPr>
          <w:sz w:val="16"/>
        </w:rPr>
        <w:t>6%</w:t>
      </w:r>
      <w:r>
        <w:rPr>
          <w:spacing w:val="-7"/>
          <w:sz w:val="16"/>
        </w:rPr>
        <w:t> </w:t>
      </w:r>
      <w:r>
        <w:rPr>
          <w:sz w:val="16"/>
        </w:rPr>
        <w:t>και</w:t>
      </w:r>
      <w:r>
        <w:rPr>
          <w:spacing w:val="-8"/>
          <w:sz w:val="16"/>
        </w:rPr>
        <w:t> </w:t>
      </w:r>
      <w:r>
        <w:rPr>
          <w:sz w:val="16"/>
        </w:rPr>
        <w:t>17%</w:t>
      </w:r>
      <w:r>
        <w:rPr>
          <w:spacing w:val="-5"/>
          <w:sz w:val="16"/>
        </w:rPr>
        <w:t> </w:t>
      </w:r>
      <w:r>
        <w:rPr>
          <w:sz w:val="16"/>
        </w:rPr>
        <w:t>αντίστοιχα</w:t>
      </w:r>
      <w:r>
        <w:rPr>
          <w:spacing w:val="-10"/>
          <w:sz w:val="16"/>
        </w:rPr>
        <w:t> </w:t>
      </w:r>
      <w:r>
        <w:rPr>
          <w:sz w:val="16"/>
        </w:rPr>
        <w:t>επί</w:t>
      </w:r>
      <w:r>
        <w:rPr>
          <w:spacing w:val="-5"/>
          <w:sz w:val="16"/>
        </w:rPr>
        <w:t> </w:t>
      </w:r>
      <w:r>
        <w:rPr>
          <w:sz w:val="16"/>
        </w:rPr>
        <w:t>του</w:t>
      </w:r>
      <w:r>
        <w:rPr>
          <w:spacing w:val="-8"/>
          <w:sz w:val="16"/>
        </w:rPr>
        <w:t> </w:t>
      </w:r>
      <w:r>
        <w:rPr>
          <w:sz w:val="16"/>
        </w:rPr>
        <w:t>συνόλου</w:t>
      </w:r>
      <w:r>
        <w:rPr>
          <w:spacing w:val="-8"/>
          <w:sz w:val="16"/>
        </w:rPr>
        <w:t> </w:t>
      </w:r>
      <w:r>
        <w:rPr>
          <w:sz w:val="16"/>
        </w:rPr>
        <w:t>της</w:t>
      </w:r>
      <w:r>
        <w:rPr>
          <w:spacing w:val="40"/>
          <w:sz w:val="16"/>
        </w:rPr>
        <w:t> </w:t>
      </w:r>
      <w:r>
        <w:rPr>
          <w:sz w:val="16"/>
        </w:rPr>
        <w:t>ελληνικής ασφαλιστικής αγοράς.</w:t>
      </w:r>
    </w:p>
    <w:p>
      <w:pPr>
        <w:spacing w:after="0"/>
        <w:jc w:val="left"/>
        <w:rPr>
          <w:sz w:val="16"/>
        </w:rPr>
        <w:sectPr>
          <w:pgSz w:w="11910" w:h="16850"/>
          <w:pgMar w:header="0" w:footer="1108" w:top="1940" w:bottom="1300" w:left="1417" w:right="850"/>
        </w:sectPr>
      </w:pPr>
    </w:p>
    <w:p>
      <w:pPr>
        <w:pStyle w:val="BodyText"/>
        <w:spacing w:before="61"/>
        <w:rPr>
          <w:sz w:val="20"/>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4"/>
        <w:gridCol w:w="871"/>
        <w:gridCol w:w="955"/>
        <w:gridCol w:w="955"/>
        <w:gridCol w:w="954"/>
        <w:gridCol w:w="956"/>
      </w:tblGrid>
      <w:tr>
        <w:trPr>
          <w:trHeight w:val="446" w:hRule="atLeast"/>
        </w:trPr>
        <w:tc>
          <w:tcPr>
            <w:tcW w:w="8595" w:type="dxa"/>
            <w:gridSpan w:val="6"/>
            <w:shd w:val="clear" w:color="auto" w:fill="1F487C"/>
          </w:tcPr>
          <w:p>
            <w:pPr>
              <w:pStyle w:val="TableParagraph"/>
              <w:spacing w:before="120"/>
              <w:ind w:left="220"/>
              <w:rPr>
                <w:b/>
                <w:sz w:val="18"/>
              </w:rPr>
            </w:pPr>
            <w:r>
              <w:rPr>
                <w:b/>
                <w:color w:val="FFFFFF"/>
                <w:sz w:val="18"/>
              </w:rPr>
              <w:t>Πίνακας</w:t>
            </w:r>
            <w:r>
              <w:rPr>
                <w:b/>
                <w:color w:val="FFFFFF"/>
                <w:spacing w:val="-2"/>
                <w:sz w:val="18"/>
              </w:rPr>
              <w:t> </w:t>
            </w:r>
            <w:r>
              <w:rPr>
                <w:b/>
                <w:color w:val="FFFFFF"/>
                <w:sz w:val="18"/>
              </w:rPr>
              <w:t>V.2</w:t>
            </w:r>
            <w:r>
              <w:rPr>
                <w:b/>
                <w:color w:val="FFFFFF"/>
                <w:spacing w:val="-2"/>
                <w:sz w:val="18"/>
              </w:rPr>
              <w:t> </w:t>
            </w:r>
            <w:r>
              <w:rPr>
                <w:b/>
                <w:color w:val="FFFFFF"/>
                <w:sz w:val="18"/>
              </w:rPr>
              <w:t>Αρ</w:t>
            </w:r>
            <w:r>
              <w:rPr>
                <w:b/>
                <w:smallCaps/>
                <w:color w:val="FFFFFF"/>
                <w:sz w:val="18"/>
              </w:rPr>
              <w:t>ι</w:t>
            </w:r>
            <w:r>
              <w:rPr>
                <w:b/>
                <w:smallCaps w:val="0"/>
                <w:color w:val="FFFFFF"/>
                <w:sz w:val="18"/>
              </w:rPr>
              <w:t>θμός</w:t>
            </w:r>
            <w:r>
              <w:rPr>
                <w:b/>
                <w:smallCaps w:val="0"/>
                <w:color w:val="FFFFFF"/>
                <w:spacing w:val="-2"/>
                <w:sz w:val="18"/>
              </w:rPr>
              <w:t> </w:t>
            </w:r>
            <w:r>
              <w:rPr>
                <w:b/>
                <w:smallCaps w:val="0"/>
                <w:color w:val="FFFFFF"/>
                <w:sz w:val="18"/>
              </w:rPr>
              <w:t>ασφαλ</w:t>
            </w:r>
            <w:r>
              <w:rPr>
                <w:b/>
                <w:smallCaps/>
                <w:color w:val="FFFFFF"/>
                <w:sz w:val="18"/>
              </w:rPr>
              <w:t>ι</w:t>
            </w:r>
            <w:r>
              <w:rPr>
                <w:b/>
                <w:smallCaps w:val="0"/>
                <w:color w:val="FFFFFF"/>
                <w:sz w:val="18"/>
              </w:rPr>
              <w:t>στ</w:t>
            </w:r>
            <w:r>
              <w:rPr>
                <w:b/>
                <w:smallCaps/>
                <w:color w:val="FFFFFF"/>
                <w:sz w:val="18"/>
              </w:rPr>
              <w:t>ι</w:t>
            </w:r>
            <w:r>
              <w:rPr>
                <w:b/>
                <w:smallCaps w:val="0"/>
                <w:color w:val="FFFFFF"/>
                <w:sz w:val="18"/>
              </w:rPr>
              <w:t>κών 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w:t>
            </w:r>
            <w:r>
              <w:rPr>
                <w:b/>
                <w:smallCaps w:val="0"/>
                <w:color w:val="FFFFFF"/>
                <w:spacing w:val="-3"/>
                <w:sz w:val="18"/>
              </w:rPr>
              <w:t> </w:t>
            </w:r>
            <w:r>
              <w:rPr>
                <w:b/>
                <w:smallCaps w:val="0"/>
                <w:color w:val="FFFFFF"/>
                <w:sz w:val="18"/>
              </w:rPr>
              <w:t>με</w:t>
            </w:r>
            <w:r>
              <w:rPr>
                <w:b/>
                <w:smallCaps w:val="0"/>
                <w:color w:val="FFFFFF"/>
                <w:spacing w:val="-6"/>
                <w:sz w:val="18"/>
              </w:rPr>
              <w:t> </w:t>
            </w:r>
            <w:r>
              <w:rPr>
                <w:b/>
                <w:smallCaps w:val="0"/>
                <w:color w:val="FFFFFF"/>
                <w:sz w:val="18"/>
              </w:rPr>
              <w:t>δραστηρ</w:t>
            </w:r>
            <w:r>
              <w:rPr>
                <w:b/>
                <w:smallCaps/>
                <w:color w:val="FFFFFF"/>
                <w:sz w:val="18"/>
              </w:rPr>
              <w:t>ι</w:t>
            </w:r>
            <w:r>
              <w:rPr>
                <w:b/>
                <w:smallCaps w:val="0"/>
                <w:color w:val="FFFFFF"/>
                <w:sz w:val="18"/>
              </w:rPr>
              <w:t>ότητα</w:t>
            </w:r>
            <w:r>
              <w:rPr>
                <w:b/>
                <w:smallCaps w:val="0"/>
                <w:color w:val="FFFFFF"/>
                <w:spacing w:val="-3"/>
                <w:sz w:val="18"/>
              </w:rPr>
              <w:t> </w:t>
            </w:r>
            <w:r>
              <w:rPr>
                <w:b/>
                <w:smallCaps w:val="0"/>
                <w:color w:val="FFFFFF"/>
                <w:sz w:val="18"/>
              </w:rPr>
              <w:t>στην</w:t>
            </w:r>
            <w:r>
              <w:rPr>
                <w:b/>
                <w:smallCaps w:val="0"/>
                <w:color w:val="FFFFFF"/>
                <w:spacing w:val="-2"/>
                <w:sz w:val="18"/>
              </w:rPr>
              <w:t> Ελλάδα</w:t>
            </w:r>
          </w:p>
        </w:tc>
      </w:tr>
      <w:tr>
        <w:trPr>
          <w:trHeight w:val="398" w:hRule="atLeast"/>
        </w:trPr>
        <w:tc>
          <w:tcPr>
            <w:tcW w:w="3904" w:type="dxa"/>
            <w:shd w:val="clear" w:color="auto" w:fill="BEBEBE"/>
          </w:tcPr>
          <w:p>
            <w:pPr>
              <w:pStyle w:val="TableParagraph"/>
              <w:rPr>
                <w:sz w:val="20"/>
              </w:rPr>
            </w:pPr>
          </w:p>
        </w:tc>
        <w:tc>
          <w:tcPr>
            <w:tcW w:w="871" w:type="dxa"/>
            <w:shd w:val="clear" w:color="auto" w:fill="BEBEBE"/>
          </w:tcPr>
          <w:p>
            <w:pPr>
              <w:pStyle w:val="TableParagraph"/>
              <w:spacing w:before="96"/>
              <w:ind w:right="295"/>
              <w:jc w:val="right"/>
              <w:rPr>
                <w:b/>
                <w:sz w:val="18"/>
              </w:rPr>
            </w:pPr>
            <w:r>
              <w:rPr>
                <w:b/>
                <w:color w:val="1F487C"/>
                <w:spacing w:val="-4"/>
                <w:sz w:val="18"/>
              </w:rPr>
              <w:t>2021</w:t>
            </w:r>
          </w:p>
        </w:tc>
        <w:tc>
          <w:tcPr>
            <w:tcW w:w="955" w:type="dxa"/>
            <w:shd w:val="clear" w:color="auto" w:fill="BEBEBE"/>
          </w:tcPr>
          <w:p>
            <w:pPr>
              <w:pStyle w:val="TableParagraph"/>
              <w:spacing w:before="96"/>
              <w:ind w:left="1" w:right="1"/>
              <w:jc w:val="center"/>
              <w:rPr>
                <w:b/>
                <w:sz w:val="18"/>
              </w:rPr>
            </w:pPr>
            <w:r>
              <w:rPr>
                <w:b/>
                <w:color w:val="1F487C"/>
                <w:spacing w:val="-4"/>
                <w:sz w:val="18"/>
              </w:rPr>
              <w:t>2022</w:t>
            </w:r>
          </w:p>
        </w:tc>
        <w:tc>
          <w:tcPr>
            <w:tcW w:w="955" w:type="dxa"/>
            <w:shd w:val="clear" w:color="auto" w:fill="BEBEBE"/>
          </w:tcPr>
          <w:p>
            <w:pPr>
              <w:pStyle w:val="TableParagraph"/>
              <w:spacing w:before="96"/>
              <w:ind w:left="1" w:right="1"/>
              <w:jc w:val="center"/>
              <w:rPr>
                <w:b/>
                <w:sz w:val="18"/>
              </w:rPr>
            </w:pPr>
            <w:r>
              <w:rPr>
                <w:b/>
                <w:color w:val="1F487C"/>
                <w:spacing w:val="-4"/>
                <w:sz w:val="18"/>
              </w:rPr>
              <w:t>2023</w:t>
            </w:r>
          </w:p>
        </w:tc>
        <w:tc>
          <w:tcPr>
            <w:tcW w:w="954" w:type="dxa"/>
            <w:shd w:val="clear" w:color="auto" w:fill="BEBEBE"/>
          </w:tcPr>
          <w:p>
            <w:pPr>
              <w:pStyle w:val="TableParagraph"/>
              <w:spacing w:before="96"/>
              <w:ind w:left="1"/>
              <w:jc w:val="center"/>
              <w:rPr>
                <w:b/>
                <w:sz w:val="18"/>
              </w:rPr>
            </w:pPr>
            <w:r>
              <w:rPr>
                <w:b/>
                <w:color w:val="1F487C"/>
                <w:spacing w:val="-4"/>
                <w:sz w:val="18"/>
              </w:rPr>
              <w:t>2024</w:t>
            </w:r>
          </w:p>
        </w:tc>
        <w:tc>
          <w:tcPr>
            <w:tcW w:w="956" w:type="dxa"/>
            <w:shd w:val="clear" w:color="auto" w:fill="BEBEBE"/>
          </w:tcPr>
          <w:p>
            <w:pPr>
              <w:pStyle w:val="TableParagraph"/>
              <w:spacing w:before="96"/>
              <w:ind w:left="3"/>
              <w:jc w:val="center"/>
              <w:rPr>
                <w:b/>
                <w:sz w:val="18"/>
              </w:rPr>
            </w:pPr>
            <w:r>
              <w:rPr>
                <w:b/>
                <w:color w:val="1F487C"/>
                <w:spacing w:val="-4"/>
                <w:sz w:val="18"/>
              </w:rPr>
              <w:t>2025</w:t>
            </w:r>
          </w:p>
        </w:tc>
      </w:tr>
      <w:tr>
        <w:trPr>
          <w:trHeight w:val="338" w:hRule="atLeast"/>
        </w:trPr>
        <w:tc>
          <w:tcPr>
            <w:tcW w:w="3904" w:type="dxa"/>
            <w:shd w:val="clear" w:color="auto" w:fill="D9D9D9"/>
          </w:tcPr>
          <w:p>
            <w:pPr>
              <w:pStyle w:val="TableParagraph"/>
              <w:spacing w:before="64"/>
              <w:ind w:left="108"/>
              <w:rPr>
                <w:sz w:val="18"/>
              </w:rPr>
            </w:pPr>
            <w:r>
              <w:rPr>
                <w:sz w:val="18"/>
              </w:rPr>
              <w:t>Επιχειρήσεις</w:t>
            </w:r>
            <w:r>
              <w:rPr>
                <w:spacing w:val="-6"/>
                <w:sz w:val="18"/>
              </w:rPr>
              <w:t> </w:t>
            </w:r>
            <w:r>
              <w:rPr>
                <w:sz w:val="18"/>
              </w:rPr>
              <w:t>ασφαλίσεων</w:t>
            </w:r>
            <w:r>
              <w:rPr>
                <w:spacing w:val="-6"/>
                <w:sz w:val="18"/>
              </w:rPr>
              <w:t> </w:t>
            </w:r>
            <w:r>
              <w:rPr>
                <w:spacing w:val="-4"/>
                <w:sz w:val="18"/>
              </w:rPr>
              <w:t>ζωής</w:t>
            </w:r>
          </w:p>
        </w:tc>
        <w:tc>
          <w:tcPr>
            <w:tcW w:w="871" w:type="dxa"/>
            <w:shd w:val="clear" w:color="auto" w:fill="D9D9D9"/>
          </w:tcPr>
          <w:p>
            <w:pPr>
              <w:pStyle w:val="TableParagraph"/>
              <w:spacing w:before="64"/>
              <w:ind w:right="85"/>
              <w:jc w:val="center"/>
              <w:rPr>
                <w:sz w:val="18"/>
              </w:rPr>
            </w:pPr>
            <w:r>
              <w:rPr>
                <w:spacing w:val="-10"/>
                <w:sz w:val="18"/>
              </w:rPr>
              <w:t>2</w:t>
            </w:r>
          </w:p>
        </w:tc>
        <w:tc>
          <w:tcPr>
            <w:tcW w:w="955" w:type="dxa"/>
            <w:shd w:val="clear" w:color="auto" w:fill="D9D9D9"/>
          </w:tcPr>
          <w:p>
            <w:pPr>
              <w:pStyle w:val="TableParagraph"/>
              <w:spacing w:before="64"/>
              <w:ind w:right="1"/>
              <w:jc w:val="center"/>
              <w:rPr>
                <w:sz w:val="18"/>
              </w:rPr>
            </w:pPr>
            <w:r>
              <w:rPr>
                <w:spacing w:val="-10"/>
                <w:sz w:val="18"/>
              </w:rPr>
              <w:t>2</w:t>
            </w:r>
          </w:p>
        </w:tc>
        <w:tc>
          <w:tcPr>
            <w:tcW w:w="955" w:type="dxa"/>
            <w:shd w:val="clear" w:color="auto" w:fill="D9D9D9"/>
          </w:tcPr>
          <w:p>
            <w:pPr>
              <w:pStyle w:val="TableParagraph"/>
              <w:spacing w:before="64"/>
              <w:ind w:right="1"/>
              <w:jc w:val="center"/>
              <w:rPr>
                <w:sz w:val="18"/>
              </w:rPr>
            </w:pPr>
            <w:r>
              <w:rPr>
                <w:spacing w:val="-10"/>
                <w:sz w:val="18"/>
              </w:rPr>
              <w:t>2</w:t>
            </w:r>
          </w:p>
        </w:tc>
        <w:tc>
          <w:tcPr>
            <w:tcW w:w="954" w:type="dxa"/>
            <w:shd w:val="clear" w:color="auto" w:fill="D9D9D9"/>
          </w:tcPr>
          <w:p>
            <w:pPr>
              <w:pStyle w:val="TableParagraph"/>
              <w:spacing w:before="64"/>
              <w:ind w:left="1" w:right="1"/>
              <w:jc w:val="center"/>
              <w:rPr>
                <w:sz w:val="18"/>
              </w:rPr>
            </w:pPr>
            <w:r>
              <w:rPr>
                <w:spacing w:val="-10"/>
                <w:sz w:val="18"/>
              </w:rPr>
              <w:t>2</w:t>
            </w:r>
          </w:p>
        </w:tc>
        <w:tc>
          <w:tcPr>
            <w:tcW w:w="956" w:type="dxa"/>
            <w:shd w:val="clear" w:color="auto" w:fill="D9D9D9"/>
          </w:tcPr>
          <w:p>
            <w:pPr>
              <w:pStyle w:val="TableParagraph"/>
              <w:spacing w:before="64"/>
              <w:ind w:left="3" w:right="2"/>
              <w:jc w:val="center"/>
              <w:rPr>
                <w:sz w:val="18"/>
              </w:rPr>
            </w:pPr>
            <w:r>
              <w:rPr>
                <w:spacing w:val="-10"/>
                <w:sz w:val="18"/>
              </w:rPr>
              <w:t>2</w:t>
            </w:r>
          </w:p>
        </w:tc>
      </w:tr>
      <w:tr>
        <w:trPr>
          <w:trHeight w:val="340" w:hRule="atLeast"/>
        </w:trPr>
        <w:tc>
          <w:tcPr>
            <w:tcW w:w="3904" w:type="dxa"/>
            <w:shd w:val="clear" w:color="auto" w:fill="BEBEBE"/>
          </w:tcPr>
          <w:p>
            <w:pPr>
              <w:pStyle w:val="TableParagraph"/>
              <w:spacing w:before="67"/>
              <w:ind w:left="108"/>
              <w:rPr>
                <w:sz w:val="18"/>
              </w:rPr>
            </w:pPr>
            <w:r>
              <w:rPr>
                <w:sz w:val="18"/>
              </w:rPr>
              <w:t>Επιχειρήσεις</w:t>
            </w:r>
            <w:r>
              <w:rPr>
                <w:spacing w:val="-5"/>
                <w:sz w:val="18"/>
              </w:rPr>
              <w:t> </w:t>
            </w:r>
            <w:r>
              <w:rPr>
                <w:sz w:val="18"/>
              </w:rPr>
              <w:t>ασφαλίσεων</w:t>
            </w:r>
            <w:r>
              <w:rPr>
                <w:spacing w:val="-4"/>
                <w:sz w:val="18"/>
              </w:rPr>
              <w:t> </w:t>
            </w:r>
            <w:r>
              <w:rPr>
                <w:sz w:val="18"/>
              </w:rPr>
              <w:t>κατά</w:t>
            </w:r>
            <w:r>
              <w:rPr>
                <w:spacing w:val="-5"/>
                <w:sz w:val="18"/>
              </w:rPr>
              <w:t> </w:t>
            </w:r>
            <w:r>
              <w:rPr>
                <w:spacing w:val="-2"/>
                <w:sz w:val="18"/>
              </w:rPr>
              <w:t>ζημιών</w:t>
            </w:r>
          </w:p>
        </w:tc>
        <w:tc>
          <w:tcPr>
            <w:tcW w:w="871" w:type="dxa"/>
            <w:shd w:val="clear" w:color="auto" w:fill="BEBEBE"/>
          </w:tcPr>
          <w:p>
            <w:pPr>
              <w:pStyle w:val="TableParagraph"/>
              <w:spacing w:before="67"/>
              <w:ind w:right="385"/>
              <w:jc w:val="right"/>
              <w:rPr>
                <w:sz w:val="18"/>
              </w:rPr>
            </w:pPr>
            <w:r>
              <w:rPr>
                <w:spacing w:val="-5"/>
                <w:sz w:val="18"/>
              </w:rPr>
              <w:t>18</w:t>
            </w:r>
          </w:p>
        </w:tc>
        <w:tc>
          <w:tcPr>
            <w:tcW w:w="955" w:type="dxa"/>
            <w:shd w:val="clear" w:color="auto" w:fill="BEBEBE"/>
          </w:tcPr>
          <w:p>
            <w:pPr>
              <w:pStyle w:val="TableParagraph"/>
              <w:spacing w:before="67"/>
              <w:ind w:left="1" w:right="1"/>
              <w:jc w:val="center"/>
              <w:rPr>
                <w:sz w:val="18"/>
              </w:rPr>
            </w:pPr>
            <w:r>
              <w:rPr>
                <w:spacing w:val="-5"/>
                <w:sz w:val="18"/>
              </w:rPr>
              <w:t>19</w:t>
            </w:r>
          </w:p>
        </w:tc>
        <w:tc>
          <w:tcPr>
            <w:tcW w:w="955" w:type="dxa"/>
            <w:shd w:val="clear" w:color="auto" w:fill="BEBEBE"/>
          </w:tcPr>
          <w:p>
            <w:pPr>
              <w:pStyle w:val="TableParagraph"/>
              <w:spacing w:before="67"/>
              <w:ind w:left="1" w:right="1"/>
              <w:jc w:val="center"/>
              <w:rPr>
                <w:sz w:val="18"/>
              </w:rPr>
            </w:pPr>
            <w:r>
              <w:rPr>
                <w:spacing w:val="-5"/>
                <w:sz w:val="18"/>
              </w:rPr>
              <w:t>19</w:t>
            </w:r>
          </w:p>
        </w:tc>
        <w:tc>
          <w:tcPr>
            <w:tcW w:w="954" w:type="dxa"/>
            <w:shd w:val="clear" w:color="auto" w:fill="BEBEBE"/>
          </w:tcPr>
          <w:p>
            <w:pPr>
              <w:pStyle w:val="TableParagraph"/>
              <w:spacing w:before="67"/>
              <w:ind w:left="1"/>
              <w:jc w:val="center"/>
              <w:rPr>
                <w:sz w:val="18"/>
              </w:rPr>
            </w:pPr>
            <w:r>
              <w:rPr>
                <w:spacing w:val="-5"/>
                <w:sz w:val="18"/>
              </w:rPr>
              <w:t>19</w:t>
            </w:r>
          </w:p>
        </w:tc>
        <w:tc>
          <w:tcPr>
            <w:tcW w:w="956" w:type="dxa"/>
            <w:shd w:val="clear" w:color="auto" w:fill="BEBEBE"/>
          </w:tcPr>
          <w:p>
            <w:pPr>
              <w:pStyle w:val="TableParagraph"/>
              <w:spacing w:before="67"/>
              <w:ind w:left="3" w:right="1"/>
              <w:jc w:val="center"/>
              <w:rPr>
                <w:sz w:val="18"/>
              </w:rPr>
            </w:pPr>
            <w:r>
              <w:rPr>
                <w:spacing w:val="-5"/>
                <w:sz w:val="18"/>
              </w:rPr>
              <w:t>19</w:t>
            </w:r>
          </w:p>
        </w:tc>
      </w:tr>
      <w:tr>
        <w:trPr>
          <w:trHeight w:val="340" w:hRule="atLeast"/>
        </w:trPr>
        <w:tc>
          <w:tcPr>
            <w:tcW w:w="3904" w:type="dxa"/>
            <w:shd w:val="clear" w:color="auto" w:fill="D9D9D9"/>
          </w:tcPr>
          <w:p>
            <w:pPr>
              <w:pStyle w:val="TableParagraph"/>
              <w:spacing w:before="67"/>
              <w:ind w:left="108"/>
              <w:rPr>
                <w:sz w:val="18"/>
              </w:rPr>
            </w:pPr>
            <w:r>
              <w:rPr>
                <w:sz w:val="18"/>
              </w:rPr>
              <w:t>Επιχειρήσεις</w:t>
            </w:r>
            <w:r>
              <w:rPr>
                <w:spacing w:val="-3"/>
                <w:sz w:val="18"/>
              </w:rPr>
              <w:t> </w:t>
            </w:r>
            <w:r>
              <w:rPr>
                <w:sz w:val="18"/>
              </w:rPr>
              <w:t>ασφαλίσεων</w:t>
            </w:r>
            <w:r>
              <w:rPr>
                <w:spacing w:val="-3"/>
                <w:sz w:val="18"/>
              </w:rPr>
              <w:t> </w:t>
            </w:r>
            <w:r>
              <w:rPr>
                <w:sz w:val="18"/>
              </w:rPr>
              <w:t>ζωής</w:t>
            </w:r>
            <w:r>
              <w:rPr>
                <w:spacing w:val="-3"/>
                <w:sz w:val="18"/>
              </w:rPr>
              <w:t> </w:t>
            </w:r>
            <w:r>
              <w:rPr>
                <w:sz w:val="18"/>
              </w:rPr>
              <w:t>και</w:t>
            </w:r>
            <w:r>
              <w:rPr>
                <w:spacing w:val="-4"/>
                <w:sz w:val="18"/>
              </w:rPr>
              <w:t> </w:t>
            </w:r>
            <w:r>
              <w:rPr>
                <w:sz w:val="18"/>
              </w:rPr>
              <w:t>κατά</w:t>
            </w:r>
            <w:r>
              <w:rPr>
                <w:spacing w:val="-3"/>
                <w:sz w:val="18"/>
              </w:rPr>
              <w:t> </w:t>
            </w:r>
            <w:r>
              <w:rPr>
                <w:spacing w:val="-2"/>
                <w:sz w:val="18"/>
              </w:rPr>
              <w:t>ζημιών</w:t>
            </w:r>
          </w:p>
        </w:tc>
        <w:tc>
          <w:tcPr>
            <w:tcW w:w="871" w:type="dxa"/>
            <w:shd w:val="clear" w:color="auto" w:fill="D9D9D9"/>
          </w:tcPr>
          <w:p>
            <w:pPr>
              <w:pStyle w:val="TableParagraph"/>
              <w:spacing w:before="67"/>
              <w:ind w:right="385"/>
              <w:jc w:val="right"/>
              <w:rPr>
                <w:sz w:val="18"/>
              </w:rPr>
            </w:pPr>
            <w:r>
              <w:rPr>
                <w:spacing w:val="-5"/>
                <w:sz w:val="18"/>
              </w:rPr>
              <w:t>16</w:t>
            </w:r>
          </w:p>
        </w:tc>
        <w:tc>
          <w:tcPr>
            <w:tcW w:w="955" w:type="dxa"/>
            <w:shd w:val="clear" w:color="auto" w:fill="D9D9D9"/>
          </w:tcPr>
          <w:p>
            <w:pPr>
              <w:pStyle w:val="TableParagraph"/>
              <w:spacing w:before="67"/>
              <w:ind w:left="1" w:right="1"/>
              <w:jc w:val="center"/>
              <w:rPr>
                <w:sz w:val="18"/>
              </w:rPr>
            </w:pPr>
            <w:r>
              <w:rPr>
                <w:spacing w:val="-5"/>
                <w:sz w:val="18"/>
              </w:rPr>
              <w:t>15</w:t>
            </w:r>
          </w:p>
        </w:tc>
        <w:tc>
          <w:tcPr>
            <w:tcW w:w="955" w:type="dxa"/>
            <w:shd w:val="clear" w:color="auto" w:fill="D9D9D9"/>
          </w:tcPr>
          <w:p>
            <w:pPr>
              <w:pStyle w:val="TableParagraph"/>
              <w:spacing w:before="67"/>
              <w:ind w:left="1" w:right="1"/>
              <w:jc w:val="center"/>
              <w:rPr>
                <w:sz w:val="18"/>
              </w:rPr>
            </w:pPr>
            <w:r>
              <w:rPr>
                <w:spacing w:val="-5"/>
                <w:sz w:val="18"/>
              </w:rPr>
              <w:t>13</w:t>
            </w:r>
          </w:p>
        </w:tc>
        <w:tc>
          <w:tcPr>
            <w:tcW w:w="954" w:type="dxa"/>
            <w:shd w:val="clear" w:color="auto" w:fill="D9D9D9"/>
          </w:tcPr>
          <w:p>
            <w:pPr>
              <w:pStyle w:val="TableParagraph"/>
              <w:spacing w:before="67"/>
              <w:ind w:left="1"/>
              <w:jc w:val="center"/>
              <w:rPr>
                <w:sz w:val="18"/>
              </w:rPr>
            </w:pPr>
            <w:r>
              <w:rPr>
                <w:spacing w:val="-5"/>
                <w:sz w:val="18"/>
              </w:rPr>
              <w:t>13</w:t>
            </w:r>
          </w:p>
        </w:tc>
        <w:tc>
          <w:tcPr>
            <w:tcW w:w="956" w:type="dxa"/>
            <w:shd w:val="clear" w:color="auto" w:fill="D9D9D9"/>
          </w:tcPr>
          <w:p>
            <w:pPr>
              <w:pStyle w:val="TableParagraph"/>
              <w:spacing w:before="67"/>
              <w:ind w:left="3" w:right="1"/>
              <w:jc w:val="center"/>
              <w:rPr>
                <w:sz w:val="18"/>
              </w:rPr>
            </w:pPr>
            <w:r>
              <w:rPr>
                <w:spacing w:val="-5"/>
                <w:sz w:val="18"/>
              </w:rPr>
              <w:t>13</w:t>
            </w:r>
          </w:p>
        </w:tc>
      </w:tr>
      <w:tr>
        <w:trPr>
          <w:trHeight w:val="338" w:hRule="atLeast"/>
        </w:trPr>
        <w:tc>
          <w:tcPr>
            <w:tcW w:w="3904" w:type="dxa"/>
            <w:shd w:val="clear" w:color="auto" w:fill="BEBEBE"/>
          </w:tcPr>
          <w:p>
            <w:pPr>
              <w:pStyle w:val="TableParagraph"/>
              <w:spacing w:before="64"/>
              <w:ind w:left="108"/>
              <w:rPr>
                <w:b/>
                <w:sz w:val="18"/>
              </w:rPr>
            </w:pPr>
            <w:r>
              <w:rPr>
                <w:b/>
                <w:color w:val="1F487C"/>
                <w:spacing w:val="-2"/>
                <w:sz w:val="18"/>
              </w:rPr>
              <w:t>Σύνολο</w:t>
            </w:r>
          </w:p>
        </w:tc>
        <w:tc>
          <w:tcPr>
            <w:tcW w:w="871" w:type="dxa"/>
            <w:shd w:val="clear" w:color="auto" w:fill="BEBEBE"/>
          </w:tcPr>
          <w:p>
            <w:pPr>
              <w:pStyle w:val="TableParagraph"/>
              <w:spacing w:before="64"/>
              <w:ind w:right="385"/>
              <w:jc w:val="right"/>
              <w:rPr>
                <w:b/>
                <w:sz w:val="18"/>
              </w:rPr>
            </w:pPr>
            <w:r>
              <w:rPr>
                <w:b/>
                <w:color w:val="1F487C"/>
                <w:spacing w:val="-5"/>
                <w:sz w:val="18"/>
              </w:rPr>
              <w:t>36</w:t>
            </w:r>
          </w:p>
        </w:tc>
        <w:tc>
          <w:tcPr>
            <w:tcW w:w="955" w:type="dxa"/>
            <w:shd w:val="clear" w:color="auto" w:fill="BEBEBE"/>
          </w:tcPr>
          <w:p>
            <w:pPr>
              <w:pStyle w:val="TableParagraph"/>
              <w:spacing w:before="64"/>
              <w:ind w:left="1" w:right="1"/>
              <w:jc w:val="center"/>
              <w:rPr>
                <w:b/>
                <w:sz w:val="18"/>
              </w:rPr>
            </w:pPr>
            <w:r>
              <w:rPr>
                <w:b/>
                <w:color w:val="1F487C"/>
                <w:spacing w:val="-5"/>
                <w:sz w:val="18"/>
              </w:rPr>
              <w:t>36</w:t>
            </w:r>
          </w:p>
        </w:tc>
        <w:tc>
          <w:tcPr>
            <w:tcW w:w="955" w:type="dxa"/>
            <w:shd w:val="clear" w:color="auto" w:fill="BEBEBE"/>
          </w:tcPr>
          <w:p>
            <w:pPr>
              <w:pStyle w:val="TableParagraph"/>
              <w:spacing w:before="64"/>
              <w:ind w:left="1" w:right="1"/>
              <w:jc w:val="center"/>
              <w:rPr>
                <w:b/>
                <w:sz w:val="18"/>
              </w:rPr>
            </w:pPr>
            <w:r>
              <w:rPr>
                <w:b/>
                <w:color w:val="1F487C"/>
                <w:spacing w:val="-5"/>
                <w:sz w:val="18"/>
              </w:rPr>
              <w:t>34</w:t>
            </w:r>
          </w:p>
        </w:tc>
        <w:tc>
          <w:tcPr>
            <w:tcW w:w="954" w:type="dxa"/>
            <w:shd w:val="clear" w:color="auto" w:fill="BEBEBE"/>
          </w:tcPr>
          <w:p>
            <w:pPr>
              <w:pStyle w:val="TableParagraph"/>
              <w:spacing w:before="64"/>
              <w:ind w:left="1"/>
              <w:jc w:val="center"/>
              <w:rPr>
                <w:b/>
                <w:sz w:val="18"/>
              </w:rPr>
            </w:pPr>
            <w:r>
              <w:rPr>
                <w:b/>
                <w:color w:val="1F487C"/>
                <w:spacing w:val="-5"/>
                <w:sz w:val="18"/>
              </w:rPr>
              <w:t>34</w:t>
            </w:r>
          </w:p>
        </w:tc>
        <w:tc>
          <w:tcPr>
            <w:tcW w:w="956" w:type="dxa"/>
            <w:shd w:val="clear" w:color="auto" w:fill="BEBEBE"/>
          </w:tcPr>
          <w:p>
            <w:pPr>
              <w:pStyle w:val="TableParagraph"/>
              <w:spacing w:before="64"/>
              <w:ind w:left="3" w:right="1"/>
              <w:jc w:val="center"/>
              <w:rPr>
                <w:b/>
                <w:sz w:val="18"/>
              </w:rPr>
            </w:pPr>
            <w:r>
              <w:rPr>
                <w:b/>
                <w:color w:val="1F487C"/>
                <w:spacing w:val="-5"/>
                <w:sz w:val="18"/>
              </w:rPr>
              <w:t>34</w:t>
            </w:r>
          </w:p>
        </w:tc>
      </w:tr>
      <w:tr>
        <w:trPr>
          <w:trHeight w:val="568" w:hRule="atLeast"/>
        </w:trPr>
        <w:tc>
          <w:tcPr>
            <w:tcW w:w="3904" w:type="dxa"/>
            <w:shd w:val="clear" w:color="auto" w:fill="D9D9D9"/>
          </w:tcPr>
          <w:p>
            <w:pPr>
              <w:pStyle w:val="TableParagraph"/>
              <w:spacing w:before="76"/>
              <w:ind w:left="108" w:right="266"/>
              <w:rPr>
                <w:sz w:val="18"/>
              </w:rPr>
            </w:pPr>
            <w:r>
              <w:rPr>
                <w:sz w:val="18"/>
              </w:rPr>
              <w:t>εκ</w:t>
            </w:r>
            <w:r>
              <w:rPr>
                <w:spacing w:val="-6"/>
                <w:sz w:val="18"/>
              </w:rPr>
              <w:t> </w:t>
            </w:r>
            <w:r>
              <w:rPr>
                <w:sz w:val="18"/>
              </w:rPr>
              <w:t>των</w:t>
            </w:r>
            <w:r>
              <w:rPr>
                <w:spacing w:val="-6"/>
                <w:sz w:val="18"/>
              </w:rPr>
              <w:t> </w:t>
            </w:r>
            <w:r>
              <w:rPr>
                <w:sz w:val="18"/>
              </w:rPr>
              <w:t>οποίων</w:t>
            </w:r>
            <w:r>
              <w:rPr>
                <w:spacing w:val="-6"/>
                <w:sz w:val="18"/>
              </w:rPr>
              <w:t> </w:t>
            </w:r>
            <w:r>
              <w:rPr>
                <w:sz w:val="18"/>
              </w:rPr>
              <w:t>εποπτεύονται</w:t>
            </w:r>
            <w:r>
              <w:rPr>
                <w:spacing w:val="-6"/>
                <w:sz w:val="18"/>
              </w:rPr>
              <w:t> </w:t>
            </w:r>
            <w:r>
              <w:rPr>
                <w:sz w:val="18"/>
              </w:rPr>
              <w:t>σύμφωνα</w:t>
            </w:r>
            <w:r>
              <w:rPr>
                <w:spacing w:val="-6"/>
                <w:sz w:val="18"/>
              </w:rPr>
              <w:t> </w:t>
            </w:r>
            <w:r>
              <w:rPr>
                <w:sz w:val="18"/>
              </w:rPr>
              <w:t>με</w:t>
            </w:r>
            <w:r>
              <w:rPr>
                <w:spacing w:val="-5"/>
                <w:sz w:val="18"/>
              </w:rPr>
              <w:t> </w:t>
            </w:r>
            <w:r>
              <w:rPr>
                <w:sz w:val="18"/>
              </w:rPr>
              <w:t>τη</w:t>
            </w:r>
            <w:r>
              <w:rPr>
                <w:spacing w:val="-7"/>
                <w:sz w:val="18"/>
              </w:rPr>
              <w:t> </w:t>
            </w:r>
            <w:r>
              <w:rPr>
                <w:sz w:val="18"/>
              </w:rPr>
              <w:t>Φε-ρεγγυότητα ΙΙ</w:t>
            </w:r>
          </w:p>
        </w:tc>
        <w:tc>
          <w:tcPr>
            <w:tcW w:w="871" w:type="dxa"/>
            <w:shd w:val="clear" w:color="auto" w:fill="D9D9D9"/>
          </w:tcPr>
          <w:p>
            <w:pPr>
              <w:pStyle w:val="TableParagraph"/>
              <w:spacing w:before="180"/>
              <w:ind w:right="385"/>
              <w:jc w:val="right"/>
              <w:rPr>
                <w:sz w:val="18"/>
              </w:rPr>
            </w:pPr>
            <w:r>
              <w:rPr>
                <w:spacing w:val="-5"/>
                <w:sz w:val="18"/>
              </w:rPr>
              <w:t>34</w:t>
            </w:r>
          </w:p>
        </w:tc>
        <w:tc>
          <w:tcPr>
            <w:tcW w:w="955" w:type="dxa"/>
            <w:shd w:val="clear" w:color="auto" w:fill="D9D9D9"/>
          </w:tcPr>
          <w:p>
            <w:pPr>
              <w:pStyle w:val="TableParagraph"/>
              <w:spacing w:before="180"/>
              <w:ind w:left="1" w:right="1"/>
              <w:jc w:val="center"/>
              <w:rPr>
                <w:sz w:val="18"/>
              </w:rPr>
            </w:pPr>
            <w:r>
              <w:rPr>
                <w:spacing w:val="-5"/>
                <w:sz w:val="18"/>
              </w:rPr>
              <w:t>34</w:t>
            </w:r>
          </w:p>
        </w:tc>
        <w:tc>
          <w:tcPr>
            <w:tcW w:w="955" w:type="dxa"/>
            <w:shd w:val="clear" w:color="auto" w:fill="D9D9D9"/>
          </w:tcPr>
          <w:p>
            <w:pPr>
              <w:pStyle w:val="TableParagraph"/>
              <w:spacing w:before="180"/>
              <w:ind w:left="1" w:right="1"/>
              <w:jc w:val="center"/>
              <w:rPr>
                <w:sz w:val="18"/>
              </w:rPr>
            </w:pPr>
            <w:r>
              <w:rPr>
                <w:spacing w:val="-5"/>
                <w:sz w:val="18"/>
              </w:rPr>
              <w:t>31</w:t>
            </w:r>
          </w:p>
        </w:tc>
        <w:tc>
          <w:tcPr>
            <w:tcW w:w="954" w:type="dxa"/>
            <w:shd w:val="clear" w:color="auto" w:fill="D9D9D9"/>
          </w:tcPr>
          <w:p>
            <w:pPr>
              <w:pStyle w:val="TableParagraph"/>
              <w:spacing w:before="180"/>
              <w:ind w:left="1"/>
              <w:jc w:val="center"/>
              <w:rPr>
                <w:sz w:val="18"/>
              </w:rPr>
            </w:pPr>
            <w:r>
              <w:rPr>
                <w:spacing w:val="-5"/>
                <w:sz w:val="18"/>
              </w:rPr>
              <w:t>31</w:t>
            </w:r>
          </w:p>
        </w:tc>
        <w:tc>
          <w:tcPr>
            <w:tcW w:w="956" w:type="dxa"/>
            <w:shd w:val="clear" w:color="auto" w:fill="D9D9D9"/>
          </w:tcPr>
          <w:p>
            <w:pPr>
              <w:pStyle w:val="TableParagraph"/>
              <w:spacing w:before="180"/>
              <w:ind w:left="3" w:right="1"/>
              <w:jc w:val="center"/>
              <w:rPr>
                <w:sz w:val="18"/>
              </w:rPr>
            </w:pPr>
            <w:r>
              <w:rPr>
                <w:spacing w:val="-5"/>
                <w:sz w:val="18"/>
              </w:rPr>
              <w:t>31</w:t>
            </w:r>
          </w:p>
        </w:tc>
      </w:tr>
      <w:tr>
        <w:trPr>
          <w:trHeight w:val="586" w:hRule="atLeast"/>
        </w:trPr>
        <w:tc>
          <w:tcPr>
            <w:tcW w:w="3904" w:type="dxa"/>
            <w:shd w:val="clear" w:color="auto" w:fill="BEBEBE"/>
          </w:tcPr>
          <w:p>
            <w:pPr>
              <w:pStyle w:val="TableParagraph"/>
              <w:spacing w:before="75"/>
              <w:ind w:left="108" w:right="266"/>
              <w:rPr>
                <w:i/>
                <w:sz w:val="18"/>
              </w:rPr>
            </w:pPr>
            <w:r>
              <w:rPr>
                <w:i/>
                <w:sz w:val="18"/>
              </w:rPr>
              <w:t>Υποκαταστήματα</w:t>
            </w:r>
            <w:r>
              <w:rPr>
                <w:i/>
                <w:spacing w:val="-12"/>
                <w:sz w:val="18"/>
              </w:rPr>
              <w:t> </w:t>
            </w:r>
            <w:r>
              <w:rPr>
                <w:i/>
                <w:sz w:val="18"/>
              </w:rPr>
              <w:t>ασφαλιστικών</w:t>
            </w:r>
            <w:r>
              <w:rPr>
                <w:i/>
                <w:spacing w:val="-11"/>
                <w:sz w:val="18"/>
              </w:rPr>
              <w:t> </w:t>
            </w:r>
            <w:r>
              <w:rPr>
                <w:i/>
                <w:sz w:val="18"/>
              </w:rPr>
              <w:t>επιχειρήσεων</w:t>
            </w:r>
            <w:r>
              <w:rPr>
                <w:i/>
                <w:spacing w:val="-11"/>
                <w:sz w:val="18"/>
              </w:rPr>
              <w:t> </w:t>
            </w:r>
            <w:r>
              <w:rPr>
                <w:i/>
                <w:sz w:val="18"/>
              </w:rPr>
              <w:t>με έδρα σε άλλο κράτος-μέλος της ΕΕ</w:t>
            </w:r>
          </w:p>
        </w:tc>
        <w:tc>
          <w:tcPr>
            <w:tcW w:w="871" w:type="dxa"/>
            <w:shd w:val="clear" w:color="auto" w:fill="BEBEBE"/>
          </w:tcPr>
          <w:p>
            <w:pPr>
              <w:pStyle w:val="TableParagraph"/>
              <w:spacing w:before="180"/>
              <w:ind w:right="385"/>
              <w:jc w:val="right"/>
              <w:rPr>
                <w:i/>
                <w:sz w:val="18"/>
              </w:rPr>
            </w:pPr>
            <w:r>
              <w:rPr>
                <w:i/>
                <w:spacing w:val="-5"/>
                <w:sz w:val="18"/>
              </w:rPr>
              <w:t>21</w:t>
            </w:r>
          </w:p>
        </w:tc>
        <w:tc>
          <w:tcPr>
            <w:tcW w:w="955" w:type="dxa"/>
            <w:shd w:val="clear" w:color="auto" w:fill="BEBEBE"/>
          </w:tcPr>
          <w:p>
            <w:pPr>
              <w:pStyle w:val="TableParagraph"/>
              <w:spacing w:before="180"/>
              <w:ind w:left="1" w:right="1"/>
              <w:jc w:val="center"/>
              <w:rPr>
                <w:i/>
                <w:sz w:val="18"/>
              </w:rPr>
            </w:pPr>
            <w:r>
              <w:rPr>
                <w:i/>
                <w:spacing w:val="-5"/>
                <w:sz w:val="18"/>
              </w:rPr>
              <w:t>20</w:t>
            </w:r>
          </w:p>
        </w:tc>
        <w:tc>
          <w:tcPr>
            <w:tcW w:w="955" w:type="dxa"/>
            <w:shd w:val="clear" w:color="auto" w:fill="BEBEBE"/>
          </w:tcPr>
          <w:p>
            <w:pPr>
              <w:pStyle w:val="TableParagraph"/>
              <w:spacing w:before="180"/>
              <w:ind w:right="1"/>
              <w:jc w:val="center"/>
              <w:rPr>
                <w:i/>
                <w:sz w:val="18"/>
              </w:rPr>
            </w:pPr>
            <w:r>
              <w:rPr>
                <w:i/>
                <w:spacing w:val="-5"/>
                <w:sz w:val="18"/>
              </w:rPr>
              <w:t>21</w:t>
            </w:r>
          </w:p>
        </w:tc>
        <w:tc>
          <w:tcPr>
            <w:tcW w:w="954" w:type="dxa"/>
            <w:shd w:val="clear" w:color="auto" w:fill="BEBEBE"/>
          </w:tcPr>
          <w:p>
            <w:pPr>
              <w:pStyle w:val="TableParagraph"/>
              <w:spacing w:before="180"/>
              <w:ind w:left="1" w:right="1"/>
              <w:jc w:val="center"/>
              <w:rPr>
                <w:i/>
                <w:sz w:val="18"/>
              </w:rPr>
            </w:pPr>
            <w:r>
              <w:rPr>
                <w:i/>
                <w:spacing w:val="-5"/>
                <w:sz w:val="18"/>
              </w:rPr>
              <w:t>22</w:t>
            </w:r>
          </w:p>
        </w:tc>
        <w:tc>
          <w:tcPr>
            <w:tcW w:w="956" w:type="dxa"/>
            <w:shd w:val="clear" w:color="auto" w:fill="BEBEBE"/>
          </w:tcPr>
          <w:p>
            <w:pPr>
              <w:pStyle w:val="TableParagraph"/>
              <w:spacing w:before="180"/>
              <w:ind w:left="3" w:right="1"/>
              <w:jc w:val="center"/>
              <w:rPr>
                <w:i/>
                <w:sz w:val="18"/>
              </w:rPr>
            </w:pPr>
            <w:r>
              <w:rPr>
                <w:i/>
                <w:spacing w:val="-5"/>
                <w:sz w:val="18"/>
              </w:rPr>
              <w:t>21</w:t>
            </w:r>
          </w:p>
        </w:tc>
      </w:tr>
      <w:tr>
        <w:trPr>
          <w:trHeight w:val="621" w:hRule="atLeast"/>
        </w:trPr>
        <w:tc>
          <w:tcPr>
            <w:tcW w:w="3904" w:type="dxa"/>
            <w:shd w:val="clear" w:color="auto" w:fill="D9D9D9"/>
          </w:tcPr>
          <w:p>
            <w:pPr>
              <w:pStyle w:val="TableParagraph"/>
              <w:ind w:left="108" w:right="254"/>
              <w:rPr>
                <w:sz w:val="18"/>
              </w:rPr>
            </w:pPr>
            <w:r>
              <w:rPr>
                <w:sz w:val="18"/>
              </w:rPr>
              <w:t>Ασφαλιστικές</w:t>
            </w:r>
            <w:r>
              <w:rPr>
                <w:spacing w:val="-5"/>
                <w:sz w:val="18"/>
              </w:rPr>
              <w:t> </w:t>
            </w:r>
            <w:r>
              <w:rPr>
                <w:sz w:val="18"/>
              </w:rPr>
              <w:t>επιχειρήσεις</w:t>
            </w:r>
            <w:r>
              <w:rPr>
                <w:spacing w:val="-5"/>
                <w:sz w:val="18"/>
              </w:rPr>
              <w:t> </w:t>
            </w:r>
            <w:r>
              <w:rPr>
                <w:sz w:val="18"/>
              </w:rPr>
              <w:t>με</w:t>
            </w:r>
            <w:r>
              <w:rPr>
                <w:spacing w:val="-5"/>
                <w:sz w:val="18"/>
              </w:rPr>
              <w:t> </w:t>
            </w:r>
            <w:r>
              <w:rPr>
                <w:sz w:val="18"/>
              </w:rPr>
              <w:t>καθεστώς</w:t>
            </w:r>
            <w:r>
              <w:rPr>
                <w:spacing w:val="-5"/>
                <w:sz w:val="18"/>
              </w:rPr>
              <w:t> </w:t>
            </w:r>
            <w:r>
              <w:rPr>
                <w:sz w:val="18"/>
              </w:rPr>
              <w:t>ελεύθε-ρης</w:t>
            </w:r>
            <w:r>
              <w:rPr>
                <w:spacing w:val="-4"/>
                <w:sz w:val="18"/>
              </w:rPr>
              <w:t> </w:t>
            </w:r>
            <w:r>
              <w:rPr>
                <w:sz w:val="18"/>
              </w:rPr>
              <w:t>παροχής</w:t>
            </w:r>
            <w:r>
              <w:rPr>
                <w:spacing w:val="-3"/>
                <w:sz w:val="18"/>
              </w:rPr>
              <w:t> </w:t>
            </w:r>
            <w:r>
              <w:rPr>
                <w:sz w:val="18"/>
              </w:rPr>
              <w:t>υπηρεσιών</w:t>
            </w:r>
            <w:r>
              <w:rPr>
                <w:spacing w:val="-3"/>
                <w:sz w:val="18"/>
              </w:rPr>
              <w:t> </w:t>
            </w:r>
            <w:r>
              <w:rPr>
                <w:sz w:val="18"/>
              </w:rPr>
              <w:t>ή</w:t>
            </w:r>
            <w:r>
              <w:rPr>
                <w:spacing w:val="-3"/>
                <w:sz w:val="18"/>
              </w:rPr>
              <w:t> </w:t>
            </w:r>
            <w:r>
              <w:rPr>
                <w:sz w:val="18"/>
              </w:rPr>
              <w:t>ελεύθερης</w:t>
            </w:r>
            <w:r>
              <w:rPr>
                <w:spacing w:val="-3"/>
                <w:sz w:val="18"/>
              </w:rPr>
              <w:t> </w:t>
            </w:r>
            <w:r>
              <w:rPr>
                <w:spacing w:val="-2"/>
                <w:sz w:val="18"/>
              </w:rPr>
              <w:t>εγκατάστα-</w:t>
            </w:r>
          </w:p>
          <w:p>
            <w:pPr>
              <w:pStyle w:val="TableParagraph"/>
              <w:spacing w:line="186" w:lineRule="exact" w:before="1"/>
              <w:ind w:left="108"/>
              <w:rPr>
                <w:sz w:val="18"/>
              </w:rPr>
            </w:pPr>
            <w:r>
              <w:rPr>
                <w:spacing w:val="-5"/>
                <w:sz w:val="18"/>
              </w:rPr>
              <w:t>σης</w:t>
            </w:r>
          </w:p>
        </w:tc>
        <w:tc>
          <w:tcPr>
            <w:tcW w:w="871" w:type="dxa"/>
            <w:shd w:val="clear" w:color="auto" w:fill="D9D9D9"/>
          </w:tcPr>
          <w:p>
            <w:pPr>
              <w:pStyle w:val="TableParagraph"/>
              <w:spacing w:before="206"/>
              <w:ind w:right="339"/>
              <w:jc w:val="right"/>
              <w:rPr>
                <w:sz w:val="18"/>
              </w:rPr>
            </w:pPr>
            <w:r>
              <w:rPr>
                <w:spacing w:val="-5"/>
                <w:sz w:val="18"/>
              </w:rPr>
              <w:t>216</w:t>
            </w:r>
          </w:p>
        </w:tc>
        <w:tc>
          <w:tcPr>
            <w:tcW w:w="955" w:type="dxa"/>
            <w:shd w:val="clear" w:color="auto" w:fill="D9D9D9"/>
          </w:tcPr>
          <w:p>
            <w:pPr>
              <w:pStyle w:val="TableParagraph"/>
              <w:spacing w:before="206"/>
              <w:ind w:left="1" w:right="1"/>
              <w:jc w:val="center"/>
              <w:rPr>
                <w:sz w:val="18"/>
              </w:rPr>
            </w:pPr>
            <w:r>
              <w:rPr>
                <w:spacing w:val="-5"/>
                <w:sz w:val="18"/>
              </w:rPr>
              <w:t>230</w:t>
            </w:r>
          </w:p>
        </w:tc>
        <w:tc>
          <w:tcPr>
            <w:tcW w:w="955" w:type="dxa"/>
            <w:shd w:val="clear" w:color="auto" w:fill="D9D9D9"/>
          </w:tcPr>
          <w:p>
            <w:pPr>
              <w:pStyle w:val="TableParagraph"/>
              <w:spacing w:before="206"/>
              <w:ind w:left="1" w:right="1"/>
              <w:jc w:val="center"/>
              <w:rPr>
                <w:sz w:val="18"/>
              </w:rPr>
            </w:pPr>
            <w:r>
              <w:rPr>
                <w:spacing w:val="-5"/>
                <w:sz w:val="18"/>
              </w:rPr>
              <w:t>188</w:t>
            </w:r>
          </w:p>
        </w:tc>
        <w:tc>
          <w:tcPr>
            <w:tcW w:w="954" w:type="dxa"/>
            <w:shd w:val="clear" w:color="auto" w:fill="D9D9D9"/>
          </w:tcPr>
          <w:p>
            <w:pPr>
              <w:pStyle w:val="TableParagraph"/>
              <w:spacing w:before="206"/>
              <w:ind w:left="1"/>
              <w:jc w:val="center"/>
              <w:rPr>
                <w:sz w:val="18"/>
              </w:rPr>
            </w:pPr>
            <w:r>
              <w:rPr>
                <w:spacing w:val="-5"/>
                <w:sz w:val="18"/>
              </w:rPr>
              <w:t>211</w:t>
            </w:r>
          </w:p>
        </w:tc>
        <w:tc>
          <w:tcPr>
            <w:tcW w:w="956" w:type="dxa"/>
            <w:shd w:val="clear" w:color="auto" w:fill="D9D9D9"/>
          </w:tcPr>
          <w:p>
            <w:pPr>
              <w:pStyle w:val="TableParagraph"/>
              <w:spacing w:before="206"/>
              <w:ind w:left="3"/>
              <w:jc w:val="center"/>
              <w:rPr>
                <w:sz w:val="18"/>
              </w:rPr>
            </w:pPr>
            <w:r>
              <w:rPr>
                <w:spacing w:val="-4"/>
                <w:sz w:val="18"/>
              </w:rPr>
              <w:t>Μ.Δ.</w:t>
            </w:r>
          </w:p>
        </w:tc>
      </w:tr>
      <w:tr>
        <w:trPr>
          <w:trHeight w:val="448" w:hRule="atLeast"/>
        </w:trPr>
        <w:tc>
          <w:tcPr>
            <w:tcW w:w="8595" w:type="dxa"/>
            <w:gridSpan w:val="6"/>
            <w:shd w:val="clear" w:color="auto" w:fill="BEBEBE"/>
          </w:tcPr>
          <w:p>
            <w:pPr>
              <w:pStyle w:val="TableParagraph"/>
              <w:spacing w:before="10"/>
              <w:rPr>
                <w:sz w:val="14"/>
              </w:rPr>
            </w:pPr>
          </w:p>
          <w:p>
            <w:pPr>
              <w:pStyle w:val="TableParagraph"/>
              <w:ind w:left="220"/>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BodyText"/>
        <w:spacing w:line="285" w:lineRule="auto" w:before="100"/>
        <w:ind w:left="172" w:right="958"/>
        <w:jc w:val="both"/>
      </w:pPr>
      <w:r>
        <w:rPr/>
        <w:t>Επισημαίνεται ότι οι επιχειρήσεις αυτές έχουν μεγάλο μερίδιο αγοράς στον τομέα ασφάλισης αστικής</w:t>
      </w:r>
      <w:r>
        <w:rPr>
          <w:spacing w:val="-4"/>
        </w:rPr>
        <w:t> </w:t>
      </w:r>
      <w:r>
        <w:rPr/>
        <w:t>ευθύνης</w:t>
      </w:r>
      <w:r>
        <w:rPr>
          <w:spacing w:val="-3"/>
        </w:rPr>
        <w:t> </w:t>
      </w:r>
      <w:r>
        <w:rPr/>
        <w:t>χερσαίων</w:t>
      </w:r>
      <w:r>
        <w:rPr>
          <w:spacing w:val="-4"/>
        </w:rPr>
        <w:t> </w:t>
      </w:r>
      <w:r>
        <w:rPr/>
        <w:t>οχημάτων.</w:t>
      </w:r>
      <w:r>
        <w:rPr>
          <w:spacing w:val="-2"/>
        </w:rPr>
        <w:t> </w:t>
      </w:r>
      <w:r>
        <w:rPr/>
        <w:t>Το</w:t>
      </w:r>
      <w:r>
        <w:rPr>
          <w:spacing w:val="-2"/>
        </w:rPr>
        <w:t> </w:t>
      </w:r>
      <w:r>
        <w:rPr/>
        <w:t>2025</w:t>
      </w:r>
      <w:r>
        <w:rPr>
          <w:spacing w:val="-2"/>
        </w:rPr>
        <w:t> </w:t>
      </w:r>
      <w:r>
        <w:rPr/>
        <w:t>μειώθηκε</w:t>
      </w:r>
      <w:r>
        <w:rPr>
          <w:spacing w:val="-1"/>
        </w:rPr>
        <w:t> </w:t>
      </w:r>
      <w:r>
        <w:rPr/>
        <w:t>το</w:t>
      </w:r>
      <w:r>
        <w:rPr>
          <w:spacing w:val="-2"/>
        </w:rPr>
        <w:t> </w:t>
      </w:r>
      <w:r>
        <w:rPr/>
        <w:t>μερίδιο</w:t>
      </w:r>
      <w:r>
        <w:rPr>
          <w:spacing w:val="-2"/>
        </w:rPr>
        <w:t> </w:t>
      </w:r>
      <w:r>
        <w:rPr/>
        <w:t>τους</w:t>
      </w:r>
      <w:r>
        <w:rPr>
          <w:spacing w:val="-3"/>
        </w:rPr>
        <w:t> </w:t>
      </w:r>
      <w:r>
        <w:rPr/>
        <w:t>(σε</w:t>
      </w:r>
      <w:r>
        <w:rPr>
          <w:spacing w:val="-2"/>
        </w:rPr>
        <w:t> </w:t>
      </w:r>
      <w:r>
        <w:rPr/>
        <w:t>πλήθος</w:t>
      </w:r>
      <w:r>
        <w:rPr>
          <w:spacing w:val="-3"/>
        </w:rPr>
        <w:t> </w:t>
      </w:r>
      <w:r>
        <w:rPr/>
        <w:t>οχημάτων) και ανήλθε σε 18%, από 22% τον Δεκέμβριο του 2024.</w:t>
      </w:r>
    </w:p>
    <w:p>
      <w:pPr>
        <w:pStyle w:val="BodyText"/>
        <w:spacing w:line="285" w:lineRule="auto" w:before="57"/>
        <w:ind w:left="172" w:right="963"/>
        <w:jc w:val="both"/>
      </w:pPr>
      <w:r>
        <w:rPr/>
        <w:t>Τα οικονομικά μεγέθη που παρουσιάζονται παρακάτω αφορούν μόνο τις 31 επιχειρήσεις που υπόκεινται στην, κατά Φερεγγυότητα ΙΙ, χρηματοοικονομική εποπτεία της Τράπεζας της Ελλά-</w:t>
      </w:r>
      <w:r>
        <w:rPr>
          <w:spacing w:val="-4"/>
        </w:rPr>
        <w:t>δος.</w:t>
      </w:r>
    </w:p>
    <w:p>
      <w:pPr>
        <w:pStyle w:val="BodyText"/>
        <w:spacing w:line="285" w:lineRule="auto" w:before="57"/>
        <w:ind w:left="172" w:right="954"/>
        <w:jc w:val="both"/>
      </w:pPr>
      <w:r>
        <w:rPr/>
        <w:t>Η</w:t>
      </w:r>
      <w:r>
        <w:rPr>
          <w:spacing w:val="-3"/>
        </w:rPr>
        <w:t> </w:t>
      </w:r>
      <w:r>
        <w:rPr/>
        <w:t>εγχώρια</w:t>
      </w:r>
      <w:r>
        <w:rPr>
          <w:spacing w:val="-2"/>
        </w:rPr>
        <w:t> </w:t>
      </w:r>
      <w:r>
        <w:rPr/>
        <w:t>ασφαλιστική</w:t>
      </w:r>
      <w:r>
        <w:rPr>
          <w:spacing w:val="-2"/>
        </w:rPr>
        <w:t> </w:t>
      </w:r>
      <w:r>
        <w:rPr/>
        <w:t>αγορά</w:t>
      </w:r>
      <w:r>
        <w:rPr>
          <w:spacing w:val="-2"/>
        </w:rPr>
        <w:t> </w:t>
      </w:r>
      <w:r>
        <w:rPr/>
        <w:t>χαρακτηρίζεται</w:t>
      </w:r>
      <w:r>
        <w:rPr>
          <w:spacing w:val="-2"/>
        </w:rPr>
        <w:t> </w:t>
      </w:r>
      <w:r>
        <w:rPr/>
        <w:t>από</w:t>
      </w:r>
      <w:r>
        <w:rPr>
          <w:spacing w:val="-5"/>
        </w:rPr>
        <w:t> </w:t>
      </w:r>
      <w:r>
        <w:rPr/>
        <w:t>σημαντική</w:t>
      </w:r>
      <w:r>
        <w:rPr>
          <w:spacing w:val="-2"/>
        </w:rPr>
        <w:t> </w:t>
      </w:r>
      <w:r>
        <w:rPr/>
        <w:t>συγκέντρωση,</w:t>
      </w:r>
      <w:r>
        <w:rPr>
          <w:spacing w:val="-2"/>
        </w:rPr>
        <w:t> </w:t>
      </w:r>
      <w:r>
        <w:rPr/>
        <w:t>ιδιαίτερα</w:t>
      </w:r>
      <w:r>
        <w:rPr>
          <w:spacing w:val="-5"/>
        </w:rPr>
        <w:t> </w:t>
      </w:r>
      <w:r>
        <w:rPr/>
        <w:t>στις</w:t>
      </w:r>
      <w:r>
        <w:rPr>
          <w:spacing w:val="-2"/>
        </w:rPr>
        <w:t> </w:t>
      </w:r>
      <w:r>
        <w:rPr/>
        <w:t>επι-χειρήσεις</w:t>
      </w:r>
      <w:r>
        <w:rPr>
          <w:spacing w:val="-14"/>
        </w:rPr>
        <w:t> </w:t>
      </w:r>
      <w:r>
        <w:rPr/>
        <w:t>που</w:t>
      </w:r>
      <w:r>
        <w:rPr>
          <w:spacing w:val="-14"/>
        </w:rPr>
        <w:t> </w:t>
      </w:r>
      <w:r>
        <w:rPr/>
        <w:t>ασκούν</w:t>
      </w:r>
      <w:r>
        <w:rPr>
          <w:spacing w:val="-14"/>
        </w:rPr>
        <w:t> </w:t>
      </w:r>
      <w:r>
        <w:rPr/>
        <w:t>εργασίες</w:t>
      </w:r>
      <w:r>
        <w:rPr>
          <w:spacing w:val="-13"/>
        </w:rPr>
        <w:t> </w:t>
      </w:r>
      <w:r>
        <w:rPr/>
        <w:t>ασφαλίσεων</w:t>
      </w:r>
      <w:r>
        <w:rPr>
          <w:spacing w:val="-14"/>
        </w:rPr>
        <w:t> </w:t>
      </w:r>
      <w:r>
        <w:rPr/>
        <w:t>ζωής</w:t>
      </w:r>
      <w:r>
        <w:rPr>
          <w:spacing w:val="-14"/>
        </w:rPr>
        <w:t> </w:t>
      </w:r>
      <w:r>
        <w:rPr/>
        <w:t>και</w:t>
      </w:r>
      <w:r>
        <w:rPr>
          <w:spacing w:val="-14"/>
        </w:rPr>
        <w:t> </w:t>
      </w:r>
      <w:r>
        <w:rPr/>
        <w:t>στις</w:t>
      </w:r>
      <w:r>
        <w:rPr>
          <w:spacing w:val="-13"/>
        </w:rPr>
        <w:t> </w:t>
      </w:r>
      <w:r>
        <w:rPr/>
        <w:t>επιχειρήσεις</w:t>
      </w:r>
      <w:r>
        <w:rPr>
          <w:spacing w:val="-13"/>
        </w:rPr>
        <w:t> </w:t>
      </w:r>
      <w:r>
        <w:rPr/>
        <w:t>που</w:t>
      </w:r>
      <w:r>
        <w:rPr>
          <w:spacing w:val="-14"/>
        </w:rPr>
        <w:t> </w:t>
      </w:r>
      <w:r>
        <w:rPr/>
        <w:t>ασκούν</w:t>
      </w:r>
      <w:r>
        <w:rPr>
          <w:spacing w:val="-10"/>
        </w:rPr>
        <w:t> </w:t>
      </w:r>
      <w:r>
        <w:rPr/>
        <w:t>ταυτοχρόνως ασφαλίσεις ζωής και κατά ζημιών, καθώς οι πέντε μεγαλύτερες εξ αυτών κατέχουν το 87% της σχετικής αγοράς, σε όρους τεχνικών προβλέψεων, ενώ οι πέντε μεγαλύτερες ασφαλιστικές επι-χειρήσεις που δραστηριοποιούνται στις ασφαλίσεις κατά ζημιών, σε όρους ακαθάριστων εγγε-γραμμένων ασφαλίστρων, κατέχουν μερίδιο που ανέρχεται σε 61% της σχετικής αγοράς.</w:t>
      </w:r>
    </w:p>
    <w:p>
      <w:pPr>
        <w:pStyle w:val="BodyText"/>
        <w:spacing w:line="285" w:lineRule="auto" w:before="54"/>
        <w:ind w:left="172" w:right="957"/>
        <w:jc w:val="both"/>
      </w:pPr>
      <w:r>
        <w:rPr/>
        <w:t>Η</w:t>
      </w:r>
      <w:r>
        <w:rPr>
          <w:spacing w:val="-7"/>
        </w:rPr>
        <w:t> </w:t>
      </w:r>
      <w:r>
        <w:rPr/>
        <w:t>παραγωγή</w:t>
      </w:r>
      <w:r>
        <w:rPr>
          <w:spacing w:val="-6"/>
        </w:rPr>
        <w:t> </w:t>
      </w:r>
      <w:r>
        <w:rPr/>
        <w:t>ακαθάριστων</w:t>
      </w:r>
      <w:r>
        <w:rPr>
          <w:spacing w:val="-7"/>
        </w:rPr>
        <w:t> </w:t>
      </w:r>
      <w:r>
        <w:rPr/>
        <w:t>εγγεγραμμένων</w:t>
      </w:r>
      <w:r>
        <w:rPr>
          <w:spacing w:val="-5"/>
        </w:rPr>
        <w:t> </w:t>
      </w:r>
      <w:r>
        <w:rPr/>
        <w:t>ασφαλίστρων</w:t>
      </w:r>
      <w:r>
        <w:rPr>
          <w:spacing w:val="-7"/>
        </w:rPr>
        <w:t> </w:t>
      </w:r>
      <w:r>
        <w:rPr/>
        <w:t>στις</w:t>
      </w:r>
      <w:r>
        <w:rPr>
          <w:spacing w:val="-6"/>
        </w:rPr>
        <w:t> </w:t>
      </w:r>
      <w:r>
        <w:rPr/>
        <w:t>ασφαλίσεις</w:t>
      </w:r>
      <w:r>
        <w:rPr>
          <w:spacing w:val="-6"/>
        </w:rPr>
        <w:t> </w:t>
      </w:r>
      <w:r>
        <w:rPr/>
        <w:t>ζωής</w:t>
      </w:r>
      <w:hyperlink w:history="true" w:anchor="_bookmark116">
        <w:r>
          <w:rPr>
            <w:position w:val="6"/>
            <w:sz w:val="10"/>
          </w:rPr>
          <w:t>80</w:t>
        </w:r>
      </w:hyperlink>
      <w:r>
        <w:rPr>
          <w:spacing w:val="24"/>
          <w:position w:val="6"/>
          <w:sz w:val="10"/>
        </w:rPr>
        <w:t> </w:t>
      </w:r>
      <w:r>
        <w:rPr/>
        <w:t>το</w:t>
      </w:r>
      <w:r>
        <w:rPr>
          <w:spacing w:val="-8"/>
        </w:rPr>
        <w:t> </w:t>
      </w:r>
      <w:r>
        <w:rPr/>
        <w:t>2025</w:t>
      </w:r>
      <w:r>
        <w:rPr>
          <w:spacing w:val="-6"/>
        </w:rPr>
        <w:t> </w:t>
      </w:r>
      <w:r>
        <w:rPr/>
        <w:t>ανήλθε σε</w:t>
      </w:r>
      <w:r>
        <w:rPr>
          <w:spacing w:val="-6"/>
        </w:rPr>
        <w:t> </w:t>
      </w:r>
      <w:r>
        <w:rPr/>
        <w:t>2,9</w:t>
      </w:r>
      <w:r>
        <w:rPr>
          <w:spacing w:val="-7"/>
        </w:rPr>
        <w:t> </w:t>
      </w:r>
      <w:r>
        <w:rPr/>
        <w:t>δισεκ.</w:t>
      </w:r>
      <w:r>
        <w:rPr>
          <w:spacing w:val="-7"/>
        </w:rPr>
        <w:t> </w:t>
      </w:r>
      <w:r>
        <w:rPr/>
        <w:t>ευρώ,</w:t>
      </w:r>
      <w:r>
        <w:rPr>
          <w:spacing w:val="-7"/>
        </w:rPr>
        <w:t> </w:t>
      </w:r>
      <w:r>
        <w:rPr/>
        <w:t>αυξημένη</w:t>
      </w:r>
      <w:r>
        <w:rPr>
          <w:spacing w:val="-7"/>
        </w:rPr>
        <w:t> </w:t>
      </w:r>
      <w:r>
        <w:rPr/>
        <w:t>κατά</w:t>
      </w:r>
      <w:r>
        <w:rPr>
          <w:spacing w:val="-8"/>
        </w:rPr>
        <w:t> </w:t>
      </w:r>
      <w:r>
        <w:rPr/>
        <w:t>2%</w:t>
      </w:r>
      <w:r>
        <w:rPr>
          <w:spacing w:val="-9"/>
        </w:rPr>
        <w:t> </w:t>
      </w:r>
      <w:r>
        <w:rPr/>
        <w:t>συγκριτικά</w:t>
      </w:r>
      <w:r>
        <w:rPr>
          <w:spacing w:val="-8"/>
        </w:rPr>
        <w:t> </w:t>
      </w:r>
      <w:r>
        <w:rPr/>
        <w:t>με</w:t>
      </w:r>
      <w:r>
        <w:rPr>
          <w:spacing w:val="-9"/>
        </w:rPr>
        <w:t> </w:t>
      </w:r>
      <w:r>
        <w:rPr/>
        <w:t>το</w:t>
      </w:r>
      <w:r>
        <w:rPr>
          <w:spacing w:val="-7"/>
        </w:rPr>
        <w:t> </w:t>
      </w:r>
      <w:r>
        <w:rPr/>
        <w:t>2024.</w:t>
      </w:r>
      <w:r>
        <w:rPr>
          <w:spacing w:val="-7"/>
        </w:rPr>
        <w:t> </w:t>
      </w:r>
      <w:r>
        <w:rPr/>
        <w:t>Από</w:t>
      </w:r>
      <w:r>
        <w:rPr>
          <w:spacing w:val="-7"/>
        </w:rPr>
        <w:t> </w:t>
      </w:r>
      <w:r>
        <w:rPr/>
        <w:t>το</w:t>
      </w:r>
      <w:r>
        <w:rPr>
          <w:spacing w:val="-7"/>
        </w:rPr>
        <w:t> </w:t>
      </w:r>
      <w:r>
        <w:rPr/>
        <w:t>ανωτέρω</w:t>
      </w:r>
      <w:r>
        <w:rPr>
          <w:spacing w:val="-6"/>
        </w:rPr>
        <w:t> </w:t>
      </w:r>
      <w:r>
        <w:rPr/>
        <w:t>ποσό,</w:t>
      </w:r>
      <w:r>
        <w:rPr>
          <w:spacing w:val="-7"/>
        </w:rPr>
        <w:t> </w:t>
      </w:r>
      <w:r>
        <w:rPr/>
        <w:t>1,4</w:t>
      </w:r>
      <w:r>
        <w:rPr>
          <w:spacing w:val="-7"/>
        </w:rPr>
        <w:t> </w:t>
      </w:r>
      <w:r>
        <w:rPr/>
        <w:t>δισεκ. ευρώ</w:t>
      </w:r>
      <w:r>
        <w:rPr>
          <w:spacing w:val="-7"/>
        </w:rPr>
        <w:t> </w:t>
      </w:r>
      <w:r>
        <w:rPr/>
        <w:t>αφορά</w:t>
      </w:r>
      <w:r>
        <w:rPr>
          <w:spacing w:val="-9"/>
        </w:rPr>
        <w:t> </w:t>
      </w:r>
      <w:r>
        <w:rPr/>
        <w:t>συμβόλαια</w:t>
      </w:r>
      <w:r>
        <w:rPr>
          <w:spacing w:val="-8"/>
        </w:rPr>
        <w:t> </w:t>
      </w:r>
      <w:r>
        <w:rPr/>
        <w:t>που</w:t>
      </w:r>
      <w:r>
        <w:rPr>
          <w:spacing w:val="-9"/>
        </w:rPr>
        <w:t> </w:t>
      </w:r>
      <w:r>
        <w:rPr/>
        <w:t>συνδέονται</w:t>
      </w:r>
      <w:r>
        <w:rPr>
          <w:spacing w:val="-9"/>
        </w:rPr>
        <w:t> </w:t>
      </w:r>
      <w:r>
        <w:rPr/>
        <w:t>με</w:t>
      </w:r>
      <w:r>
        <w:rPr>
          <w:spacing w:val="-9"/>
        </w:rPr>
        <w:t> </w:t>
      </w:r>
      <w:r>
        <w:rPr/>
        <w:t>επενδύσεις,</w:t>
      </w:r>
      <w:r>
        <w:rPr>
          <w:spacing w:val="-8"/>
        </w:rPr>
        <w:t> </w:t>
      </w:r>
      <w:r>
        <w:rPr/>
        <w:t>ποσοστό</w:t>
      </w:r>
      <w:r>
        <w:rPr>
          <w:spacing w:val="-9"/>
        </w:rPr>
        <w:t> </w:t>
      </w:r>
      <w:r>
        <w:rPr/>
        <w:t>48%</w:t>
      </w:r>
      <w:r>
        <w:rPr>
          <w:spacing w:val="-9"/>
        </w:rPr>
        <w:t> </w:t>
      </w:r>
      <w:r>
        <w:rPr/>
        <w:t>επί</w:t>
      </w:r>
      <w:r>
        <w:rPr>
          <w:spacing w:val="-9"/>
        </w:rPr>
        <w:t> </w:t>
      </w:r>
      <w:r>
        <w:rPr/>
        <w:t>των</w:t>
      </w:r>
      <w:r>
        <w:rPr>
          <w:spacing w:val="-9"/>
        </w:rPr>
        <w:t> </w:t>
      </w:r>
      <w:r>
        <w:rPr/>
        <w:t>συνολικών</w:t>
      </w:r>
      <w:r>
        <w:rPr>
          <w:spacing w:val="-7"/>
        </w:rPr>
        <w:t> </w:t>
      </w:r>
      <w:r>
        <w:rPr/>
        <w:t>ακαθά-ριστων εγγεγραμμένων ασφαλίστρων δραστηριοτήτων ζωής, έναντι 47% το 2024. Παράλληλα, καταγράφηκε</w:t>
      </w:r>
      <w:r>
        <w:rPr>
          <w:spacing w:val="-5"/>
        </w:rPr>
        <w:t> </w:t>
      </w:r>
      <w:r>
        <w:rPr/>
        <w:t>αύξηση</w:t>
      </w:r>
      <w:r>
        <w:rPr>
          <w:spacing w:val="-6"/>
        </w:rPr>
        <w:t> </w:t>
      </w:r>
      <w:r>
        <w:rPr/>
        <w:t>των</w:t>
      </w:r>
      <w:r>
        <w:rPr>
          <w:spacing w:val="-5"/>
        </w:rPr>
        <w:t> </w:t>
      </w:r>
      <w:r>
        <w:rPr/>
        <w:t>ακαθάριστων</w:t>
      </w:r>
      <w:r>
        <w:rPr>
          <w:spacing w:val="-5"/>
        </w:rPr>
        <w:t> </w:t>
      </w:r>
      <w:r>
        <w:rPr/>
        <w:t>εγγεγραμμένων</w:t>
      </w:r>
      <w:r>
        <w:rPr>
          <w:spacing w:val="-5"/>
        </w:rPr>
        <w:t> </w:t>
      </w:r>
      <w:r>
        <w:rPr/>
        <w:t>ασφαλίστρων</w:t>
      </w:r>
      <w:r>
        <w:rPr>
          <w:spacing w:val="-5"/>
        </w:rPr>
        <w:t> </w:t>
      </w:r>
      <w:r>
        <w:rPr/>
        <w:t>των</w:t>
      </w:r>
      <w:r>
        <w:rPr>
          <w:spacing w:val="-5"/>
        </w:rPr>
        <w:t> </w:t>
      </w:r>
      <w:r>
        <w:rPr/>
        <w:t>ασφαλίσεων</w:t>
      </w:r>
      <w:r>
        <w:rPr>
          <w:spacing w:val="-5"/>
        </w:rPr>
        <w:t> </w:t>
      </w:r>
      <w:r>
        <w:rPr/>
        <w:t>με</w:t>
      </w:r>
      <w:r>
        <w:rPr>
          <w:spacing w:val="-5"/>
        </w:rPr>
        <w:t> </w:t>
      </w:r>
      <w:r>
        <w:rPr/>
        <w:t>συμ-μετοχή</w:t>
      </w:r>
      <w:r>
        <w:rPr>
          <w:spacing w:val="-9"/>
        </w:rPr>
        <w:t> </w:t>
      </w:r>
      <w:r>
        <w:rPr/>
        <w:t>στα</w:t>
      </w:r>
      <w:r>
        <w:rPr>
          <w:spacing w:val="-8"/>
        </w:rPr>
        <w:t> </w:t>
      </w:r>
      <w:r>
        <w:rPr/>
        <w:t>κέρδη</w:t>
      </w:r>
      <w:r>
        <w:rPr>
          <w:spacing w:val="-7"/>
        </w:rPr>
        <w:t> </w:t>
      </w:r>
      <w:r>
        <w:rPr/>
        <w:t>κατά</w:t>
      </w:r>
      <w:r>
        <w:rPr>
          <w:spacing w:val="-8"/>
        </w:rPr>
        <w:t> </w:t>
      </w:r>
      <w:r>
        <w:rPr/>
        <w:t>4%</w:t>
      </w:r>
      <w:r>
        <w:rPr>
          <w:spacing w:val="-9"/>
        </w:rPr>
        <w:t> </w:t>
      </w:r>
      <w:r>
        <w:rPr/>
        <w:t>και</w:t>
      </w:r>
      <w:r>
        <w:rPr>
          <w:spacing w:val="-7"/>
        </w:rPr>
        <w:t> </w:t>
      </w:r>
      <w:r>
        <w:rPr/>
        <w:t>μείωση</w:t>
      </w:r>
      <w:r>
        <w:rPr>
          <w:spacing w:val="-7"/>
        </w:rPr>
        <w:t> </w:t>
      </w:r>
      <w:r>
        <w:rPr/>
        <w:t>των</w:t>
      </w:r>
      <w:r>
        <w:rPr>
          <w:spacing w:val="-6"/>
        </w:rPr>
        <w:t> </w:t>
      </w:r>
      <w:r>
        <w:rPr/>
        <w:t>λοιπών</w:t>
      </w:r>
      <w:r>
        <w:rPr>
          <w:spacing w:val="-6"/>
        </w:rPr>
        <w:t> </w:t>
      </w:r>
      <w:r>
        <w:rPr/>
        <w:t>ασφαλίσεων</w:t>
      </w:r>
      <w:r>
        <w:rPr>
          <w:spacing w:val="-6"/>
        </w:rPr>
        <w:t> </w:t>
      </w:r>
      <w:r>
        <w:rPr/>
        <w:t>ζωής</w:t>
      </w:r>
      <w:r>
        <w:rPr>
          <w:spacing w:val="-8"/>
        </w:rPr>
        <w:t> </w:t>
      </w:r>
      <w:r>
        <w:rPr/>
        <w:t>κατά</w:t>
      </w:r>
      <w:r>
        <w:rPr>
          <w:spacing w:val="-8"/>
        </w:rPr>
        <w:t> </w:t>
      </w:r>
      <w:r>
        <w:rPr/>
        <w:t>16%</w:t>
      </w:r>
      <w:r>
        <w:rPr>
          <w:spacing w:val="-6"/>
        </w:rPr>
        <w:t> </w:t>
      </w:r>
      <w:r>
        <w:rPr/>
        <w:t>(βλ.</w:t>
      </w:r>
      <w:r>
        <w:rPr>
          <w:spacing w:val="-7"/>
        </w:rPr>
        <w:t> </w:t>
      </w:r>
      <w:r>
        <w:rPr/>
        <w:t>Διάγραμμα </w:t>
      </w:r>
      <w:r>
        <w:rPr>
          <w:spacing w:val="-2"/>
        </w:rPr>
        <w:t>V.1).</w:t>
      </w:r>
    </w:p>
    <w:p>
      <w:pPr>
        <w:pStyle w:val="BodyText"/>
        <w:spacing w:line="285" w:lineRule="auto" w:before="53"/>
        <w:ind w:left="172" w:right="957"/>
        <w:jc w:val="both"/>
      </w:pPr>
      <w:r>
        <w:rPr/>
        <w:t>Τα</w:t>
      </w:r>
      <w:r>
        <w:rPr>
          <w:spacing w:val="-14"/>
        </w:rPr>
        <w:t> </w:t>
      </w:r>
      <w:r>
        <w:rPr/>
        <w:t>ασφάλιστρα</w:t>
      </w:r>
      <w:r>
        <w:rPr>
          <w:spacing w:val="-12"/>
        </w:rPr>
        <w:t> </w:t>
      </w:r>
      <w:r>
        <w:rPr/>
        <w:t>των</w:t>
      </w:r>
      <w:r>
        <w:rPr>
          <w:spacing w:val="-11"/>
        </w:rPr>
        <w:t> </w:t>
      </w:r>
      <w:r>
        <w:rPr/>
        <w:t>δραστηριοτήτων</w:t>
      </w:r>
      <w:r>
        <w:rPr>
          <w:spacing w:val="-11"/>
        </w:rPr>
        <w:t> </w:t>
      </w:r>
      <w:r>
        <w:rPr/>
        <w:t>ασφαλίσεων</w:t>
      </w:r>
      <w:r>
        <w:rPr>
          <w:spacing w:val="-11"/>
        </w:rPr>
        <w:t> </w:t>
      </w:r>
      <w:r>
        <w:rPr/>
        <w:t>κατά</w:t>
      </w:r>
      <w:r>
        <w:rPr>
          <w:spacing w:val="-14"/>
        </w:rPr>
        <w:t> </w:t>
      </w:r>
      <w:r>
        <w:rPr/>
        <w:t>ζημιών</w:t>
      </w:r>
      <w:hyperlink w:history="true" w:anchor="_bookmark117">
        <w:r>
          <w:rPr>
            <w:position w:val="6"/>
            <w:sz w:val="10"/>
          </w:rPr>
          <w:t>81</w:t>
        </w:r>
      </w:hyperlink>
      <w:r>
        <w:rPr>
          <w:spacing w:val="18"/>
          <w:position w:val="6"/>
          <w:sz w:val="10"/>
        </w:rPr>
        <w:t> </w:t>
      </w:r>
      <w:r>
        <w:rPr/>
        <w:t>ανήλθαν</w:t>
      </w:r>
      <w:r>
        <w:rPr>
          <w:spacing w:val="-11"/>
        </w:rPr>
        <w:t> </w:t>
      </w:r>
      <w:r>
        <w:rPr/>
        <w:t>την</w:t>
      </w:r>
      <w:r>
        <w:rPr>
          <w:spacing w:val="-11"/>
        </w:rPr>
        <w:t> </w:t>
      </w:r>
      <w:r>
        <w:rPr/>
        <w:t>ίδια</w:t>
      </w:r>
      <w:r>
        <w:rPr>
          <w:spacing w:val="-12"/>
        </w:rPr>
        <w:t> </w:t>
      </w:r>
      <w:r>
        <w:rPr/>
        <w:t>περίοδο</w:t>
      </w:r>
      <w:r>
        <w:rPr>
          <w:spacing w:val="-14"/>
        </w:rPr>
        <w:t> </w:t>
      </w:r>
      <w:r>
        <w:rPr/>
        <w:t>σε</w:t>
      </w:r>
      <w:r>
        <w:rPr>
          <w:spacing w:val="-11"/>
        </w:rPr>
        <w:t> </w:t>
      </w:r>
      <w:r>
        <w:rPr/>
        <w:t>2,9 δισεκ.</w:t>
      </w:r>
      <w:r>
        <w:rPr>
          <w:spacing w:val="-2"/>
        </w:rPr>
        <w:t> </w:t>
      </w:r>
      <w:r>
        <w:rPr/>
        <w:t>ευρώ,</w:t>
      </w:r>
      <w:r>
        <w:rPr>
          <w:spacing w:val="-2"/>
        </w:rPr>
        <w:t> </w:t>
      </w:r>
      <w:r>
        <w:rPr/>
        <w:t>αυξημένα</w:t>
      </w:r>
      <w:r>
        <w:rPr>
          <w:spacing w:val="-2"/>
        </w:rPr>
        <w:t> </w:t>
      </w:r>
      <w:r>
        <w:rPr/>
        <w:t>κατά</w:t>
      </w:r>
      <w:r>
        <w:rPr>
          <w:spacing w:val="-2"/>
        </w:rPr>
        <w:t> </w:t>
      </w:r>
      <w:r>
        <w:rPr/>
        <w:t>10%</w:t>
      </w:r>
      <w:r>
        <w:rPr>
          <w:spacing w:val="-2"/>
        </w:rPr>
        <w:t> </w:t>
      </w:r>
      <w:r>
        <w:rPr/>
        <w:t>συγκριτικά</w:t>
      </w:r>
      <w:r>
        <w:rPr>
          <w:spacing w:val="-3"/>
        </w:rPr>
        <w:t> </w:t>
      </w:r>
      <w:r>
        <w:rPr/>
        <w:t>με</w:t>
      </w:r>
      <w:r>
        <w:rPr>
          <w:spacing w:val="-2"/>
        </w:rPr>
        <w:t> </w:t>
      </w:r>
      <w:r>
        <w:rPr/>
        <w:t>το</w:t>
      </w:r>
      <w:r>
        <w:rPr>
          <w:spacing w:val="-2"/>
        </w:rPr>
        <w:t> </w:t>
      </w:r>
      <w:r>
        <w:rPr/>
        <w:t>2024.</w:t>
      </w:r>
      <w:r>
        <w:rPr>
          <w:spacing w:val="-2"/>
        </w:rPr>
        <w:t> </w:t>
      </w:r>
      <w:r>
        <w:rPr/>
        <w:t>Από</w:t>
      </w:r>
      <w:r>
        <w:rPr>
          <w:spacing w:val="-2"/>
        </w:rPr>
        <w:t> </w:t>
      </w:r>
      <w:r>
        <w:rPr/>
        <w:t>το</w:t>
      </w:r>
      <w:r>
        <w:rPr>
          <w:spacing w:val="-2"/>
        </w:rPr>
        <w:t> </w:t>
      </w:r>
      <w:r>
        <w:rPr/>
        <w:t>ποσό</w:t>
      </w:r>
      <w:r>
        <w:rPr>
          <w:spacing w:val="-2"/>
        </w:rPr>
        <w:t> </w:t>
      </w:r>
      <w:r>
        <w:rPr/>
        <w:t>αυτό,</w:t>
      </w:r>
      <w:r>
        <w:rPr>
          <w:spacing w:val="-2"/>
        </w:rPr>
        <w:t> </w:t>
      </w:r>
      <w:r>
        <w:rPr/>
        <w:t>σημαντικό</w:t>
      </w:r>
      <w:r>
        <w:rPr>
          <w:spacing w:val="-2"/>
        </w:rPr>
        <w:t> </w:t>
      </w:r>
      <w:r>
        <w:rPr/>
        <w:t>μερίδιο αποτελούν οι ασφαλίσεις αστικής ευθύνης χερσαίων οχημάτων (28%), οι ασφαλίσεις πυρός (22%) και</w:t>
      </w:r>
      <w:r>
        <w:rPr>
          <w:spacing w:val="-1"/>
        </w:rPr>
        <w:t> </w:t>
      </w:r>
      <w:r>
        <w:rPr/>
        <w:t>οι ασφαλίσεις</w:t>
      </w:r>
      <w:r>
        <w:rPr>
          <w:spacing w:val="-1"/>
        </w:rPr>
        <w:t> </w:t>
      </w:r>
      <w:r>
        <w:rPr/>
        <w:t>νοσοκομειακών εξόδων (17%), με μεταβολές ασφαλίστρων έναντι του 2024</w:t>
      </w:r>
      <w:r>
        <w:rPr>
          <w:spacing w:val="-2"/>
        </w:rPr>
        <w:t> </w:t>
      </w:r>
      <w:r>
        <w:rPr/>
        <w:t>κατά</w:t>
      </w:r>
      <w:r>
        <w:rPr>
          <w:spacing w:val="-3"/>
        </w:rPr>
        <w:t> </w:t>
      </w:r>
      <w:r>
        <w:rPr/>
        <w:t>+8%,</w:t>
      </w:r>
      <w:r>
        <w:rPr>
          <w:spacing w:val="-5"/>
        </w:rPr>
        <w:t> </w:t>
      </w:r>
      <w:r>
        <w:rPr/>
        <w:t>+11%</w:t>
      </w:r>
      <w:r>
        <w:rPr>
          <w:spacing w:val="-1"/>
        </w:rPr>
        <w:t> </w:t>
      </w:r>
      <w:r>
        <w:rPr/>
        <w:t>και</w:t>
      </w:r>
      <w:r>
        <w:rPr>
          <w:spacing w:val="-5"/>
        </w:rPr>
        <w:t> </w:t>
      </w:r>
      <w:r>
        <w:rPr/>
        <w:t>+10%</w:t>
      </w:r>
      <w:r>
        <w:rPr>
          <w:spacing w:val="-1"/>
        </w:rPr>
        <w:t> </w:t>
      </w:r>
      <w:r>
        <w:rPr/>
        <w:t>αντιστοίχως.</w:t>
      </w:r>
      <w:r>
        <w:rPr>
          <w:spacing w:val="-2"/>
        </w:rPr>
        <w:t> </w:t>
      </w:r>
      <w:r>
        <w:rPr/>
        <w:t>Το</w:t>
      </w:r>
      <w:r>
        <w:rPr>
          <w:spacing w:val="-2"/>
        </w:rPr>
        <w:t> </w:t>
      </w:r>
      <w:r>
        <w:rPr/>
        <w:t>2025</w:t>
      </w:r>
      <w:r>
        <w:rPr>
          <w:spacing w:val="-2"/>
        </w:rPr>
        <w:t> </w:t>
      </w:r>
      <w:r>
        <w:rPr/>
        <w:t>οι</w:t>
      </w:r>
      <w:r>
        <w:rPr>
          <w:spacing w:val="-2"/>
        </w:rPr>
        <w:t> </w:t>
      </w:r>
      <w:r>
        <w:rPr/>
        <w:t>επισυμβάσες</w:t>
      </w:r>
      <w:r>
        <w:rPr>
          <w:spacing w:val="-3"/>
        </w:rPr>
        <w:t> </w:t>
      </w:r>
      <w:r>
        <w:rPr/>
        <w:t>αποζημιώσεις,</w:t>
      </w:r>
      <w:r>
        <w:rPr>
          <w:spacing w:val="-2"/>
        </w:rPr>
        <w:t> </w:t>
      </w:r>
      <w:r>
        <w:rPr/>
        <w:t>χωρίς</w:t>
      </w:r>
      <w:r>
        <w:rPr>
          <w:spacing w:val="-2"/>
        </w:rPr>
        <w:t> </w:t>
      </w:r>
      <w:r>
        <w:rPr/>
        <w:t>να ληφθούν</w:t>
      </w:r>
      <w:r>
        <w:rPr>
          <w:spacing w:val="-1"/>
        </w:rPr>
        <w:t> </w:t>
      </w:r>
      <w:r>
        <w:rPr/>
        <w:t>υπόψη οι αντασφαλιστικές</w:t>
      </w:r>
      <w:r>
        <w:rPr>
          <w:spacing w:val="-1"/>
        </w:rPr>
        <w:t> </w:t>
      </w:r>
      <w:r>
        <w:rPr/>
        <w:t>ανακτήσεις,</w:t>
      </w:r>
      <w:r>
        <w:rPr>
          <w:spacing w:val="-3"/>
        </w:rPr>
        <w:t> </w:t>
      </w:r>
      <w:r>
        <w:rPr/>
        <w:t>ανήλθαν</w:t>
      </w:r>
      <w:r>
        <w:rPr>
          <w:spacing w:val="-1"/>
        </w:rPr>
        <w:t> </w:t>
      </w:r>
      <w:r>
        <w:rPr/>
        <w:t>σε</w:t>
      </w:r>
      <w:r>
        <w:rPr>
          <w:spacing w:val="-2"/>
        </w:rPr>
        <w:t> </w:t>
      </w:r>
      <w:r>
        <w:rPr/>
        <w:t>2,3 δισεκ.</w:t>
      </w:r>
      <w:r>
        <w:rPr>
          <w:spacing w:val="-1"/>
        </w:rPr>
        <w:t> </w:t>
      </w:r>
      <w:r>
        <w:rPr/>
        <w:t>ευρώ</w:t>
      </w:r>
      <w:r>
        <w:rPr>
          <w:spacing w:val="-1"/>
        </w:rPr>
        <w:t> </w:t>
      </w:r>
      <w:r>
        <w:rPr/>
        <w:t>για</w:t>
      </w:r>
      <w:r>
        <w:rPr>
          <w:spacing w:val="-4"/>
        </w:rPr>
        <w:t> </w:t>
      </w:r>
      <w:r>
        <w:rPr/>
        <w:t>τις</w:t>
      </w:r>
      <w:r>
        <w:rPr>
          <w:spacing w:val="-1"/>
        </w:rPr>
        <w:t> </w:t>
      </w:r>
      <w:r>
        <w:rPr/>
        <w:t>ασφαλίσεις</w:t>
      </w:r>
    </w:p>
    <w:p>
      <w:pPr>
        <w:pStyle w:val="BodyText"/>
        <w:spacing w:before="27"/>
        <w:rPr>
          <w:sz w:val="20"/>
        </w:rPr>
      </w:pPr>
      <w:r>
        <w:rPr>
          <w:sz w:val="20"/>
        </w:rPr>
        <mc:AlternateContent>
          <mc:Choice Requires="wps">
            <w:drawing>
              <wp:anchor distT="0" distB="0" distL="0" distR="0" allowOverlap="1" layoutInCell="1" locked="0" behindDoc="1" simplePos="0" relativeHeight="487643648">
                <wp:simplePos x="0" y="0"/>
                <wp:positionH relativeFrom="page">
                  <wp:posOffset>1009192</wp:posOffset>
                </wp:positionH>
                <wp:positionV relativeFrom="paragraph">
                  <wp:posOffset>178491</wp:posOffset>
                </wp:positionV>
                <wp:extent cx="1829435" cy="7620"/>
                <wp:effectExtent l="0" t="0" r="0" b="0"/>
                <wp:wrapTopAndBottom/>
                <wp:docPr id="550" name="Graphic 550"/>
                <wp:cNvGraphicFramePr>
                  <a:graphicFrameLocks/>
                </wp:cNvGraphicFramePr>
                <a:graphic>
                  <a:graphicData uri="http://schemas.microsoft.com/office/word/2010/wordprocessingShape">
                    <wps:wsp>
                      <wps:cNvPr id="550" name="Graphic 55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4.054478pt;width:144.020pt;height:.599980pt;mso-position-horizontal-relative:page;mso-position-vertical-relative:paragraph;z-index:-15672832;mso-wrap-distance-left:0;mso-wrap-distance-right:0" id="docshape522" filled="true" fillcolor="#000000" stroked="false">
                <v:fill type="solid"/>
                <w10:wrap type="topAndBottom"/>
              </v:rect>
            </w:pict>
          </mc:Fallback>
        </mc:AlternateContent>
      </w:r>
    </w:p>
    <w:p>
      <w:pPr>
        <w:spacing w:before="167"/>
        <w:ind w:left="172" w:right="0" w:firstLine="0"/>
        <w:jc w:val="left"/>
        <w:rPr>
          <w:sz w:val="16"/>
        </w:rPr>
      </w:pPr>
      <w:bookmarkStart w:name="_bookmark116" w:id="117"/>
      <w:bookmarkEnd w:id="117"/>
      <w:r>
        <w:rPr/>
      </w:r>
      <w:r>
        <w:rPr>
          <w:sz w:val="16"/>
          <w:vertAlign w:val="superscript"/>
        </w:rPr>
        <w:t>80</w:t>
      </w:r>
      <w:r>
        <w:rPr>
          <w:spacing w:val="-6"/>
          <w:sz w:val="16"/>
          <w:vertAlign w:val="baseline"/>
        </w:rPr>
        <w:t> </w:t>
      </w:r>
      <w:r>
        <w:rPr>
          <w:sz w:val="16"/>
          <w:vertAlign w:val="baseline"/>
        </w:rPr>
        <w:t>Περιλαμβάνει</w:t>
      </w:r>
      <w:r>
        <w:rPr>
          <w:spacing w:val="-6"/>
          <w:sz w:val="16"/>
          <w:vertAlign w:val="baseline"/>
        </w:rPr>
        <w:t> </w:t>
      </w:r>
      <w:r>
        <w:rPr>
          <w:sz w:val="16"/>
          <w:vertAlign w:val="baseline"/>
        </w:rPr>
        <w:t>την</w:t>
      </w:r>
      <w:r>
        <w:rPr>
          <w:spacing w:val="-4"/>
          <w:sz w:val="16"/>
          <w:vertAlign w:val="baseline"/>
        </w:rPr>
        <w:t> </w:t>
      </w:r>
      <w:r>
        <w:rPr>
          <w:sz w:val="16"/>
          <w:vertAlign w:val="baseline"/>
        </w:rPr>
        <w:t>παραγωγή</w:t>
      </w:r>
      <w:r>
        <w:rPr>
          <w:spacing w:val="-5"/>
          <w:sz w:val="16"/>
          <w:vertAlign w:val="baseline"/>
        </w:rPr>
        <w:t> </w:t>
      </w:r>
      <w:r>
        <w:rPr>
          <w:sz w:val="16"/>
          <w:vertAlign w:val="baseline"/>
        </w:rPr>
        <w:t>ασφαλίσεων</w:t>
      </w:r>
      <w:r>
        <w:rPr>
          <w:spacing w:val="-4"/>
          <w:sz w:val="16"/>
          <w:vertAlign w:val="baseline"/>
        </w:rPr>
        <w:t> </w:t>
      </w:r>
      <w:r>
        <w:rPr>
          <w:sz w:val="16"/>
          <w:vertAlign w:val="baseline"/>
        </w:rPr>
        <w:t>ζωής</w:t>
      </w:r>
      <w:r>
        <w:rPr>
          <w:spacing w:val="-1"/>
          <w:sz w:val="16"/>
          <w:vertAlign w:val="baseline"/>
        </w:rPr>
        <w:t> </w:t>
      </w:r>
      <w:r>
        <w:rPr>
          <w:sz w:val="16"/>
          <w:vertAlign w:val="baseline"/>
        </w:rPr>
        <w:t>των</w:t>
      </w:r>
      <w:r>
        <w:rPr>
          <w:spacing w:val="-4"/>
          <w:sz w:val="16"/>
          <w:vertAlign w:val="baseline"/>
        </w:rPr>
        <w:t> </w:t>
      </w:r>
      <w:r>
        <w:rPr>
          <w:sz w:val="16"/>
          <w:vertAlign w:val="baseline"/>
        </w:rPr>
        <w:t>επιχειρήσεων</w:t>
      </w:r>
      <w:r>
        <w:rPr>
          <w:spacing w:val="-6"/>
          <w:sz w:val="16"/>
          <w:vertAlign w:val="baseline"/>
        </w:rPr>
        <w:t> </w:t>
      </w:r>
      <w:r>
        <w:rPr>
          <w:sz w:val="16"/>
          <w:vertAlign w:val="baseline"/>
        </w:rPr>
        <w:t>μικτής</w:t>
      </w:r>
      <w:r>
        <w:rPr>
          <w:spacing w:val="-5"/>
          <w:sz w:val="16"/>
          <w:vertAlign w:val="baseline"/>
        </w:rPr>
        <w:t> </w:t>
      </w:r>
      <w:r>
        <w:rPr>
          <w:sz w:val="16"/>
          <w:vertAlign w:val="baseline"/>
        </w:rPr>
        <w:t>δραστηριότητας,</w:t>
      </w:r>
      <w:r>
        <w:rPr>
          <w:spacing w:val="-3"/>
          <w:sz w:val="16"/>
          <w:vertAlign w:val="baseline"/>
        </w:rPr>
        <w:t> </w:t>
      </w:r>
      <w:r>
        <w:rPr>
          <w:sz w:val="16"/>
          <w:vertAlign w:val="baseline"/>
        </w:rPr>
        <w:t>ήτοι</w:t>
      </w:r>
      <w:r>
        <w:rPr>
          <w:spacing w:val="-3"/>
          <w:sz w:val="16"/>
          <w:vertAlign w:val="baseline"/>
        </w:rPr>
        <w:t> </w:t>
      </w:r>
      <w:r>
        <w:rPr>
          <w:sz w:val="16"/>
          <w:vertAlign w:val="baseline"/>
        </w:rPr>
        <w:t>ζωής</w:t>
      </w:r>
      <w:r>
        <w:rPr>
          <w:spacing w:val="-4"/>
          <w:sz w:val="16"/>
          <w:vertAlign w:val="baseline"/>
        </w:rPr>
        <w:t> </w:t>
      </w:r>
      <w:r>
        <w:rPr>
          <w:sz w:val="16"/>
          <w:vertAlign w:val="baseline"/>
        </w:rPr>
        <w:t>και</w:t>
      </w:r>
      <w:r>
        <w:rPr>
          <w:spacing w:val="-5"/>
          <w:sz w:val="16"/>
          <w:vertAlign w:val="baseline"/>
        </w:rPr>
        <w:t> </w:t>
      </w:r>
      <w:r>
        <w:rPr>
          <w:sz w:val="16"/>
          <w:vertAlign w:val="baseline"/>
        </w:rPr>
        <w:t>κατά</w:t>
      </w:r>
      <w:r>
        <w:rPr>
          <w:spacing w:val="-5"/>
          <w:sz w:val="16"/>
          <w:vertAlign w:val="baseline"/>
        </w:rPr>
        <w:t> </w:t>
      </w:r>
      <w:r>
        <w:rPr>
          <w:spacing w:val="-2"/>
          <w:sz w:val="16"/>
          <w:vertAlign w:val="baseline"/>
        </w:rPr>
        <w:t>ζημιών.</w:t>
      </w:r>
    </w:p>
    <w:p>
      <w:pPr>
        <w:spacing w:before="20"/>
        <w:ind w:left="172" w:right="0" w:firstLine="0"/>
        <w:jc w:val="left"/>
        <w:rPr>
          <w:sz w:val="16"/>
        </w:rPr>
      </w:pPr>
      <w:bookmarkStart w:name="_bookmark117" w:id="118"/>
      <w:bookmarkEnd w:id="118"/>
      <w:r>
        <w:rPr/>
      </w:r>
      <w:r>
        <w:rPr>
          <w:sz w:val="16"/>
          <w:vertAlign w:val="superscript"/>
        </w:rPr>
        <w:t>81</w:t>
      </w:r>
      <w:r>
        <w:rPr>
          <w:spacing w:val="-6"/>
          <w:sz w:val="16"/>
          <w:vertAlign w:val="baseline"/>
        </w:rPr>
        <w:t> </w:t>
      </w:r>
      <w:r>
        <w:rPr>
          <w:sz w:val="16"/>
          <w:vertAlign w:val="baseline"/>
        </w:rPr>
        <w:t>Περιλαμβάνει</w:t>
      </w:r>
      <w:r>
        <w:rPr>
          <w:spacing w:val="-6"/>
          <w:sz w:val="16"/>
          <w:vertAlign w:val="baseline"/>
        </w:rPr>
        <w:t> </w:t>
      </w:r>
      <w:r>
        <w:rPr>
          <w:sz w:val="16"/>
          <w:vertAlign w:val="baseline"/>
        </w:rPr>
        <w:t>την</w:t>
      </w:r>
      <w:r>
        <w:rPr>
          <w:spacing w:val="-4"/>
          <w:sz w:val="16"/>
          <w:vertAlign w:val="baseline"/>
        </w:rPr>
        <w:t> </w:t>
      </w:r>
      <w:r>
        <w:rPr>
          <w:sz w:val="16"/>
          <w:vertAlign w:val="baseline"/>
        </w:rPr>
        <w:t>παραγωγή</w:t>
      </w:r>
      <w:r>
        <w:rPr>
          <w:spacing w:val="-5"/>
          <w:sz w:val="16"/>
          <w:vertAlign w:val="baseline"/>
        </w:rPr>
        <w:t> </w:t>
      </w:r>
      <w:r>
        <w:rPr>
          <w:sz w:val="16"/>
          <w:vertAlign w:val="baseline"/>
        </w:rPr>
        <w:t>ασφαλίσεων</w:t>
      </w:r>
      <w:r>
        <w:rPr>
          <w:spacing w:val="-4"/>
          <w:sz w:val="16"/>
          <w:vertAlign w:val="baseline"/>
        </w:rPr>
        <w:t> </w:t>
      </w:r>
      <w:r>
        <w:rPr>
          <w:sz w:val="16"/>
          <w:vertAlign w:val="baseline"/>
        </w:rPr>
        <w:t>κατά</w:t>
      </w:r>
      <w:r>
        <w:rPr>
          <w:spacing w:val="-5"/>
          <w:sz w:val="16"/>
          <w:vertAlign w:val="baseline"/>
        </w:rPr>
        <w:t> </w:t>
      </w:r>
      <w:r>
        <w:rPr>
          <w:sz w:val="16"/>
          <w:vertAlign w:val="baseline"/>
        </w:rPr>
        <w:t>ζημιών</w:t>
      </w:r>
      <w:r>
        <w:rPr>
          <w:spacing w:val="-6"/>
          <w:sz w:val="16"/>
          <w:vertAlign w:val="baseline"/>
        </w:rPr>
        <w:t> </w:t>
      </w:r>
      <w:r>
        <w:rPr>
          <w:sz w:val="16"/>
          <w:vertAlign w:val="baseline"/>
        </w:rPr>
        <w:t>των</w:t>
      </w:r>
      <w:r>
        <w:rPr>
          <w:spacing w:val="-4"/>
          <w:sz w:val="16"/>
          <w:vertAlign w:val="baseline"/>
        </w:rPr>
        <w:t> </w:t>
      </w:r>
      <w:r>
        <w:rPr>
          <w:sz w:val="16"/>
          <w:vertAlign w:val="baseline"/>
        </w:rPr>
        <w:t>επιχειρήσεων</w:t>
      </w:r>
      <w:r>
        <w:rPr>
          <w:spacing w:val="-6"/>
          <w:sz w:val="16"/>
          <w:vertAlign w:val="baseline"/>
        </w:rPr>
        <w:t> </w:t>
      </w:r>
      <w:r>
        <w:rPr>
          <w:sz w:val="16"/>
          <w:vertAlign w:val="baseline"/>
        </w:rPr>
        <w:t>μικτής</w:t>
      </w:r>
      <w:r>
        <w:rPr>
          <w:spacing w:val="-5"/>
          <w:sz w:val="16"/>
          <w:vertAlign w:val="baseline"/>
        </w:rPr>
        <w:t> </w:t>
      </w:r>
      <w:r>
        <w:rPr>
          <w:sz w:val="16"/>
          <w:vertAlign w:val="baseline"/>
        </w:rPr>
        <w:t>δραστηριότητας,</w:t>
      </w:r>
      <w:r>
        <w:rPr>
          <w:spacing w:val="-1"/>
          <w:sz w:val="16"/>
          <w:vertAlign w:val="baseline"/>
        </w:rPr>
        <w:t> </w:t>
      </w:r>
      <w:r>
        <w:rPr>
          <w:sz w:val="16"/>
          <w:vertAlign w:val="baseline"/>
        </w:rPr>
        <w:t>ήτοι</w:t>
      </w:r>
      <w:r>
        <w:rPr>
          <w:spacing w:val="-5"/>
          <w:sz w:val="16"/>
          <w:vertAlign w:val="baseline"/>
        </w:rPr>
        <w:t> </w:t>
      </w:r>
      <w:r>
        <w:rPr>
          <w:sz w:val="16"/>
          <w:vertAlign w:val="baseline"/>
        </w:rPr>
        <w:t>ζωής</w:t>
      </w:r>
      <w:r>
        <w:rPr>
          <w:spacing w:val="-3"/>
          <w:sz w:val="16"/>
          <w:vertAlign w:val="baseline"/>
        </w:rPr>
        <w:t> </w:t>
      </w:r>
      <w:r>
        <w:rPr>
          <w:sz w:val="16"/>
          <w:vertAlign w:val="baseline"/>
        </w:rPr>
        <w:t>και</w:t>
      </w:r>
      <w:r>
        <w:rPr>
          <w:spacing w:val="-5"/>
          <w:sz w:val="16"/>
          <w:vertAlign w:val="baseline"/>
        </w:rPr>
        <w:t> </w:t>
      </w:r>
      <w:r>
        <w:rPr>
          <w:sz w:val="16"/>
          <w:vertAlign w:val="baseline"/>
        </w:rPr>
        <w:t>κατά</w:t>
      </w:r>
      <w:r>
        <w:rPr>
          <w:spacing w:val="-5"/>
          <w:sz w:val="16"/>
          <w:vertAlign w:val="baseline"/>
        </w:rPr>
        <w:t> </w:t>
      </w:r>
      <w:r>
        <w:rPr>
          <w:spacing w:val="-2"/>
          <w:sz w:val="16"/>
          <w:vertAlign w:val="baseline"/>
        </w:rPr>
        <w:t>ζημιών.</w:t>
      </w:r>
    </w:p>
    <w:p>
      <w:pPr>
        <w:spacing w:after="0"/>
        <w:jc w:val="left"/>
        <w:rPr>
          <w:sz w:val="16"/>
        </w:rPr>
        <w:sectPr>
          <w:pgSz w:w="11910" w:h="16850"/>
          <w:pgMar w:header="0" w:footer="1108" w:top="1940" w:bottom="1300" w:left="1417" w:right="850"/>
        </w:sectPr>
      </w:pPr>
    </w:p>
    <w:p>
      <w:pPr>
        <w:pStyle w:val="BodyText"/>
        <w:spacing w:line="285" w:lineRule="auto" w:before="66"/>
        <w:ind w:left="172" w:right="957"/>
        <w:jc w:val="both"/>
      </w:pPr>
      <w:r>
        <w:rPr/>
        <w:t>ζωής, παρουσιάζοντας μείωση κατά 4% σε σύγκριση με το 2024 και σε 1,1 δισεκ. ευρώ για τις ασφαλίσεις</w:t>
      </w:r>
      <w:r>
        <w:rPr>
          <w:spacing w:val="-14"/>
        </w:rPr>
        <w:t> </w:t>
      </w:r>
      <w:r>
        <w:rPr/>
        <w:t>κατά</w:t>
      </w:r>
      <w:r>
        <w:rPr>
          <w:spacing w:val="-13"/>
        </w:rPr>
        <w:t> </w:t>
      </w:r>
      <w:r>
        <w:rPr/>
        <w:t>ζημιών,</w:t>
      </w:r>
      <w:r>
        <w:rPr>
          <w:spacing w:val="-13"/>
        </w:rPr>
        <w:t> </w:t>
      </w:r>
      <w:r>
        <w:rPr/>
        <w:t>παρουσιάζοντας</w:t>
      </w:r>
      <w:r>
        <w:rPr>
          <w:spacing w:val="-14"/>
        </w:rPr>
        <w:t> </w:t>
      </w:r>
      <w:r>
        <w:rPr/>
        <w:t>αύξηση</w:t>
      </w:r>
      <w:r>
        <w:rPr>
          <w:spacing w:val="-14"/>
        </w:rPr>
        <w:t> </w:t>
      </w:r>
      <w:r>
        <w:rPr/>
        <w:t>κατά</w:t>
      </w:r>
      <w:r>
        <w:rPr>
          <w:spacing w:val="-12"/>
        </w:rPr>
        <w:t> </w:t>
      </w:r>
      <w:r>
        <w:rPr/>
        <w:t>6%</w:t>
      </w:r>
      <w:r>
        <w:rPr>
          <w:spacing w:val="-14"/>
        </w:rPr>
        <w:t> </w:t>
      </w:r>
      <w:r>
        <w:rPr/>
        <w:t>σύγκριση</w:t>
      </w:r>
      <w:r>
        <w:rPr>
          <w:spacing w:val="-14"/>
        </w:rPr>
        <w:t> </w:t>
      </w:r>
      <w:r>
        <w:rPr/>
        <w:t>με</w:t>
      </w:r>
      <w:r>
        <w:rPr>
          <w:spacing w:val="-11"/>
        </w:rPr>
        <w:t> </w:t>
      </w:r>
      <w:r>
        <w:rPr/>
        <w:t>το</w:t>
      </w:r>
      <w:r>
        <w:rPr>
          <w:spacing w:val="-13"/>
        </w:rPr>
        <w:t> </w:t>
      </w:r>
      <w:r>
        <w:rPr/>
        <w:t>2024</w:t>
      </w:r>
      <w:r>
        <w:rPr>
          <w:spacing w:val="-13"/>
        </w:rPr>
        <w:t> </w:t>
      </w:r>
      <w:r>
        <w:rPr/>
        <w:t>(βλ.</w:t>
      </w:r>
      <w:r>
        <w:rPr>
          <w:spacing w:val="-13"/>
        </w:rPr>
        <w:t> </w:t>
      </w:r>
      <w:r>
        <w:rPr/>
        <w:t>Διάγραμμα </w:t>
      </w:r>
      <w:r>
        <w:rPr>
          <w:spacing w:val="-2"/>
        </w:rPr>
        <w:t>V.2).</w:t>
      </w:r>
    </w:p>
    <w:p>
      <w:pPr>
        <w:pStyle w:val="BodyText"/>
        <w:spacing w:line="285" w:lineRule="auto" w:before="57" w:after="22"/>
        <w:ind w:left="172" w:right="957"/>
        <w:jc w:val="both"/>
      </w:pPr>
      <w:r>
        <w:rPr/>
        <w:t>Στις</w:t>
      </w:r>
      <w:r>
        <w:rPr>
          <w:spacing w:val="-1"/>
        </w:rPr>
        <w:t> </w:t>
      </w:r>
      <w:r>
        <w:rPr/>
        <w:t>ασφαλίσεις</w:t>
      </w:r>
      <w:r>
        <w:rPr>
          <w:spacing w:val="-1"/>
        </w:rPr>
        <w:t> </w:t>
      </w:r>
      <w:r>
        <w:rPr/>
        <w:t>κατά</w:t>
      </w:r>
      <w:r>
        <w:rPr>
          <w:spacing w:val="-2"/>
        </w:rPr>
        <w:t> </w:t>
      </w:r>
      <w:r>
        <w:rPr/>
        <w:t>ζημιών,</w:t>
      </w:r>
      <w:r>
        <w:rPr>
          <w:spacing w:val="-4"/>
        </w:rPr>
        <w:t> </w:t>
      </w:r>
      <w:r>
        <w:rPr/>
        <w:t>ο</w:t>
      </w:r>
      <w:r>
        <w:rPr>
          <w:spacing w:val="-1"/>
        </w:rPr>
        <w:t> </w:t>
      </w:r>
      <w:r>
        <w:rPr/>
        <w:t>δείκτης</w:t>
      </w:r>
      <w:r>
        <w:rPr>
          <w:spacing w:val="-3"/>
        </w:rPr>
        <w:t> </w:t>
      </w:r>
      <w:r>
        <w:rPr/>
        <w:t>ζημιών</w:t>
      </w:r>
      <w:r>
        <w:rPr>
          <w:spacing w:val="-3"/>
        </w:rPr>
        <w:t> </w:t>
      </w:r>
      <w:r>
        <w:rPr/>
        <w:t>(loss</w:t>
      </w:r>
      <w:r>
        <w:rPr>
          <w:spacing w:val="-3"/>
        </w:rPr>
        <w:t> </w:t>
      </w:r>
      <w:r>
        <w:rPr/>
        <w:t>ratio)</w:t>
      </w:r>
      <w:r>
        <w:rPr>
          <w:spacing w:val="-3"/>
        </w:rPr>
        <w:t> </w:t>
      </w:r>
      <w:r>
        <w:rPr/>
        <w:t>της</w:t>
      </w:r>
      <w:r>
        <w:rPr>
          <w:spacing w:val="-3"/>
        </w:rPr>
        <w:t> </w:t>
      </w:r>
      <w:r>
        <w:rPr/>
        <w:t>αγοράς</w:t>
      </w:r>
      <w:r>
        <w:rPr>
          <w:spacing w:val="-2"/>
        </w:rPr>
        <w:t> </w:t>
      </w:r>
      <w:r>
        <w:rPr/>
        <w:t>το</w:t>
      </w:r>
      <w:r>
        <w:rPr>
          <w:spacing w:val="-4"/>
        </w:rPr>
        <w:t> </w:t>
      </w:r>
      <w:r>
        <w:rPr/>
        <w:t>2025</w:t>
      </w:r>
      <w:r>
        <w:rPr>
          <w:spacing w:val="-1"/>
        </w:rPr>
        <w:t> </w:t>
      </w:r>
      <w:r>
        <w:rPr/>
        <w:t>ανήλθε</w:t>
      </w:r>
      <w:r>
        <w:rPr>
          <w:spacing w:val="-1"/>
        </w:rPr>
        <w:t> </w:t>
      </w:r>
      <w:r>
        <w:rPr/>
        <w:t>στο</w:t>
      </w:r>
      <w:r>
        <w:rPr>
          <w:spacing w:val="-1"/>
        </w:rPr>
        <w:t> </w:t>
      </w:r>
      <w:r>
        <w:rPr/>
        <w:t>51% όπως και το 2024, ενώ ο δείκτης εξόδων (διαχείρισης</w:t>
      </w:r>
      <w:r>
        <w:rPr>
          <w:spacing w:val="-1"/>
        </w:rPr>
        <w:t> </w:t>
      </w:r>
      <w:r>
        <w:rPr/>
        <w:t>και προμηθειών) ανήλθε στο 48% (έναντι 47% το 2024).</w:t>
      </w: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7"/>
        <w:gridCol w:w="4257"/>
      </w:tblGrid>
      <w:tr>
        <w:trPr>
          <w:trHeight w:val="532" w:hRule="atLeast"/>
        </w:trPr>
        <w:tc>
          <w:tcPr>
            <w:tcW w:w="4247" w:type="dxa"/>
            <w:tcBorders>
              <w:right w:val="single" w:sz="48" w:space="0" w:color="FFFFFF"/>
            </w:tcBorders>
            <w:shd w:val="clear" w:color="auto" w:fill="1F487C"/>
          </w:tcPr>
          <w:p>
            <w:pPr>
              <w:pStyle w:val="TableParagraph"/>
              <w:spacing w:before="60"/>
              <w:ind w:left="112" w:right="132"/>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V.1</w:t>
            </w:r>
            <w:r>
              <w:rPr>
                <w:b/>
                <w:smallCaps w:val="0"/>
                <w:color w:val="FFFFFF"/>
                <w:spacing w:val="-8"/>
                <w:sz w:val="18"/>
              </w:rPr>
              <w:t> </w:t>
            </w:r>
            <w:r>
              <w:rPr>
                <w:b/>
                <w:smallCaps w:val="0"/>
                <w:color w:val="FFFFFF"/>
                <w:sz w:val="18"/>
              </w:rPr>
              <w:t>Ακαθάρ</w:t>
            </w:r>
            <w:r>
              <w:rPr>
                <w:b/>
                <w:smallCaps/>
                <w:color w:val="FFFFFF"/>
                <w:sz w:val="18"/>
              </w:rPr>
              <w:t>ι</w:t>
            </w:r>
            <w:r>
              <w:rPr>
                <w:b/>
                <w:smallCaps w:val="0"/>
                <w:color w:val="FFFFFF"/>
                <w:sz w:val="18"/>
              </w:rPr>
              <w:t>στα</w:t>
            </w:r>
            <w:r>
              <w:rPr>
                <w:b/>
                <w:smallCaps w:val="0"/>
                <w:color w:val="FFFFFF"/>
                <w:spacing w:val="-8"/>
                <w:sz w:val="18"/>
              </w:rPr>
              <w:t> </w:t>
            </w:r>
            <w:r>
              <w:rPr>
                <w:b/>
                <w:smallCaps w:val="0"/>
                <w:color w:val="FFFFFF"/>
                <w:sz w:val="18"/>
              </w:rPr>
              <w:t>εγγεγραμμένα</w:t>
            </w:r>
            <w:r>
              <w:rPr>
                <w:b/>
                <w:smallCaps w:val="0"/>
                <w:color w:val="FFFFFF"/>
                <w:spacing w:val="-10"/>
                <w:sz w:val="18"/>
              </w:rPr>
              <w:t> </w:t>
            </w:r>
            <w:r>
              <w:rPr>
                <w:b/>
                <w:smallCaps w:val="0"/>
                <w:color w:val="FFFFFF"/>
                <w:sz w:val="18"/>
              </w:rPr>
              <w:t>ασφάλ</w:t>
            </w:r>
            <w:r>
              <w:rPr>
                <w:b/>
                <w:smallCaps/>
                <w:color w:val="FFFFFF"/>
                <w:sz w:val="18"/>
              </w:rPr>
              <w:t>ι</w:t>
            </w:r>
            <w:r>
              <w:rPr>
                <w:b/>
                <w:smallCaps w:val="0"/>
                <w:color w:val="FFFFFF"/>
                <w:sz w:val="18"/>
              </w:rPr>
              <w:t>-</w:t>
            </w:r>
            <w:r>
              <w:rPr>
                <w:b/>
                <w:smallCaps w:val="0"/>
                <w:color w:val="FFFFFF"/>
                <w:spacing w:val="-4"/>
                <w:sz w:val="18"/>
              </w:rPr>
              <w:t>στρα</w:t>
            </w:r>
          </w:p>
        </w:tc>
        <w:tc>
          <w:tcPr>
            <w:tcW w:w="4257" w:type="dxa"/>
            <w:tcBorders>
              <w:left w:val="single" w:sz="48" w:space="0" w:color="FFFFFF"/>
            </w:tcBorders>
            <w:shd w:val="clear" w:color="auto" w:fill="1F487C"/>
          </w:tcPr>
          <w:p>
            <w:pPr>
              <w:pStyle w:val="TableParagraph"/>
              <w:spacing w:before="132"/>
              <w:ind w:left="109"/>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2"/>
                <w:sz w:val="18"/>
              </w:rPr>
              <w:t> </w:t>
            </w:r>
            <w:r>
              <w:rPr>
                <w:b/>
                <w:smallCaps w:val="0"/>
                <w:color w:val="FFFFFF"/>
                <w:sz w:val="18"/>
              </w:rPr>
              <w:t>V.2</w:t>
            </w:r>
            <w:r>
              <w:rPr>
                <w:b/>
                <w:smallCaps w:val="0"/>
                <w:color w:val="FFFFFF"/>
                <w:spacing w:val="-1"/>
                <w:sz w:val="18"/>
              </w:rPr>
              <w:t> </w:t>
            </w:r>
            <w:r>
              <w:rPr>
                <w:b/>
                <w:smallCaps w:val="0"/>
                <w:color w:val="FFFFFF"/>
                <w:sz w:val="18"/>
              </w:rPr>
              <w:t>Eπ</w:t>
            </w:r>
            <w:r>
              <w:rPr>
                <w:b/>
                <w:smallCaps/>
                <w:color w:val="FFFFFF"/>
                <w:sz w:val="18"/>
              </w:rPr>
              <w:t>ι</w:t>
            </w:r>
            <w:r>
              <w:rPr>
                <w:b/>
                <w:smallCaps w:val="0"/>
                <w:color w:val="FFFFFF"/>
                <w:sz w:val="18"/>
              </w:rPr>
              <w:t>συμβάσες</w:t>
            </w:r>
            <w:r>
              <w:rPr>
                <w:b/>
                <w:smallCaps w:val="0"/>
                <w:color w:val="FFFFFF"/>
                <w:spacing w:val="-4"/>
                <w:sz w:val="18"/>
              </w:rPr>
              <w:t> </w:t>
            </w:r>
            <w:r>
              <w:rPr>
                <w:b/>
                <w:smallCaps w:val="0"/>
                <w:color w:val="FFFFFF"/>
                <w:spacing w:val="-2"/>
                <w:sz w:val="18"/>
              </w:rPr>
              <w:t>αποζημ</w:t>
            </w:r>
            <w:r>
              <w:rPr>
                <w:b/>
                <w:smallCaps/>
                <w:color w:val="FFFFFF"/>
                <w:spacing w:val="-2"/>
                <w:sz w:val="18"/>
              </w:rPr>
              <w:t>ι</w:t>
            </w:r>
            <w:r>
              <w:rPr>
                <w:b/>
                <w:smallCaps w:val="0"/>
                <w:color w:val="FFFFFF"/>
                <w:spacing w:val="-2"/>
                <w:sz w:val="18"/>
              </w:rPr>
              <w:t>ώσε</w:t>
            </w:r>
            <w:r>
              <w:rPr>
                <w:b/>
                <w:smallCaps/>
                <w:color w:val="FFFFFF"/>
                <w:spacing w:val="-2"/>
                <w:sz w:val="18"/>
              </w:rPr>
              <w:t>ι</w:t>
            </w:r>
            <w:r>
              <w:rPr>
                <w:b/>
                <w:smallCaps w:val="0"/>
                <w:color w:val="FFFFFF"/>
                <w:spacing w:val="-2"/>
                <w:sz w:val="18"/>
              </w:rPr>
              <w:t>ς</w:t>
            </w:r>
          </w:p>
        </w:tc>
      </w:tr>
      <w:tr>
        <w:trPr>
          <w:trHeight w:val="340" w:hRule="atLeast"/>
        </w:trPr>
        <w:tc>
          <w:tcPr>
            <w:tcW w:w="4247" w:type="dxa"/>
            <w:tcBorders>
              <w:right w:val="single" w:sz="48" w:space="0" w:color="FFFFFF"/>
            </w:tcBorders>
          </w:tcPr>
          <w:p>
            <w:pPr>
              <w:pStyle w:val="TableParagraph"/>
              <w:spacing w:before="119"/>
              <w:ind w:left="57"/>
              <w:rPr>
                <w:sz w:val="14"/>
              </w:rPr>
            </w:pPr>
            <w:r>
              <w:rPr>
                <w:color w:val="1F487C"/>
                <w:sz w:val="14"/>
              </w:rPr>
              <w:t>(εκατ.</w:t>
            </w:r>
            <w:r>
              <w:rPr>
                <w:color w:val="1F487C"/>
                <w:spacing w:val="-5"/>
                <w:sz w:val="14"/>
              </w:rPr>
              <w:t> </w:t>
            </w:r>
            <w:r>
              <w:rPr>
                <w:color w:val="1F487C"/>
                <w:spacing w:val="-2"/>
                <w:sz w:val="14"/>
              </w:rPr>
              <w:t>ευρώ)</w:t>
            </w:r>
          </w:p>
        </w:tc>
        <w:tc>
          <w:tcPr>
            <w:tcW w:w="4257" w:type="dxa"/>
            <w:tcBorders>
              <w:left w:val="single" w:sz="48" w:space="0" w:color="FFFFFF"/>
            </w:tcBorders>
          </w:tcPr>
          <w:p>
            <w:pPr>
              <w:pStyle w:val="TableParagraph"/>
              <w:spacing w:before="119"/>
              <w:ind w:left="54"/>
              <w:rPr>
                <w:sz w:val="14"/>
              </w:rPr>
            </w:pPr>
            <w:r>
              <w:rPr>
                <w:color w:val="1F487C"/>
                <w:sz w:val="14"/>
              </w:rPr>
              <w:t>(εκατ.</w:t>
            </w:r>
            <w:r>
              <w:rPr>
                <w:color w:val="1F487C"/>
                <w:spacing w:val="-5"/>
                <w:sz w:val="14"/>
              </w:rPr>
              <w:t> </w:t>
            </w:r>
            <w:r>
              <w:rPr>
                <w:color w:val="1F487C"/>
                <w:spacing w:val="-2"/>
                <w:sz w:val="14"/>
              </w:rPr>
              <w:t>ευρώ)</w:t>
            </w:r>
          </w:p>
        </w:tc>
      </w:tr>
      <w:tr>
        <w:trPr>
          <w:trHeight w:val="3338" w:hRule="atLeast"/>
        </w:trPr>
        <w:tc>
          <w:tcPr>
            <w:tcW w:w="4247" w:type="dxa"/>
            <w:tcBorders>
              <w:right w:val="single" w:sz="48" w:space="0" w:color="FFFFFF"/>
            </w:tcBorders>
            <w:shd w:val="clear" w:color="auto" w:fill="D9D9D9"/>
          </w:tcPr>
          <w:p>
            <w:pPr>
              <w:pStyle w:val="TableParagraph"/>
              <w:ind w:left="-1"/>
              <w:rPr>
                <w:sz w:val="20"/>
              </w:rPr>
            </w:pPr>
            <w:r>
              <w:rPr>
                <w:sz w:val="20"/>
              </w:rPr>
              <w:drawing>
                <wp:inline distT="0" distB="0" distL="0" distR="0">
                  <wp:extent cx="2622423" cy="2076259"/>
                  <wp:effectExtent l="0" t="0" r="0" b="0"/>
                  <wp:docPr id="551" name="Image 551"/>
                  <wp:cNvGraphicFramePr>
                    <a:graphicFrameLocks/>
                  </wp:cNvGraphicFramePr>
                  <a:graphic>
                    <a:graphicData uri="http://schemas.openxmlformats.org/drawingml/2006/picture">
                      <pic:pic>
                        <pic:nvPicPr>
                          <pic:cNvPr id="551" name="Image 551"/>
                          <pic:cNvPicPr/>
                        </pic:nvPicPr>
                        <pic:blipFill>
                          <a:blip r:embed="rId103" cstate="print"/>
                          <a:stretch>
                            <a:fillRect/>
                          </a:stretch>
                        </pic:blipFill>
                        <pic:spPr>
                          <a:xfrm>
                            <a:off x="0" y="0"/>
                            <a:ext cx="2622423" cy="2076259"/>
                          </a:xfrm>
                          <a:prstGeom prst="rect">
                            <a:avLst/>
                          </a:prstGeom>
                        </pic:spPr>
                      </pic:pic>
                    </a:graphicData>
                  </a:graphic>
                </wp:inline>
              </w:drawing>
            </w:r>
            <w:r>
              <w:rPr>
                <w:sz w:val="20"/>
              </w:rPr>
            </w:r>
          </w:p>
        </w:tc>
        <w:tc>
          <w:tcPr>
            <w:tcW w:w="4257" w:type="dxa"/>
            <w:tcBorders>
              <w:left w:val="single" w:sz="48" w:space="0" w:color="FFFFFF"/>
            </w:tcBorders>
            <w:shd w:val="clear" w:color="auto" w:fill="D9D9D9"/>
          </w:tcPr>
          <w:p>
            <w:pPr>
              <w:pStyle w:val="TableParagraph"/>
              <w:spacing w:before="4" w:after="1"/>
              <w:rPr>
                <w:sz w:val="10"/>
              </w:rPr>
            </w:pPr>
          </w:p>
          <w:p>
            <w:pPr>
              <w:pStyle w:val="TableParagraph"/>
              <w:ind w:left="-4" w:right="-44"/>
              <w:rPr>
                <w:sz w:val="20"/>
              </w:rPr>
            </w:pPr>
            <w:r>
              <w:rPr>
                <w:sz w:val="20"/>
              </w:rPr>
              <w:drawing>
                <wp:inline distT="0" distB="0" distL="0" distR="0">
                  <wp:extent cx="2664119" cy="1987296"/>
                  <wp:effectExtent l="0" t="0" r="0" b="0"/>
                  <wp:docPr id="552" name="Image 552"/>
                  <wp:cNvGraphicFramePr>
                    <a:graphicFrameLocks/>
                  </wp:cNvGraphicFramePr>
                  <a:graphic>
                    <a:graphicData uri="http://schemas.openxmlformats.org/drawingml/2006/picture">
                      <pic:pic>
                        <pic:nvPicPr>
                          <pic:cNvPr id="552" name="Image 552"/>
                          <pic:cNvPicPr/>
                        </pic:nvPicPr>
                        <pic:blipFill>
                          <a:blip r:embed="rId104" cstate="print"/>
                          <a:stretch>
                            <a:fillRect/>
                          </a:stretch>
                        </pic:blipFill>
                        <pic:spPr>
                          <a:xfrm>
                            <a:off x="0" y="0"/>
                            <a:ext cx="2664119" cy="1987296"/>
                          </a:xfrm>
                          <a:prstGeom prst="rect">
                            <a:avLst/>
                          </a:prstGeom>
                        </pic:spPr>
                      </pic:pic>
                    </a:graphicData>
                  </a:graphic>
                </wp:inline>
              </w:drawing>
            </w:r>
            <w:r>
              <w:rPr>
                <w:sz w:val="20"/>
              </w:rPr>
            </w:r>
          </w:p>
        </w:tc>
      </w:tr>
      <w:tr>
        <w:trPr>
          <w:trHeight w:val="278" w:hRule="atLeast"/>
        </w:trPr>
        <w:tc>
          <w:tcPr>
            <w:tcW w:w="4247" w:type="dxa"/>
            <w:tcBorders>
              <w:right w:val="single" w:sz="48" w:space="0" w:color="FFFFFF"/>
            </w:tcBorders>
            <w:shd w:val="clear" w:color="auto" w:fill="D9D9D9"/>
          </w:tcPr>
          <w:p>
            <w:pPr>
              <w:pStyle w:val="TableParagraph"/>
              <w:spacing w:before="56"/>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c>
          <w:tcPr>
            <w:tcW w:w="4257" w:type="dxa"/>
            <w:tcBorders>
              <w:left w:val="single" w:sz="48" w:space="0" w:color="FFFFFF"/>
            </w:tcBorders>
            <w:shd w:val="clear" w:color="auto" w:fill="D9D9D9"/>
          </w:tcPr>
          <w:p>
            <w:pPr>
              <w:pStyle w:val="TableParagraph"/>
              <w:spacing w:before="56"/>
              <w:ind w:left="109"/>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BodyText"/>
        <w:spacing w:line="285" w:lineRule="auto" w:before="97"/>
        <w:ind w:left="172" w:right="957"/>
        <w:jc w:val="both"/>
      </w:pPr>
      <w:r>
        <w:rPr/>
        <w:t>Το σύνολο του ενεργητικού των εποπτευόμενων από την Τράπεζα της Ελλάδος ασφαλιστικών επιχειρήσεων διαμορφώθηκε σε 22,1 δισεκ. ευρώ τον Δεκέμβριο του 2025, αυξημένο κατά 4% συγκριτικά</w:t>
      </w:r>
      <w:r>
        <w:rPr>
          <w:spacing w:val="-7"/>
        </w:rPr>
        <w:t> </w:t>
      </w:r>
      <w:r>
        <w:rPr/>
        <w:t>με</w:t>
      </w:r>
      <w:r>
        <w:rPr>
          <w:spacing w:val="-7"/>
        </w:rPr>
        <w:t> </w:t>
      </w:r>
      <w:r>
        <w:rPr/>
        <w:t>τον</w:t>
      </w:r>
      <w:r>
        <w:rPr>
          <w:spacing w:val="-7"/>
        </w:rPr>
        <w:t> </w:t>
      </w:r>
      <w:r>
        <w:rPr/>
        <w:t>Δεκέμβριο</w:t>
      </w:r>
      <w:r>
        <w:rPr>
          <w:spacing w:val="-5"/>
        </w:rPr>
        <w:t> </w:t>
      </w:r>
      <w:r>
        <w:rPr/>
        <w:t>του</w:t>
      </w:r>
      <w:r>
        <w:rPr>
          <w:spacing w:val="-5"/>
        </w:rPr>
        <w:t> </w:t>
      </w:r>
      <w:r>
        <w:rPr/>
        <w:t>2024.</w:t>
      </w:r>
      <w:r>
        <w:rPr>
          <w:spacing w:val="-6"/>
        </w:rPr>
        <w:t> </w:t>
      </w:r>
      <w:r>
        <w:rPr/>
        <w:t>Οι</w:t>
      </w:r>
      <w:r>
        <w:rPr>
          <w:spacing w:val="-5"/>
        </w:rPr>
        <w:t> </w:t>
      </w:r>
      <w:r>
        <w:rPr/>
        <w:t>τοποθετήσεις</w:t>
      </w:r>
      <w:r>
        <w:rPr>
          <w:spacing w:val="-6"/>
        </w:rPr>
        <w:t> </w:t>
      </w:r>
      <w:r>
        <w:rPr/>
        <w:t>σε</w:t>
      </w:r>
      <w:r>
        <w:rPr>
          <w:spacing w:val="-5"/>
        </w:rPr>
        <w:t> </w:t>
      </w:r>
      <w:r>
        <w:rPr/>
        <w:t>κρατικά</w:t>
      </w:r>
      <w:r>
        <w:rPr>
          <w:spacing w:val="-9"/>
        </w:rPr>
        <w:t> </w:t>
      </w:r>
      <w:r>
        <w:rPr/>
        <w:t>ομόλογα</w:t>
      </w:r>
      <w:r>
        <w:rPr>
          <w:spacing w:val="-6"/>
        </w:rPr>
        <w:t> </w:t>
      </w:r>
      <w:r>
        <w:rPr/>
        <w:t>ανέρχονταν</w:t>
      </w:r>
      <w:r>
        <w:rPr>
          <w:spacing w:val="-7"/>
        </w:rPr>
        <w:t> </w:t>
      </w:r>
      <w:r>
        <w:rPr/>
        <w:t>σε</w:t>
      </w:r>
      <w:r>
        <w:rPr>
          <w:spacing w:val="-7"/>
        </w:rPr>
        <w:t> </w:t>
      </w:r>
      <w:r>
        <w:rPr/>
        <w:t>7,3 δισεκ.</w:t>
      </w:r>
      <w:r>
        <w:rPr>
          <w:spacing w:val="-12"/>
        </w:rPr>
        <w:t> </w:t>
      </w:r>
      <w:r>
        <w:rPr/>
        <w:t>ευρώ</w:t>
      </w:r>
      <w:r>
        <w:rPr>
          <w:spacing w:val="-11"/>
        </w:rPr>
        <w:t> </w:t>
      </w:r>
      <w:r>
        <w:rPr/>
        <w:t>(33%</w:t>
      </w:r>
      <w:r>
        <w:rPr>
          <w:spacing w:val="-9"/>
        </w:rPr>
        <w:t> </w:t>
      </w:r>
      <w:r>
        <w:rPr/>
        <w:t>του</w:t>
      </w:r>
      <w:r>
        <w:rPr>
          <w:spacing w:val="-11"/>
        </w:rPr>
        <w:t> </w:t>
      </w:r>
      <w:r>
        <w:rPr/>
        <w:t>συνολικού</w:t>
      </w:r>
      <w:r>
        <w:rPr>
          <w:spacing w:val="-11"/>
        </w:rPr>
        <w:t> </w:t>
      </w:r>
      <w:r>
        <w:rPr/>
        <w:t>ενεργητικού)</w:t>
      </w:r>
      <w:r>
        <w:rPr>
          <w:spacing w:val="-9"/>
        </w:rPr>
        <w:t> </w:t>
      </w:r>
      <w:r>
        <w:rPr/>
        <w:t>και</w:t>
      </w:r>
      <w:r>
        <w:rPr>
          <w:spacing w:val="-12"/>
        </w:rPr>
        <w:t> </w:t>
      </w:r>
      <w:r>
        <w:rPr/>
        <w:t>σε</w:t>
      </w:r>
      <w:r>
        <w:rPr>
          <w:spacing w:val="-11"/>
        </w:rPr>
        <w:t> </w:t>
      </w:r>
      <w:r>
        <w:rPr/>
        <w:t>εταιρικά</w:t>
      </w:r>
      <w:r>
        <w:rPr>
          <w:spacing w:val="-10"/>
        </w:rPr>
        <w:t> </w:t>
      </w:r>
      <w:r>
        <w:rPr/>
        <w:t>ομόλογα</w:t>
      </w:r>
      <w:r>
        <w:rPr>
          <w:spacing w:val="-7"/>
        </w:rPr>
        <w:t> </w:t>
      </w:r>
      <w:r>
        <w:rPr/>
        <w:t>σε</w:t>
      </w:r>
      <w:r>
        <w:rPr>
          <w:spacing w:val="-9"/>
        </w:rPr>
        <w:t> </w:t>
      </w:r>
      <w:r>
        <w:rPr/>
        <w:t>3,1</w:t>
      </w:r>
      <w:r>
        <w:rPr>
          <w:spacing w:val="-12"/>
        </w:rPr>
        <w:t> </w:t>
      </w:r>
      <w:r>
        <w:rPr/>
        <w:t>δισεκ.</w:t>
      </w:r>
      <w:r>
        <w:rPr>
          <w:spacing w:val="-10"/>
        </w:rPr>
        <w:t> </w:t>
      </w:r>
      <w:r>
        <w:rPr/>
        <w:t>ευρώ</w:t>
      </w:r>
      <w:r>
        <w:rPr>
          <w:spacing w:val="-9"/>
        </w:rPr>
        <w:t> </w:t>
      </w:r>
      <w:r>
        <w:rPr/>
        <w:t>(14% του συνολικού ενεργητικού). Όσον αφορά την πιστοληπτική διαβάθμιση αυτών, σχεδόν το σύ-νολο των κρατικών ομολόγων και αντίστοιχα</w:t>
      </w:r>
      <w:r>
        <w:rPr>
          <w:spacing w:val="-1"/>
        </w:rPr>
        <w:t> </w:t>
      </w:r>
      <w:r>
        <w:rPr/>
        <w:t>το 90,6% των εταιρικών ομολόγων ήταν πιστολη-πτικής</w:t>
      </w:r>
      <w:r>
        <w:rPr>
          <w:spacing w:val="-8"/>
        </w:rPr>
        <w:t> </w:t>
      </w:r>
      <w:r>
        <w:rPr/>
        <w:t>διαβάθμισης</w:t>
      </w:r>
      <w:r>
        <w:rPr>
          <w:spacing w:val="-7"/>
        </w:rPr>
        <w:t> </w:t>
      </w:r>
      <w:r>
        <w:rPr/>
        <w:t>BB-</w:t>
      </w:r>
      <w:r>
        <w:rPr>
          <w:spacing w:val="-8"/>
        </w:rPr>
        <w:t> </w:t>
      </w:r>
      <w:r>
        <w:rPr/>
        <w:t>και</w:t>
      </w:r>
      <w:r>
        <w:rPr>
          <w:spacing w:val="-6"/>
        </w:rPr>
        <w:t> </w:t>
      </w:r>
      <w:r>
        <w:rPr/>
        <w:t>πάνω.</w:t>
      </w:r>
      <w:r>
        <w:rPr>
          <w:spacing w:val="-9"/>
        </w:rPr>
        <w:t> </w:t>
      </w:r>
      <w:r>
        <w:rPr/>
        <w:t>Επιπλέον,</w:t>
      </w:r>
      <w:r>
        <w:rPr>
          <w:spacing w:val="-6"/>
        </w:rPr>
        <w:t> </w:t>
      </w:r>
      <w:r>
        <w:rPr/>
        <w:t>ποσό</w:t>
      </w:r>
      <w:r>
        <w:rPr>
          <w:spacing w:val="-6"/>
        </w:rPr>
        <w:t> </w:t>
      </w:r>
      <w:r>
        <w:rPr/>
        <w:t>6,3</w:t>
      </w:r>
      <w:r>
        <w:rPr>
          <w:spacing w:val="-11"/>
        </w:rPr>
        <w:t> </w:t>
      </w:r>
      <w:r>
        <w:rPr/>
        <w:t>δισεκ.</w:t>
      </w:r>
      <w:r>
        <w:rPr>
          <w:spacing w:val="-9"/>
        </w:rPr>
        <w:t> </w:t>
      </w:r>
      <w:r>
        <w:rPr/>
        <w:t>ευρώ</w:t>
      </w:r>
      <w:r>
        <w:rPr>
          <w:spacing w:val="-8"/>
        </w:rPr>
        <w:t> </w:t>
      </w:r>
      <w:r>
        <w:rPr/>
        <w:t>(29%</w:t>
      </w:r>
      <w:r>
        <w:rPr>
          <w:spacing w:val="-5"/>
        </w:rPr>
        <w:t> </w:t>
      </w:r>
      <w:r>
        <w:rPr/>
        <w:t>του</w:t>
      </w:r>
      <w:r>
        <w:rPr>
          <w:spacing w:val="-8"/>
        </w:rPr>
        <w:t> </w:t>
      </w:r>
      <w:r>
        <w:rPr/>
        <w:t>συνολικού</w:t>
      </w:r>
      <w:r>
        <w:rPr>
          <w:spacing w:val="-8"/>
        </w:rPr>
        <w:t> </w:t>
      </w:r>
      <w:r>
        <w:rPr/>
        <w:t>ενεργη-τικού) αφορούσε επενδύσεις για ασφαλίσεις των οποίων τον επενδυτικό κίνδυνο φέρουν οι α-σφαλισμένοι (βλ. Διάγραμμα V.3).</w:t>
      </w:r>
    </w:p>
    <w:p>
      <w:pPr>
        <w:pStyle w:val="BodyText"/>
        <w:spacing w:line="285" w:lineRule="auto" w:before="51"/>
        <w:ind w:left="172" w:right="956"/>
        <w:jc w:val="both"/>
      </w:pPr>
      <w:r>
        <w:rPr/>
        <w:t>Αντίστοιχα,</w:t>
      </w:r>
      <w:r>
        <w:rPr>
          <w:spacing w:val="-14"/>
        </w:rPr>
        <w:t> </w:t>
      </w:r>
      <w:r>
        <w:rPr/>
        <w:t>το</w:t>
      </w:r>
      <w:r>
        <w:rPr>
          <w:spacing w:val="-14"/>
        </w:rPr>
        <w:t> </w:t>
      </w:r>
      <w:r>
        <w:rPr/>
        <w:t>2025</w:t>
      </w:r>
      <w:r>
        <w:rPr>
          <w:spacing w:val="-14"/>
        </w:rPr>
        <w:t> </w:t>
      </w:r>
      <w:r>
        <w:rPr/>
        <w:t>οι</w:t>
      </w:r>
      <w:r>
        <w:rPr>
          <w:spacing w:val="-13"/>
        </w:rPr>
        <w:t> </w:t>
      </w:r>
      <w:r>
        <w:rPr/>
        <w:t>συνολικές</w:t>
      </w:r>
      <w:r>
        <w:rPr>
          <w:spacing w:val="-14"/>
        </w:rPr>
        <w:t> </w:t>
      </w:r>
      <w:r>
        <w:rPr/>
        <w:t>υποχρεώσεις</w:t>
      </w:r>
      <w:r>
        <w:rPr>
          <w:spacing w:val="-14"/>
        </w:rPr>
        <w:t> </w:t>
      </w:r>
      <w:r>
        <w:rPr/>
        <w:t>των</w:t>
      </w:r>
      <w:r>
        <w:rPr>
          <w:spacing w:val="-14"/>
        </w:rPr>
        <w:t> </w:t>
      </w:r>
      <w:r>
        <w:rPr/>
        <w:t>ασφαλιστικών</w:t>
      </w:r>
      <w:r>
        <w:rPr>
          <w:spacing w:val="-13"/>
        </w:rPr>
        <w:t> </w:t>
      </w:r>
      <w:r>
        <w:rPr/>
        <w:t>επιχειρήσεων</w:t>
      </w:r>
      <w:r>
        <w:rPr>
          <w:spacing w:val="-14"/>
        </w:rPr>
        <w:t> </w:t>
      </w:r>
      <w:r>
        <w:rPr/>
        <w:t>ανήλθαν</w:t>
      </w:r>
      <w:r>
        <w:rPr>
          <w:spacing w:val="-14"/>
        </w:rPr>
        <w:t> </w:t>
      </w:r>
      <w:r>
        <w:rPr/>
        <w:t>σε</w:t>
      </w:r>
      <w:r>
        <w:rPr>
          <w:spacing w:val="-14"/>
        </w:rPr>
        <w:t> </w:t>
      </w:r>
      <w:r>
        <w:rPr/>
        <w:t>17,9 δισεκ. ευρώ (από 17,5 δισεκ. ευρώ τον Δεκέμβριο του 2024), με το σύνολο των τεχνικών προ-βλέψεων να διαμορφώνεται σε 16,1 δισεκ. ευρώ για την ίδια περίοδο</w:t>
      </w:r>
      <w:r>
        <w:rPr>
          <w:spacing w:val="-1"/>
        </w:rPr>
        <w:t> </w:t>
      </w:r>
      <w:r>
        <w:rPr/>
        <w:t>(από 15,8 δισεκ.</w:t>
      </w:r>
      <w:r>
        <w:rPr>
          <w:spacing w:val="-1"/>
        </w:rPr>
        <w:t> </w:t>
      </w:r>
      <w:r>
        <w:rPr/>
        <w:t>ευρώ τον Δεκέμβριο του 2024), εκ των οποίων 12,5 δισεκ. ευρώ αφορούσαν ασφαλίσεις ζωής και 3,5 δι-σεκ. ευρώ ασφαλίσεις κατά ζημιών. Από τις τεχνικές προβλέψεις ζωής, το 45% αφορά ασφαλί-σεις ζωής που συνδέονται με επενδύσεις (έναντι 40% τον Δεκέμβριο του 2024) (βλ. Διάγραμμα </w:t>
      </w:r>
      <w:r>
        <w:rPr>
          <w:spacing w:val="-2"/>
        </w:rPr>
        <w:t>V.4).</w:t>
      </w:r>
    </w:p>
    <w:p>
      <w:pPr>
        <w:pStyle w:val="BodyText"/>
        <w:spacing w:after="0" w:line="285" w:lineRule="auto"/>
        <w:jc w:val="both"/>
        <w:sectPr>
          <w:pgSz w:w="11910" w:h="16850"/>
          <w:pgMar w:header="0" w:footer="1108" w:top="1840" w:bottom="1300" w:left="1417" w:right="850"/>
        </w:sect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6"/>
        <w:gridCol w:w="4197"/>
      </w:tblGrid>
      <w:tr>
        <w:trPr>
          <w:trHeight w:val="592" w:hRule="atLeast"/>
        </w:trPr>
        <w:tc>
          <w:tcPr>
            <w:tcW w:w="4196" w:type="dxa"/>
            <w:tcBorders>
              <w:right w:val="single" w:sz="24" w:space="0" w:color="FFFFFF"/>
            </w:tcBorders>
            <w:shd w:val="clear" w:color="auto" w:fill="1F487C"/>
          </w:tcPr>
          <w:p>
            <w:pPr>
              <w:pStyle w:val="TableParagraph"/>
              <w:spacing w:line="260" w:lineRule="atLeast" w:before="7"/>
              <w:ind w:left="112"/>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V.3</w:t>
            </w:r>
            <w:r>
              <w:rPr>
                <w:b/>
                <w:smallCaps w:val="0"/>
                <w:color w:val="FFFFFF"/>
                <w:spacing w:val="-6"/>
                <w:sz w:val="18"/>
              </w:rPr>
              <w:t> </w:t>
            </w:r>
            <w:r>
              <w:rPr>
                <w:b/>
                <w:smallCaps w:val="0"/>
                <w:color w:val="FFFFFF"/>
                <w:sz w:val="18"/>
              </w:rPr>
              <w:t>Δ</w:t>
            </w:r>
            <w:r>
              <w:rPr>
                <w:b/>
                <w:smallCaps/>
                <w:color w:val="FFFFFF"/>
                <w:sz w:val="18"/>
              </w:rPr>
              <w:t>ι</w:t>
            </w:r>
            <w:r>
              <w:rPr>
                <w:b/>
                <w:smallCaps w:val="0"/>
                <w:color w:val="FFFFFF"/>
                <w:sz w:val="18"/>
              </w:rPr>
              <w:t>άρθρωση</w:t>
            </w:r>
            <w:r>
              <w:rPr>
                <w:b/>
                <w:smallCaps w:val="0"/>
                <w:color w:val="FFFFFF"/>
                <w:spacing w:val="-8"/>
                <w:sz w:val="18"/>
              </w:rPr>
              <w:t> </w:t>
            </w:r>
            <w:r>
              <w:rPr>
                <w:b/>
                <w:smallCaps w:val="0"/>
                <w:color w:val="FFFFFF"/>
                <w:sz w:val="18"/>
              </w:rPr>
              <w:t>του</w:t>
            </w:r>
            <w:r>
              <w:rPr>
                <w:b/>
                <w:smallCaps w:val="0"/>
                <w:color w:val="FFFFFF"/>
                <w:spacing w:val="-10"/>
                <w:sz w:val="18"/>
              </w:rPr>
              <w:t> </w:t>
            </w:r>
            <w:r>
              <w:rPr>
                <w:b/>
                <w:smallCaps w:val="0"/>
                <w:color w:val="FFFFFF"/>
                <w:sz w:val="18"/>
              </w:rPr>
              <w:t>ενεργητ</w:t>
            </w:r>
            <w:r>
              <w:rPr>
                <w:b/>
                <w:smallCaps/>
                <w:color w:val="FFFFFF"/>
                <w:sz w:val="18"/>
              </w:rPr>
              <w:t>ι</w:t>
            </w:r>
            <w:r>
              <w:rPr>
                <w:b/>
                <w:smallCaps w:val="0"/>
                <w:color w:val="FFFFFF"/>
                <w:sz w:val="18"/>
              </w:rPr>
              <w:t>κού</w:t>
            </w:r>
            <w:r>
              <w:rPr>
                <w:b/>
                <w:smallCaps w:val="0"/>
                <w:color w:val="FFFFFF"/>
                <w:spacing w:val="-7"/>
                <w:sz w:val="18"/>
              </w:rPr>
              <w:t> </w:t>
            </w:r>
            <w:r>
              <w:rPr>
                <w:b/>
                <w:smallCaps w:val="0"/>
                <w:color w:val="FFFFFF"/>
                <w:sz w:val="18"/>
              </w:rPr>
              <w:t>των ασφαλ</w:t>
            </w:r>
            <w:r>
              <w:rPr>
                <w:b/>
                <w:smallCaps/>
                <w:color w:val="FFFFFF"/>
                <w:sz w:val="18"/>
              </w:rPr>
              <w:t>ι</w:t>
            </w:r>
            <w:r>
              <w:rPr>
                <w:b/>
                <w:smallCaps w:val="0"/>
                <w:color w:val="FFFFFF"/>
                <w:sz w:val="18"/>
              </w:rPr>
              <w:t>στ</w:t>
            </w:r>
            <w:r>
              <w:rPr>
                <w:b/>
                <w:smallCaps/>
                <w:color w:val="FFFFFF"/>
                <w:sz w:val="18"/>
              </w:rPr>
              <w:t>ι</w:t>
            </w:r>
            <w:r>
              <w:rPr>
                <w:b/>
                <w:smallCaps w:val="0"/>
                <w:color w:val="FFFFFF"/>
                <w:sz w:val="18"/>
              </w:rPr>
              <w:t>κών 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w:t>
            </w:r>
          </w:p>
        </w:tc>
        <w:tc>
          <w:tcPr>
            <w:tcW w:w="4197" w:type="dxa"/>
            <w:tcBorders>
              <w:left w:val="single" w:sz="24" w:space="0" w:color="FFFFFF"/>
            </w:tcBorders>
            <w:shd w:val="clear" w:color="auto" w:fill="1F487C"/>
          </w:tcPr>
          <w:p>
            <w:pPr>
              <w:pStyle w:val="TableParagraph"/>
              <w:spacing w:before="88"/>
              <w:ind w:left="111" w:right="308"/>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V.4</w:t>
            </w:r>
            <w:r>
              <w:rPr>
                <w:b/>
                <w:smallCaps w:val="0"/>
                <w:color w:val="FFFFFF"/>
                <w:spacing w:val="-7"/>
                <w:sz w:val="18"/>
              </w:rPr>
              <w:t> </w:t>
            </w:r>
            <w:r>
              <w:rPr>
                <w:b/>
                <w:smallCaps w:val="0"/>
                <w:color w:val="FFFFFF"/>
                <w:sz w:val="18"/>
              </w:rPr>
              <w:t>Δ</w:t>
            </w:r>
            <w:r>
              <w:rPr>
                <w:b/>
                <w:smallCaps/>
                <w:color w:val="FFFFFF"/>
                <w:sz w:val="18"/>
              </w:rPr>
              <w:t>ι</w:t>
            </w:r>
            <w:r>
              <w:rPr>
                <w:b/>
                <w:smallCaps w:val="0"/>
                <w:color w:val="FFFFFF"/>
                <w:sz w:val="18"/>
              </w:rPr>
              <w:t>άρθρωση</w:t>
            </w:r>
            <w:r>
              <w:rPr>
                <w:b/>
                <w:smallCaps w:val="0"/>
                <w:color w:val="FFFFFF"/>
                <w:spacing w:val="-7"/>
                <w:sz w:val="18"/>
              </w:rPr>
              <w:t> </w:t>
            </w:r>
            <w:r>
              <w:rPr>
                <w:b/>
                <w:smallCaps w:val="0"/>
                <w:color w:val="FFFFFF"/>
                <w:sz w:val="18"/>
              </w:rPr>
              <w:t>υποχρεώσεων</w:t>
            </w:r>
            <w:r>
              <w:rPr>
                <w:b/>
                <w:smallCaps w:val="0"/>
                <w:color w:val="FFFFFF"/>
                <w:spacing w:val="-8"/>
                <w:sz w:val="18"/>
              </w:rPr>
              <w:t> </w:t>
            </w:r>
            <w:r>
              <w:rPr>
                <w:b/>
                <w:smallCaps w:val="0"/>
                <w:color w:val="FFFFFF"/>
                <w:sz w:val="18"/>
              </w:rPr>
              <w:t>των</w:t>
            </w:r>
            <w:r>
              <w:rPr>
                <w:b/>
                <w:smallCaps w:val="0"/>
                <w:color w:val="FFFFFF"/>
                <w:spacing w:val="-8"/>
                <w:sz w:val="18"/>
              </w:rPr>
              <w:t> </w:t>
            </w:r>
            <w:r>
              <w:rPr>
                <w:b/>
                <w:smallCaps w:val="0"/>
                <w:color w:val="FFFFFF"/>
                <w:sz w:val="18"/>
              </w:rPr>
              <w:t>α-σφαλ</w:t>
            </w:r>
            <w:r>
              <w:rPr>
                <w:b/>
                <w:smallCaps/>
                <w:color w:val="FFFFFF"/>
                <w:sz w:val="18"/>
              </w:rPr>
              <w:t>ι</w:t>
            </w:r>
            <w:r>
              <w:rPr>
                <w:b/>
                <w:smallCaps w:val="0"/>
                <w:color w:val="FFFFFF"/>
                <w:sz w:val="18"/>
              </w:rPr>
              <w:t>στ</w:t>
            </w:r>
            <w:r>
              <w:rPr>
                <w:b/>
                <w:smallCaps/>
                <w:color w:val="FFFFFF"/>
                <w:sz w:val="18"/>
              </w:rPr>
              <w:t>ι</w:t>
            </w:r>
            <w:r>
              <w:rPr>
                <w:b/>
                <w:smallCaps w:val="0"/>
                <w:color w:val="FFFFFF"/>
                <w:sz w:val="18"/>
              </w:rPr>
              <w:t>κών 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w:t>
            </w:r>
          </w:p>
        </w:tc>
      </w:tr>
      <w:tr>
        <w:trPr>
          <w:trHeight w:val="340" w:hRule="atLeast"/>
        </w:trPr>
        <w:tc>
          <w:tcPr>
            <w:tcW w:w="4196" w:type="dxa"/>
            <w:tcBorders>
              <w:right w:val="single" w:sz="24" w:space="0" w:color="FFFFFF"/>
            </w:tcBorders>
          </w:tcPr>
          <w:p>
            <w:pPr>
              <w:pStyle w:val="TableParagraph"/>
              <w:spacing w:before="119"/>
              <w:ind w:left="57"/>
              <w:rPr>
                <w:sz w:val="14"/>
              </w:rPr>
            </w:pPr>
            <w:r>
              <w:rPr>
                <w:color w:val="1F487C"/>
                <w:sz w:val="14"/>
              </w:rPr>
              <w:t>(δισεκ.</w:t>
            </w:r>
            <w:r>
              <w:rPr>
                <w:color w:val="1F487C"/>
                <w:spacing w:val="-5"/>
                <w:sz w:val="14"/>
              </w:rPr>
              <w:t> </w:t>
            </w:r>
            <w:r>
              <w:rPr>
                <w:color w:val="1F487C"/>
                <w:spacing w:val="-2"/>
                <w:sz w:val="14"/>
              </w:rPr>
              <w:t>ευρώ)</w:t>
            </w:r>
          </w:p>
        </w:tc>
        <w:tc>
          <w:tcPr>
            <w:tcW w:w="4197" w:type="dxa"/>
            <w:tcBorders>
              <w:left w:val="single" w:sz="24" w:space="0" w:color="FFFFFF"/>
            </w:tcBorders>
          </w:tcPr>
          <w:p>
            <w:pPr>
              <w:pStyle w:val="TableParagraph"/>
              <w:spacing w:before="119"/>
              <w:ind w:left="56"/>
              <w:rPr>
                <w:sz w:val="14"/>
              </w:rPr>
            </w:pPr>
            <w:r>
              <w:rPr>
                <w:color w:val="1F487C"/>
                <w:sz w:val="14"/>
              </w:rPr>
              <w:t>(δισεκ.</w:t>
            </w:r>
            <w:r>
              <w:rPr>
                <w:color w:val="1F487C"/>
                <w:spacing w:val="-5"/>
                <w:sz w:val="14"/>
              </w:rPr>
              <w:t> </w:t>
            </w:r>
            <w:r>
              <w:rPr>
                <w:color w:val="1F487C"/>
                <w:spacing w:val="-2"/>
                <w:sz w:val="14"/>
              </w:rPr>
              <w:t>ευρώ)</w:t>
            </w:r>
          </w:p>
        </w:tc>
      </w:tr>
      <w:tr>
        <w:trPr>
          <w:trHeight w:val="4078" w:hRule="atLeast"/>
        </w:trPr>
        <w:tc>
          <w:tcPr>
            <w:tcW w:w="4196" w:type="dxa"/>
            <w:tcBorders>
              <w:right w:val="single" w:sz="24" w:space="0" w:color="FFFFFF"/>
            </w:tcBorders>
          </w:tcPr>
          <w:p>
            <w:pPr>
              <w:pStyle w:val="TableParagraph"/>
              <w:spacing w:before="48"/>
              <w:ind w:left="538"/>
              <w:rPr>
                <w:b/>
                <w:sz w:val="9"/>
              </w:rPr>
            </w:pPr>
            <w:r>
              <w:rPr>
                <w:b/>
                <w:sz w:val="9"/>
              </w:rPr>
              <mc:AlternateContent>
                <mc:Choice Requires="wps">
                  <w:drawing>
                    <wp:anchor distT="0" distB="0" distL="0" distR="0" allowOverlap="1" layoutInCell="1" locked="0" behindDoc="1" simplePos="0" relativeHeight="482704896">
                      <wp:simplePos x="0" y="0"/>
                      <wp:positionH relativeFrom="column">
                        <wp:posOffset>0</wp:posOffset>
                      </wp:positionH>
                      <wp:positionV relativeFrom="paragraph">
                        <wp:posOffset>-203</wp:posOffset>
                      </wp:positionV>
                      <wp:extent cx="2646045" cy="2553335"/>
                      <wp:effectExtent l="0" t="0" r="0" b="0"/>
                      <wp:wrapNone/>
                      <wp:docPr id="553" name="Group 553"/>
                      <wp:cNvGraphicFramePr>
                        <a:graphicFrameLocks/>
                      </wp:cNvGraphicFramePr>
                      <a:graphic>
                        <a:graphicData uri="http://schemas.microsoft.com/office/word/2010/wordprocessingGroup">
                          <wpg:wgp>
                            <wpg:cNvPr id="553" name="Group 553"/>
                            <wpg:cNvGrpSpPr/>
                            <wpg:grpSpPr>
                              <a:xfrm>
                                <a:off x="0" y="0"/>
                                <a:ext cx="2646045" cy="2553335"/>
                                <a:chExt cx="2646045" cy="2553335"/>
                              </a:xfrm>
                            </wpg:grpSpPr>
                            <wps:wsp>
                              <wps:cNvPr id="554" name="Graphic 554"/>
                              <wps:cNvSpPr/>
                              <wps:spPr>
                                <a:xfrm>
                                  <a:off x="0" y="0"/>
                                  <a:ext cx="2646045" cy="2553335"/>
                                </a:xfrm>
                                <a:custGeom>
                                  <a:avLst/>
                                  <a:gdLst/>
                                  <a:ahLst/>
                                  <a:cxnLst/>
                                  <a:rect l="l" t="t" r="r" b="b"/>
                                  <a:pathLst>
                                    <a:path w="2646045" h="2553335">
                                      <a:moveTo>
                                        <a:pt x="2645917" y="0"/>
                                      </a:moveTo>
                                      <a:lnTo>
                                        <a:pt x="0" y="0"/>
                                      </a:lnTo>
                                      <a:lnTo>
                                        <a:pt x="0" y="2552954"/>
                                      </a:lnTo>
                                      <a:lnTo>
                                        <a:pt x="2645917" y="2552954"/>
                                      </a:lnTo>
                                      <a:lnTo>
                                        <a:pt x="2645917" y="0"/>
                                      </a:lnTo>
                                      <a:close/>
                                    </a:path>
                                  </a:pathLst>
                                </a:custGeom>
                                <a:solidFill>
                                  <a:srgbClr val="D9D9D9"/>
                                </a:solidFill>
                              </wps:spPr>
                              <wps:bodyPr wrap="square" lIns="0" tIns="0" rIns="0" bIns="0" rtlCol="0">
                                <a:prstTxWarp prst="textNoShape">
                                  <a:avLst/>
                                </a:prstTxWarp>
                                <a:noAutofit/>
                              </wps:bodyPr>
                            </wps:wsp>
                            <wps:wsp>
                              <wps:cNvPr id="555" name="Graphic 555"/>
                              <wps:cNvSpPr/>
                              <wps:spPr>
                                <a:xfrm>
                                  <a:off x="364694" y="1830765"/>
                                  <a:ext cx="186690" cy="542290"/>
                                </a:xfrm>
                                <a:custGeom>
                                  <a:avLst/>
                                  <a:gdLst/>
                                  <a:ahLst/>
                                  <a:cxnLst/>
                                  <a:rect l="l" t="t" r="r" b="b"/>
                                  <a:pathLst>
                                    <a:path w="186690" h="542290">
                                      <a:moveTo>
                                        <a:pt x="186642" y="0"/>
                                      </a:moveTo>
                                      <a:lnTo>
                                        <a:pt x="0" y="0"/>
                                      </a:lnTo>
                                      <a:lnTo>
                                        <a:pt x="0" y="541713"/>
                                      </a:lnTo>
                                      <a:lnTo>
                                        <a:pt x="186642" y="541713"/>
                                      </a:lnTo>
                                      <a:lnTo>
                                        <a:pt x="186642" y="0"/>
                                      </a:lnTo>
                                      <a:close/>
                                    </a:path>
                                  </a:pathLst>
                                </a:custGeom>
                                <a:solidFill>
                                  <a:srgbClr val="385D89"/>
                                </a:solidFill>
                              </wps:spPr>
                              <wps:bodyPr wrap="square" lIns="0" tIns="0" rIns="0" bIns="0" rtlCol="0">
                                <a:prstTxWarp prst="textNoShape">
                                  <a:avLst/>
                                </a:prstTxWarp>
                                <a:noAutofit/>
                              </wps:bodyPr>
                            </wps:wsp>
                            <wps:wsp>
                              <wps:cNvPr id="556" name="Graphic 556"/>
                              <wps:cNvSpPr/>
                              <wps:spPr>
                                <a:xfrm>
                                  <a:off x="364693" y="1249844"/>
                                  <a:ext cx="1130300" cy="353060"/>
                                </a:xfrm>
                                <a:custGeom>
                                  <a:avLst/>
                                  <a:gdLst/>
                                  <a:ahLst/>
                                  <a:cxnLst/>
                                  <a:rect l="l" t="t" r="r" b="b"/>
                                  <a:pathLst>
                                    <a:path w="1130300" h="353060">
                                      <a:moveTo>
                                        <a:pt x="186639" y="0"/>
                                      </a:moveTo>
                                      <a:lnTo>
                                        <a:pt x="0" y="0"/>
                                      </a:lnTo>
                                      <a:lnTo>
                                        <a:pt x="0" y="231660"/>
                                      </a:lnTo>
                                      <a:lnTo>
                                        <a:pt x="186639" y="231660"/>
                                      </a:lnTo>
                                      <a:lnTo>
                                        <a:pt x="186639" y="0"/>
                                      </a:lnTo>
                                      <a:close/>
                                    </a:path>
                                    <a:path w="1130300" h="353060">
                                      <a:moveTo>
                                        <a:pt x="1130033" y="57023"/>
                                      </a:moveTo>
                                      <a:lnTo>
                                        <a:pt x="939990" y="57023"/>
                                      </a:lnTo>
                                      <a:lnTo>
                                        <a:pt x="939990" y="352831"/>
                                      </a:lnTo>
                                      <a:lnTo>
                                        <a:pt x="1130033" y="352831"/>
                                      </a:lnTo>
                                      <a:lnTo>
                                        <a:pt x="1130033" y="57023"/>
                                      </a:lnTo>
                                      <a:close/>
                                    </a:path>
                                  </a:pathLst>
                                </a:custGeom>
                                <a:solidFill>
                                  <a:srgbClr val="A0B4D3"/>
                                </a:solidFill>
                              </wps:spPr>
                              <wps:bodyPr wrap="square" lIns="0" tIns="0" rIns="0" bIns="0" rtlCol="0">
                                <a:prstTxWarp prst="textNoShape">
                                  <a:avLst/>
                                </a:prstTxWarp>
                                <a:noAutofit/>
                              </wps:bodyPr>
                            </wps:wsp>
                            <wps:wsp>
                              <wps:cNvPr id="557" name="Graphic 557"/>
                              <wps:cNvSpPr/>
                              <wps:spPr>
                                <a:xfrm>
                                  <a:off x="836384" y="1093037"/>
                                  <a:ext cx="658495" cy="281940"/>
                                </a:xfrm>
                                <a:custGeom>
                                  <a:avLst/>
                                  <a:gdLst/>
                                  <a:ahLst/>
                                  <a:cxnLst/>
                                  <a:rect l="l" t="t" r="r" b="b"/>
                                  <a:pathLst>
                                    <a:path w="658495" h="281940">
                                      <a:moveTo>
                                        <a:pt x="186639" y="103352"/>
                                      </a:moveTo>
                                      <a:lnTo>
                                        <a:pt x="0" y="103352"/>
                                      </a:lnTo>
                                      <a:lnTo>
                                        <a:pt x="0" y="281546"/>
                                      </a:lnTo>
                                      <a:lnTo>
                                        <a:pt x="186639" y="281546"/>
                                      </a:lnTo>
                                      <a:lnTo>
                                        <a:pt x="186639" y="103352"/>
                                      </a:lnTo>
                                      <a:close/>
                                    </a:path>
                                    <a:path w="658495" h="281940">
                                      <a:moveTo>
                                        <a:pt x="658342" y="0"/>
                                      </a:moveTo>
                                      <a:lnTo>
                                        <a:pt x="468299" y="0"/>
                                      </a:lnTo>
                                      <a:lnTo>
                                        <a:pt x="468299" y="213829"/>
                                      </a:lnTo>
                                      <a:lnTo>
                                        <a:pt x="658342" y="213829"/>
                                      </a:lnTo>
                                      <a:lnTo>
                                        <a:pt x="658342" y="0"/>
                                      </a:lnTo>
                                      <a:close/>
                                    </a:path>
                                  </a:pathLst>
                                </a:custGeom>
                                <a:solidFill>
                                  <a:srgbClr val="C2CDE0"/>
                                </a:solidFill>
                              </wps:spPr>
                              <wps:bodyPr wrap="square" lIns="0" tIns="0" rIns="0" bIns="0" rtlCol="0">
                                <a:prstTxWarp prst="textNoShape">
                                  <a:avLst/>
                                </a:prstTxWarp>
                                <a:noAutofit/>
                              </wps:bodyPr>
                            </wps:wsp>
                            <wps:wsp>
                              <wps:cNvPr id="558" name="Graphic 558"/>
                              <wps:cNvSpPr/>
                              <wps:spPr>
                                <a:xfrm>
                                  <a:off x="3294" y="4235"/>
                                  <a:ext cx="2620010" cy="2538095"/>
                                </a:xfrm>
                                <a:custGeom>
                                  <a:avLst/>
                                  <a:gdLst/>
                                  <a:ahLst/>
                                  <a:cxnLst/>
                                  <a:rect l="l" t="t" r="r" b="b"/>
                                  <a:pathLst>
                                    <a:path w="2620010" h="2538095">
                                      <a:moveTo>
                                        <a:pt x="0" y="0"/>
                                      </a:moveTo>
                                      <a:lnTo>
                                        <a:pt x="2619769" y="0"/>
                                      </a:lnTo>
                                      <a:lnTo>
                                        <a:pt x="2619769" y="2537531"/>
                                      </a:lnTo>
                                      <a:lnTo>
                                        <a:pt x="0" y="2537530"/>
                                      </a:lnTo>
                                      <a:lnTo>
                                        <a:pt x="0" y="0"/>
                                      </a:lnTo>
                                      <a:close/>
                                    </a:path>
                                  </a:pathLst>
                                </a:custGeom>
                                <a:ln w="4061">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16035pt;width:208.35pt;height:201.05pt;mso-position-horizontal-relative:column;mso-position-vertical-relative:paragraph;z-index:-20611584" id="docshapegroup523" coordorigin="0,0" coordsize="4167,4021">
                      <v:rect style="position:absolute;left:0;top:-1;width:4167;height:4021" id="docshape524" filled="true" fillcolor="#d9d9d9" stroked="false">
                        <v:fill type="solid"/>
                      </v:rect>
                      <v:rect style="position:absolute;left:574;top:2882;width:294;height:854" id="docshape525" filled="true" fillcolor="#385d89" stroked="false">
                        <v:fill type="solid"/>
                      </v:rect>
                      <v:shape style="position:absolute;left:574;top:1967;width:1780;height:556" id="docshape526" coordorigin="574,1968" coordsize="1780,556" path="m868,1968l574,1968,574,2333,868,2333,868,1968xm2354,2058l2055,2058,2055,2524,2354,2524,2354,2058xe" filled="true" fillcolor="#a0b4d3" stroked="false">
                        <v:path arrowok="t"/>
                        <v:fill type="solid"/>
                      </v:shape>
                      <v:shape style="position:absolute;left:1317;top:1721;width:1037;height:444" id="docshape527" coordorigin="1317,1721" coordsize="1037,444" path="m1611,1884l1317,1884,1317,2164,1611,2164,1611,1884xm2354,1721l2055,1721,2055,2058,2354,2058,2354,1721xe" filled="true" fillcolor="#c2cde0" stroked="false">
                        <v:path arrowok="t"/>
                        <v:fill type="solid"/>
                      </v:shape>
                      <v:rect style="position:absolute;left:5;top:6;width:4126;height:3997" id="docshape528" filled="false" stroked="true" strokeweight=".319818pt" strokecolor="#d9d9d9">
                        <v:stroke dashstyle="solid"/>
                      </v:rect>
                      <w10:wrap type="none"/>
                    </v:group>
                  </w:pict>
                </mc:Fallback>
              </mc:AlternateContent>
            </w:r>
            <w:r>
              <w:rPr>
                <w:b/>
                <w:sz w:val="9"/>
              </w:rPr>
              <mc:AlternateContent>
                <mc:Choice Requires="wps">
                  <w:drawing>
                    <wp:anchor distT="0" distB="0" distL="0" distR="0" allowOverlap="1" layoutInCell="1" locked="0" behindDoc="0" simplePos="0" relativeHeight="15786496">
                      <wp:simplePos x="0" y="0"/>
                      <wp:positionH relativeFrom="column">
                        <wp:posOffset>303611</wp:posOffset>
                      </wp:positionH>
                      <wp:positionV relativeFrom="paragraph">
                        <wp:posOffset>48581</wp:posOffset>
                      </wp:positionV>
                      <wp:extent cx="27305" cy="28575"/>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27305" cy="28575"/>
                                <a:chExt cx="27305" cy="28575"/>
                              </a:xfrm>
                            </wpg:grpSpPr>
                            <wps:wsp>
                              <wps:cNvPr id="560" name="Graphic 560"/>
                              <wps:cNvSpPr/>
                              <wps:spPr>
                                <a:xfrm>
                                  <a:off x="0" y="0"/>
                                  <a:ext cx="27305" cy="28575"/>
                                </a:xfrm>
                                <a:custGeom>
                                  <a:avLst/>
                                  <a:gdLst/>
                                  <a:ahLst/>
                                  <a:cxnLst/>
                                  <a:rect l="l" t="t" r="r" b="b"/>
                                  <a:pathLst>
                                    <a:path w="27305" h="28575">
                                      <a:moveTo>
                                        <a:pt x="27147" y="0"/>
                                      </a:moveTo>
                                      <a:lnTo>
                                        <a:pt x="0" y="0"/>
                                      </a:lnTo>
                                      <a:lnTo>
                                        <a:pt x="0" y="28511"/>
                                      </a:lnTo>
                                      <a:lnTo>
                                        <a:pt x="27147" y="28511"/>
                                      </a:lnTo>
                                      <a:lnTo>
                                        <a:pt x="27147" y="0"/>
                                      </a:lnTo>
                                      <a:close/>
                                    </a:path>
                                  </a:pathLst>
                                </a:custGeom>
                                <a:solidFill>
                                  <a:srgbClr val="C2CDE0"/>
                                </a:solidFill>
                              </wps:spPr>
                              <wps:bodyPr wrap="square" lIns="0" tIns="0" rIns="0" bIns="0" rtlCol="0">
                                <a:prstTxWarp prst="textNoShape">
                                  <a:avLst/>
                                </a:prstTxWarp>
                                <a:noAutofit/>
                              </wps:bodyPr>
                            </wps:wsp>
                          </wpg:wgp>
                        </a:graphicData>
                      </a:graphic>
                    </wp:anchor>
                  </w:drawing>
                </mc:Choice>
                <mc:Fallback>
                  <w:pict>
                    <v:group style="position:absolute;margin-left:23.906433pt;margin-top:3.825311pt;width:2.15pt;height:2.25pt;mso-position-horizontal-relative:column;mso-position-vertical-relative:paragraph;z-index:15786496" id="docshapegroup529" coordorigin="478,77" coordsize="43,45">
                      <v:rect style="position:absolute;left:478;top:76;width:43;height:45" id="docshape530" filled="true" fillcolor="#c2cde0" stroked="false">
                        <v:fill type="solid"/>
                      </v:rect>
                      <w10:wrap type="none"/>
                    </v:group>
                  </w:pict>
                </mc:Fallback>
              </mc:AlternateContent>
            </w:r>
            <w:r>
              <w:rPr>
                <w:b/>
                <w:color w:val="252525"/>
                <w:spacing w:val="-4"/>
                <w:sz w:val="9"/>
              </w:rPr>
              <w:t>Λο</w:t>
            </w:r>
            <w:r>
              <w:rPr>
                <w:b/>
                <w:smallCaps/>
                <w:color w:val="252525"/>
                <w:spacing w:val="-4"/>
                <w:sz w:val="9"/>
              </w:rPr>
              <w:t>ι</w:t>
            </w:r>
            <w:r>
              <w:rPr>
                <w:b/>
                <w:smallCaps w:val="0"/>
                <w:color w:val="252525"/>
                <w:spacing w:val="-4"/>
                <w:sz w:val="9"/>
              </w:rPr>
              <w:t>πά</w:t>
            </w:r>
            <w:r>
              <w:rPr>
                <w:b/>
                <w:smallCaps w:val="0"/>
                <w:color w:val="252525"/>
                <w:spacing w:val="9"/>
                <w:sz w:val="9"/>
              </w:rPr>
              <w:t> </w:t>
            </w:r>
            <w:r>
              <w:rPr>
                <w:b/>
                <w:smallCaps w:val="0"/>
                <w:color w:val="252525"/>
                <w:spacing w:val="-4"/>
                <w:sz w:val="9"/>
              </w:rPr>
              <w:t>στο</w:t>
            </w:r>
            <w:r>
              <w:rPr>
                <w:b/>
                <w:smallCaps/>
                <w:color w:val="252525"/>
                <w:spacing w:val="-4"/>
                <w:sz w:val="9"/>
              </w:rPr>
              <w:t>ι</w:t>
            </w:r>
            <w:r>
              <w:rPr>
                <w:b/>
                <w:smallCaps w:val="0"/>
                <w:color w:val="252525"/>
                <w:spacing w:val="-4"/>
                <w:sz w:val="9"/>
              </w:rPr>
              <w:t>χεία</w:t>
            </w:r>
            <w:r>
              <w:rPr>
                <w:b/>
                <w:smallCaps w:val="0"/>
                <w:color w:val="252525"/>
                <w:spacing w:val="9"/>
                <w:sz w:val="9"/>
              </w:rPr>
              <w:t> </w:t>
            </w:r>
            <w:r>
              <w:rPr>
                <w:b/>
                <w:smallCaps w:val="0"/>
                <w:color w:val="252525"/>
                <w:spacing w:val="-4"/>
                <w:sz w:val="9"/>
              </w:rPr>
              <w:t>ενεργητ</w:t>
            </w:r>
            <w:r>
              <w:rPr>
                <w:b/>
                <w:smallCaps/>
                <w:color w:val="252525"/>
                <w:spacing w:val="-4"/>
                <w:sz w:val="9"/>
              </w:rPr>
              <w:t>ι</w:t>
            </w:r>
            <w:r>
              <w:rPr>
                <w:b/>
                <w:smallCaps w:val="0"/>
                <w:color w:val="252525"/>
                <w:spacing w:val="-4"/>
                <w:sz w:val="9"/>
              </w:rPr>
              <w:t>κού</w:t>
            </w:r>
          </w:p>
          <w:p>
            <w:pPr>
              <w:pStyle w:val="TableParagraph"/>
              <w:spacing w:line="235" w:lineRule="auto" w:before="95"/>
              <w:ind w:left="538" w:right="191"/>
              <w:rPr>
                <w:b/>
                <w:sz w:val="9"/>
              </w:rPr>
            </w:pPr>
            <w:r>
              <w:rPr>
                <w:b/>
                <w:sz w:val="9"/>
              </w:rPr>
              <mc:AlternateContent>
                <mc:Choice Requires="wps">
                  <w:drawing>
                    <wp:anchor distT="0" distB="0" distL="0" distR="0" allowOverlap="1" layoutInCell="1" locked="0" behindDoc="0" simplePos="0" relativeHeight="15787008">
                      <wp:simplePos x="0" y="0"/>
                      <wp:positionH relativeFrom="column">
                        <wp:posOffset>303611</wp:posOffset>
                      </wp:positionH>
                      <wp:positionV relativeFrom="paragraph">
                        <wp:posOffset>80923</wp:posOffset>
                      </wp:positionV>
                      <wp:extent cx="27305" cy="28575"/>
                      <wp:effectExtent l="0" t="0" r="0" b="0"/>
                      <wp:wrapNone/>
                      <wp:docPr id="561" name="Group 561"/>
                      <wp:cNvGraphicFramePr>
                        <a:graphicFrameLocks/>
                      </wp:cNvGraphicFramePr>
                      <a:graphic>
                        <a:graphicData uri="http://schemas.microsoft.com/office/word/2010/wordprocessingGroup">
                          <wpg:wgp>
                            <wpg:cNvPr id="561" name="Group 561"/>
                            <wpg:cNvGrpSpPr/>
                            <wpg:grpSpPr>
                              <a:xfrm>
                                <a:off x="0" y="0"/>
                                <a:ext cx="27305" cy="28575"/>
                                <a:chExt cx="27305" cy="28575"/>
                              </a:xfrm>
                            </wpg:grpSpPr>
                            <wps:wsp>
                              <wps:cNvPr id="562" name="Graphic 562"/>
                              <wps:cNvSpPr/>
                              <wps:spPr>
                                <a:xfrm>
                                  <a:off x="0" y="0"/>
                                  <a:ext cx="27305" cy="28575"/>
                                </a:xfrm>
                                <a:custGeom>
                                  <a:avLst/>
                                  <a:gdLst/>
                                  <a:ahLst/>
                                  <a:cxnLst/>
                                  <a:rect l="l" t="t" r="r" b="b"/>
                                  <a:pathLst>
                                    <a:path w="27305" h="28575">
                                      <a:moveTo>
                                        <a:pt x="27147" y="0"/>
                                      </a:moveTo>
                                      <a:lnTo>
                                        <a:pt x="0" y="0"/>
                                      </a:lnTo>
                                      <a:lnTo>
                                        <a:pt x="0" y="28511"/>
                                      </a:lnTo>
                                      <a:lnTo>
                                        <a:pt x="27147" y="28511"/>
                                      </a:lnTo>
                                      <a:lnTo>
                                        <a:pt x="27147" y="0"/>
                                      </a:lnTo>
                                      <a:close/>
                                    </a:path>
                                  </a:pathLst>
                                </a:custGeom>
                                <a:solidFill>
                                  <a:srgbClr val="A0B4D3"/>
                                </a:solidFill>
                              </wps:spPr>
                              <wps:bodyPr wrap="square" lIns="0" tIns="0" rIns="0" bIns="0" rtlCol="0">
                                <a:prstTxWarp prst="textNoShape">
                                  <a:avLst/>
                                </a:prstTxWarp>
                                <a:noAutofit/>
                              </wps:bodyPr>
                            </wps:wsp>
                          </wpg:wgp>
                        </a:graphicData>
                      </a:graphic>
                    </wp:anchor>
                  </w:drawing>
                </mc:Choice>
                <mc:Fallback>
                  <w:pict>
                    <v:group style="position:absolute;margin-left:23.906433pt;margin-top:6.371891pt;width:2.15pt;height:2.25pt;mso-position-horizontal-relative:column;mso-position-vertical-relative:paragraph;z-index:15787008" id="docshapegroup531" coordorigin="478,127" coordsize="43,45">
                      <v:rect style="position:absolute;left:478;top:127;width:43;height:45" id="docshape532" filled="true" fillcolor="#a0b4d3" stroked="false">
                        <v:fill type="solid"/>
                      </v:rect>
                      <w10:wrap type="none"/>
                    </v:group>
                  </w:pict>
                </mc:Fallback>
              </mc:AlternateContent>
            </w:r>
            <w:r>
              <w:rPr>
                <w:b/>
                <w:color w:val="252525"/>
                <w:spacing w:val="-2"/>
                <w:sz w:val="9"/>
              </w:rPr>
              <w:t>Στο</w:t>
            </w:r>
            <w:r>
              <w:rPr>
                <w:b/>
                <w:smallCaps/>
                <w:color w:val="252525"/>
                <w:spacing w:val="-2"/>
                <w:sz w:val="9"/>
              </w:rPr>
              <w:t>ι</w:t>
            </w:r>
            <w:r>
              <w:rPr>
                <w:b/>
                <w:smallCaps w:val="0"/>
                <w:color w:val="252525"/>
                <w:spacing w:val="-2"/>
                <w:sz w:val="9"/>
              </w:rPr>
              <w:t>χεία</w:t>
            </w:r>
            <w:r>
              <w:rPr>
                <w:b/>
                <w:smallCaps w:val="0"/>
                <w:color w:val="252525"/>
                <w:spacing w:val="-4"/>
                <w:sz w:val="9"/>
              </w:rPr>
              <w:t> </w:t>
            </w:r>
            <w:r>
              <w:rPr>
                <w:b/>
                <w:smallCaps w:val="0"/>
                <w:color w:val="252525"/>
                <w:spacing w:val="-2"/>
                <w:sz w:val="9"/>
              </w:rPr>
              <w:t>του</w:t>
            </w:r>
            <w:r>
              <w:rPr>
                <w:b/>
                <w:smallCaps w:val="0"/>
                <w:color w:val="252525"/>
                <w:spacing w:val="-4"/>
                <w:sz w:val="9"/>
              </w:rPr>
              <w:t> </w:t>
            </w:r>
            <w:r>
              <w:rPr>
                <w:b/>
                <w:smallCaps w:val="0"/>
                <w:color w:val="252525"/>
                <w:spacing w:val="-2"/>
                <w:sz w:val="9"/>
              </w:rPr>
              <w:t>ενεργητ</w:t>
            </w:r>
            <w:r>
              <w:rPr>
                <w:b/>
                <w:smallCaps/>
                <w:color w:val="252525"/>
                <w:spacing w:val="-2"/>
                <w:sz w:val="9"/>
              </w:rPr>
              <w:t>ι</w:t>
            </w:r>
            <w:r>
              <w:rPr>
                <w:b/>
                <w:smallCaps w:val="0"/>
                <w:color w:val="252525"/>
                <w:spacing w:val="-2"/>
                <w:sz w:val="9"/>
              </w:rPr>
              <w:t>κού</w:t>
            </w:r>
            <w:r>
              <w:rPr>
                <w:b/>
                <w:smallCaps w:val="0"/>
                <w:color w:val="252525"/>
                <w:spacing w:val="-3"/>
                <w:sz w:val="9"/>
              </w:rPr>
              <w:t> </w:t>
            </w:r>
            <w:r>
              <w:rPr>
                <w:b/>
                <w:smallCaps w:val="0"/>
                <w:color w:val="252525"/>
                <w:spacing w:val="-2"/>
                <w:sz w:val="9"/>
              </w:rPr>
              <w:t>που</w:t>
            </w:r>
            <w:r>
              <w:rPr>
                <w:b/>
                <w:smallCaps w:val="0"/>
                <w:color w:val="252525"/>
                <w:spacing w:val="-4"/>
                <w:sz w:val="9"/>
              </w:rPr>
              <w:t> </w:t>
            </w:r>
            <w:r>
              <w:rPr>
                <w:b/>
                <w:smallCaps w:val="0"/>
                <w:color w:val="252525"/>
                <w:spacing w:val="-2"/>
                <w:sz w:val="9"/>
              </w:rPr>
              <w:t>δ</w:t>
            </w:r>
            <w:r>
              <w:rPr>
                <w:b/>
                <w:smallCaps/>
                <w:color w:val="252525"/>
                <w:spacing w:val="-2"/>
                <w:sz w:val="9"/>
              </w:rPr>
              <w:t>ι</w:t>
            </w:r>
            <w:r>
              <w:rPr>
                <w:b/>
                <w:smallCaps w:val="0"/>
                <w:color w:val="252525"/>
                <w:spacing w:val="-2"/>
                <w:sz w:val="9"/>
              </w:rPr>
              <w:t>ακρατούντα</w:t>
            </w:r>
            <w:r>
              <w:rPr>
                <w:b/>
                <w:smallCaps/>
                <w:color w:val="252525"/>
                <w:spacing w:val="-2"/>
                <w:sz w:val="9"/>
              </w:rPr>
              <w:t>ι</w:t>
            </w:r>
            <w:r>
              <w:rPr>
                <w:b/>
                <w:smallCaps w:val="0"/>
                <w:color w:val="252525"/>
                <w:spacing w:val="-4"/>
                <w:sz w:val="9"/>
              </w:rPr>
              <w:t> </w:t>
            </w:r>
            <w:r>
              <w:rPr>
                <w:b/>
                <w:smallCaps w:val="0"/>
                <w:color w:val="252525"/>
                <w:spacing w:val="-2"/>
                <w:sz w:val="9"/>
              </w:rPr>
              <w:t>έναντ</w:t>
            </w:r>
            <w:r>
              <w:rPr>
                <w:b/>
                <w:smallCaps/>
                <w:color w:val="252525"/>
                <w:spacing w:val="-2"/>
                <w:sz w:val="9"/>
              </w:rPr>
              <w:t>ι</w:t>
            </w:r>
            <w:r>
              <w:rPr>
                <w:b/>
                <w:smallCaps w:val="0"/>
                <w:color w:val="252525"/>
                <w:spacing w:val="-3"/>
                <w:sz w:val="9"/>
              </w:rPr>
              <w:t> </w:t>
            </w:r>
            <w:r>
              <w:rPr>
                <w:b/>
                <w:smallCaps w:val="0"/>
                <w:color w:val="252525"/>
                <w:spacing w:val="-2"/>
                <w:sz w:val="9"/>
              </w:rPr>
              <w:t>συμβάσεων</w:t>
            </w:r>
            <w:r>
              <w:rPr>
                <w:b/>
                <w:smallCaps w:val="0"/>
                <w:color w:val="252525"/>
                <w:spacing w:val="-4"/>
                <w:sz w:val="9"/>
              </w:rPr>
              <w:t> </w:t>
            </w:r>
            <w:r>
              <w:rPr>
                <w:b/>
                <w:smallCaps w:val="0"/>
                <w:color w:val="252525"/>
                <w:spacing w:val="-2"/>
                <w:sz w:val="9"/>
              </w:rPr>
              <w:t>ασφάλ</w:t>
            </w:r>
            <w:r>
              <w:rPr>
                <w:b/>
                <w:smallCaps/>
                <w:color w:val="252525"/>
                <w:spacing w:val="-2"/>
                <w:sz w:val="9"/>
              </w:rPr>
              <w:t>ι</w:t>
            </w:r>
            <w:r>
              <w:rPr>
                <w:b/>
                <w:smallCaps w:val="0"/>
                <w:color w:val="252525"/>
                <w:spacing w:val="-2"/>
                <w:sz w:val="9"/>
              </w:rPr>
              <w:t>σης</w:t>
            </w:r>
            <w:r>
              <w:rPr>
                <w:b/>
                <w:smallCaps w:val="0"/>
                <w:color w:val="252525"/>
                <w:spacing w:val="-3"/>
                <w:sz w:val="9"/>
              </w:rPr>
              <w:t> </w:t>
            </w:r>
            <w:r>
              <w:rPr>
                <w:b/>
                <w:smallCaps w:val="0"/>
                <w:color w:val="252525"/>
                <w:spacing w:val="-2"/>
                <w:sz w:val="9"/>
              </w:rPr>
              <w:t>που</w:t>
            </w:r>
            <w:r>
              <w:rPr>
                <w:b/>
                <w:smallCaps w:val="0"/>
                <w:color w:val="252525"/>
                <w:spacing w:val="-4"/>
                <w:sz w:val="9"/>
              </w:rPr>
              <w:t> </w:t>
            </w:r>
            <w:r>
              <w:rPr>
                <w:b/>
                <w:smallCaps w:val="0"/>
                <w:color w:val="252525"/>
                <w:spacing w:val="-2"/>
                <w:sz w:val="9"/>
              </w:rPr>
              <w:t>συνδέοντα</w:t>
            </w:r>
            <w:r>
              <w:rPr>
                <w:b/>
                <w:smallCaps/>
                <w:color w:val="252525"/>
                <w:spacing w:val="-2"/>
                <w:sz w:val="9"/>
              </w:rPr>
              <w:t>ι</w:t>
            </w:r>
            <w:r>
              <w:rPr>
                <w:b/>
                <w:smallCaps w:val="0"/>
                <w:color w:val="252525"/>
                <w:spacing w:val="-7"/>
                <w:sz w:val="9"/>
              </w:rPr>
              <w:t> </w:t>
            </w:r>
            <w:r>
              <w:rPr>
                <w:b/>
                <w:smallCaps w:val="0"/>
                <w:color w:val="252525"/>
                <w:spacing w:val="-2"/>
                <w:sz w:val="9"/>
              </w:rPr>
              <w:t>με</w:t>
            </w:r>
            <w:r>
              <w:rPr>
                <w:b/>
                <w:smallCaps w:val="0"/>
                <w:color w:val="252525"/>
                <w:spacing w:val="40"/>
                <w:sz w:val="9"/>
              </w:rPr>
              <w:t> </w:t>
            </w:r>
            <w:r>
              <w:rPr>
                <w:b/>
                <w:smallCaps w:val="0"/>
                <w:color w:val="252525"/>
                <w:sz w:val="9"/>
              </w:rPr>
              <w:t>δείκτες</w:t>
            </w:r>
            <w:r>
              <w:rPr>
                <w:b/>
                <w:smallCaps w:val="0"/>
                <w:color w:val="252525"/>
                <w:spacing w:val="-5"/>
                <w:sz w:val="9"/>
              </w:rPr>
              <w:t> </w:t>
            </w:r>
            <w:r>
              <w:rPr>
                <w:b/>
                <w:smallCaps w:val="0"/>
                <w:color w:val="252525"/>
                <w:sz w:val="9"/>
              </w:rPr>
              <w:t>ή</w:t>
            </w:r>
            <w:r>
              <w:rPr>
                <w:b/>
                <w:smallCaps w:val="0"/>
                <w:color w:val="252525"/>
                <w:spacing w:val="-6"/>
                <w:sz w:val="9"/>
              </w:rPr>
              <w:t> </w:t>
            </w:r>
            <w:r>
              <w:rPr>
                <w:b/>
                <w:smallCaps w:val="0"/>
                <w:color w:val="252525"/>
                <w:sz w:val="9"/>
              </w:rPr>
              <w:t>συνδυά</w:t>
            </w:r>
            <w:r>
              <w:rPr>
                <w:b/>
                <w:smallCaps w:val="0"/>
                <w:color w:val="252525"/>
                <w:spacing w:val="3"/>
                <w:sz w:val="9"/>
              </w:rPr>
              <w:t> </w:t>
            </w:r>
            <w:r>
              <w:rPr>
                <w:b/>
                <w:smallCaps w:val="0"/>
                <w:color w:val="252525"/>
                <w:sz w:val="9"/>
              </w:rPr>
              <w:t>ουν</w:t>
            </w:r>
            <w:r>
              <w:rPr>
                <w:b/>
                <w:smallCaps w:val="0"/>
                <w:color w:val="252525"/>
                <w:spacing w:val="-6"/>
                <w:sz w:val="9"/>
              </w:rPr>
              <w:t> </w:t>
            </w:r>
            <w:r>
              <w:rPr>
                <w:b/>
                <w:smallCaps w:val="0"/>
                <w:color w:val="252525"/>
                <w:sz w:val="9"/>
              </w:rPr>
              <w:t>ασφάλε</w:t>
            </w:r>
            <w:r>
              <w:rPr>
                <w:b/>
                <w:smallCaps/>
                <w:color w:val="252525"/>
                <w:sz w:val="9"/>
              </w:rPr>
              <w:t>ι</w:t>
            </w:r>
            <w:r>
              <w:rPr>
                <w:b/>
                <w:smallCaps w:val="0"/>
                <w:color w:val="252525"/>
                <w:sz w:val="9"/>
              </w:rPr>
              <w:t>α</w:t>
            </w:r>
            <w:r>
              <w:rPr>
                <w:b/>
                <w:smallCaps w:val="0"/>
                <w:color w:val="252525"/>
                <w:spacing w:val="20"/>
                <w:sz w:val="9"/>
              </w:rPr>
              <w:t> </w:t>
            </w:r>
            <w:r>
              <w:rPr>
                <w:b/>
                <w:smallCaps w:val="0"/>
                <w:color w:val="252525"/>
                <w:sz w:val="9"/>
              </w:rPr>
              <w:t>ωής</w:t>
            </w:r>
            <w:r>
              <w:rPr>
                <w:b/>
                <w:smallCaps w:val="0"/>
                <w:color w:val="252525"/>
                <w:spacing w:val="-5"/>
                <w:sz w:val="9"/>
              </w:rPr>
              <w:t> </w:t>
            </w:r>
            <w:r>
              <w:rPr>
                <w:b/>
                <w:smallCaps w:val="0"/>
                <w:color w:val="252525"/>
                <w:sz w:val="9"/>
              </w:rPr>
              <w:t>με</w:t>
            </w:r>
            <w:r>
              <w:rPr>
                <w:b/>
                <w:smallCaps w:val="0"/>
                <w:color w:val="252525"/>
                <w:spacing w:val="-6"/>
                <w:sz w:val="9"/>
              </w:rPr>
              <w:t> </w:t>
            </w:r>
            <w:r>
              <w:rPr>
                <w:b/>
                <w:smallCaps w:val="0"/>
                <w:color w:val="252525"/>
                <w:sz w:val="9"/>
              </w:rPr>
              <w:t>επενδύσε</w:t>
            </w:r>
            <w:r>
              <w:rPr>
                <w:b/>
                <w:smallCaps/>
                <w:color w:val="252525"/>
                <w:sz w:val="9"/>
              </w:rPr>
              <w:t>ι</w:t>
            </w:r>
            <w:r>
              <w:rPr>
                <w:b/>
                <w:smallCaps w:val="0"/>
                <w:color w:val="252525"/>
                <w:sz w:val="9"/>
              </w:rPr>
              <w:t>ς</w:t>
            </w:r>
          </w:p>
          <w:p>
            <w:pPr>
              <w:pStyle w:val="TableParagraph"/>
              <w:spacing w:line="101" w:lineRule="exact"/>
              <w:ind w:left="538"/>
              <w:rPr>
                <w:b/>
                <w:sz w:val="9"/>
              </w:rPr>
            </w:pPr>
            <w:r>
              <w:rPr>
                <w:b/>
                <w:sz w:val="9"/>
              </w:rPr>
              <mc:AlternateContent>
                <mc:Choice Requires="wps">
                  <w:drawing>
                    <wp:anchor distT="0" distB="0" distL="0" distR="0" allowOverlap="1" layoutInCell="1" locked="0" behindDoc="0" simplePos="0" relativeHeight="15787520">
                      <wp:simplePos x="0" y="0"/>
                      <wp:positionH relativeFrom="column">
                        <wp:posOffset>303611</wp:posOffset>
                      </wp:positionH>
                      <wp:positionV relativeFrom="paragraph">
                        <wp:posOffset>16531</wp:posOffset>
                      </wp:positionV>
                      <wp:extent cx="27305" cy="28575"/>
                      <wp:effectExtent l="0" t="0" r="0" b="0"/>
                      <wp:wrapNone/>
                      <wp:docPr id="563" name="Group 563"/>
                      <wp:cNvGraphicFramePr>
                        <a:graphicFrameLocks/>
                      </wp:cNvGraphicFramePr>
                      <a:graphic>
                        <a:graphicData uri="http://schemas.microsoft.com/office/word/2010/wordprocessingGroup">
                          <wpg:wgp>
                            <wpg:cNvPr id="563" name="Group 563"/>
                            <wpg:cNvGrpSpPr/>
                            <wpg:grpSpPr>
                              <a:xfrm>
                                <a:off x="0" y="0"/>
                                <a:ext cx="27305" cy="28575"/>
                                <a:chExt cx="27305" cy="28575"/>
                              </a:xfrm>
                            </wpg:grpSpPr>
                            <wps:wsp>
                              <wps:cNvPr id="564" name="Graphic 564"/>
                              <wps:cNvSpPr/>
                              <wps:spPr>
                                <a:xfrm>
                                  <a:off x="0" y="0"/>
                                  <a:ext cx="27305" cy="28575"/>
                                </a:xfrm>
                                <a:custGeom>
                                  <a:avLst/>
                                  <a:gdLst/>
                                  <a:ahLst/>
                                  <a:cxnLst/>
                                  <a:rect l="l" t="t" r="r" b="b"/>
                                  <a:pathLst>
                                    <a:path w="27305" h="28575">
                                      <a:moveTo>
                                        <a:pt x="27147" y="0"/>
                                      </a:moveTo>
                                      <a:lnTo>
                                        <a:pt x="0" y="0"/>
                                      </a:lnTo>
                                      <a:lnTo>
                                        <a:pt x="0" y="28511"/>
                                      </a:lnTo>
                                      <a:lnTo>
                                        <a:pt x="27147" y="28511"/>
                                      </a:lnTo>
                                      <a:lnTo>
                                        <a:pt x="27147" y="0"/>
                                      </a:lnTo>
                                      <a:close/>
                                    </a:path>
                                  </a:pathLst>
                                </a:custGeom>
                                <a:solidFill>
                                  <a:srgbClr val="7393C5"/>
                                </a:solidFill>
                              </wps:spPr>
                              <wps:bodyPr wrap="square" lIns="0" tIns="0" rIns="0" bIns="0" rtlCol="0">
                                <a:prstTxWarp prst="textNoShape">
                                  <a:avLst/>
                                </a:prstTxWarp>
                                <a:noAutofit/>
                              </wps:bodyPr>
                            </wps:wsp>
                          </wpg:wgp>
                        </a:graphicData>
                      </a:graphic>
                    </wp:anchor>
                  </w:drawing>
                </mc:Choice>
                <mc:Fallback>
                  <w:pict>
                    <v:group style="position:absolute;margin-left:23.906433pt;margin-top:1.30169pt;width:2.15pt;height:2.25pt;mso-position-horizontal-relative:column;mso-position-vertical-relative:paragraph;z-index:15787520" id="docshapegroup533" coordorigin="478,26" coordsize="43,45">
                      <v:rect style="position:absolute;left:478;top:26;width:43;height:45" id="docshape534" filled="true" fillcolor="#7393c5" stroked="false">
                        <v:fill type="solid"/>
                      </v:rect>
                      <w10:wrap type="none"/>
                    </v:group>
                  </w:pict>
                </mc:Fallback>
              </mc:AlternateContent>
            </w:r>
            <w:r>
              <w:rPr>
                <w:b/>
                <w:color w:val="252525"/>
                <w:spacing w:val="-4"/>
                <w:sz w:val="9"/>
              </w:rPr>
              <w:t>Καταθέσε</w:t>
            </w:r>
            <w:r>
              <w:rPr>
                <w:b/>
                <w:smallCaps/>
                <w:color w:val="252525"/>
                <w:spacing w:val="-4"/>
                <w:sz w:val="9"/>
              </w:rPr>
              <w:t>ι</w:t>
            </w:r>
            <w:r>
              <w:rPr>
                <w:b/>
                <w:smallCaps w:val="0"/>
                <w:color w:val="252525"/>
                <w:spacing w:val="-4"/>
                <w:sz w:val="9"/>
              </w:rPr>
              <w:t>ς,</w:t>
            </w:r>
            <w:r>
              <w:rPr>
                <w:b/>
                <w:smallCaps w:val="0"/>
                <w:color w:val="252525"/>
                <w:spacing w:val="10"/>
                <w:sz w:val="9"/>
              </w:rPr>
              <w:t> </w:t>
            </w:r>
            <w:r>
              <w:rPr>
                <w:b/>
                <w:smallCaps w:val="0"/>
                <w:color w:val="252525"/>
                <w:spacing w:val="-4"/>
                <w:sz w:val="9"/>
              </w:rPr>
              <w:t>ταμε</w:t>
            </w:r>
            <w:r>
              <w:rPr>
                <w:b/>
                <w:smallCaps/>
                <w:color w:val="252525"/>
                <w:spacing w:val="-4"/>
                <w:sz w:val="9"/>
              </w:rPr>
              <w:t>ι</w:t>
            </w:r>
            <w:r>
              <w:rPr>
                <w:b/>
                <w:smallCaps w:val="0"/>
                <w:color w:val="252525"/>
                <w:spacing w:val="-4"/>
                <w:sz w:val="9"/>
              </w:rPr>
              <w:t>ακά</w:t>
            </w:r>
            <w:r>
              <w:rPr>
                <w:b/>
                <w:smallCaps w:val="0"/>
                <w:color w:val="252525"/>
                <w:spacing w:val="3"/>
                <w:sz w:val="9"/>
              </w:rPr>
              <w:t> </w:t>
            </w:r>
            <w:r>
              <w:rPr>
                <w:b/>
                <w:smallCaps w:val="0"/>
                <w:color w:val="252525"/>
                <w:spacing w:val="-4"/>
                <w:sz w:val="9"/>
              </w:rPr>
              <w:t>δ</w:t>
            </w:r>
            <w:r>
              <w:rPr>
                <w:b/>
                <w:smallCaps/>
                <w:color w:val="252525"/>
                <w:spacing w:val="-4"/>
                <w:sz w:val="9"/>
              </w:rPr>
              <w:t>ι</w:t>
            </w:r>
            <w:r>
              <w:rPr>
                <w:b/>
                <w:smallCaps w:val="0"/>
                <w:color w:val="252525"/>
                <w:spacing w:val="-4"/>
                <w:sz w:val="9"/>
              </w:rPr>
              <w:t>αθέσ</w:t>
            </w:r>
            <w:r>
              <w:rPr>
                <w:b/>
                <w:smallCaps/>
                <w:color w:val="252525"/>
                <w:spacing w:val="-4"/>
                <w:sz w:val="9"/>
              </w:rPr>
              <w:t>ι</w:t>
            </w:r>
            <w:r>
              <w:rPr>
                <w:b/>
                <w:smallCaps w:val="0"/>
                <w:color w:val="252525"/>
                <w:spacing w:val="-4"/>
                <w:sz w:val="9"/>
              </w:rPr>
              <w:t>μα</w:t>
            </w:r>
            <w:r>
              <w:rPr>
                <w:b/>
                <w:smallCaps w:val="0"/>
                <w:color w:val="252525"/>
                <w:spacing w:val="11"/>
                <w:sz w:val="9"/>
              </w:rPr>
              <w:t> </w:t>
            </w:r>
            <w:r>
              <w:rPr>
                <w:b/>
                <w:smallCaps w:val="0"/>
                <w:color w:val="252525"/>
                <w:spacing w:val="-4"/>
                <w:sz w:val="9"/>
              </w:rPr>
              <w:t>κα</w:t>
            </w:r>
            <w:r>
              <w:rPr>
                <w:b/>
                <w:smallCaps/>
                <w:color w:val="252525"/>
                <w:spacing w:val="-4"/>
                <w:sz w:val="9"/>
              </w:rPr>
              <w:t>ι</w:t>
            </w:r>
            <w:r>
              <w:rPr>
                <w:b/>
                <w:smallCaps w:val="0"/>
                <w:color w:val="252525"/>
                <w:spacing w:val="11"/>
                <w:sz w:val="9"/>
              </w:rPr>
              <w:t> </w:t>
            </w:r>
            <w:r>
              <w:rPr>
                <w:b/>
                <w:smallCaps/>
                <w:color w:val="252525"/>
                <w:spacing w:val="-4"/>
                <w:sz w:val="9"/>
              </w:rPr>
              <w:t>ι</w:t>
            </w:r>
            <w:r>
              <w:rPr>
                <w:b/>
                <w:smallCaps w:val="0"/>
                <w:color w:val="252525"/>
                <w:spacing w:val="-4"/>
                <w:sz w:val="9"/>
              </w:rPr>
              <w:t>σοδύναμα</w:t>
            </w:r>
          </w:p>
          <w:p>
            <w:pPr>
              <w:pStyle w:val="TableParagraph"/>
              <w:spacing w:before="93"/>
              <w:ind w:left="538"/>
              <w:rPr>
                <w:b/>
                <w:sz w:val="9"/>
              </w:rPr>
            </w:pPr>
            <w:r>
              <w:rPr>
                <w:b/>
                <w:sz w:val="9"/>
              </w:rPr>
              <mc:AlternateContent>
                <mc:Choice Requires="wps">
                  <w:drawing>
                    <wp:anchor distT="0" distB="0" distL="0" distR="0" allowOverlap="1" layoutInCell="1" locked="0" behindDoc="0" simplePos="0" relativeHeight="15788032">
                      <wp:simplePos x="0" y="0"/>
                      <wp:positionH relativeFrom="column">
                        <wp:posOffset>303611</wp:posOffset>
                      </wp:positionH>
                      <wp:positionV relativeFrom="paragraph">
                        <wp:posOffset>80720</wp:posOffset>
                      </wp:positionV>
                      <wp:extent cx="27305" cy="28575"/>
                      <wp:effectExtent l="0" t="0" r="0" b="0"/>
                      <wp:wrapNone/>
                      <wp:docPr id="565" name="Group 565"/>
                      <wp:cNvGraphicFramePr>
                        <a:graphicFrameLocks/>
                      </wp:cNvGraphicFramePr>
                      <a:graphic>
                        <a:graphicData uri="http://schemas.microsoft.com/office/word/2010/wordprocessingGroup">
                          <wpg:wgp>
                            <wpg:cNvPr id="565" name="Group 565"/>
                            <wpg:cNvGrpSpPr/>
                            <wpg:grpSpPr>
                              <a:xfrm>
                                <a:off x="0" y="0"/>
                                <a:ext cx="27305" cy="28575"/>
                                <a:chExt cx="27305" cy="28575"/>
                              </a:xfrm>
                            </wpg:grpSpPr>
                            <wps:wsp>
                              <wps:cNvPr id="566" name="Graphic 566"/>
                              <wps:cNvSpPr/>
                              <wps:spPr>
                                <a:xfrm>
                                  <a:off x="0" y="0"/>
                                  <a:ext cx="27305" cy="28575"/>
                                </a:xfrm>
                                <a:custGeom>
                                  <a:avLst/>
                                  <a:gdLst/>
                                  <a:ahLst/>
                                  <a:cxnLst/>
                                  <a:rect l="l" t="t" r="r" b="b"/>
                                  <a:pathLst>
                                    <a:path w="27305" h="28575">
                                      <a:moveTo>
                                        <a:pt x="27147" y="0"/>
                                      </a:moveTo>
                                      <a:lnTo>
                                        <a:pt x="0" y="0"/>
                                      </a:lnTo>
                                      <a:lnTo>
                                        <a:pt x="0" y="28511"/>
                                      </a:lnTo>
                                      <a:lnTo>
                                        <a:pt x="27147" y="28511"/>
                                      </a:lnTo>
                                      <a:lnTo>
                                        <a:pt x="27147" y="0"/>
                                      </a:lnTo>
                                      <a:close/>
                                    </a:path>
                                  </a:pathLst>
                                </a:custGeom>
                                <a:solidFill>
                                  <a:srgbClr val="4A7AB4"/>
                                </a:solidFill>
                              </wps:spPr>
                              <wps:bodyPr wrap="square" lIns="0" tIns="0" rIns="0" bIns="0" rtlCol="0">
                                <a:prstTxWarp prst="textNoShape">
                                  <a:avLst/>
                                </a:prstTxWarp>
                                <a:noAutofit/>
                              </wps:bodyPr>
                            </wps:wsp>
                          </wpg:wgp>
                        </a:graphicData>
                      </a:graphic>
                    </wp:anchor>
                  </w:drawing>
                </mc:Choice>
                <mc:Fallback>
                  <w:pict>
                    <v:group style="position:absolute;margin-left:23.906433pt;margin-top:6.355917pt;width:2.15pt;height:2.25pt;mso-position-horizontal-relative:column;mso-position-vertical-relative:paragraph;z-index:15788032" id="docshapegroup535" coordorigin="478,127" coordsize="43,45">
                      <v:rect style="position:absolute;left:478;top:127;width:43;height:45" id="docshape536" filled="true" fillcolor="#4a7ab4" stroked="false">
                        <v:fill type="solid"/>
                      </v:rect>
                      <w10:wrap type="none"/>
                    </v:group>
                  </w:pict>
                </mc:Fallback>
              </mc:AlternateContent>
            </w:r>
            <w:r>
              <w:rPr>
                <w:b/>
                <w:color w:val="252525"/>
                <w:spacing w:val="-4"/>
                <w:sz w:val="9"/>
              </w:rPr>
              <w:t>Οργαν</w:t>
            </w:r>
            <w:r>
              <w:rPr>
                <w:b/>
                <w:smallCaps/>
                <w:color w:val="252525"/>
                <w:spacing w:val="-4"/>
                <w:sz w:val="9"/>
              </w:rPr>
              <w:t>ι</w:t>
            </w:r>
            <w:r>
              <w:rPr>
                <w:b/>
                <w:smallCaps w:val="0"/>
                <w:color w:val="252525"/>
                <w:spacing w:val="-4"/>
                <w:sz w:val="9"/>
              </w:rPr>
              <w:t>σμοί</w:t>
            </w:r>
            <w:r>
              <w:rPr>
                <w:b/>
                <w:smallCaps w:val="0"/>
                <w:color w:val="252525"/>
                <w:spacing w:val="10"/>
                <w:sz w:val="9"/>
              </w:rPr>
              <w:t> </w:t>
            </w:r>
            <w:r>
              <w:rPr>
                <w:b/>
                <w:smallCaps w:val="0"/>
                <w:color w:val="252525"/>
                <w:spacing w:val="-4"/>
                <w:sz w:val="9"/>
              </w:rPr>
              <w:t>συλλογ</w:t>
            </w:r>
            <w:r>
              <w:rPr>
                <w:b/>
                <w:smallCaps/>
                <w:color w:val="252525"/>
                <w:spacing w:val="-4"/>
                <w:sz w:val="9"/>
              </w:rPr>
              <w:t>ι</w:t>
            </w:r>
            <w:r>
              <w:rPr>
                <w:b/>
                <w:smallCaps w:val="0"/>
                <w:color w:val="252525"/>
                <w:spacing w:val="-4"/>
                <w:sz w:val="9"/>
              </w:rPr>
              <w:t>κών</w:t>
            </w:r>
            <w:r>
              <w:rPr>
                <w:b/>
                <w:smallCaps w:val="0"/>
                <w:color w:val="252525"/>
                <w:spacing w:val="9"/>
                <w:sz w:val="9"/>
              </w:rPr>
              <w:t> </w:t>
            </w:r>
            <w:r>
              <w:rPr>
                <w:b/>
                <w:smallCaps w:val="0"/>
                <w:color w:val="252525"/>
                <w:spacing w:val="-4"/>
                <w:sz w:val="9"/>
              </w:rPr>
              <w:t>επενδύσεων</w:t>
            </w:r>
          </w:p>
          <w:p>
            <w:pPr>
              <w:pStyle w:val="TableParagraph"/>
              <w:spacing w:line="190" w:lineRule="atLeast" w:before="13"/>
              <w:ind w:left="538" w:right="2961"/>
              <w:rPr>
                <w:b/>
                <w:sz w:val="9"/>
              </w:rPr>
            </w:pPr>
            <w:r>
              <w:rPr>
                <w:b/>
                <w:sz w:val="9"/>
              </w:rPr>
              <mc:AlternateContent>
                <mc:Choice Requires="wps">
                  <w:drawing>
                    <wp:anchor distT="0" distB="0" distL="0" distR="0" allowOverlap="1" layoutInCell="1" locked="0" behindDoc="0" simplePos="0" relativeHeight="15788544">
                      <wp:simplePos x="0" y="0"/>
                      <wp:positionH relativeFrom="column">
                        <wp:posOffset>303611</wp:posOffset>
                      </wp:positionH>
                      <wp:positionV relativeFrom="paragraph">
                        <wp:posOffset>80576</wp:posOffset>
                      </wp:positionV>
                      <wp:extent cx="27305" cy="28575"/>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27305" cy="28575"/>
                                <a:chExt cx="27305" cy="28575"/>
                              </a:xfrm>
                            </wpg:grpSpPr>
                            <wps:wsp>
                              <wps:cNvPr id="568" name="Graphic 568"/>
                              <wps:cNvSpPr/>
                              <wps:spPr>
                                <a:xfrm>
                                  <a:off x="0" y="0"/>
                                  <a:ext cx="27305" cy="28575"/>
                                </a:xfrm>
                                <a:custGeom>
                                  <a:avLst/>
                                  <a:gdLst/>
                                  <a:ahLst/>
                                  <a:cxnLst/>
                                  <a:rect l="l" t="t" r="r" b="b"/>
                                  <a:pathLst>
                                    <a:path w="27305" h="28575">
                                      <a:moveTo>
                                        <a:pt x="27147" y="0"/>
                                      </a:moveTo>
                                      <a:lnTo>
                                        <a:pt x="0" y="0"/>
                                      </a:lnTo>
                                      <a:lnTo>
                                        <a:pt x="0" y="28511"/>
                                      </a:lnTo>
                                      <a:lnTo>
                                        <a:pt x="27147" y="28511"/>
                                      </a:lnTo>
                                      <a:lnTo>
                                        <a:pt x="27147" y="0"/>
                                      </a:lnTo>
                                      <a:close/>
                                    </a:path>
                                  </a:pathLst>
                                </a:custGeom>
                                <a:solidFill>
                                  <a:srgbClr val="426CA0"/>
                                </a:solidFill>
                              </wps:spPr>
                              <wps:bodyPr wrap="square" lIns="0" tIns="0" rIns="0" bIns="0" rtlCol="0">
                                <a:prstTxWarp prst="textNoShape">
                                  <a:avLst/>
                                </a:prstTxWarp>
                                <a:noAutofit/>
                              </wps:bodyPr>
                            </wps:wsp>
                          </wpg:wgp>
                        </a:graphicData>
                      </a:graphic>
                    </wp:anchor>
                  </w:drawing>
                </mc:Choice>
                <mc:Fallback>
                  <w:pict>
                    <v:group style="position:absolute;margin-left:23.906433pt;margin-top:6.344602pt;width:2.15pt;height:2.25pt;mso-position-horizontal-relative:column;mso-position-vertical-relative:paragraph;z-index:15788544" id="docshapegroup537" coordorigin="478,127" coordsize="43,45">
                      <v:rect style="position:absolute;left:478;top:126;width:43;height:45" id="docshape538" filled="true" fillcolor="#426ca0" stroked="false">
                        <v:fill type="solid"/>
                      </v:rect>
                      <w10:wrap type="none"/>
                    </v:group>
                  </w:pict>
                </mc:Fallback>
              </mc:AlternateContent>
            </w:r>
            <w:r>
              <w:rPr>
                <w:b/>
                <w:sz w:val="9"/>
              </w:rPr>
              <mc:AlternateContent>
                <mc:Choice Requires="wps">
                  <w:drawing>
                    <wp:anchor distT="0" distB="0" distL="0" distR="0" allowOverlap="1" layoutInCell="1" locked="0" behindDoc="0" simplePos="0" relativeHeight="15789056">
                      <wp:simplePos x="0" y="0"/>
                      <wp:positionH relativeFrom="column">
                        <wp:posOffset>303611</wp:posOffset>
                      </wp:positionH>
                      <wp:positionV relativeFrom="paragraph">
                        <wp:posOffset>205315</wp:posOffset>
                      </wp:positionV>
                      <wp:extent cx="27305" cy="28575"/>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27305" cy="28575"/>
                                <a:chExt cx="27305" cy="28575"/>
                              </a:xfrm>
                            </wpg:grpSpPr>
                            <wps:wsp>
                              <wps:cNvPr id="570" name="Graphic 570"/>
                              <wps:cNvSpPr/>
                              <wps:spPr>
                                <a:xfrm>
                                  <a:off x="0" y="0"/>
                                  <a:ext cx="27305" cy="28575"/>
                                </a:xfrm>
                                <a:custGeom>
                                  <a:avLst/>
                                  <a:gdLst/>
                                  <a:ahLst/>
                                  <a:cxnLst/>
                                  <a:rect l="l" t="t" r="r" b="b"/>
                                  <a:pathLst>
                                    <a:path w="27305" h="28575">
                                      <a:moveTo>
                                        <a:pt x="27147" y="0"/>
                                      </a:moveTo>
                                      <a:lnTo>
                                        <a:pt x="0" y="0"/>
                                      </a:lnTo>
                                      <a:lnTo>
                                        <a:pt x="0" y="28511"/>
                                      </a:lnTo>
                                      <a:lnTo>
                                        <a:pt x="27147" y="28511"/>
                                      </a:lnTo>
                                      <a:lnTo>
                                        <a:pt x="27147" y="0"/>
                                      </a:lnTo>
                                      <a:close/>
                                    </a:path>
                                  </a:pathLst>
                                </a:custGeom>
                                <a:solidFill>
                                  <a:srgbClr val="385D89"/>
                                </a:solidFill>
                              </wps:spPr>
                              <wps:bodyPr wrap="square" lIns="0" tIns="0" rIns="0" bIns="0" rtlCol="0">
                                <a:prstTxWarp prst="textNoShape">
                                  <a:avLst/>
                                </a:prstTxWarp>
                                <a:noAutofit/>
                              </wps:bodyPr>
                            </wps:wsp>
                          </wpg:wgp>
                        </a:graphicData>
                      </a:graphic>
                    </wp:anchor>
                  </w:drawing>
                </mc:Choice>
                <mc:Fallback>
                  <w:pict>
                    <v:group style="position:absolute;margin-left:23.906435pt;margin-top:16.166540pt;width:2.15pt;height:2.25pt;mso-position-horizontal-relative:column;mso-position-vertical-relative:paragraph;z-index:15789056" id="docshapegroup539" coordorigin="478,323" coordsize="43,45">
                      <v:rect style="position:absolute;left:478;top:323;width:43;height:45" id="docshape540" filled="true" fillcolor="#385d89" stroked="false">
                        <v:fill type="solid"/>
                      </v:rect>
                      <w10:wrap type="none"/>
                    </v:group>
                  </w:pict>
                </mc:Fallback>
              </mc:AlternateContent>
            </w:r>
            <w:r>
              <w:rPr>
                <w:b/>
                <w:color w:val="252525"/>
                <w:spacing w:val="-4"/>
                <w:sz w:val="9"/>
              </w:rPr>
              <w:t>Ετα</w:t>
            </w:r>
            <w:r>
              <w:rPr>
                <w:b/>
                <w:smallCaps/>
                <w:color w:val="252525"/>
                <w:spacing w:val="-4"/>
                <w:sz w:val="9"/>
              </w:rPr>
              <w:t>ι</w:t>
            </w:r>
            <w:r>
              <w:rPr>
                <w:b/>
                <w:smallCaps w:val="0"/>
                <w:color w:val="252525"/>
                <w:spacing w:val="-4"/>
                <w:sz w:val="9"/>
              </w:rPr>
              <w:t>ρ</w:t>
            </w:r>
            <w:r>
              <w:rPr>
                <w:b/>
                <w:smallCaps/>
                <w:color w:val="252525"/>
                <w:spacing w:val="-4"/>
                <w:sz w:val="9"/>
              </w:rPr>
              <w:t>ι</w:t>
            </w:r>
            <w:r>
              <w:rPr>
                <w:b/>
                <w:smallCaps w:val="0"/>
                <w:color w:val="252525"/>
                <w:spacing w:val="-4"/>
                <w:sz w:val="9"/>
              </w:rPr>
              <w:t>κά</w:t>
            </w:r>
            <w:r>
              <w:rPr>
                <w:b/>
                <w:smallCaps w:val="0"/>
                <w:color w:val="252525"/>
                <w:spacing w:val="-2"/>
                <w:sz w:val="9"/>
              </w:rPr>
              <w:t> </w:t>
            </w:r>
            <w:r>
              <w:rPr>
                <w:b/>
                <w:smallCaps w:val="0"/>
                <w:color w:val="252525"/>
                <w:spacing w:val="-4"/>
                <w:sz w:val="9"/>
              </w:rPr>
              <w:t>ομόλογα</w:t>
            </w:r>
            <w:r>
              <w:rPr>
                <w:b/>
                <w:smallCaps w:val="0"/>
                <w:color w:val="252525"/>
                <w:spacing w:val="40"/>
                <w:sz w:val="9"/>
              </w:rPr>
              <w:t> </w:t>
            </w:r>
            <w:r>
              <w:rPr>
                <w:b/>
                <w:smallCaps w:val="0"/>
                <w:color w:val="252525"/>
                <w:spacing w:val="-4"/>
                <w:sz w:val="9"/>
              </w:rPr>
              <w:t>Κρατ</w:t>
            </w:r>
            <w:r>
              <w:rPr>
                <w:b/>
                <w:smallCaps/>
                <w:color w:val="252525"/>
                <w:spacing w:val="-4"/>
                <w:sz w:val="9"/>
              </w:rPr>
              <w:t>ι</w:t>
            </w:r>
            <w:r>
              <w:rPr>
                <w:b/>
                <w:smallCaps w:val="0"/>
                <w:color w:val="252525"/>
                <w:spacing w:val="-4"/>
                <w:sz w:val="9"/>
              </w:rPr>
              <w:t>κά</w:t>
            </w:r>
            <w:r>
              <w:rPr>
                <w:b/>
                <w:smallCaps w:val="0"/>
                <w:color w:val="252525"/>
                <w:spacing w:val="6"/>
                <w:sz w:val="9"/>
              </w:rPr>
              <w:t> </w:t>
            </w:r>
            <w:r>
              <w:rPr>
                <w:b/>
                <w:smallCaps w:val="0"/>
                <w:color w:val="252525"/>
                <w:spacing w:val="-2"/>
                <w:sz w:val="9"/>
              </w:rPr>
              <w:t>ομόλογα</w:t>
            </w:r>
          </w:p>
          <w:p>
            <w:pPr>
              <w:pStyle w:val="TableParagraph"/>
              <w:spacing w:before="65"/>
              <w:ind w:left="128"/>
              <w:rPr>
                <w:b/>
                <w:sz w:val="9"/>
              </w:rPr>
            </w:pPr>
            <w:r>
              <w:rPr>
                <w:b/>
                <w:sz w:val="9"/>
              </w:rPr>
              <mc:AlternateContent>
                <mc:Choice Requires="wps">
                  <w:drawing>
                    <wp:anchor distT="0" distB="0" distL="0" distR="0" allowOverlap="1" layoutInCell="1" locked="0" behindDoc="0" simplePos="0" relativeHeight="15785984">
                      <wp:simplePos x="0" y="0"/>
                      <wp:positionH relativeFrom="column">
                        <wp:posOffset>221893</wp:posOffset>
                      </wp:positionH>
                      <wp:positionV relativeFrom="paragraph">
                        <wp:posOffset>76186</wp:posOffset>
                      </wp:positionV>
                      <wp:extent cx="2353945" cy="1572895"/>
                      <wp:effectExtent l="0" t="0" r="0" b="0"/>
                      <wp:wrapNone/>
                      <wp:docPr id="571" name="Group 571"/>
                      <wp:cNvGraphicFramePr>
                        <a:graphicFrameLocks/>
                      </wp:cNvGraphicFramePr>
                      <a:graphic>
                        <a:graphicData uri="http://schemas.microsoft.com/office/word/2010/wordprocessingGroup">
                          <wpg:wgp>
                            <wpg:cNvPr id="571" name="Group 571"/>
                            <wpg:cNvGrpSpPr/>
                            <wpg:grpSpPr>
                              <a:xfrm>
                                <a:off x="0" y="0"/>
                                <a:ext cx="2353945" cy="1572895"/>
                                <a:chExt cx="2353945" cy="1572895"/>
                              </a:xfrm>
                            </wpg:grpSpPr>
                            <wps:wsp>
                              <wps:cNvPr id="572" name="Graphic 572"/>
                              <wps:cNvSpPr/>
                              <wps:spPr>
                                <a:xfrm>
                                  <a:off x="1979" y="315707"/>
                                  <a:ext cx="2352040" cy="941069"/>
                                </a:xfrm>
                                <a:custGeom>
                                  <a:avLst/>
                                  <a:gdLst/>
                                  <a:ahLst/>
                                  <a:cxnLst/>
                                  <a:rect l="l" t="t" r="r" b="b"/>
                                  <a:pathLst>
                                    <a:path w="2352040" h="941069">
                                      <a:moveTo>
                                        <a:pt x="2210852" y="940885"/>
                                      </a:moveTo>
                                      <a:lnTo>
                                        <a:pt x="2351682" y="940885"/>
                                      </a:lnTo>
                                    </a:path>
                                    <a:path w="2352040" h="941069">
                                      <a:moveTo>
                                        <a:pt x="0" y="940885"/>
                                      </a:moveTo>
                                      <a:lnTo>
                                        <a:pt x="140821" y="940885"/>
                                      </a:lnTo>
                                    </a:path>
                                    <a:path w="2352040" h="941069">
                                      <a:moveTo>
                                        <a:pt x="327463" y="940885"/>
                                      </a:moveTo>
                                      <a:lnTo>
                                        <a:pt x="612517" y="940885"/>
                                      </a:lnTo>
                                    </a:path>
                                    <a:path w="2352040" h="941069">
                                      <a:moveTo>
                                        <a:pt x="799159" y="940885"/>
                                      </a:moveTo>
                                      <a:lnTo>
                                        <a:pt x="1080819" y="940885"/>
                                      </a:lnTo>
                                    </a:path>
                                    <a:path w="2352040" h="941069">
                                      <a:moveTo>
                                        <a:pt x="1739156" y="940885"/>
                                      </a:moveTo>
                                      <a:lnTo>
                                        <a:pt x="2024210" y="940885"/>
                                      </a:lnTo>
                                    </a:path>
                                    <a:path w="2352040" h="941069">
                                      <a:moveTo>
                                        <a:pt x="1270854" y="940885"/>
                                      </a:moveTo>
                                      <a:lnTo>
                                        <a:pt x="1552514" y="940885"/>
                                      </a:lnTo>
                                    </a:path>
                                    <a:path w="2352040" h="941069">
                                      <a:moveTo>
                                        <a:pt x="0" y="627256"/>
                                      </a:moveTo>
                                      <a:lnTo>
                                        <a:pt x="140821" y="627256"/>
                                      </a:lnTo>
                                    </a:path>
                                    <a:path w="2352040" h="941069">
                                      <a:moveTo>
                                        <a:pt x="327463" y="627256"/>
                                      </a:moveTo>
                                      <a:lnTo>
                                        <a:pt x="1552514" y="627256"/>
                                      </a:lnTo>
                                    </a:path>
                                    <a:path w="2352040" h="941069">
                                      <a:moveTo>
                                        <a:pt x="1739156" y="627256"/>
                                      </a:moveTo>
                                      <a:lnTo>
                                        <a:pt x="2024210" y="627256"/>
                                      </a:lnTo>
                                    </a:path>
                                    <a:path w="2352040" h="941069">
                                      <a:moveTo>
                                        <a:pt x="2210852" y="627256"/>
                                      </a:moveTo>
                                      <a:lnTo>
                                        <a:pt x="2351681" y="627256"/>
                                      </a:lnTo>
                                    </a:path>
                                    <a:path w="2352040" h="941069">
                                      <a:moveTo>
                                        <a:pt x="0" y="313628"/>
                                      </a:moveTo>
                                      <a:lnTo>
                                        <a:pt x="140821" y="313628"/>
                                      </a:lnTo>
                                    </a:path>
                                    <a:path w="2352040" h="941069">
                                      <a:moveTo>
                                        <a:pt x="799159" y="313628"/>
                                      </a:moveTo>
                                      <a:lnTo>
                                        <a:pt x="1080818" y="313628"/>
                                      </a:lnTo>
                                    </a:path>
                                    <a:path w="2352040" h="941069">
                                      <a:moveTo>
                                        <a:pt x="1739156" y="313628"/>
                                      </a:moveTo>
                                      <a:lnTo>
                                        <a:pt x="2024209" y="313628"/>
                                      </a:lnTo>
                                    </a:path>
                                    <a:path w="2352040" h="941069">
                                      <a:moveTo>
                                        <a:pt x="1270854" y="313628"/>
                                      </a:moveTo>
                                      <a:lnTo>
                                        <a:pt x="1552514" y="313628"/>
                                      </a:lnTo>
                                    </a:path>
                                    <a:path w="2352040" h="941069">
                                      <a:moveTo>
                                        <a:pt x="327463" y="313628"/>
                                      </a:moveTo>
                                      <a:lnTo>
                                        <a:pt x="612516" y="313628"/>
                                      </a:lnTo>
                                    </a:path>
                                    <a:path w="2352040" h="941069">
                                      <a:moveTo>
                                        <a:pt x="2210852" y="313628"/>
                                      </a:moveTo>
                                      <a:lnTo>
                                        <a:pt x="2351681" y="313628"/>
                                      </a:lnTo>
                                    </a:path>
                                    <a:path w="2352040" h="941069">
                                      <a:moveTo>
                                        <a:pt x="2210852" y="0"/>
                                      </a:moveTo>
                                      <a:lnTo>
                                        <a:pt x="2351681" y="0"/>
                                      </a:lnTo>
                                    </a:path>
                                    <a:path w="2352040" h="941069">
                                      <a:moveTo>
                                        <a:pt x="1270854" y="0"/>
                                      </a:moveTo>
                                      <a:lnTo>
                                        <a:pt x="1552514" y="0"/>
                                      </a:lnTo>
                                    </a:path>
                                    <a:path w="2352040" h="941069">
                                      <a:moveTo>
                                        <a:pt x="327463" y="0"/>
                                      </a:moveTo>
                                      <a:lnTo>
                                        <a:pt x="1080818" y="0"/>
                                      </a:lnTo>
                                    </a:path>
                                    <a:path w="2352040" h="941069">
                                      <a:moveTo>
                                        <a:pt x="1739156" y="0"/>
                                      </a:moveTo>
                                      <a:lnTo>
                                        <a:pt x="2024209" y="0"/>
                                      </a:lnTo>
                                    </a:path>
                                    <a:path w="2352040" h="941069">
                                      <a:moveTo>
                                        <a:pt x="0" y="0"/>
                                      </a:moveTo>
                                      <a:lnTo>
                                        <a:pt x="140821" y="0"/>
                                      </a:lnTo>
                                    </a:path>
                                  </a:pathLst>
                                </a:custGeom>
                                <a:ln w="4158">
                                  <a:solidFill>
                                    <a:srgbClr val="FFFFFF"/>
                                  </a:solidFill>
                                  <a:prstDash val="solid"/>
                                </a:ln>
                              </wps:spPr>
                              <wps:bodyPr wrap="square" lIns="0" tIns="0" rIns="0" bIns="0" rtlCol="0">
                                <a:prstTxWarp prst="textNoShape">
                                  <a:avLst/>
                                </a:prstTxWarp>
                                <a:noAutofit/>
                              </wps:bodyPr>
                            </wps:wsp>
                            <wps:wsp>
                              <wps:cNvPr id="573" name="Graphic 573"/>
                              <wps:cNvSpPr/>
                              <wps:spPr>
                                <a:xfrm>
                                  <a:off x="1979" y="2078"/>
                                  <a:ext cx="2352040" cy="1270"/>
                                </a:xfrm>
                                <a:custGeom>
                                  <a:avLst/>
                                  <a:gdLst/>
                                  <a:ahLst/>
                                  <a:cxnLst/>
                                  <a:rect l="l" t="t" r="r" b="b"/>
                                  <a:pathLst>
                                    <a:path w="2352040" h="0">
                                      <a:moveTo>
                                        <a:pt x="0" y="0"/>
                                      </a:moveTo>
                                      <a:lnTo>
                                        <a:pt x="2351681" y="0"/>
                                      </a:lnTo>
                                    </a:path>
                                  </a:pathLst>
                                </a:custGeom>
                                <a:ln w="4157">
                                  <a:solidFill>
                                    <a:srgbClr val="FFFFFF"/>
                                  </a:solidFill>
                                  <a:prstDash val="solid"/>
                                </a:ln>
                              </wps:spPr>
                              <wps:bodyPr wrap="square" lIns="0" tIns="0" rIns="0" bIns="0" rtlCol="0">
                                <a:prstTxWarp prst="textNoShape">
                                  <a:avLst/>
                                </a:prstTxWarp>
                                <a:noAutofit/>
                              </wps:bodyPr>
                            </wps:wsp>
                            <wps:wsp>
                              <wps:cNvPr id="574" name="Graphic 574"/>
                              <wps:cNvSpPr/>
                              <wps:spPr>
                                <a:xfrm>
                                  <a:off x="614490" y="1101569"/>
                                  <a:ext cx="1598930" cy="470534"/>
                                </a:xfrm>
                                <a:custGeom>
                                  <a:avLst/>
                                  <a:gdLst/>
                                  <a:ahLst/>
                                  <a:cxnLst/>
                                  <a:rect l="l" t="t" r="r" b="b"/>
                                  <a:pathLst>
                                    <a:path w="1598930" h="470534">
                                      <a:moveTo>
                                        <a:pt x="186639" y="17818"/>
                                      </a:moveTo>
                                      <a:lnTo>
                                        <a:pt x="0" y="17818"/>
                                      </a:lnTo>
                                      <a:lnTo>
                                        <a:pt x="0" y="470433"/>
                                      </a:lnTo>
                                      <a:lnTo>
                                        <a:pt x="186639" y="470433"/>
                                      </a:lnTo>
                                      <a:lnTo>
                                        <a:pt x="186639" y="17818"/>
                                      </a:lnTo>
                                      <a:close/>
                                    </a:path>
                                    <a:path w="1598930" h="470534">
                                      <a:moveTo>
                                        <a:pt x="658342" y="17818"/>
                                      </a:moveTo>
                                      <a:lnTo>
                                        <a:pt x="468299" y="17818"/>
                                      </a:lnTo>
                                      <a:lnTo>
                                        <a:pt x="468299" y="470433"/>
                                      </a:lnTo>
                                      <a:lnTo>
                                        <a:pt x="658342" y="470433"/>
                                      </a:lnTo>
                                      <a:lnTo>
                                        <a:pt x="658342" y="17818"/>
                                      </a:lnTo>
                                      <a:close/>
                                    </a:path>
                                    <a:path w="1598930" h="470534">
                                      <a:moveTo>
                                        <a:pt x="1126642" y="0"/>
                                      </a:moveTo>
                                      <a:lnTo>
                                        <a:pt x="940003" y="0"/>
                                      </a:lnTo>
                                      <a:lnTo>
                                        <a:pt x="940003" y="470433"/>
                                      </a:lnTo>
                                      <a:lnTo>
                                        <a:pt x="1126642" y="470433"/>
                                      </a:lnTo>
                                      <a:lnTo>
                                        <a:pt x="1126642" y="0"/>
                                      </a:lnTo>
                                      <a:close/>
                                    </a:path>
                                    <a:path w="1598930" h="470534">
                                      <a:moveTo>
                                        <a:pt x="1598333" y="10693"/>
                                      </a:moveTo>
                                      <a:lnTo>
                                        <a:pt x="1411693" y="10693"/>
                                      </a:lnTo>
                                      <a:lnTo>
                                        <a:pt x="1411693" y="470433"/>
                                      </a:lnTo>
                                      <a:lnTo>
                                        <a:pt x="1598333" y="470433"/>
                                      </a:lnTo>
                                      <a:lnTo>
                                        <a:pt x="1598333" y="10693"/>
                                      </a:lnTo>
                                      <a:close/>
                                    </a:path>
                                  </a:pathLst>
                                </a:custGeom>
                                <a:solidFill>
                                  <a:srgbClr val="385D89"/>
                                </a:solidFill>
                              </wps:spPr>
                              <wps:bodyPr wrap="square" lIns="0" tIns="0" rIns="0" bIns="0" rtlCol="0">
                                <a:prstTxWarp prst="textNoShape">
                                  <a:avLst/>
                                </a:prstTxWarp>
                                <a:noAutofit/>
                              </wps:bodyPr>
                            </wps:wsp>
                            <wps:wsp>
                              <wps:cNvPr id="575" name="Graphic 575"/>
                              <wps:cNvSpPr/>
                              <wps:spPr>
                                <a:xfrm>
                                  <a:off x="142799" y="859215"/>
                                  <a:ext cx="2070100" cy="260350"/>
                                </a:xfrm>
                                <a:custGeom>
                                  <a:avLst/>
                                  <a:gdLst/>
                                  <a:ahLst/>
                                  <a:cxnLst/>
                                  <a:rect l="l" t="t" r="r" b="b"/>
                                  <a:pathLst>
                                    <a:path w="2070100" h="260350">
                                      <a:moveTo>
                                        <a:pt x="186639" y="0"/>
                                      </a:moveTo>
                                      <a:lnTo>
                                        <a:pt x="0" y="0"/>
                                      </a:lnTo>
                                      <a:lnTo>
                                        <a:pt x="0" y="171069"/>
                                      </a:lnTo>
                                      <a:lnTo>
                                        <a:pt x="186639" y="171069"/>
                                      </a:lnTo>
                                      <a:lnTo>
                                        <a:pt x="186639" y="0"/>
                                      </a:lnTo>
                                      <a:close/>
                                    </a:path>
                                    <a:path w="2070100" h="260350">
                                      <a:moveTo>
                                        <a:pt x="658329" y="85534"/>
                                      </a:moveTo>
                                      <a:lnTo>
                                        <a:pt x="471690" y="85534"/>
                                      </a:lnTo>
                                      <a:lnTo>
                                        <a:pt x="471690" y="260172"/>
                                      </a:lnTo>
                                      <a:lnTo>
                                        <a:pt x="658329" y="260172"/>
                                      </a:lnTo>
                                      <a:lnTo>
                                        <a:pt x="658329" y="85534"/>
                                      </a:lnTo>
                                      <a:close/>
                                    </a:path>
                                    <a:path w="2070100" h="260350">
                                      <a:moveTo>
                                        <a:pt x="1130033" y="81978"/>
                                      </a:moveTo>
                                      <a:lnTo>
                                        <a:pt x="939990" y="81978"/>
                                      </a:lnTo>
                                      <a:lnTo>
                                        <a:pt x="939990" y="260172"/>
                                      </a:lnTo>
                                      <a:lnTo>
                                        <a:pt x="1130033" y="260172"/>
                                      </a:lnTo>
                                      <a:lnTo>
                                        <a:pt x="1130033" y="81978"/>
                                      </a:lnTo>
                                      <a:close/>
                                    </a:path>
                                    <a:path w="2070100" h="260350">
                                      <a:moveTo>
                                        <a:pt x="1598333" y="57023"/>
                                      </a:moveTo>
                                      <a:lnTo>
                                        <a:pt x="1411693" y="57023"/>
                                      </a:lnTo>
                                      <a:lnTo>
                                        <a:pt x="1411693" y="242354"/>
                                      </a:lnTo>
                                      <a:lnTo>
                                        <a:pt x="1598333" y="242354"/>
                                      </a:lnTo>
                                      <a:lnTo>
                                        <a:pt x="1598333" y="57023"/>
                                      </a:lnTo>
                                      <a:close/>
                                    </a:path>
                                    <a:path w="2070100" h="260350">
                                      <a:moveTo>
                                        <a:pt x="2070023" y="57023"/>
                                      </a:moveTo>
                                      <a:lnTo>
                                        <a:pt x="1883384" y="57023"/>
                                      </a:lnTo>
                                      <a:lnTo>
                                        <a:pt x="1883384" y="253047"/>
                                      </a:lnTo>
                                      <a:lnTo>
                                        <a:pt x="2070023" y="253047"/>
                                      </a:lnTo>
                                      <a:lnTo>
                                        <a:pt x="2070023" y="57023"/>
                                      </a:lnTo>
                                      <a:close/>
                                    </a:path>
                                  </a:pathLst>
                                </a:custGeom>
                                <a:solidFill>
                                  <a:srgbClr val="426CA0"/>
                                </a:solidFill>
                              </wps:spPr>
                              <wps:bodyPr wrap="square" lIns="0" tIns="0" rIns="0" bIns="0" rtlCol="0">
                                <a:prstTxWarp prst="textNoShape">
                                  <a:avLst/>
                                </a:prstTxWarp>
                                <a:noAutofit/>
                              </wps:bodyPr>
                            </wps:wsp>
                            <wps:wsp>
                              <wps:cNvPr id="576" name="Graphic 576"/>
                              <wps:cNvSpPr/>
                              <wps:spPr>
                                <a:xfrm>
                                  <a:off x="142799" y="762987"/>
                                  <a:ext cx="2070100" cy="182245"/>
                                </a:xfrm>
                                <a:custGeom>
                                  <a:avLst/>
                                  <a:gdLst/>
                                  <a:ahLst/>
                                  <a:cxnLst/>
                                  <a:rect l="l" t="t" r="r" b="b"/>
                                  <a:pathLst>
                                    <a:path w="2070100" h="182245">
                                      <a:moveTo>
                                        <a:pt x="186639" y="0"/>
                                      </a:moveTo>
                                      <a:lnTo>
                                        <a:pt x="0" y="0"/>
                                      </a:lnTo>
                                      <a:lnTo>
                                        <a:pt x="0" y="96227"/>
                                      </a:lnTo>
                                      <a:lnTo>
                                        <a:pt x="186639" y="96227"/>
                                      </a:lnTo>
                                      <a:lnTo>
                                        <a:pt x="186639" y="0"/>
                                      </a:lnTo>
                                      <a:close/>
                                    </a:path>
                                    <a:path w="2070100" h="182245">
                                      <a:moveTo>
                                        <a:pt x="658329" y="103352"/>
                                      </a:moveTo>
                                      <a:lnTo>
                                        <a:pt x="471690" y="103352"/>
                                      </a:lnTo>
                                      <a:lnTo>
                                        <a:pt x="471690" y="181762"/>
                                      </a:lnTo>
                                      <a:lnTo>
                                        <a:pt x="658329" y="181762"/>
                                      </a:lnTo>
                                      <a:lnTo>
                                        <a:pt x="658329" y="103352"/>
                                      </a:lnTo>
                                      <a:close/>
                                    </a:path>
                                    <a:path w="2070100" h="182245">
                                      <a:moveTo>
                                        <a:pt x="1130033" y="78409"/>
                                      </a:moveTo>
                                      <a:lnTo>
                                        <a:pt x="939990" y="78409"/>
                                      </a:lnTo>
                                      <a:lnTo>
                                        <a:pt x="939990" y="178206"/>
                                      </a:lnTo>
                                      <a:lnTo>
                                        <a:pt x="1130033" y="178206"/>
                                      </a:lnTo>
                                      <a:lnTo>
                                        <a:pt x="1130033" y="78409"/>
                                      </a:lnTo>
                                      <a:close/>
                                    </a:path>
                                    <a:path w="2070100" h="182245">
                                      <a:moveTo>
                                        <a:pt x="1598333" y="64160"/>
                                      </a:moveTo>
                                      <a:lnTo>
                                        <a:pt x="1411693" y="64160"/>
                                      </a:lnTo>
                                      <a:lnTo>
                                        <a:pt x="1411693" y="153250"/>
                                      </a:lnTo>
                                      <a:lnTo>
                                        <a:pt x="1598333" y="153250"/>
                                      </a:lnTo>
                                      <a:lnTo>
                                        <a:pt x="1598333" y="64160"/>
                                      </a:lnTo>
                                      <a:close/>
                                    </a:path>
                                    <a:path w="2070100" h="182245">
                                      <a:moveTo>
                                        <a:pt x="2070023" y="67716"/>
                                      </a:moveTo>
                                      <a:lnTo>
                                        <a:pt x="1883384" y="67716"/>
                                      </a:lnTo>
                                      <a:lnTo>
                                        <a:pt x="1883384" y="153250"/>
                                      </a:lnTo>
                                      <a:lnTo>
                                        <a:pt x="2070023" y="153250"/>
                                      </a:lnTo>
                                      <a:lnTo>
                                        <a:pt x="2070023" y="67716"/>
                                      </a:lnTo>
                                      <a:close/>
                                    </a:path>
                                  </a:pathLst>
                                </a:custGeom>
                                <a:solidFill>
                                  <a:srgbClr val="4A7AB4"/>
                                </a:solidFill>
                              </wps:spPr>
                              <wps:bodyPr wrap="square" lIns="0" tIns="0" rIns="0" bIns="0" rtlCol="0">
                                <a:prstTxWarp prst="textNoShape">
                                  <a:avLst/>
                                </a:prstTxWarp>
                                <a:noAutofit/>
                              </wps:bodyPr>
                            </wps:wsp>
                            <wps:wsp>
                              <wps:cNvPr id="577" name="Graphic 577"/>
                              <wps:cNvSpPr/>
                              <wps:spPr>
                                <a:xfrm>
                                  <a:off x="142799" y="681021"/>
                                  <a:ext cx="2070100" cy="185420"/>
                                </a:xfrm>
                                <a:custGeom>
                                  <a:avLst/>
                                  <a:gdLst/>
                                  <a:ahLst/>
                                  <a:cxnLst/>
                                  <a:rect l="l" t="t" r="r" b="b"/>
                                  <a:pathLst>
                                    <a:path w="2070100" h="185420">
                                      <a:moveTo>
                                        <a:pt x="186639" y="0"/>
                                      </a:moveTo>
                                      <a:lnTo>
                                        <a:pt x="0" y="0"/>
                                      </a:lnTo>
                                      <a:lnTo>
                                        <a:pt x="0" y="81965"/>
                                      </a:lnTo>
                                      <a:lnTo>
                                        <a:pt x="186639" y="81965"/>
                                      </a:lnTo>
                                      <a:lnTo>
                                        <a:pt x="186639" y="0"/>
                                      </a:lnTo>
                                      <a:close/>
                                    </a:path>
                                    <a:path w="2070100" h="185420">
                                      <a:moveTo>
                                        <a:pt x="658329" y="135432"/>
                                      </a:moveTo>
                                      <a:lnTo>
                                        <a:pt x="471690" y="135432"/>
                                      </a:lnTo>
                                      <a:lnTo>
                                        <a:pt x="471690" y="185318"/>
                                      </a:lnTo>
                                      <a:lnTo>
                                        <a:pt x="658329" y="185318"/>
                                      </a:lnTo>
                                      <a:lnTo>
                                        <a:pt x="658329" y="135432"/>
                                      </a:lnTo>
                                      <a:close/>
                                    </a:path>
                                    <a:path w="2070100" h="185420">
                                      <a:moveTo>
                                        <a:pt x="1130033" y="121170"/>
                                      </a:moveTo>
                                      <a:lnTo>
                                        <a:pt x="939990" y="121170"/>
                                      </a:lnTo>
                                      <a:lnTo>
                                        <a:pt x="939990" y="160375"/>
                                      </a:lnTo>
                                      <a:lnTo>
                                        <a:pt x="1130033" y="160375"/>
                                      </a:lnTo>
                                      <a:lnTo>
                                        <a:pt x="1130033" y="121170"/>
                                      </a:lnTo>
                                      <a:close/>
                                    </a:path>
                                    <a:path w="2070100" h="185420">
                                      <a:moveTo>
                                        <a:pt x="1598333" y="117614"/>
                                      </a:moveTo>
                                      <a:lnTo>
                                        <a:pt x="1411693" y="117614"/>
                                      </a:lnTo>
                                      <a:lnTo>
                                        <a:pt x="1411693" y="146126"/>
                                      </a:lnTo>
                                      <a:lnTo>
                                        <a:pt x="1598333" y="146126"/>
                                      </a:lnTo>
                                      <a:lnTo>
                                        <a:pt x="1598333" y="117614"/>
                                      </a:lnTo>
                                      <a:close/>
                                    </a:path>
                                    <a:path w="2070100" h="185420">
                                      <a:moveTo>
                                        <a:pt x="2070023" y="121170"/>
                                      </a:moveTo>
                                      <a:lnTo>
                                        <a:pt x="1883384" y="121170"/>
                                      </a:lnTo>
                                      <a:lnTo>
                                        <a:pt x="1883384" y="149682"/>
                                      </a:lnTo>
                                      <a:lnTo>
                                        <a:pt x="2070023" y="149682"/>
                                      </a:lnTo>
                                      <a:lnTo>
                                        <a:pt x="2070023" y="121170"/>
                                      </a:lnTo>
                                      <a:close/>
                                    </a:path>
                                  </a:pathLst>
                                </a:custGeom>
                                <a:solidFill>
                                  <a:srgbClr val="7393C5"/>
                                </a:solidFill>
                              </wps:spPr>
                              <wps:bodyPr wrap="square" lIns="0" tIns="0" rIns="0" bIns="0" rtlCol="0">
                                <a:prstTxWarp prst="textNoShape">
                                  <a:avLst/>
                                </a:prstTxWarp>
                                <a:noAutofit/>
                              </wps:bodyPr>
                            </wps:wsp>
                            <wps:wsp>
                              <wps:cNvPr id="578" name="Graphic 578"/>
                              <wps:cNvSpPr/>
                              <wps:spPr>
                                <a:xfrm>
                                  <a:off x="614490" y="403031"/>
                                  <a:ext cx="1598930" cy="414020"/>
                                </a:xfrm>
                                <a:custGeom>
                                  <a:avLst/>
                                  <a:gdLst/>
                                  <a:ahLst/>
                                  <a:cxnLst/>
                                  <a:rect l="l" t="t" r="r" b="b"/>
                                  <a:pathLst>
                                    <a:path w="1598930" h="414020">
                                      <a:moveTo>
                                        <a:pt x="186639" y="171069"/>
                                      </a:moveTo>
                                      <a:lnTo>
                                        <a:pt x="0" y="171069"/>
                                      </a:lnTo>
                                      <a:lnTo>
                                        <a:pt x="0" y="413423"/>
                                      </a:lnTo>
                                      <a:lnTo>
                                        <a:pt x="186639" y="413423"/>
                                      </a:lnTo>
                                      <a:lnTo>
                                        <a:pt x="186639" y="171069"/>
                                      </a:lnTo>
                                      <a:close/>
                                    </a:path>
                                    <a:path w="1598930" h="414020">
                                      <a:moveTo>
                                        <a:pt x="1126642" y="57023"/>
                                      </a:moveTo>
                                      <a:lnTo>
                                        <a:pt x="940003" y="57023"/>
                                      </a:lnTo>
                                      <a:lnTo>
                                        <a:pt x="940003" y="395605"/>
                                      </a:lnTo>
                                      <a:lnTo>
                                        <a:pt x="1126642" y="395605"/>
                                      </a:lnTo>
                                      <a:lnTo>
                                        <a:pt x="1126642" y="57023"/>
                                      </a:lnTo>
                                      <a:close/>
                                    </a:path>
                                    <a:path w="1598930" h="414020">
                                      <a:moveTo>
                                        <a:pt x="1598333" y="0"/>
                                      </a:moveTo>
                                      <a:lnTo>
                                        <a:pt x="1411693" y="0"/>
                                      </a:lnTo>
                                      <a:lnTo>
                                        <a:pt x="1411693" y="399161"/>
                                      </a:lnTo>
                                      <a:lnTo>
                                        <a:pt x="1598333" y="399161"/>
                                      </a:lnTo>
                                      <a:lnTo>
                                        <a:pt x="1598333" y="0"/>
                                      </a:lnTo>
                                      <a:close/>
                                    </a:path>
                                  </a:pathLst>
                                </a:custGeom>
                                <a:solidFill>
                                  <a:srgbClr val="A0B4D3"/>
                                </a:solidFill>
                              </wps:spPr>
                              <wps:bodyPr wrap="square" lIns="0" tIns="0" rIns="0" bIns="0" rtlCol="0">
                                <a:prstTxWarp prst="textNoShape">
                                  <a:avLst/>
                                </a:prstTxWarp>
                                <a:noAutofit/>
                              </wps:bodyPr>
                            </wps:wsp>
                            <wps:wsp>
                              <wps:cNvPr id="579" name="Graphic 579"/>
                              <wps:cNvSpPr/>
                              <wps:spPr>
                                <a:xfrm>
                                  <a:off x="142799" y="185632"/>
                                  <a:ext cx="2070100" cy="274955"/>
                                </a:xfrm>
                                <a:custGeom>
                                  <a:avLst/>
                                  <a:gdLst/>
                                  <a:ahLst/>
                                  <a:cxnLst/>
                                  <a:rect l="l" t="t" r="r" b="b"/>
                                  <a:pathLst>
                                    <a:path w="2070100" h="274955">
                                      <a:moveTo>
                                        <a:pt x="186639" y="92659"/>
                                      </a:moveTo>
                                      <a:lnTo>
                                        <a:pt x="0" y="92659"/>
                                      </a:lnTo>
                                      <a:lnTo>
                                        <a:pt x="0" y="263728"/>
                                      </a:lnTo>
                                      <a:lnTo>
                                        <a:pt x="186639" y="263728"/>
                                      </a:lnTo>
                                      <a:lnTo>
                                        <a:pt x="186639" y="92659"/>
                                      </a:lnTo>
                                      <a:close/>
                                    </a:path>
                                    <a:path w="2070100" h="274955">
                                      <a:moveTo>
                                        <a:pt x="1598333" y="53454"/>
                                      </a:moveTo>
                                      <a:lnTo>
                                        <a:pt x="1411693" y="53454"/>
                                      </a:lnTo>
                                      <a:lnTo>
                                        <a:pt x="1411693" y="274421"/>
                                      </a:lnTo>
                                      <a:lnTo>
                                        <a:pt x="1598333" y="274421"/>
                                      </a:lnTo>
                                      <a:lnTo>
                                        <a:pt x="1598333" y="53454"/>
                                      </a:lnTo>
                                      <a:close/>
                                    </a:path>
                                    <a:path w="2070100" h="274955">
                                      <a:moveTo>
                                        <a:pt x="2070023" y="0"/>
                                      </a:moveTo>
                                      <a:lnTo>
                                        <a:pt x="1883384" y="0"/>
                                      </a:lnTo>
                                      <a:lnTo>
                                        <a:pt x="1883384" y="217398"/>
                                      </a:lnTo>
                                      <a:lnTo>
                                        <a:pt x="2070023" y="217398"/>
                                      </a:lnTo>
                                      <a:lnTo>
                                        <a:pt x="2070023" y="0"/>
                                      </a:lnTo>
                                      <a:close/>
                                    </a:path>
                                  </a:pathLst>
                                </a:custGeom>
                                <a:solidFill>
                                  <a:srgbClr val="C2CDE0"/>
                                </a:solidFill>
                              </wps:spPr>
                              <wps:bodyPr wrap="square" lIns="0" tIns="0" rIns="0" bIns="0" rtlCol="0">
                                <a:prstTxWarp prst="textNoShape">
                                  <a:avLst/>
                                </a:prstTxWarp>
                                <a:noAutofit/>
                              </wps:bodyPr>
                            </wps:wsp>
                            <wps:wsp>
                              <wps:cNvPr id="580" name="Graphic 580"/>
                              <wps:cNvSpPr/>
                              <wps:spPr>
                                <a:xfrm>
                                  <a:off x="1979" y="2078"/>
                                  <a:ext cx="2352040" cy="1568450"/>
                                </a:xfrm>
                                <a:custGeom>
                                  <a:avLst/>
                                  <a:gdLst/>
                                  <a:ahLst/>
                                  <a:cxnLst/>
                                  <a:rect l="l" t="t" r="r" b="b"/>
                                  <a:pathLst>
                                    <a:path w="2352040" h="1568450">
                                      <a:moveTo>
                                        <a:pt x="0" y="1568133"/>
                                      </a:moveTo>
                                      <a:lnTo>
                                        <a:pt x="0" y="0"/>
                                      </a:lnTo>
                                    </a:path>
                                    <a:path w="2352040" h="1568450">
                                      <a:moveTo>
                                        <a:pt x="0" y="1568133"/>
                                      </a:moveTo>
                                      <a:lnTo>
                                        <a:pt x="2351682" y="1568134"/>
                                      </a:lnTo>
                                    </a:path>
                                  </a:pathLst>
                                </a:custGeom>
                                <a:ln w="4058">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471935pt;margin-top:5.99894pt;width:185.35pt;height:123.85pt;mso-position-horizontal-relative:column;mso-position-vertical-relative:paragraph;z-index:15785984" id="docshapegroup541" coordorigin="349,120" coordsize="3707,2477">
                      <v:shape style="position:absolute;left:352;top:617;width:3704;height:1482" id="docshape542" coordorigin="353,617" coordsize="3704,1482" path="m3834,2099l4056,2099m353,2099l574,2099m868,2099l1317,2099m1611,2099l2055,2099m3091,2099l3540,2099m2354,2099l2797,2099m353,1605l574,1605m868,1605l2797,1605m3091,1605l3540,1605m3834,1605l4056,1605m353,1111l574,1111m1611,1111l2055,1111m3091,1111l3540,1111m2354,1111l2797,1111m868,1111l1317,1111m3834,1111l4056,1111m3834,617l4056,617m2354,617l2797,617m868,617l2055,617m3091,617l3540,617m353,617l574,617e" filled="false" stroked="true" strokeweight=".327447pt" strokecolor="#ffffff">
                        <v:path arrowok="t"/>
                        <v:stroke dashstyle="solid"/>
                      </v:shape>
                      <v:line style="position:absolute" from="353,123" to="4056,123" stroked="true" strokeweight=".327398pt" strokecolor="#ffffff">
                        <v:stroke dashstyle="solid"/>
                      </v:line>
                      <v:shape style="position:absolute;left:1317;top:1854;width:2518;height:741" id="docshape543" coordorigin="1317,1855" coordsize="2518,741" path="m1611,1883l1317,1883,1317,2596,1611,2596,1611,1883xm2354,1883l2055,1883,2055,2596,2354,2596,2354,1883xm3091,1855l2797,1855,2797,2596,3091,2596,3091,1855xm3834,1872l3540,1872,3540,2596,3834,2596,3834,1872xe" filled="true" fillcolor="#385d89" stroked="false">
                        <v:path arrowok="t"/>
                        <v:fill type="solid"/>
                      </v:shape>
                      <v:shape style="position:absolute;left:574;top:1473;width:3260;height:410" id="docshape544" coordorigin="574,1473" coordsize="3260,410" path="m868,1473l574,1473,574,1742,868,1742,868,1473xm1611,1608l1317,1608,1317,1883,1611,1883,1611,1608xm2354,1602l2055,1602,2055,1883,2354,1883,2354,1602xm3091,1563l2797,1563,2797,1855,3091,1855,3091,1563xm3834,1563l3540,1563,3540,1872,3834,1872,3834,1563xe" filled="true" fillcolor="#426ca0" stroked="false">
                        <v:path arrowok="t"/>
                        <v:fill type="solid"/>
                      </v:shape>
                      <v:shape style="position:absolute;left:574;top:1321;width:3260;height:287" id="docshape545" coordorigin="574,1322" coordsize="3260,287" path="m868,1322l574,1322,574,1473,868,1473,868,1322xm1611,1484l1317,1484,1317,1608,1611,1608,1611,1484xm2354,1445l2055,1445,2055,1602,2354,1602,2354,1445xm3091,1423l2797,1423,2797,1563,3091,1563,3091,1423xm3834,1428l3540,1428,3540,1563,3834,1563,3834,1428xe" filled="true" fillcolor="#4a7ab4" stroked="false">
                        <v:path arrowok="t"/>
                        <v:fill type="solid"/>
                      </v:shape>
                      <v:shape style="position:absolute;left:574;top:1192;width:3260;height:292" id="docshape546" coordorigin="574,1192" coordsize="3260,292" path="m868,1192l574,1192,574,1322,868,1322,868,1192xm1611,1406l1317,1406,1317,1484,1611,1484,1611,1406xm2354,1383l2055,1383,2055,1445,2354,1445,2354,1383xm3091,1378l2797,1378,2797,1423,3091,1423,3091,1378xm3834,1383l3540,1383,3540,1428,3834,1428,3834,1383xe" filled="true" fillcolor="#7393c5" stroked="false">
                        <v:path arrowok="t"/>
                        <v:fill type="solid"/>
                      </v:shape>
                      <v:shape style="position:absolute;left:1317;top:754;width:2518;height:652" id="docshape547" coordorigin="1317,755" coordsize="2518,652" path="m1611,1024l1317,1024,1317,1406,1611,1406,1611,1024xm3091,844l2797,844,2797,1378,3091,1378,3091,844xm3834,755l3540,755,3540,1383,3834,1383,3834,755xe" filled="true" fillcolor="#a0b4d3" stroked="false">
                        <v:path arrowok="t"/>
                        <v:fill type="solid"/>
                      </v:shape>
                      <v:shape style="position:absolute;left:574;top:412;width:3260;height:433" id="docshape548" coordorigin="574,412" coordsize="3260,433" path="m868,558l574,558,574,828,868,828,868,558xm3091,496l2797,496,2797,844,3091,844,3091,496xm3834,412l3540,412,3540,755,3834,755,3834,412xe" filled="true" fillcolor="#c2cde0" stroked="false">
                        <v:path arrowok="t"/>
                        <v:fill type="solid"/>
                      </v:shape>
                      <v:shape style="position:absolute;left:352;top:123;width:3704;height:2470" id="docshape549" coordorigin="353,123" coordsize="3704,2470" path="m353,2593l353,123m353,2593l4056,2593e" filled="false" stroked="true" strokeweight=".319568pt" strokecolor="#7e7e7e">
                        <v:path arrowok="t"/>
                        <v:stroke dashstyle="solid"/>
                      </v:shape>
                      <w10:wrap type="none"/>
                    </v:group>
                  </w:pict>
                </mc:Fallback>
              </mc:AlternateContent>
            </w:r>
            <w:r>
              <w:rPr>
                <w:b/>
                <w:color w:val="252525"/>
                <w:spacing w:val="-4"/>
                <w:sz w:val="9"/>
              </w:rPr>
              <w:t>25.0</w:t>
            </w:r>
          </w:p>
          <w:p>
            <w:pPr>
              <w:pStyle w:val="TableParagraph"/>
              <w:rPr>
                <w:sz w:val="9"/>
              </w:rPr>
            </w:pPr>
          </w:p>
          <w:p>
            <w:pPr>
              <w:pStyle w:val="TableParagraph"/>
              <w:rPr>
                <w:sz w:val="9"/>
              </w:rPr>
            </w:pPr>
          </w:p>
          <w:p>
            <w:pPr>
              <w:pStyle w:val="TableParagraph"/>
              <w:spacing w:before="70"/>
              <w:rPr>
                <w:sz w:val="9"/>
              </w:rPr>
            </w:pPr>
          </w:p>
          <w:p>
            <w:pPr>
              <w:pStyle w:val="TableParagraph"/>
              <w:tabs>
                <w:tab w:pos="3645" w:val="left" w:leader="none"/>
              </w:tabs>
              <w:spacing w:line="98" w:lineRule="exact"/>
              <w:ind w:left="128"/>
              <w:rPr>
                <w:b/>
                <w:position w:val="3"/>
                <w:sz w:val="7"/>
              </w:rPr>
            </w:pPr>
            <w:r>
              <w:rPr>
                <w:b/>
                <w:color w:val="252525"/>
                <w:spacing w:val="-4"/>
                <w:sz w:val="9"/>
              </w:rPr>
              <w:t>20.0</w:t>
            </w:r>
            <w:r>
              <w:rPr>
                <w:b/>
                <w:color w:val="252525"/>
                <w:sz w:val="9"/>
              </w:rPr>
              <w:tab/>
            </w:r>
            <w:r>
              <w:rPr>
                <w:b/>
                <w:color w:val="FFFFFF"/>
                <w:spacing w:val="-5"/>
                <w:position w:val="3"/>
                <w:sz w:val="7"/>
              </w:rPr>
              <w:t>3.5</w:t>
            </w:r>
          </w:p>
          <w:p>
            <w:pPr>
              <w:pStyle w:val="TableParagraph"/>
              <w:tabs>
                <w:tab w:pos="2902" w:val="left" w:leader="none"/>
              </w:tabs>
              <w:spacing w:line="163" w:lineRule="auto"/>
              <w:ind w:left="677"/>
              <w:rPr>
                <w:b/>
                <w:sz w:val="7"/>
              </w:rPr>
            </w:pPr>
            <w:r>
              <w:rPr>
                <w:b/>
                <w:color w:val="FFFFFF"/>
                <w:spacing w:val="-5"/>
                <w:position w:val="-1"/>
                <w:sz w:val="7"/>
              </w:rPr>
              <w:t>2.8</w:t>
            </w:r>
            <w:r>
              <w:rPr>
                <w:b/>
                <w:color w:val="FFFFFF"/>
                <w:position w:val="-1"/>
                <w:sz w:val="7"/>
              </w:rPr>
              <w:tab/>
            </w:r>
            <w:r>
              <w:rPr>
                <w:b/>
                <w:color w:val="FFFFFF"/>
                <w:spacing w:val="-5"/>
                <w:sz w:val="7"/>
              </w:rPr>
              <w:t>3.5</w:t>
            </w:r>
          </w:p>
          <w:p>
            <w:pPr>
              <w:pStyle w:val="TableParagraph"/>
              <w:spacing w:line="69" w:lineRule="exact"/>
              <w:ind w:left="242"/>
              <w:jc w:val="center"/>
              <w:rPr>
                <w:b/>
                <w:sz w:val="7"/>
              </w:rPr>
            </w:pPr>
            <w:r>
              <w:rPr>
                <w:b/>
                <w:color w:val="FFFFFF"/>
                <w:spacing w:val="-5"/>
                <w:sz w:val="7"/>
              </w:rPr>
              <w:t>3.4</w:t>
            </w:r>
          </w:p>
          <w:p>
            <w:pPr>
              <w:pStyle w:val="TableParagraph"/>
              <w:spacing w:before="51"/>
              <w:ind w:left="242" w:right="1480"/>
              <w:jc w:val="center"/>
              <w:rPr>
                <w:b/>
                <w:sz w:val="7"/>
              </w:rPr>
            </w:pPr>
            <w:r>
              <w:rPr>
                <w:b/>
                <w:color w:val="FFFFFF"/>
                <w:spacing w:val="-5"/>
                <w:sz w:val="7"/>
              </w:rPr>
              <w:t>2.8</w:t>
            </w:r>
          </w:p>
          <w:p>
            <w:pPr>
              <w:pStyle w:val="TableParagraph"/>
              <w:spacing w:line="71" w:lineRule="exact" w:before="49"/>
              <w:ind w:left="677"/>
              <w:rPr>
                <w:b/>
                <w:sz w:val="7"/>
              </w:rPr>
            </w:pPr>
            <w:r>
              <w:rPr>
                <w:b/>
                <w:color w:val="FFFFFF"/>
                <w:spacing w:val="-5"/>
                <w:sz w:val="7"/>
              </w:rPr>
              <w:t>3.7</w:t>
            </w:r>
          </w:p>
          <w:p>
            <w:pPr>
              <w:pStyle w:val="TableParagraph"/>
              <w:tabs>
                <w:tab w:pos="2902" w:val="left" w:leader="none"/>
                <w:tab w:pos="3645" w:val="left" w:leader="none"/>
              </w:tabs>
              <w:spacing w:line="92" w:lineRule="exact"/>
              <w:ind w:left="128"/>
              <w:rPr>
                <w:b/>
                <w:position w:val="4"/>
                <w:sz w:val="7"/>
              </w:rPr>
            </w:pPr>
            <w:r>
              <w:rPr>
                <w:b/>
                <w:color w:val="252525"/>
                <w:spacing w:val="-4"/>
                <w:sz w:val="9"/>
              </w:rPr>
              <w:t>15.0</w:t>
            </w:r>
            <w:r>
              <w:rPr>
                <w:b/>
                <w:color w:val="252525"/>
                <w:sz w:val="9"/>
              </w:rPr>
              <w:tab/>
            </w:r>
            <w:r>
              <w:rPr>
                <w:b/>
                <w:color w:val="FFFFFF"/>
                <w:spacing w:val="-5"/>
                <w:sz w:val="7"/>
              </w:rPr>
              <w:t>5.4</w:t>
            </w:r>
            <w:r>
              <w:rPr>
                <w:b/>
                <w:color w:val="FFFFFF"/>
                <w:sz w:val="7"/>
              </w:rPr>
              <w:tab/>
            </w:r>
            <w:r>
              <w:rPr>
                <w:b/>
                <w:color w:val="FFFFFF"/>
                <w:spacing w:val="-5"/>
                <w:position w:val="4"/>
                <w:sz w:val="7"/>
              </w:rPr>
              <w:t>6.3</w:t>
            </w:r>
          </w:p>
          <w:p>
            <w:pPr>
              <w:pStyle w:val="TableParagraph"/>
              <w:spacing w:line="48" w:lineRule="exact"/>
              <w:ind w:left="242"/>
              <w:jc w:val="center"/>
              <w:rPr>
                <w:b/>
                <w:sz w:val="7"/>
              </w:rPr>
            </w:pPr>
            <w:r>
              <w:rPr>
                <w:b/>
                <w:color w:val="FFFFFF"/>
                <w:spacing w:val="-5"/>
                <w:sz w:val="7"/>
              </w:rPr>
              <w:t>4.7</w:t>
            </w:r>
          </w:p>
          <w:p>
            <w:pPr>
              <w:pStyle w:val="TableParagraph"/>
              <w:tabs>
                <w:tab w:pos="1419" w:val="left" w:leader="none"/>
              </w:tabs>
              <w:spacing w:line="204" w:lineRule="auto"/>
              <w:ind w:left="677"/>
              <w:rPr>
                <w:b/>
                <w:sz w:val="7"/>
              </w:rPr>
            </w:pPr>
            <w:r>
              <w:rPr>
                <w:b/>
                <w:color w:val="FFFFFF"/>
                <w:spacing w:val="-5"/>
                <w:position w:val="-3"/>
                <w:sz w:val="7"/>
              </w:rPr>
              <w:t>1.3</w:t>
            </w:r>
            <w:r>
              <w:rPr>
                <w:b/>
                <w:color w:val="FFFFFF"/>
                <w:position w:val="-3"/>
                <w:sz w:val="7"/>
              </w:rPr>
              <w:tab/>
            </w:r>
            <w:r>
              <w:rPr>
                <w:b/>
                <w:color w:val="FFFFFF"/>
                <w:spacing w:val="-5"/>
                <w:sz w:val="7"/>
              </w:rPr>
              <w:t>3.9</w:t>
            </w:r>
          </w:p>
          <w:p>
            <w:pPr>
              <w:pStyle w:val="TableParagraph"/>
              <w:tabs>
                <w:tab w:pos="741" w:val="left" w:leader="none"/>
                <w:tab w:pos="1483" w:val="left" w:leader="none"/>
                <w:tab w:pos="2225" w:val="left" w:leader="none"/>
                <w:tab w:pos="2968" w:val="left" w:leader="none"/>
              </w:tabs>
              <w:spacing w:line="146" w:lineRule="auto" w:before="77"/>
              <w:ind w:right="431"/>
              <w:jc w:val="right"/>
              <w:rPr>
                <w:b/>
                <w:position w:val="1"/>
                <w:sz w:val="7"/>
              </w:rPr>
            </w:pPr>
            <w:r>
              <w:rPr>
                <w:b/>
                <w:color w:val="FFFFFF"/>
                <w:spacing w:val="-5"/>
                <w:position w:val="2"/>
                <w:sz w:val="7"/>
              </w:rPr>
              <w:t>1.6</w:t>
            </w:r>
            <w:r>
              <w:rPr>
                <w:b/>
                <w:color w:val="FFFFFF"/>
                <w:position w:val="2"/>
                <w:sz w:val="7"/>
              </w:rPr>
              <w:tab/>
            </w:r>
            <w:r>
              <w:rPr>
                <w:b/>
                <w:color w:val="FFFFFF"/>
                <w:spacing w:val="-5"/>
                <w:position w:val="-2"/>
                <w:sz w:val="7"/>
              </w:rPr>
              <w:t>0.8</w:t>
            </w:r>
            <w:r>
              <w:rPr>
                <w:b/>
                <w:color w:val="FFFFFF"/>
                <w:position w:val="-2"/>
                <w:sz w:val="7"/>
              </w:rPr>
              <w:tab/>
            </w:r>
            <w:r>
              <w:rPr>
                <w:b/>
                <w:color w:val="FFFFFF"/>
                <w:spacing w:val="-5"/>
                <w:sz w:val="7"/>
              </w:rPr>
              <w:t>0.7</w:t>
            </w:r>
            <w:r>
              <w:rPr>
                <w:b/>
                <w:color w:val="FFFFFF"/>
                <w:sz w:val="7"/>
              </w:rPr>
              <w:tab/>
            </w:r>
            <w:r>
              <w:rPr>
                <w:b/>
                <w:color w:val="FFFFFF"/>
                <w:spacing w:val="-5"/>
                <w:position w:val="2"/>
                <w:sz w:val="7"/>
              </w:rPr>
              <w:t>0.5</w:t>
            </w:r>
            <w:r>
              <w:rPr>
                <w:b/>
                <w:color w:val="FFFFFF"/>
                <w:position w:val="2"/>
                <w:sz w:val="7"/>
              </w:rPr>
              <w:tab/>
            </w:r>
            <w:r>
              <w:rPr>
                <w:b/>
                <w:color w:val="FFFFFF"/>
                <w:spacing w:val="-5"/>
                <w:position w:val="1"/>
                <w:sz w:val="7"/>
              </w:rPr>
              <w:t>0.5</w:t>
            </w:r>
          </w:p>
          <w:p>
            <w:pPr>
              <w:pStyle w:val="TableParagraph"/>
              <w:tabs>
                <w:tab w:pos="741" w:val="left" w:leader="none"/>
                <w:tab w:pos="1483" w:val="left" w:leader="none"/>
                <w:tab w:pos="2226" w:val="left" w:leader="none"/>
              </w:tabs>
              <w:spacing w:line="153" w:lineRule="auto"/>
              <w:ind w:right="432"/>
              <w:jc w:val="right"/>
              <w:rPr>
                <w:b/>
                <w:sz w:val="7"/>
              </w:rPr>
            </w:pPr>
            <w:r>
              <w:rPr>
                <w:b/>
                <w:color w:val="FFFFFF"/>
                <w:spacing w:val="-5"/>
                <w:position w:val="-4"/>
                <w:sz w:val="7"/>
              </w:rPr>
              <w:t>1.3</w:t>
            </w:r>
            <w:r>
              <w:rPr>
                <w:b/>
                <w:color w:val="FFFFFF"/>
                <w:position w:val="-4"/>
                <w:sz w:val="7"/>
              </w:rPr>
              <w:tab/>
            </w:r>
            <w:r>
              <w:rPr>
                <w:b/>
                <w:color w:val="FFFFFF"/>
                <w:spacing w:val="-5"/>
                <w:position w:val="-1"/>
                <w:sz w:val="7"/>
              </w:rPr>
              <w:t>1.6</w:t>
            </w:r>
            <w:r>
              <w:rPr>
                <w:b/>
                <w:color w:val="FFFFFF"/>
                <w:position w:val="-1"/>
                <w:sz w:val="7"/>
              </w:rPr>
              <w:tab/>
            </w:r>
            <w:r>
              <w:rPr>
                <w:b/>
                <w:color w:val="FFFFFF"/>
                <w:spacing w:val="-5"/>
                <w:position w:val="1"/>
                <w:sz w:val="7"/>
              </w:rPr>
              <w:t>1.4</w:t>
            </w:r>
            <w:r>
              <w:rPr>
                <w:b/>
                <w:color w:val="FFFFFF"/>
                <w:position w:val="1"/>
                <w:sz w:val="7"/>
              </w:rPr>
              <w:tab/>
            </w:r>
            <w:r>
              <w:rPr>
                <w:b/>
                <w:color w:val="FFFFFF"/>
                <w:spacing w:val="-5"/>
                <w:sz w:val="7"/>
              </w:rPr>
              <w:t>1.4</w:t>
            </w:r>
          </w:p>
          <w:p>
            <w:pPr>
              <w:pStyle w:val="TableParagraph"/>
              <w:tabs>
                <w:tab w:pos="677" w:val="left" w:leader="none"/>
              </w:tabs>
              <w:spacing w:line="86" w:lineRule="exact"/>
              <w:ind w:left="128"/>
              <w:rPr>
                <w:b/>
                <w:sz w:val="7"/>
              </w:rPr>
            </w:pPr>
            <w:r>
              <w:rPr>
                <w:b/>
                <w:color w:val="252525"/>
                <w:spacing w:val="-4"/>
                <w:position w:val="1"/>
                <w:sz w:val="9"/>
              </w:rPr>
              <w:t>10.0</w:t>
            </w:r>
            <w:r>
              <w:rPr>
                <w:b/>
                <w:color w:val="252525"/>
                <w:position w:val="1"/>
                <w:sz w:val="9"/>
              </w:rPr>
              <w:tab/>
            </w:r>
            <w:r>
              <w:rPr>
                <w:b/>
                <w:color w:val="FFFFFF"/>
                <w:spacing w:val="-5"/>
                <w:sz w:val="7"/>
              </w:rPr>
              <w:t>2.7</w:t>
            </w:r>
          </w:p>
          <w:p>
            <w:pPr>
              <w:pStyle w:val="TableParagraph"/>
              <w:tabs>
                <w:tab w:pos="2160" w:val="left" w:leader="none"/>
                <w:tab w:pos="2902" w:val="left" w:leader="none"/>
                <w:tab w:pos="3645" w:val="left" w:leader="none"/>
              </w:tabs>
              <w:spacing w:before="2"/>
              <w:ind w:left="1419"/>
              <w:rPr>
                <w:b/>
                <w:position w:val="3"/>
                <w:sz w:val="7"/>
              </w:rPr>
            </w:pPr>
            <w:r>
              <w:rPr>
                <w:b/>
                <w:color w:val="FFFFFF"/>
                <w:spacing w:val="-5"/>
                <w:sz w:val="7"/>
              </w:rPr>
              <w:t>2.8</w:t>
            </w:r>
            <w:r>
              <w:rPr>
                <w:b/>
                <w:color w:val="FFFFFF"/>
                <w:sz w:val="7"/>
              </w:rPr>
              <w:tab/>
            </w:r>
            <w:r>
              <w:rPr>
                <w:b/>
                <w:color w:val="FFFFFF"/>
                <w:spacing w:val="-5"/>
                <w:sz w:val="7"/>
              </w:rPr>
              <w:t>2.9</w:t>
            </w:r>
            <w:r>
              <w:rPr>
                <w:b/>
                <w:color w:val="FFFFFF"/>
                <w:sz w:val="7"/>
              </w:rPr>
              <w:tab/>
            </w:r>
            <w:r>
              <w:rPr>
                <w:b/>
                <w:color w:val="FFFFFF"/>
                <w:spacing w:val="-5"/>
                <w:position w:val="4"/>
                <w:sz w:val="7"/>
              </w:rPr>
              <w:t>2.9</w:t>
            </w:r>
            <w:r>
              <w:rPr>
                <w:b/>
                <w:color w:val="FFFFFF"/>
                <w:position w:val="4"/>
                <w:sz w:val="7"/>
              </w:rPr>
              <w:tab/>
            </w:r>
            <w:r>
              <w:rPr>
                <w:b/>
                <w:color w:val="FFFFFF"/>
                <w:spacing w:val="-5"/>
                <w:position w:val="3"/>
                <w:sz w:val="7"/>
              </w:rPr>
              <w:t>3.1</w:t>
            </w:r>
          </w:p>
          <w:p>
            <w:pPr>
              <w:pStyle w:val="TableParagraph"/>
              <w:rPr>
                <w:sz w:val="7"/>
              </w:rPr>
            </w:pPr>
          </w:p>
          <w:p>
            <w:pPr>
              <w:pStyle w:val="TableParagraph"/>
              <w:rPr>
                <w:sz w:val="7"/>
              </w:rPr>
            </w:pPr>
          </w:p>
          <w:p>
            <w:pPr>
              <w:pStyle w:val="TableParagraph"/>
              <w:spacing w:before="13"/>
              <w:rPr>
                <w:sz w:val="7"/>
              </w:rPr>
            </w:pPr>
          </w:p>
          <w:p>
            <w:pPr>
              <w:pStyle w:val="TableParagraph"/>
              <w:spacing w:line="95" w:lineRule="exact"/>
              <w:ind w:left="170"/>
              <w:rPr>
                <w:b/>
                <w:sz w:val="9"/>
              </w:rPr>
            </w:pPr>
            <w:r>
              <w:rPr>
                <w:b/>
                <w:color w:val="252525"/>
                <w:spacing w:val="-5"/>
                <w:sz w:val="9"/>
              </w:rPr>
              <w:t>5.0</w:t>
            </w:r>
          </w:p>
          <w:p>
            <w:pPr>
              <w:pStyle w:val="TableParagraph"/>
              <w:spacing w:line="58" w:lineRule="exact"/>
              <w:ind w:left="677"/>
              <w:rPr>
                <w:b/>
                <w:sz w:val="7"/>
              </w:rPr>
            </w:pPr>
            <w:r>
              <w:rPr>
                <w:b/>
                <w:color w:val="FFFFFF"/>
                <w:spacing w:val="-5"/>
                <w:sz w:val="7"/>
              </w:rPr>
              <w:t>8.6</w:t>
            </w:r>
          </w:p>
          <w:p>
            <w:pPr>
              <w:pStyle w:val="TableParagraph"/>
              <w:tabs>
                <w:tab w:pos="2160" w:val="left" w:leader="none"/>
                <w:tab w:pos="2902" w:val="left" w:leader="none"/>
                <w:tab w:pos="3645" w:val="left" w:leader="none"/>
              </w:tabs>
              <w:spacing w:line="87" w:lineRule="exact"/>
              <w:ind w:left="1419"/>
              <w:rPr>
                <w:b/>
                <w:position w:val="1"/>
                <w:sz w:val="7"/>
              </w:rPr>
            </w:pPr>
            <w:r>
              <w:rPr>
                <w:b/>
                <w:color w:val="FFFFFF"/>
                <w:spacing w:val="-5"/>
                <w:sz w:val="7"/>
              </w:rPr>
              <w:t>7.2</w:t>
            </w:r>
            <w:r>
              <w:rPr>
                <w:b/>
                <w:color w:val="FFFFFF"/>
                <w:sz w:val="7"/>
              </w:rPr>
              <w:tab/>
            </w:r>
            <w:r>
              <w:rPr>
                <w:b/>
                <w:color w:val="FFFFFF"/>
                <w:spacing w:val="-5"/>
                <w:sz w:val="7"/>
              </w:rPr>
              <w:t>7.2</w:t>
            </w:r>
            <w:r>
              <w:rPr>
                <w:b/>
                <w:color w:val="FFFFFF"/>
                <w:sz w:val="7"/>
              </w:rPr>
              <w:tab/>
            </w:r>
            <w:r>
              <w:rPr>
                <w:b/>
                <w:color w:val="FFFFFF"/>
                <w:spacing w:val="-5"/>
                <w:position w:val="2"/>
                <w:sz w:val="7"/>
              </w:rPr>
              <w:t>7.5</w:t>
            </w:r>
            <w:r>
              <w:rPr>
                <w:b/>
                <w:color w:val="FFFFFF"/>
                <w:position w:val="2"/>
                <w:sz w:val="7"/>
              </w:rPr>
              <w:tab/>
            </w:r>
            <w:r>
              <w:rPr>
                <w:b/>
                <w:color w:val="FFFFFF"/>
                <w:spacing w:val="-5"/>
                <w:position w:val="1"/>
                <w:sz w:val="7"/>
              </w:rPr>
              <w:t>7.3</w:t>
            </w:r>
          </w:p>
          <w:p>
            <w:pPr>
              <w:pStyle w:val="TableParagraph"/>
              <w:rPr>
                <w:sz w:val="7"/>
              </w:rPr>
            </w:pPr>
          </w:p>
          <w:p>
            <w:pPr>
              <w:pStyle w:val="TableParagraph"/>
              <w:rPr>
                <w:sz w:val="7"/>
              </w:rPr>
            </w:pPr>
          </w:p>
          <w:p>
            <w:pPr>
              <w:pStyle w:val="TableParagraph"/>
              <w:spacing w:before="14"/>
              <w:rPr>
                <w:sz w:val="7"/>
              </w:rPr>
            </w:pPr>
          </w:p>
          <w:p>
            <w:pPr>
              <w:pStyle w:val="TableParagraph"/>
              <w:ind w:left="170"/>
              <w:rPr>
                <w:b/>
                <w:sz w:val="9"/>
              </w:rPr>
            </w:pPr>
            <w:r>
              <w:rPr>
                <w:b/>
                <w:color w:val="252525"/>
                <w:spacing w:val="-5"/>
                <w:sz w:val="9"/>
              </w:rPr>
              <w:t>0.0</w:t>
            </w:r>
          </w:p>
          <w:p>
            <w:pPr>
              <w:pStyle w:val="TableParagraph"/>
              <w:tabs>
                <w:tab w:pos="1378" w:val="left" w:leader="none"/>
                <w:tab w:pos="2120" w:val="left" w:leader="none"/>
                <w:tab w:pos="2861" w:val="left" w:leader="none"/>
                <w:tab w:pos="3603" w:val="left" w:leader="none"/>
              </w:tabs>
              <w:spacing w:before="3"/>
              <w:ind w:left="636"/>
              <w:rPr>
                <w:b/>
                <w:sz w:val="9"/>
              </w:rPr>
            </w:pPr>
            <w:r>
              <w:rPr>
                <w:b/>
                <w:color w:val="252525"/>
                <w:spacing w:val="-4"/>
                <w:sz w:val="9"/>
              </w:rPr>
              <w:t>2021</w:t>
            </w:r>
            <w:r>
              <w:rPr>
                <w:b/>
                <w:color w:val="252525"/>
                <w:sz w:val="9"/>
              </w:rPr>
              <w:tab/>
            </w:r>
            <w:r>
              <w:rPr>
                <w:b/>
                <w:color w:val="252525"/>
                <w:spacing w:val="-4"/>
                <w:sz w:val="9"/>
              </w:rPr>
              <w:t>2022</w:t>
            </w:r>
            <w:r>
              <w:rPr>
                <w:b/>
                <w:color w:val="252525"/>
                <w:sz w:val="9"/>
              </w:rPr>
              <w:tab/>
            </w:r>
            <w:r>
              <w:rPr>
                <w:b/>
                <w:color w:val="252525"/>
                <w:spacing w:val="-4"/>
                <w:sz w:val="9"/>
              </w:rPr>
              <w:t>2023</w:t>
            </w:r>
            <w:r>
              <w:rPr>
                <w:b/>
                <w:color w:val="252525"/>
                <w:sz w:val="9"/>
              </w:rPr>
              <w:tab/>
            </w:r>
            <w:r>
              <w:rPr>
                <w:b/>
                <w:color w:val="252525"/>
                <w:spacing w:val="-4"/>
                <w:sz w:val="9"/>
              </w:rPr>
              <w:t>2024</w:t>
            </w:r>
            <w:r>
              <w:rPr>
                <w:b/>
                <w:color w:val="252525"/>
                <w:sz w:val="9"/>
              </w:rPr>
              <w:tab/>
            </w:r>
            <w:r>
              <w:rPr>
                <w:b/>
                <w:color w:val="252525"/>
                <w:spacing w:val="-4"/>
                <w:sz w:val="9"/>
              </w:rPr>
              <w:t>2025</w:t>
            </w:r>
          </w:p>
        </w:tc>
        <w:tc>
          <w:tcPr>
            <w:tcW w:w="4197" w:type="dxa"/>
            <w:tcBorders>
              <w:left w:val="single" w:sz="24" w:space="0" w:color="FFFFFF"/>
            </w:tcBorders>
            <w:shd w:val="clear" w:color="auto" w:fill="D9D9D9"/>
          </w:tcPr>
          <w:p>
            <w:pPr>
              <w:pStyle w:val="TableParagraph"/>
              <w:spacing w:before="2"/>
              <w:rPr>
                <w:sz w:val="5"/>
              </w:rPr>
            </w:pPr>
          </w:p>
          <w:p>
            <w:pPr>
              <w:pStyle w:val="TableParagraph"/>
              <w:ind w:left="-2" w:right="-15"/>
              <w:rPr>
                <w:sz w:val="20"/>
              </w:rPr>
            </w:pPr>
            <w:r>
              <w:rPr>
                <w:sz w:val="20"/>
              </w:rPr>
              <w:drawing>
                <wp:inline distT="0" distB="0" distL="0" distR="0">
                  <wp:extent cx="2624171" cy="2505455"/>
                  <wp:effectExtent l="0" t="0" r="0" b="0"/>
                  <wp:docPr id="581" name="Image 581"/>
                  <wp:cNvGraphicFramePr>
                    <a:graphicFrameLocks/>
                  </wp:cNvGraphicFramePr>
                  <a:graphic>
                    <a:graphicData uri="http://schemas.openxmlformats.org/drawingml/2006/picture">
                      <pic:pic>
                        <pic:nvPicPr>
                          <pic:cNvPr id="581" name="Image 581"/>
                          <pic:cNvPicPr/>
                        </pic:nvPicPr>
                        <pic:blipFill>
                          <a:blip r:embed="rId105" cstate="print"/>
                          <a:stretch>
                            <a:fillRect/>
                          </a:stretch>
                        </pic:blipFill>
                        <pic:spPr>
                          <a:xfrm>
                            <a:off x="0" y="0"/>
                            <a:ext cx="2624171" cy="2505455"/>
                          </a:xfrm>
                          <a:prstGeom prst="rect">
                            <a:avLst/>
                          </a:prstGeom>
                        </pic:spPr>
                      </pic:pic>
                    </a:graphicData>
                  </a:graphic>
                </wp:inline>
              </w:drawing>
            </w:r>
            <w:r>
              <w:rPr>
                <w:sz w:val="20"/>
              </w:rPr>
            </w:r>
          </w:p>
        </w:tc>
      </w:tr>
      <w:tr>
        <w:trPr>
          <w:trHeight w:val="283" w:hRule="atLeast"/>
        </w:trPr>
        <w:tc>
          <w:tcPr>
            <w:tcW w:w="4196" w:type="dxa"/>
            <w:tcBorders>
              <w:right w:val="single" w:sz="24" w:space="0" w:color="FFFFFF"/>
            </w:tcBorders>
            <w:shd w:val="clear" w:color="auto" w:fill="D9D9D9"/>
          </w:tcPr>
          <w:p>
            <w:pPr>
              <w:pStyle w:val="TableParagraph"/>
              <w:spacing w:before="61"/>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c>
          <w:tcPr>
            <w:tcW w:w="4197" w:type="dxa"/>
            <w:tcBorders>
              <w:left w:val="single" w:sz="24" w:space="0" w:color="FFFFFF"/>
            </w:tcBorders>
            <w:shd w:val="clear" w:color="auto" w:fill="D9D9D9"/>
          </w:tcPr>
          <w:p>
            <w:pPr>
              <w:pStyle w:val="TableParagraph"/>
              <w:spacing w:before="61"/>
              <w:ind w:left="111"/>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BodyText"/>
        <w:spacing w:line="285" w:lineRule="auto" w:before="108"/>
        <w:ind w:left="172" w:right="954"/>
        <w:jc w:val="both"/>
      </w:pPr>
      <w:r>
        <w:rPr/>
        <w:t>Τα</w:t>
      </w:r>
      <w:r>
        <w:rPr>
          <w:spacing w:val="-1"/>
        </w:rPr>
        <w:t> </w:t>
      </w:r>
      <w:r>
        <w:rPr/>
        <w:t>ίδια κεφάλαια</w:t>
      </w:r>
      <w:r>
        <w:rPr>
          <w:spacing w:val="-1"/>
        </w:rPr>
        <w:t> </w:t>
      </w:r>
      <w:r>
        <w:rPr/>
        <w:t>των ασφαλιστικών επιχειρήσεων ανήλθαν σε 4,2 δισεκ. ευρώ,</w:t>
      </w:r>
      <w:r>
        <w:rPr>
          <w:spacing w:val="-1"/>
        </w:rPr>
        <w:t> </w:t>
      </w:r>
      <w:r>
        <w:rPr/>
        <w:t>αυξημένα</w:t>
      </w:r>
      <w:r>
        <w:rPr>
          <w:spacing w:val="-1"/>
        </w:rPr>
        <w:t> </w:t>
      </w:r>
      <w:r>
        <w:rPr/>
        <w:t>κατά 11%</w:t>
      </w:r>
      <w:r>
        <w:rPr>
          <w:spacing w:val="-3"/>
        </w:rPr>
        <w:t> </w:t>
      </w:r>
      <w:r>
        <w:rPr/>
        <w:t>σε</w:t>
      </w:r>
      <w:r>
        <w:rPr>
          <w:spacing w:val="-3"/>
        </w:rPr>
        <w:t> </w:t>
      </w:r>
      <w:r>
        <w:rPr/>
        <w:t>σύγκριση</w:t>
      </w:r>
      <w:r>
        <w:rPr>
          <w:spacing w:val="-3"/>
        </w:rPr>
        <w:t> </w:t>
      </w:r>
      <w:r>
        <w:rPr/>
        <w:t>με</w:t>
      </w:r>
      <w:r>
        <w:rPr>
          <w:spacing w:val="-2"/>
        </w:rPr>
        <w:t> </w:t>
      </w:r>
      <w:r>
        <w:rPr/>
        <w:t>τον</w:t>
      </w:r>
      <w:r>
        <w:rPr>
          <w:spacing w:val="-2"/>
        </w:rPr>
        <w:t> </w:t>
      </w:r>
      <w:r>
        <w:rPr/>
        <w:t>Δεκέμβριο</w:t>
      </w:r>
      <w:r>
        <w:rPr>
          <w:spacing w:val="-3"/>
        </w:rPr>
        <w:t> </w:t>
      </w:r>
      <w:r>
        <w:rPr/>
        <w:t>του</w:t>
      </w:r>
      <w:r>
        <w:rPr>
          <w:spacing w:val="-2"/>
        </w:rPr>
        <w:t> </w:t>
      </w:r>
      <w:r>
        <w:rPr/>
        <w:t>2024.</w:t>
      </w:r>
      <w:r>
        <w:rPr>
          <w:spacing w:val="-3"/>
        </w:rPr>
        <w:t> </w:t>
      </w:r>
      <w:r>
        <w:rPr/>
        <w:t>Η</w:t>
      </w:r>
      <w:r>
        <w:rPr>
          <w:spacing w:val="-3"/>
        </w:rPr>
        <w:t> </w:t>
      </w:r>
      <w:r>
        <w:rPr/>
        <w:t>συνολική</w:t>
      </w:r>
      <w:r>
        <w:rPr>
          <w:spacing w:val="-3"/>
        </w:rPr>
        <w:t> </w:t>
      </w:r>
      <w:r>
        <w:rPr/>
        <w:t>Κεφαλαιακή</w:t>
      </w:r>
      <w:r>
        <w:rPr>
          <w:spacing w:val="-3"/>
        </w:rPr>
        <w:t> </w:t>
      </w:r>
      <w:r>
        <w:rPr/>
        <w:t>Απαίτηση</w:t>
      </w:r>
      <w:r>
        <w:rPr>
          <w:spacing w:val="-3"/>
        </w:rPr>
        <w:t> </w:t>
      </w:r>
      <w:r>
        <w:rPr/>
        <w:t>Φερεγγυότη-τας (Solvency Capital Requirement – SCR)</w:t>
      </w:r>
      <w:hyperlink w:history="true" w:anchor="_bookmark118">
        <w:r>
          <w:rPr>
            <w:position w:val="6"/>
            <w:sz w:val="10"/>
          </w:rPr>
          <w:t>82</w:t>
        </w:r>
      </w:hyperlink>
      <w:r>
        <w:rPr>
          <w:spacing w:val="34"/>
          <w:position w:val="6"/>
          <w:sz w:val="10"/>
        </w:rPr>
        <w:t> </w:t>
      </w:r>
      <w:r>
        <w:rPr/>
        <w:t>ανήλθε σε 2,3 δισεκ. ευρώ, με συνολικά επιλέξιμα ίδια</w:t>
      </w:r>
      <w:r>
        <w:rPr>
          <w:spacing w:val="-3"/>
        </w:rPr>
        <w:t> </w:t>
      </w:r>
      <w:r>
        <w:rPr/>
        <w:t>κεφάλαια</w:t>
      </w:r>
      <w:r>
        <w:rPr>
          <w:spacing w:val="-3"/>
        </w:rPr>
        <w:t> </w:t>
      </w:r>
      <w:r>
        <w:rPr/>
        <w:t>3,9</w:t>
      </w:r>
      <w:r>
        <w:rPr>
          <w:spacing w:val="-6"/>
        </w:rPr>
        <w:t> </w:t>
      </w:r>
      <w:r>
        <w:rPr/>
        <w:t>δισεκ.</w:t>
      </w:r>
      <w:r>
        <w:rPr>
          <w:spacing w:val="-6"/>
        </w:rPr>
        <w:t> </w:t>
      </w:r>
      <w:r>
        <w:rPr/>
        <w:t>ευρώ.</w:t>
      </w:r>
      <w:r>
        <w:rPr>
          <w:spacing w:val="-3"/>
        </w:rPr>
        <w:t> </w:t>
      </w:r>
      <w:r>
        <w:rPr/>
        <w:t>Όσον</w:t>
      </w:r>
      <w:r>
        <w:rPr>
          <w:spacing w:val="-5"/>
        </w:rPr>
        <w:t> </w:t>
      </w:r>
      <w:r>
        <w:rPr/>
        <w:t>αφορά</w:t>
      </w:r>
      <w:r>
        <w:rPr>
          <w:spacing w:val="-3"/>
        </w:rPr>
        <w:t> </w:t>
      </w:r>
      <w:r>
        <w:rPr/>
        <w:t>την</w:t>
      </w:r>
      <w:r>
        <w:rPr>
          <w:spacing w:val="-2"/>
        </w:rPr>
        <w:t> </w:t>
      </w:r>
      <w:r>
        <w:rPr/>
        <w:t>ποιότητα</w:t>
      </w:r>
      <w:r>
        <w:rPr>
          <w:spacing w:val="-4"/>
        </w:rPr>
        <w:t> </w:t>
      </w:r>
      <w:r>
        <w:rPr/>
        <w:t>των</w:t>
      </w:r>
      <w:r>
        <w:rPr>
          <w:spacing w:val="-2"/>
        </w:rPr>
        <w:t> </w:t>
      </w:r>
      <w:r>
        <w:rPr/>
        <w:t>επιλέξιμων κεφαλαίων</w:t>
      </w:r>
      <w:r>
        <w:rPr>
          <w:spacing w:val="-2"/>
        </w:rPr>
        <w:t> </w:t>
      </w:r>
      <w:r>
        <w:rPr/>
        <w:t>της</w:t>
      </w:r>
      <w:r>
        <w:rPr>
          <w:spacing w:val="-5"/>
        </w:rPr>
        <w:t> </w:t>
      </w:r>
      <w:r>
        <w:rPr/>
        <w:t>ασφα-λιστικής αγοράς, αυτά ταξινομούνται στην υψηλότερη κατηγορία ποιότητας (Κατηγορία 1) σε ποσοστό</w:t>
      </w:r>
      <w:r>
        <w:rPr>
          <w:spacing w:val="-1"/>
        </w:rPr>
        <w:t> </w:t>
      </w:r>
      <w:r>
        <w:rPr/>
        <w:t>92%.</w:t>
      </w:r>
      <w:r>
        <w:rPr>
          <w:spacing w:val="-1"/>
        </w:rPr>
        <w:t> </w:t>
      </w:r>
      <w:r>
        <w:rPr/>
        <w:t>Παράλληλα,</w:t>
      </w:r>
      <w:r>
        <w:rPr>
          <w:spacing w:val="-3"/>
        </w:rPr>
        <w:t> </w:t>
      </w:r>
      <w:r>
        <w:rPr/>
        <w:t>όλες</w:t>
      </w:r>
      <w:r>
        <w:rPr>
          <w:spacing w:val="-2"/>
        </w:rPr>
        <w:t> </w:t>
      </w:r>
      <w:r>
        <w:rPr/>
        <w:t>οι</w:t>
      </w:r>
      <w:r>
        <w:rPr>
          <w:spacing w:val="-3"/>
        </w:rPr>
        <w:t> </w:t>
      </w:r>
      <w:r>
        <w:rPr/>
        <w:t>ασφαλιστικές</w:t>
      </w:r>
      <w:r>
        <w:rPr>
          <w:spacing w:val="-2"/>
        </w:rPr>
        <w:t> </w:t>
      </w:r>
      <w:r>
        <w:rPr/>
        <w:t>επιχειρήσεις</w:t>
      </w:r>
      <w:r>
        <w:rPr>
          <w:spacing w:val="-2"/>
        </w:rPr>
        <w:t> </w:t>
      </w:r>
      <w:r>
        <w:rPr/>
        <w:t>διαθέτουν</w:t>
      </w:r>
      <w:r>
        <w:rPr>
          <w:spacing w:val="-2"/>
        </w:rPr>
        <w:t> </w:t>
      </w:r>
      <w:r>
        <w:rPr/>
        <w:t>δείκτη</w:t>
      </w:r>
      <w:r>
        <w:rPr>
          <w:spacing w:val="-1"/>
        </w:rPr>
        <w:t> </w:t>
      </w:r>
      <w:r>
        <w:rPr/>
        <w:t>κάλυψης</w:t>
      </w:r>
      <w:r>
        <w:rPr>
          <w:spacing w:val="-2"/>
        </w:rPr>
        <w:t> </w:t>
      </w:r>
      <w:r>
        <w:rPr/>
        <w:t>κεφα-λαιακής</w:t>
      </w:r>
      <w:r>
        <w:rPr>
          <w:spacing w:val="-4"/>
        </w:rPr>
        <w:t> </w:t>
      </w:r>
      <w:r>
        <w:rPr/>
        <w:t>απαίτησης</w:t>
      </w:r>
      <w:r>
        <w:rPr>
          <w:spacing w:val="-4"/>
        </w:rPr>
        <w:t> </w:t>
      </w:r>
      <w:r>
        <w:rPr/>
        <w:t>φερεγγυότητας</w:t>
      </w:r>
      <w:r>
        <w:rPr>
          <w:spacing w:val="-6"/>
        </w:rPr>
        <w:t> </w:t>
      </w:r>
      <w:r>
        <w:rPr/>
        <w:t>(SCR</w:t>
      </w:r>
      <w:r>
        <w:rPr>
          <w:spacing w:val="-3"/>
        </w:rPr>
        <w:t> </w:t>
      </w:r>
      <w:r>
        <w:rPr/>
        <w:t>ratio)</w:t>
      </w:r>
      <w:r>
        <w:rPr>
          <w:spacing w:val="-4"/>
        </w:rPr>
        <w:t> </w:t>
      </w:r>
      <w:r>
        <w:rPr/>
        <w:t>σε</w:t>
      </w:r>
      <w:r>
        <w:rPr>
          <w:spacing w:val="-2"/>
        </w:rPr>
        <w:t> </w:t>
      </w:r>
      <w:r>
        <w:rPr/>
        <w:t>επίπεδο</w:t>
      </w:r>
      <w:r>
        <w:rPr>
          <w:spacing w:val="-2"/>
        </w:rPr>
        <w:t> </w:t>
      </w:r>
      <w:r>
        <w:rPr/>
        <w:t>σημαντικά</w:t>
      </w:r>
      <w:r>
        <w:rPr>
          <w:spacing w:val="-5"/>
        </w:rPr>
        <w:t> </w:t>
      </w:r>
      <w:r>
        <w:rPr/>
        <w:t>υψηλότερο</w:t>
      </w:r>
      <w:r>
        <w:rPr>
          <w:spacing w:val="-5"/>
        </w:rPr>
        <w:t> </w:t>
      </w:r>
      <w:r>
        <w:rPr/>
        <w:t>του</w:t>
      </w:r>
      <w:r>
        <w:rPr>
          <w:spacing w:val="-4"/>
        </w:rPr>
        <w:t> </w:t>
      </w:r>
      <w:r>
        <w:rPr/>
        <w:t>100%</w:t>
      </w:r>
      <w:r>
        <w:rPr>
          <w:spacing w:val="-2"/>
        </w:rPr>
        <w:t> </w:t>
      </w:r>
      <w:r>
        <w:rPr/>
        <w:t>(βλ. Πίνακα V.3 και Διάγραμμα V.5). Η Ελάχιστη Κεφαλαιακή Απαίτηση (Minimum Capital Requirement</w:t>
      </w:r>
      <w:r>
        <w:rPr>
          <w:spacing w:val="-3"/>
        </w:rPr>
        <w:t> </w:t>
      </w:r>
      <w:r>
        <w:rPr/>
        <w:t>–</w:t>
      </w:r>
      <w:r>
        <w:rPr>
          <w:spacing w:val="-5"/>
        </w:rPr>
        <w:t> </w:t>
      </w:r>
      <w:r>
        <w:rPr/>
        <w:t>MCR)</w:t>
      </w:r>
      <w:hyperlink w:history="true" w:anchor="_bookmark119">
        <w:r>
          <w:rPr>
            <w:position w:val="6"/>
            <w:sz w:val="10"/>
          </w:rPr>
          <w:t>83</w:t>
        </w:r>
      </w:hyperlink>
      <w:r>
        <w:rPr>
          <w:spacing w:val="25"/>
          <w:position w:val="6"/>
          <w:sz w:val="10"/>
        </w:rPr>
        <w:t> </w:t>
      </w:r>
      <w:r>
        <w:rPr/>
        <w:t>στο</w:t>
      </w:r>
      <w:r>
        <w:rPr>
          <w:spacing w:val="-7"/>
        </w:rPr>
        <w:t> </w:t>
      </w:r>
      <w:r>
        <w:rPr/>
        <w:t>σύνολο</w:t>
      </w:r>
      <w:r>
        <w:rPr>
          <w:spacing w:val="-5"/>
        </w:rPr>
        <w:t> </w:t>
      </w:r>
      <w:r>
        <w:rPr/>
        <w:t>της</w:t>
      </w:r>
      <w:r>
        <w:rPr>
          <w:spacing w:val="-6"/>
        </w:rPr>
        <w:t> </w:t>
      </w:r>
      <w:r>
        <w:rPr/>
        <w:t>ασφαλιστικής</w:t>
      </w:r>
      <w:r>
        <w:rPr>
          <w:spacing w:val="-6"/>
        </w:rPr>
        <w:t> </w:t>
      </w:r>
      <w:r>
        <w:rPr/>
        <w:t>αγοράς</w:t>
      </w:r>
      <w:r>
        <w:rPr>
          <w:spacing w:val="-6"/>
        </w:rPr>
        <w:t> </w:t>
      </w:r>
      <w:r>
        <w:rPr/>
        <w:t>διαμορφώθηκε</w:t>
      </w:r>
      <w:r>
        <w:rPr>
          <w:spacing w:val="-4"/>
        </w:rPr>
        <w:t> </w:t>
      </w:r>
      <w:r>
        <w:rPr/>
        <w:t>σε</w:t>
      </w:r>
      <w:r>
        <w:rPr>
          <w:spacing w:val="-4"/>
        </w:rPr>
        <w:t> </w:t>
      </w:r>
      <w:r>
        <w:rPr/>
        <w:t>0,8</w:t>
      </w:r>
      <w:r>
        <w:rPr>
          <w:spacing w:val="-7"/>
        </w:rPr>
        <w:t> </w:t>
      </w:r>
      <w:r>
        <w:rPr/>
        <w:t>δισεκ.</w:t>
      </w:r>
      <w:r>
        <w:rPr>
          <w:spacing w:val="-7"/>
        </w:rPr>
        <w:t> </w:t>
      </w:r>
      <w:r>
        <w:rPr/>
        <w:t>ευρώ, με</w:t>
      </w:r>
      <w:r>
        <w:rPr>
          <w:spacing w:val="-14"/>
        </w:rPr>
        <w:t> </w:t>
      </w:r>
      <w:r>
        <w:rPr/>
        <w:t>τα</w:t>
      </w:r>
      <w:r>
        <w:rPr>
          <w:spacing w:val="-14"/>
        </w:rPr>
        <w:t> </w:t>
      </w:r>
      <w:r>
        <w:rPr/>
        <w:t>αντίστοιχα</w:t>
      </w:r>
      <w:r>
        <w:rPr>
          <w:spacing w:val="-14"/>
        </w:rPr>
        <w:t> </w:t>
      </w:r>
      <w:r>
        <w:rPr/>
        <w:t>συνολικά</w:t>
      </w:r>
      <w:r>
        <w:rPr>
          <w:spacing w:val="-13"/>
        </w:rPr>
        <w:t> </w:t>
      </w:r>
      <w:r>
        <w:rPr/>
        <w:t>επιλέξιμα</w:t>
      </w:r>
      <w:r>
        <w:rPr>
          <w:spacing w:val="-14"/>
        </w:rPr>
        <w:t> </w:t>
      </w:r>
      <w:r>
        <w:rPr/>
        <w:t>ίδια</w:t>
      </w:r>
      <w:r>
        <w:rPr>
          <w:spacing w:val="-14"/>
        </w:rPr>
        <w:t> </w:t>
      </w:r>
      <w:r>
        <w:rPr/>
        <w:t>κεφάλαια</w:t>
      </w:r>
      <w:r>
        <w:rPr>
          <w:spacing w:val="-14"/>
        </w:rPr>
        <w:t> </w:t>
      </w:r>
      <w:r>
        <w:rPr/>
        <w:t>να</w:t>
      </w:r>
      <w:r>
        <w:rPr>
          <w:spacing w:val="-13"/>
        </w:rPr>
        <w:t> </w:t>
      </w:r>
      <w:r>
        <w:rPr/>
        <w:t>ανέρχονται</w:t>
      </w:r>
      <w:r>
        <w:rPr>
          <w:spacing w:val="-14"/>
        </w:rPr>
        <w:t> </w:t>
      </w:r>
      <w:r>
        <w:rPr/>
        <w:t>σε</w:t>
      </w:r>
      <w:r>
        <w:rPr>
          <w:spacing w:val="-14"/>
        </w:rPr>
        <w:t> </w:t>
      </w:r>
      <w:r>
        <w:rPr/>
        <w:t>3,7</w:t>
      </w:r>
      <w:r>
        <w:rPr>
          <w:spacing w:val="-14"/>
        </w:rPr>
        <w:t> </w:t>
      </w:r>
      <w:r>
        <w:rPr/>
        <w:t>δισεκ.</w:t>
      </w:r>
      <w:r>
        <w:rPr>
          <w:spacing w:val="-13"/>
        </w:rPr>
        <w:t> </w:t>
      </w:r>
      <w:r>
        <w:rPr/>
        <w:t>ευρώ</w:t>
      </w:r>
      <w:r>
        <w:rPr>
          <w:spacing w:val="-14"/>
        </w:rPr>
        <w:t> </w:t>
      </w:r>
      <w:r>
        <w:rPr/>
        <w:t>(βλ.</w:t>
      </w:r>
      <w:r>
        <w:rPr>
          <w:spacing w:val="-14"/>
        </w:rPr>
        <w:t> </w:t>
      </w:r>
      <w:r>
        <w:rPr/>
        <w:t>Πίνακα V.3 και Διάγραμμα V.6).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4"/>
        <w:rPr>
          <w:sz w:val="20"/>
        </w:rPr>
      </w:pPr>
      <w:r>
        <w:rPr>
          <w:sz w:val="20"/>
        </w:rPr>
        <mc:AlternateContent>
          <mc:Choice Requires="wps">
            <w:drawing>
              <wp:anchor distT="0" distB="0" distL="0" distR="0" allowOverlap="1" layoutInCell="1" locked="0" behindDoc="1" simplePos="0" relativeHeight="487644160">
                <wp:simplePos x="0" y="0"/>
                <wp:positionH relativeFrom="page">
                  <wp:posOffset>1009192</wp:posOffset>
                </wp:positionH>
                <wp:positionV relativeFrom="paragraph">
                  <wp:posOffset>189843</wp:posOffset>
                </wp:positionV>
                <wp:extent cx="1829435" cy="7620"/>
                <wp:effectExtent l="0" t="0" r="0" b="0"/>
                <wp:wrapTopAndBottom/>
                <wp:docPr id="582" name="Graphic 582"/>
                <wp:cNvGraphicFramePr>
                  <a:graphicFrameLocks/>
                </wp:cNvGraphicFramePr>
                <a:graphic>
                  <a:graphicData uri="http://schemas.microsoft.com/office/word/2010/wordprocessingShape">
                    <wps:wsp>
                      <wps:cNvPr id="582" name="Graphic 58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4.948277pt;width:144.020pt;height:.599980pt;mso-position-horizontal-relative:page;mso-position-vertical-relative:paragraph;z-index:-15672320;mso-wrap-distance-left:0;mso-wrap-distance-right:0" id="docshape550" filled="true" fillcolor="#000000" stroked="false">
                <v:fill type="solid"/>
                <w10:wrap type="topAndBottom"/>
              </v:rect>
            </w:pict>
          </mc:Fallback>
        </mc:AlternateContent>
      </w:r>
    </w:p>
    <w:p>
      <w:pPr>
        <w:spacing w:before="167"/>
        <w:ind w:left="172" w:right="957" w:firstLine="0"/>
        <w:jc w:val="both"/>
        <w:rPr>
          <w:sz w:val="16"/>
        </w:rPr>
      </w:pPr>
      <w:bookmarkStart w:name="_bookmark118" w:id="119"/>
      <w:bookmarkEnd w:id="119"/>
      <w:r>
        <w:rPr/>
      </w:r>
      <w:r>
        <w:rPr>
          <w:sz w:val="16"/>
          <w:vertAlign w:val="superscript"/>
        </w:rPr>
        <w:t>82</w:t>
      </w:r>
      <w:r>
        <w:rPr>
          <w:sz w:val="16"/>
          <w:vertAlign w:val="baseline"/>
        </w:rPr>
        <w:t> Η Κεφαλαιακή Απαίτηση Φερεγγυότητας (Solvency Capital Requirement) αποτυπώνει τα κεφάλαια που πρέπει να διαθέτει μια</w:t>
      </w:r>
      <w:r>
        <w:rPr>
          <w:spacing w:val="40"/>
          <w:sz w:val="16"/>
          <w:vertAlign w:val="baseline"/>
        </w:rPr>
        <w:t> </w:t>
      </w:r>
      <w:r>
        <w:rPr>
          <w:sz w:val="16"/>
          <w:vertAlign w:val="baseline"/>
        </w:rPr>
        <w:t>ασφαλιστική επιχείρηση προκειμένου να έχει τη δυνατότητα να απορροφά ζημίες σε επίπεδο εμπιστοσύνης 99,5% και με ορίζοντα</w:t>
      </w:r>
      <w:r>
        <w:rPr>
          <w:spacing w:val="40"/>
          <w:sz w:val="16"/>
          <w:vertAlign w:val="baseline"/>
        </w:rPr>
        <w:t> </w:t>
      </w:r>
      <w:r>
        <w:rPr>
          <w:sz w:val="16"/>
          <w:vertAlign w:val="baseline"/>
        </w:rPr>
        <w:t>ενός έτους.</w:t>
      </w:r>
    </w:p>
    <w:p>
      <w:pPr>
        <w:spacing w:before="19"/>
        <w:ind w:left="172" w:right="956" w:firstLine="0"/>
        <w:jc w:val="both"/>
        <w:rPr>
          <w:sz w:val="16"/>
        </w:rPr>
      </w:pPr>
      <w:bookmarkStart w:name="_bookmark119" w:id="120"/>
      <w:bookmarkEnd w:id="120"/>
      <w:r>
        <w:rPr/>
      </w:r>
      <w:r>
        <w:rPr>
          <w:sz w:val="16"/>
          <w:vertAlign w:val="superscript"/>
        </w:rPr>
        <w:t>83</w:t>
      </w:r>
      <w:r>
        <w:rPr>
          <w:spacing w:val="-4"/>
          <w:sz w:val="16"/>
          <w:vertAlign w:val="baseline"/>
        </w:rPr>
        <w:t> </w:t>
      </w:r>
      <w:r>
        <w:rPr>
          <w:sz w:val="16"/>
          <w:vertAlign w:val="baseline"/>
        </w:rPr>
        <w:t>Η</w:t>
      </w:r>
      <w:r>
        <w:rPr>
          <w:spacing w:val="-5"/>
          <w:sz w:val="16"/>
          <w:vertAlign w:val="baseline"/>
        </w:rPr>
        <w:t> </w:t>
      </w:r>
      <w:r>
        <w:rPr>
          <w:sz w:val="16"/>
          <w:vertAlign w:val="baseline"/>
        </w:rPr>
        <w:t>Ελάχιστη</w:t>
      </w:r>
      <w:r>
        <w:rPr>
          <w:spacing w:val="-7"/>
          <w:sz w:val="16"/>
          <w:vertAlign w:val="baseline"/>
        </w:rPr>
        <w:t> </w:t>
      </w:r>
      <w:r>
        <w:rPr>
          <w:sz w:val="16"/>
          <w:vertAlign w:val="baseline"/>
        </w:rPr>
        <w:t>Κεφαλαιακή</w:t>
      </w:r>
      <w:r>
        <w:rPr>
          <w:spacing w:val="-4"/>
          <w:sz w:val="16"/>
          <w:vertAlign w:val="baseline"/>
        </w:rPr>
        <w:t> </w:t>
      </w:r>
      <w:r>
        <w:rPr>
          <w:sz w:val="16"/>
          <w:vertAlign w:val="baseline"/>
        </w:rPr>
        <w:t>Απαίτηση</w:t>
      </w:r>
      <w:r>
        <w:rPr>
          <w:spacing w:val="-4"/>
          <w:sz w:val="16"/>
          <w:vertAlign w:val="baseline"/>
        </w:rPr>
        <w:t> </w:t>
      </w:r>
      <w:r>
        <w:rPr>
          <w:sz w:val="16"/>
          <w:vertAlign w:val="baseline"/>
        </w:rPr>
        <w:t>(Minimum</w:t>
      </w:r>
      <w:r>
        <w:rPr>
          <w:spacing w:val="-6"/>
          <w:sz w:val="16"/>
          <w:vertAlign w:val="baseline"/>
        </w:rPr>
        <w:t> </w:t>
      </w:r>
      <w:r>
        <w:rPr>
          <w:sz w:val="16"/>
          <w:vertAlign w:val="baseline"/>
        </w:rPr>
        <w:t>Capital</w:t>
      </w:r>
      <w:r>
        <w:rPr>
          <w:spacing w:val="-5"/>
          <w:sz w:val="16"/>
          <w:vertAlign w:val="baseline"/>
        </w:rPr>
        <w:t> </w:t>
      </w:r>
      <w:r>
        <w:rPr>
          <w:sz w:val="16"/>
          <w:vertAlign w:val="baseline"/>
        </w:rPr>
        <w:t>Requirement)</w:t>
      </w:r>
      <w:r>
        <w:rPr>
          <w:spacing w:val="-5"/>
          <w:sz w:val="16"/>
          <w:vertAlign w:val="baseline"/>
        </w:rPr>
        <w:t> </w:t>
      </w:r>
      <w:r>
        <w:rPr>
          <w:sz w:val="16"/>
          <w:vertAlign w:val="baseline"/>
        </w:rPr>
        <w:t>αποτυπώνει</w:t>
      </w:r>
      <w:r>
        <w:rPr>
          <w:spacing w:val="-4"/>
          <w:sz w:val="16"/>
          <w:vertAlign w:val="baseline"/>
        </w:rPr>
        <w:t> </w:t>
      </w:r>
      <w:r>
        <w:rPr>
          <w:sz w:val="16"/>
          <w:vertAlign w:val="baseline"/>
        </w:rPr>
        <w:t>τα</w:t>
      </w:r>
      <w:r>
        <w:rPr>
          <w:spacing w:val="-4"/>
          <w:sz w:val="16"/>
          <w:vertAlign w:val="baseline"/>
        </w:rPr>
        <w:t> </w:t>
      </w:r>
      <w:r>
        <w:rPr>
          <w:sz w:val="16"/>
          <w:vertAlign w:val="baseline"/>
        </w:rPr>
        <w:t>κεφάλαια</w:t>
      </w:r>
      <w:r>
        <w:rPr>
          <w:spacing w:val="-5"/>
          <w:sz w:val="16"/>
          <w:vertAlign w:val="baseline"/>
        </w:rPr>
        <w:t> </w:t>
      </w:r>
      <w:r>
        <w:rPr>
          <w:sz w:val="16"/>
          <w:vertAlign w:val="baseline"/>
        </w:rPr>
        <w:t>που</w:t>
      </w:r>
      <w:r>
        <w:rPr>
          <w:spacing w:val="-5"/>
          <w:sz w:val="16"/>
          <w:vertAlign w:val="baseline"/>
        </w:rPr>
        <w:t> </w:t>
      </w:r>
      <w:r>
        <w:rPr>
          <w:sz w:val="16"/>
          <w:vertAlign w:val="baseline"/>
        </w:rPr>
        <w:t>πρέπει</w:t>
      </w:r>
      <w:r>
        <w:rPr>
          <w:spacing w:val="-4"/>
          <w:sz w:val="16"/>
          <w:vertAlign w:val="baseline"/>
        </w:rPr>
        <w:t> </w:t>
      </w:r>
      <w:r>
        <w:rPr>
          <w:sz w:val="16"/>
          <w:vertAlign w:val="baseline"/>
        </w:rPr>
        <w:t>να</w:t>
      </w:r>
      <w:r>
        <w:rPr>
          <w:spacing w:val="-4"/>
          <w:sz w:val="16"/>
          <w:vertAlign w:val="baseline"/>
        </w:rPr>
        <w:t> </w:t>
      </w:r>
      <w:r>
        <w:rPr>
          <w:sz w:val="16"/>
          <w:vertAlign w:val="baseline"/>
        </w:rPr>
        <w:t>διαθέτει</w:t>
      </w:r>
      <w:r>
        <w:rPr>
          <w:spacing w:val="-4"/>
          <w:sz w:val="16"/>
          <w:vertAlign w:val="baseline"/>
        </w:rPr>
        <w:t> </w:t>
      </w:r>
      <w:r>
        <w:rPr>
          <w:sz w:val="16"/>
          <w:vertAlign w:val="baseline"/>
        </w:rPr>
        <w:t>μια</w:t>
      </w:r>
      <w:r>
        <w:rPr>
          <w:spacing w:val="-4"/>
          <w:sz w:val="16"/>
          <w:vertAlign w:val="baseline"/>
        </w:rPr>
        <w:t> </w:t>
      </w:r>
      <w:r>
        <w:rPr>
          <w:sz w:val="16"/>
          <w:vertAlign w:val="baseline"/>
        </w:rPr>
        <w:t>ασφαλι-στική</w:t>
      </w:r>
      <w:r>
        <w:rPr>
          <w:spacing w:val="-3"/>
          <w:sz w:val="16"/>
          <w:vertAlign w:val="baseline"/>
        </w:rPr>
        <w:t> </w:t>
      </w:r>
      <w:r>
        <w:rPr>
          <w:sz w:val="16"/>
          <w:vertAlign w:val="baseline"/>
        </w:rPr>
        <w:t>επιχείρηση</w:t>
      </w:r>
      <w:r>
        <w:rPr>
          <w:spacing w:val="-4"/>
          <w:sz w:val="16"/>
          <w:vertAlign w:val="baseline"/>
        </w:rPr>
        <w:t> </w:t>
      </w:r>
      <w:r>
        <w:rPr>
          <w:sz w:val="16"/>
          <w:vertAlign w:val="baseline"/>
        </w:rPr>
        <w:t>προκειμένου</w:t>
      </w:r>
      <w:r>
        <w:rPr>
          <w:spacing w:val="-4"/>
          <w:sz w:val="16"/>
          <w:vertAlign w:val="baseline"/>
        </w:rPr>
        <w:t> </w:t>
      </w:r>
      <w:r>
        <w:rPr>
          <w:sz w:val="16"/>
          <w:vertAlign w:val="baseline"/>
        </w:rPr>
        <w:t>να</w:t>
      </w:r>
      <w:r>
        <w:rPr>
          <w:spacing w:val="-3"/>
          <w:sz w:val="16"/>
          <w:vertAlign w:val="baseline"/>
        </w:rPr>
        <w:t> </w:t>
      </w:r>
      <w:r>
        <w:rPr>
          <w:sz w:val="16"/>
          <w:vertAlign w:val="baseline"/>
        </w:rPr>
        <w:t>έχει</w:t>
      </w:r>
      <w:r>
        <w:rPr>
          <w:spacing w:val="-6"/>
          <w:sz w:val="16"/>
          <w:vertAlign w:val="baseline"/>
        </w:rPr>
        <w:t> </w:t>
      </w:r>
      <w:r>
        <w:rPr>
          <w:sz w:val="16"/>
          <w:vertAlign w:val="baseline"/>
        </w:rPr>
        <w:t>τη</w:t>
      </w:r>
      <w:r>
        <w:rPr>
          <w:spacing w:val="-3"/>
          <w:sz w:val="16"/>
          <w:vertAlign w:val="baseline"/>
        </w:rPr>
        <w:t> </w:t>
      </w:r>
      <w:r>
        <w:rPr>
          <w:sz w:val="16"/>
          <w:vertAlign w:val="baseline"/>
        </w:rPr>
        <w:t>δυνατότητα</w:t>
      </w:r>
      <w:r>
        <w:rPr>
          <w:spacing w:val="-3"/>
          <w:sz w:val="16"/>
          <w:vertAlign w:val="baseline"/>
        </w:rPr>
        <w:t> </w:t>
      </w:r>
      <w:r>
        <w:rPr>
          <w:sz w:val="16"/>
          <w:vertAlign w:val="baseline"/>
        </w:rPr>
        <w:t>να</w:t>
      </w:r>
      <w:r>
        <w:rPr>
          <w:spacing w:val="-3"/>
          <w:sz w:val="16"/>
          <w:vertAlign w:val="baseline"/>
        </w:rPr>
        <w:t> </w:t>
      </w:r>
      <w:r>
        <w:rPr>
          <w:sz w:val="16"/>
          <w:vertAlign w:val="baseline"/>
        </w:rPr>
        <w:t>απορροφά</w:t>
      </w:r>
      <w:r>
        <w:rPr>
          <w:spacing w:val="-3"/>
          <w:sz w:val="16"/>
          <w:vertAlign w:val="baseline"/>
        </w:rPr>
        <w:t> </w:t>
      </w:r>
      <w:r>
        <w:rPr>
          <w:sz w:val="16"/>
          <w:vertAlign w:val="baseline"/>
        </w:rPr>
        <w:t>ζημίες</w:t>
      </w:r>
      <w:r>
        <w:rPr>
          <w:spacing w:val="-2"/>
          <w:sz w:val="16"/>
          <w:vertAlign w:val="baseline"/>
        </w:rPr>
        <w:t> </w:t>
      </w:r>
      <w:r>
        <w:rPr>
          <w:sz w:val="16"/>
          <w:vertAlign w:val="baseline"/>
        </w:rPr>
        <w:t>σε</w:t>
      </w:r>
      <w:r>
        <w:rPr>
          <w:spacing w:val="-3"/>
          <w:sz w:val="16"/>
          <w:vertAlign w:val="baseline"/>
        </w:rPr>
        <w:t> </w:t>
      </w:r>
      <w:r>
        <w:rPr>
          <w:sz w:val="16"/>
          <w:vertAlign w:val="baseline"/>
        </w:rPr>
        <w:t>επίπεδο</w:t>
      </w:r>
      <w:r>
        <w:rPr>
          <w:spacing w:val="-2"/>
          <w:sz w:val="16"/>
          <w:vertAlign w:val="baseline"/>
        </w:rPr>
        <w:t> </w:t>
      </w:r>
      <w:r>
        <w:rPr>
          <w:sz w:val="16"/>
          <w:vertAlign w:val="baseline"/>
        </w:rPr>
        <w:t>εμπιστοσύνης</w:t>
      </w:r>
      <w:r>
        <w:rPr>
          <w:spacing w:val="-5"/>
          <w:sz w:val="16"/>
          <w:vertAlign w:val="baseline"/>
        </w:rPr>
        <w:t> </w:t>
      </w:r>
      <w:r>
        <w:rPr>
          <w:sz w:val="16"/>
          <w:vertAlign w:val="baseline"/>
        </w:rPr>
        <w:t>85%</w:t>
      </w:r>
      <w:r>
        <w:rPr>
          <w:spacing w:val="-3"/>
          <w:sz w:val="16"/>
          <w:vertAlign w:val="baseline"/>
        </w:rPr>
        <w:t> </w:t>
      </w:r>
      <w:r>
        <w:rPr>
          <w:sz w:val="16"/>
          <w:vertAlign w:val="baseline"/>
        </w:rPr>
        <w:t>και</w:t>
      </w:r>
      <w:r>
        <w:rPr>
          <w:spacing w:val="-3"/>
          <w:sz w:val="16"/>
          <w:vertAlign w:val="baseline"/>
        </w:rPr>
        <w:t> </w:t>
      </w:r>
      <w:r>
        <w:rPr>
          <w:sz w:val="16"/>
          <w:vertAlign w:val="baseline"/>
        </w:rPr>
        <w:t>με</w:t>
      </w:r>
      <w:r>
        <w:rPr>
          <w:spacing w:val="-6"/>
          <w:sz w:val="16"/>
          <w:vertAlign w:val="baseline"/>
        </w:rPr>
        <w:t> </w:t>
      </w:r>
      <w:r>
        <w:rPr>
          <w:sz w:val="16"/>
          <w:vertAlign w:val="baseline"/>
        </w:rPr>
        <w:t>ορίζοντα</w:t>
      </w:r>
      <w:r>
        <w:rPr>
          <w:spacing w:val="-3"/>
          <w:sz w:val="16"/>
          <w:vertAlign w:val="baseline"/>
        </w:rPr>
        <w:t> </w:t>
      </w:r>
      <w:r>
        <w:rPr>
          <w:sz w:val="16"/>
          <w:vertAlign w:val="baseline"/>
        </w:rPr>
        <w:t>ενός</w:t>
      </w:r>
      <w:r>
        <w:rPr>
          <w:spacing w:val="-2"/>
          <w:sz w:val="16"/>
          <w:vertAlign w:val="baseline"/>
        </w:rPr>
        <w:t> </w:t>
      </w:r>
      <w:r>
        <w:rPr>
          <w:sz w:val="16"/>
          <w:vertAlign w:val="baseline"/>
        </w:rPr>
        <w:t>έτους</w:t>
      </w:r>
      <w:r>
        <w:rPr>
          <w:spacing w:val="40"/>
          <w:sz w:val="16"/>
          <w:vertAlign w:val="baseline"/>
        </w:rPr>
        <w:t> </w:t>
      </w:r>
      <w:r>
        <w:rPr>
          <w:sz w:val="16"/>
          <w:vertAlign w:val="baseline"/>
        </w:rPr>
        <w:t>και</w:t>
      </w:r>
      <w:r>
        <w:rPr>
          <w:spacing w:val="-2"/>
          <w:sz w:val="16"/>
          <w:vertAlign w:val="baseline"/>
        </w:rPr>
        <w:t> </w:t>
      </w:r>
      <w:r>
        <w:rPr>
          <w:sz w:val="16"/>
          <w:vertAlign w:val="baseline"/>
        </w:rPr>
        <w:t>αντιπροσωπεύει</w:t>
      </w:r>
      <w:r>
        <w:rPr>
          <w:spacing w:val="-4"/>
          <w:sz w:val="16"/>
          <w:vertAlign w:val="baseline"/>
        </w:rPr>
        <w:t> </w:t>
      </w:r>
      <w:r>
        <w:rPr>
          <w:sz w:val="16"/>
          <w:vertAlign w:val="baseline"/>
        </w:rPr>
        <w:t>ένα</w:t>
      </w:r>
      <w:r>
        <w:rPr>
          <w:spacing w:val="-2"/>
          <w:sz w:val="16"/>
          <w:vertAlign w:val="baseline"/>
        </w:rPr>
        <w:t> </w:t>
      </w:r>
      <w:r>
        <w:rPr>
          <w:sz w:val="16"/>
          <w:vertAlign w:val="baseline"/>
        </w:rPr>
        <w:t>επίπεδο</w:t>
      </w:r>
      <w:r>
        <w:rPr>
          <w:spacing w:val="-3"/>
          <w:sz w:val="16"/>
          <w:vertAlign w:val="baseline"/>
        </w:rPr>
        <w:t> </w:t>
      </w:r>
      <w:r>
        <w:rPr>
          <w:sz w:val="16"/>
          <w:vertAlign w:val="baseline"/>
        </w:rPr>
        <w:t>κεφαλαίου</w:t>
      </w:r>
      <w:r>
        <w:rPr>
          <w:spacing w:val="-7"/>
          <w:sz w:val="16"/>
          <w:vertAlign w:val="baseline"/>
        </w:rPr>
        <w:t> </w:t>
      </w:r>
      <w:r>
        <w:rPr>
          <w:sz w:val="16"/>
          <w:vertAlign w:val="baseline"/>
        </w:rPr>
        <w:t>κάτω</w:t>
      </w:r>
      <w:r>
        <w:rPr>
          <w:spacing w:val="-5"/>
          <w:sz w:val="16"/>
          <w:vertAlign w:val="baseline"/>
        </w:rPr>
        <w:t> </w:t>
      </w:r>
      <w:r>
        <w:rPr>
          <w:sz w:val="16"/>
          <w:vertAlign w:val="baseline"/>
        </w:rPr>
        <w:t>από</w:t>
      </w:r>
      <w:r>
        <w:rPr>
          <w:spacing w:val="-3"/>
          <w:sz w:val="16"/>
          <w:vertAlign w:val="baseline"/>
        </w:rPr>
        <w:t> </w:t>
      </w:r>
      <w:r>
        <w:rPr>
          <w:sz w:val="16"/>
          <w:vertAlign w:val="baseline"/>
        </w:rPr>
        <w:t>το</w:t>
      </w:r>
      <w:r>
        <w:rPr>
          <w:spacing w:val="-5"/>
          <w:sz w:val="16"/>
          <w:vertAlign w:val="baseline"/>
        </w:rPr>
        <w:t> </w:t>
      </w:r>
      <w:r>
        <w:rPr>
          <w:sz w:val="16"/>
          <w:vertAlign w:val="baseline"/>
        </w:rPr>
        <w:t>οποίο</w:t>
      </w:r>
      <w:r>
        <w:rPr>
          <w:spacing w:val="-1"/>
          <w:sz w:val="16"/>
          <w:vertAlign w:val="baseline"/>
        </w:rPr>
        <w:t> </w:t>
      </w:r>
      <w:r>
        <w:rPr>
          <w:sz w:val="16"/>
          <w:vertAlign w:val="baseline"/>
        </w:rPr>
        <w:t>τα</w:t>
      </w:r>
      <w:r>
        <w:rPr>
          <w:spacing w:val="-2"/>
          <w:sz w:val="16"/>
          <w:vertAlign w:val="baseline"/>
        </w:rPr>
        <w:t> </w:t>
      </w:r>
      <w:r>
        <w:rPr>
          <w:sz w:val="16"/>
          <w:vertAlign w:val="baseline"/>
        </w:rPr>
        <w:t>συμφέροντα</w:t>
      </w:r>
      <w:r>
        <w:rPr>
          <w:spacing w:val="-2"/>
          <w:sz w:val="16"/>
          <w:vertAlign w:val="baseline"/>
        </w:rPr>
        <w:t> </w:t>
      </w:r>
      <w:r>
        <w:rPr>
          <w:sz w:val="16"/>
          <w:vertAlign w:val="baseline"/>
        </w:rPr>
        <w:t>των</w:t>
      </w:r>
      <w:r>
        <w:rPr>
          <w:spacing w:val="-5"/>
          <w:sz w:val="16"/>
          <w:vertAlign w:val="baseline"/>
        </w:rPr>
        <w:t> </w:t>
      </w:r>
      <w:r>
        <w:rPr>
          <w:sz w:val="16"/>
          <w:vertAlign w:val="baseline"/>
        </w:rPr>
        <w:t>κατόχων</w:t>
      </w:r>
      <w:r>
        <w:rPr>
          <w:spacing w:val="-3"/>
          <w:sz w:val="16"/>
          <w:vertAlign w:val="baseline"/>
        </w:rPr>
        <w:t> </w:t>
      </w:r>
      <w:r>
        <w:rPr>
          <w:sz w:val="16"/>
          <w:vertAlign w:val="baseline"/>
        </w:rPr>
        <w:t>ασφαλιστηρίων</w:t>
      </w:r>
      <w:r>
        <w:rPr>
          <w:spacing w:val="-5"/>
          <w:sz w:val="16"/>
          <w:vertAlign w:val="baseline"/>
        </w:rPr>
        <w:t> </w:t>
      </w:r>
      <w:r>
        <w:rPr>
          <w:sz w:val="16"/>
          <w:vertAlign w:val="baseline"/>
        </w:rPr>
        <w:t>συμβολαίων</w:t>
      </w:r>
      <w:r>
        <w:rPr>
          <w:spacing w:val="-3"/>
          <w:sz w:val="16"/>
          <w:vertAlign w:val="baseline"/>
        </w:rPr>
        <w:t> </w:t>
      </w:r>
      <w:r>
        <w:rPr>
          <w:sz w:val="16"/>
          <w:vertAlign w:val="baseline"/>
        </w:rPr>
        <w:t>θα</w:t>
      </w:r>
      <w:r>
        <w:rPr>
          <w:spacing w:val="-5"/>
          <w:sz w:val="16"/>
          <w:vertAlign w:val="baseline"/>
        </w:rPr>
        <w:t> </w:t>
      </w:r>
      <w:r>
        <w:rPr>
          <w:sz w:val="16"/>
          <w:vertAlign w:val="baseline"/>
        </w:rPr>
        <w:t>εκτίθε-ντο σε σοβαρό κίνδυνο, εάν επιτρεπόταν στην επιχείρηση να συνεχίσει να λειτουργεί.</w:t>
      </w:r>
    </w:p>
    <w:p>
      <w:pPr>
        <w:spacing w:after="0"/>
        <w:jc w:val="both"/>
        <w:rPr>
          <w:sz w:val="16"/>
        </w:rPr>
        <w:sectPr>
          <w:pgSz w:w="11910" w:h="16850"/>
          <w:pgMar w:header="0" w:footer="1108" w:top="1860" w:bottom="1300" w:left="1417" w:right="850"/>
        </w:sect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3"/>
        <w:gridCol w:w="872"/>
        <w:gridCol w:w="852"/>
        <w:gridCol w:w="887"/>
        <w:gridCol w:w="932"/>
        <w:gridCol w:w="949"/>
      </w:tblGrid>
      <w:tr>
        <w:trPr>
          <w:trHeight w:val="395" w:hRule="atLeast"/>
        </w:trPr>
        <w:tc>
          <w:tcPr>
            <w:tcW w:w="8505" w:type="dxa"/>
            <w:gridSpan w:val="6"/>
            <w:shd w:val="clear" w:color="auto" w:fill="1F487C"/>
          </w:tcPr>
          <w:p>
            <w:pPr>
              <w:pStyle w:val="TableParagraph"/>
              <w:spacing w:before="93"/>
              <w:ind w:left="220"/>
              <w:rPr>
                <w:b/>
                <w:sz w:val="18"/>
              </w:rPr>
            </w:pPr>
            <w:r>
              <w:rPr>
                <w:b/>
                <w:color w:val="FFFFFF"/>
                <w:sz w:val="18"/>
              </w:rPr>
              <w:t>Πίνακας</w:t>
            </w:r>
            <w:r>
              <w:rPr>
                <w:b/>
                <w:color w:val="FFFFFF"/>
                <w:spacing w:val="-2"/>
                <w:sz w:val="18"/>
              </w:rPr>
              <w:t> </w:t>
            </w:r>
            <w:r>
              <w:rPr>
                <w:b/>
                <w:color w:val="FFFFFF"/>
                <w:sz w:val="18"/>
              </w:rPr>
              <w:t>V.3</w:t>
            </w:r>
            <w:r>
              <w:rPr>
                <w:b/>
                <w:color w:val="FFFFFF"/>
                <w:spacing w:val="-3"/>
                <w:sz w:val="18"/>
              </w:rPr>
              <w:t> </w:t>
            </w:r>
            <w:r>
              <w:rPr>
                <w:b/>
                <w:color w:val="FFFFFF"/>
                <w:sz w:val="18"/>
              </w:rPr>
              <w:t>Κεφαλα</w:t>
            </w:r>
            <w:r>
              <w:rPr>
                <w:b/>
                <w:smallCaps/>
                <w:color w:val="FFFFFF"/>
                <w:sz w:val="18"/>
              </w:rPr>
              <w:t>ι</w:t>
            </w:r>
            <w:r>
              <w:rPr>
                <w:b/>
                <w:smallCaps w:val="0"/>
                <w:color w:val="FFFFFF"/>
                <w:sz w:val="18"/>
              </w:rPr>
              <w:t>ακές</w:t>
            </w:r>
            <w:r>
              <w:rPr>
                <w:b/>
                <w:smallCaps w:val="0"/>
                <w:color w:val="FFFFFF"/>
                <w:spacing w:val="-2"/>
                <w:sz w:val="18"/>
              </w:rPr>
              <w:t> </w:t>
            </w:r>
            <w:r>
              <w:rPr>
                <w:b/>
                <w:smallCaps w:val="0"/>
                <w:color w:val="FFFFFF"/>
                <w:sz w:val="18"/>
              </w:rPr>
              <w:t>Απα</w:t>
            </w:r>
            <w:r>
              <w:rPr>
                <w:b/>
                <w:smallCaps/>
                <w:color w:val="FFFFFF"/>
                <w:sz w:val="18"/>
              </w:rPr>
              <w:t>ι</w:t>
            </w:r>
            <w:r>
              <w:rPr>
                <w:b/>
                <w:smallCaps w:val="0"/>
                <w:color w:val="FFFFFF"/>
                <w:sz w:val="18"/>
              </w:rPr>
              <w:t>τήσε</w:t>
            </w:r>
            <w:r>
              <w:rPr>
                <w:b/>
                <w:smallCaps/>
                <w:color w:val="FFFFFF"/>
                <w:sz w:val="18"/>
              </w:rPr>
              <w:t>ι</w:t>
            </w:r>
            <w:r>
              <w:rPr>
                <w:b/>
                <w:smallCaps w:val="0"/>
                <w:color w:val="FFFFFF"/>
                <w:sz w:val="18"/>
              </w:rPr>
              <w:t>ς,</w:t>
            </w:r>
            <w:r>
              <w:rPr>
                <w:b/>
                <w:smallCaps w:val="0"/>
                <w:color w:val="FFFFFF"/>
                <w:spacing w:val="-4"/>
                <w:sz w:val="18"/>
              </w:rPr>
              <w:t> </w:t>
            </w:r>
            <w:r>
              <w:rPr>
                <w:b/>
                <w:smallCaps w:val="0"/>
                <w:color w:val="FFFFFF"/>
                <w:sz w:val="18"/>
              </w:rPr>
              <w:t>Επ</w:t>
            </w:r>
            <w:r>
              <w:rPr>
                <w:b/>
                <w:smallCaps/>
                <w:color w:val="FFFFFF"/>
                <w:sz w:val="18"/>
              </w:rPr>
              <w:t>ι</w:t>
            </w:r>
            <w:r>
              <w:rPr>
                <w:b/>
                <w:smallCaps w:val="0"/>
                <w:color w:val="FFFFFF"/>
                <w:sz w:val="18"/>
              </w:rPr>
              <w:t>λέξ</w:t>
            </w:r>
            <w:r>
              <w:rPr>
                <w:b/>
                <w:smallCaps/>
                <w:color w:val="FFFFFF"/>
                <w:sz w:val="18"/>
              </w:rPr>
              <w:t>ι</w:t>
            </w:r>
            <w:r>
              <w:rPr>
                <w:b/>
                <w:smallCaps w:val="0"/>
                <w:color w:val="FFFFFF"/>
                <w:sz w:val="18"/>
              </w:rPr>
              <w:t>μα</w:t>
            </w:r>
            <w:r>
              <w:rPr>
                <w:b/>
                <w:smallCaps w:val="0"/>
                <w:color w:val="FFFFFF"/>
                <w:spacing w:val="-3"/>
                <w:sz w:val="18"/>
              </w:rPr>
              <w:t> </w:t>
            </w:r>
            <w:r>
              <w:rPr>
                <w:b/>
                <w:smallCaps w:val="0"/>
                <w:color w:val="FFFFFF"/>
                <w:sz w:val="18"/>
              </w:rPr>
              <w:t>Ίδ</w:t>
            </w:r>
            <w:r>
              <w:rPr>
                <w:b/>
                <w:smallCaps/>
                <w:color w:val="FFFFFF"/>
                <w:sz w:val="18"/>
              </w:rPr>
              <w:t>ι</w:t>
            </w:r>
            <w:r>
              <w:rPr>
                <w:b/>
                <w:smallCaps w:val="0"/>
                <w:color w:val="FFFFFF"/>
                <w:sz w:val="18"/>
              </w:rPr>
              <w:t>α</w:t>
            </w:r>
            <w:r>
              <w:rPr>
                <w:b/>
                <w:smallCaps w:val="0"/>
                <w:color w:val="FFFFFF"/>
                <w:spacing w:val="-3"/>
                <w:sz w:val="18"/>
              </w:rPr>
              <w:t> </w:t>
            </w:r>
            <w:r>
              <w:rPr>
                <w:b/>
                <w:smallCaps w:val="0"/>
                <w:color w:val="FFFFFF"/>
                <w:sz w:val="18"/>
              </w:rPr>
              <w:t>Κεφάλα</w:t>
            </w:r>
            <w:r>
              <w:rPr>
                <w:b/>
                <w:smallCaps/>
                <w:color w:val="FFFFFF"/>
                <w:sz w:val="18"/>
              </w:rPr>
              <w:t>ι</w:t>
            </w:r>
            <w:r>
              <w:rPr>
                <w:b/>
                <w:smallCaps w:val="0"/>
                <w:color w:val="FFFFFF"/>
                <w:sz w:val="18"/>
              </w:rPr>
              <w:t>α</w:t>
            </w:r>
            <w:r>
              <w:rPr>
                <w:b/>
                <w:smallCaps w:val="0"/>
                <w:color w:val="FFFFFF"/>
                <w:spacing w:val="-4"/>
                <w:sz w:val="18"/>
              </w:rPr>
              <w:t> </w:t>
            </w:r>
            <w:r>
              <w:rPr>
                <w:b/>
                <w:smallCaps w:val="0"/>
                <w:color w:val="FFFFFF"/>
                <w:sz w:val="18"/>
              </w:rPr>
              <w:t>κα</w:t>
            </w:r>
            <w:r>
              <w:rPr>
                <w:b/>
                <w:smallCaps/>
                <w:color w:val="FFFFFF"/>
                <w:sz w:val="18"/>
              </w:rPr>
              <w:t>ι</w:t>
            </w:r>
            <w:r>
              <w:rPr>
                <w:b/>
                <w:smallCaps w:val="0"/>
                <w:color w:val="FFFFFF"/>
                <w:spacing w:val="-3"/>
                <w:sz w:val="18"/>
              </w:rPr>
              <w:t> </w:t>
            </w:r>
            <w:r>
              <w:rPr>
                <w:b/>
                <w:smallCaps w:val="0"/>
                <w:color w:val="FFFFFF"/>
                <w:sz w:val="18"/>
              </w:rPr>
              <w:t>Δείκτες</w:t>
            </w:r>
            <w:r>
              <w:rPr>
                <w:b/>
                <w:smallCaps w:val="0"/>
                <w:color w:val="FFFFFF"/>
                <w:spacing w:val="-3"/>
                <w:sz w:val="18"/>
              </w:rPr>
              <w:t> </w:t>
            </w:r>
            <w:r>
              <w:rPr>
                <w:b/>
                <w:smallCaps w:val="0"/>
                <w:color w:val="FFFFFF"/>
                <w:spacing w:val="-2"/>
                <w:sz w:val="18"/>
              </w:rPr>
              <w:t>Φερεγγυότητας</w:t>
            </w:r>
          </w:p>
        </w:tc>
      </w:tr>
      <w:tr>
        <w:trPr>
          <w:trHeight w:val="359" w:hRule="atLeast"/>
        </w:trPr>
        <w:tc>
          <w:tcPr>
            <w:tcW w:w="4013" w:type="dxa"/>
            <w:shd w:val="clear" w:color="auto" w:fill="C0C0C0"/>
          </w:tcPr>
          <w:p>
            <w:pPr>
              <w:pStyle w:val="TableParagraph"/>
              <w:spacing w:before="147"/>
              <w:ind w:left="165"/>
              <w:rPr>
                <w:sz w:val="14"/>
              </w:rPr>
            </w:pPr>
            <w:r>
              <w:rPr>
                <w:color w:val="1F487C"/>
                <w:sz w:val="14"/>
              </w:rPr>
              <w:t>ποσά</w:t>
            </w:r>
            <w:r>
              <w:rPr>
                <w:color w:val="1F487C"/>
                <w:spacing w:val="-4"/>
                <w:sz w:val="14"/>
              </w:rPr>
              <w:t> </w:t>
            </w:r>
            <w:r>
              <w:rPr>
                <w:color w:val="1F487C"/>
                <w:sz w:val="14"/>
              </w:rPr>
              <w:t>σε</w:t>
            </w:r>
            <w:r>
              <w:rPr>
                <w:color w:val="1F487C"/>
                <w:spacing w:val="-3"/>
                <w:sz w:val="14"/>
              </w:rPr>
              <w:t> </w:t>
            </w:r>
            <w:r>
              <w:rPr>
                <w:color w:val="1F487C"/>
                <w:sz w:val="14"/>
              </w:rPr>
              <w:t>εκατ.</w:t>
            </w:r>
            <w:r>
              <w:rPr>
                <w:color w:val="1F487C"/>
                <w:spacing w:val="-1"/>
                <w:sz w:val="14"/>
              </w:rPr>
              <w:t> </w:t>
            </w:r>
            <w:r>
              <w:rPr>
                <w:color w:val="1F487C"/>
                <w:spacing w:val="-4"/>
                <w:sz w:val="14"/>
              </w:rPr>
              <w:t>ευρώ</w:t>
            </w:r>
          </w:p>
        </w:tc>
        <w:tc>
          <w:tcPr>
            <w:tcW w:w="872" w:type="dxa"/>
            <w:shd w:val="clear" w:color="auto" w:fill="C0C0C0"/>
          </w:tcPr>
          <w:p>
            <w:pPr>
              <w:pStyle w:val="TableParagraph"/>
              <w:spacing w:before="84"/>
              <w:ind w:left="31" w:right="2"/>
              <w:jc w:val="center"/>
              <w:rPr>
                <w:b/>
                <w:sz w:val="20"/>
              </w:rPr>
            </w:pPr>
            <w:r>
              <w:rPr>
                <w:b/>
                <w:color w:val="1F487C"/>
                <w:spacing w:val="-4"/>
                <w:sz w:val="20"/>
              </w:rPr>
              <w:t>2021</w:t>
            </w:r>
          </w:p>
        </w:tc>
        <w:tc>
          <w:tcPr>
            <w:tcW w:w="852" w:type="dxa"/>
            <w:shd w:val="clear" w:color="auto" w:fill="C0C0C0"/>
          </w:tcPr>
          <w:p>
            <w:pPr>
              <w:pStyle w:val="TableParagraph"/>
              <w:spacing w:before="84"/>
              <w:ind w:left="155"/>
              <w:rPr>
                <w:b/>
                <w:sz w:val="20"/>
              </w:rPr>
            </w:pPr>
            <w:r>
              <w:rPr>
                <w:b/>
                <w:color w:val="1F487C"/>
                <w:spacing w:val="-4"/>
                <w:sz w:val="20"/>
              </w:rPr>
              <w:t>2022</w:t>
            </w:r>
          </w:p>
        </w:tc>
        <w:tc>
          <w:tcPr>
            <w:tcW w:w="887" w:type="dxa"/>
            <w:shd w:val="clear" w:color="auto" w:fill="C0C0C0"/>
          </w:tcPr>
          <w:p>
            <w:pPr>
              <w:pStyle w:val="TableParagraph"/>
              <w:spacing w:before="84"/>
              <w:ind w:right="204"/>
              <w:jc w:val="right"/>
              <w:rPr>
                <w:b/>
                <w:sz w:val="20"/>
              </w:rPr>
            </w:pPr>
            <w:r>
              <w:rPr>
                <w:b/>
                <w:color w:val="1F487C"/>
                <w:spacing w:val="-4"/>
                <w:sz w:val="20"/>
              </w:rPr>
              <w:t>2023</w:t>
            </w:r>
          </w:p>
        </w:tc>
        <w:tc>
          <w:tcPr>
            <w:tcW w:w="932" w:type="dxa"/>
            <w:shd w:val="clear" w:color="auto" w:fill="C0C0C0"/>
          </w:tcPr>
          <w:p>
            <w:pPr>
              <w:pStyle w:val="TableParagraph"/>
              <w:spacing w:before="84"/>
              <w:ind w:left="315"/>
              <w:rPr>
                <w:b/>
                <w:sz w:val="20"/>
              </w:rPr>
            </w:pPr>
            <w:r>
              <w:rPr>
                <w:b/>
                <w:color w:val="1F487C"/>
                <w:spacing w:val="-4"/>
                <w:sz w:val="20"/>
              </w:rPr>
              <w:t>2024</w:t>
            </w:r>
          </w:p>
        </w:tc>
        <w:tc>
          <w:tcPr>
            <w:tcW w:w="949" w:type="dxa"/>
            <w:shd w:val="clear" w:color="auto" w:fill="C0C0C0"/>
          </w:tcPr>
          <w:p>
            <w:pPr>
              <w:pStyle w:val="TableParagraph"/>
              <w:spacing w:before="84"/>
              <w:ind w:left="107" w:right="5"/>
              <w:jc w:val="center"/>
              <w:rPr>
                <w:b/>
                <w:sz w:val="20"/>
              </w:rPr>
            </w:pPr>
            <w:r>
              <w:rPr>
                <w:b/>
                <w:color w:val="1F487C"/>
                <w:spacing w:val="-4"/>
                <w:sz w:val="20"/>
              </w:rPr>
              <w:t>2025</w:t>
            </w:r>
          </w:p>
        </w:tc>
      </w:tr>
      <w:tr>
        <w:trPr>
          <w:trHeight w:val="501" w:hRule="atLeast"/>
        </w:trPr>
        <w:tc>
          <w:tcPr>
            <w:tcW w:w="4013" w:type="dxa"/>
            <w:shd w:val="clear" w:color="auto" w:fill="C0C0C0"/>
          </w:tcPr>
          <w:p>
            <w:pPr>
              <w:pStyle w:val="TableParagraph"/>
              <w:spacing w:line="230" w:lineRule="atLeast" w:before="21"/>
              <w:ind w:left="108" w:right="139"/>
              <w:rPr>
                <w:sz w:val="20"/>
              </w:rPr>
            </w:pPr>
            <w:r>
              <w:rPr>
                <w:sz w:val="20"/>
              </w:rPr>
              <w:t>Συνολική</w:t>
            </w:r>
            <w:r>
              <w:rPr>
                <w:spacing w:val="-13"/>
                <w:sz w:val="20"/>
              </w:rPr>
              <w:t> </w:t>
            </w:r>
            <w:r>
              <w:rPr>
                <w:sz w:val="20"/>
              </w:rPr>
              <w:t>Κεφαλαιακή</w:t>
            </w:r>
            <w:r>
              <w:rPr>
                <w:spacing w:val="-12"/>
                <w:sz w:val="20"/>
              </w:rPr>
              <w:t> </w:t>
            </w:r>
            <w:r>
              <w:rPr>
                <w:sz w:val="20"/>
              </w:rPr>
              <w:t>Απαίτηση</w:t>
            </w:r>
            <w:r>
              <w:rPr>
                <w:spacing w:val="-13"/>
                <w:sz w:val="20"/>
              </w:rPr>
              <w:t> </w:t>
            </w:r>
            <w:r>
              <w:rPr>
                <w:sz w:val="20"/>
              </w:rPr>
              <w:t>Φερεγγυότη-τας (SCR)</w:t>
            </w:r>
          </w:p>
        </w:tc>
        <w:tc>
          <w:tcPr>
            <w:tcW w:w="872" w:type="dxa"/>
            <w:shd w:val="clear" w:color="auto" w:fill="BEBEBE"/>
          </w:tcPr>
          <w:p>
            <w:pPr>
              <w:pStyle w:val="TableParagraph"/>
              <w:spacing w:before="151"/>
              <w:ind w:left="31"/>
              <w:jc w:val="center"/>
              <w:rPr>
                <w:sz w:val="20"/>
              </w:rPr>
            </w:pPr>
            <w:r>
              <w:rPr>
                <w:spacing w:val="-2"/>
                <w:sz w:val="20"/>
              </w:rPr>
              <w:t>2.094</w:t>
            </w:r>
          </w:p>
        </w:tc>
        <w:tc>
          <w:tcPr>
            <w:tcW w:w="852" w:type="dxa"/>
            <w:shd w:val="clear" w:color="auto" w:fill="BEBEBE"/>
          </w:tcPr>
          <w:p>
            <w:pPr>
              <w:pStyle w:val="TableParagraph"/>
              <w:spacing w:before="151"/>
              <w:ind w:left="206"/>
              <w:rPr>
                <w:sz w:val="20"/>
              </w:rPr>
            </w:pPr>
            <w:r>
              <w:rPr>
                <w:spacing w:val="-2"/>
                <w:sz w:val="20"/>
              </w:rPr>
              <w:t>1.954</w:t>
            </w:r>
          </w:p>
        </w:tc>
        <w:tc>
          <w:tcPr>
            <w:tcW w:w="887" w:type="dxa"/>
            <w:shd w:val="clear" w:color="auto" w:fill="BEBEBE"/>
          </w:tcPr>
          <w:p>
            <w:pPr>
              <w:pStyle w:val="TableParagraph"/>
              <w:spacing w:before="151"/>
              <w:ind w:right="234"/>
              <w:jc w:val="right"/>
              <w:rPr>
                <w:sz w:val="20"/>
              </w:rPr>
            </w:pPr>
            <w:r>
              <w:rPr>
                <w:spacing w:val="-2"/>
                <w:sz w:val="20"/>
              </w:rPr>
              <w:t>2.107</w:t>
            </w:r>
          </w:p>
        </w:tc>
        <w:tc>
          <w:tcPr>
            <w:tcW w:w="932" w:type="dxa"/>
            <w:shd w:val="clear" w:color="auto" w:fill="BEBEBE"/>
          </w:tcPr>
          <w:p>
            <w:pPr>
              <w:pStyle w:val="TableParagraph"/>
              <w:spacing w:before="151"/>
              <w:ind w:left="236"/>
              <w:rPr>
                <w:sz w:val="20"/>
              </w:rPr>
            </w:pPr>
            <w:r>
              <w:rPr>
                <w:spacing w:val="-2"/>
                <w:sz w:val="20"/>
              </w:rPr>
              <w:t>2.120</w:t>
            </w:r>
          </w:p>
        </w:tc>
        <w:tc>
          <w:tcPr>
            <w:tcW w:w="949" w:type="dxa"/>
            <w:shd w:val="clear" w:color="auto" w:fill="BEBEBE"/>
          </w:tcPr>
          <w:p>
            <w:pPr>
              <w:pStyle w:val="TableParagraph"/>
              <w:spacing w:before="151"/>
              <w:ind w:left="102" w:right="106"/>
              <w:jc w:val="center"/>
              <w:rPr>
                <w:sz w:val="20"/>
              </w:rPr>
            </w:pPr>
            <w:r>
              <w:rPr>
                <w:spacing w:val="-2"/>
                <w:sz w:val="20"/>
              </w:rPr>
              <w:t>2.281</w:t>
            </w:r>
          </w:p>
        </w:tc>
      </w:tr>
      <w:tr>
        <w:trPr>
          <w:trHeight w:val="495" w:hRule="atLeast"/>
        </w:trPr>
        <w:tc>
          <w:tcPr>
            <w:tcW w:w="4013" w:type="dxa"/>
            <w:shd w:val="clear" w:color="auto" w:fill="C0C0C0"/>
          </w:tcPr>
          <w:p>
            <w:pPr>
              <w:pStyle w:val="TableParagraph"/>
              <w:ind w:left="108"/>
              <w:rPr>
                <w:sz w:val="20"/>
              </w:rPr>
            </w:pPr>
            <w:r>
              <w:rPr>
                <w:sz w:val="20"/>
              </w:rPr>
              <w:t>Επιλέξιμα</w:t>
            </w:r>
            <w:r>
              <w:rPr>
                <w:spacing w:val="-7"/>
                <w:sz w:val="20"/>
              </w:rPr>
              <w:t> </w:t>
            </w:r>
            <w:r>
              <w:rPr>
                <w:sz w:val="20"/>
              </w:rPr>
              <w:t>Ίδια</w:t>
            </w:r>
            <w:r>
              <w:rPr>
                <w:spacing w:val="-7"/>
                <w:sz w:val="20"/>
              </w:rPr>
              <w:t> </w:t>
            </w:r>
            <w:r>
              <w:rPr>
                <w:sz w:val="20"/>
              </w:rPr>
              <w:t>Κεφάλαια</w:t>
            </w:r>
            <w:r>
              <w:rPr>
                <w:spacing w:val="-7"/>
                <w:sz w:val="20"/>
              </w:rPr>
              <w:t> </w:t>
            </w:r>
            <w:r>
              <w:rPr>
                <w:sz w:val="20"/>
              </w:rPr>
              <w:t>για</w:t>
            </w:r>
            <w:r>
              <w:rPr>
                <w:spacing w:val="-7"/>
                <w:sz w:val="20"/>
              </w:rPr>
              <w:t> </w:t>
            </w:r>
            <w:r>
              <w:rPr>
                <w:sz w:val="20"/>
              </w:rPr>
              <w:t>την</w:t>
            </w:r>
            <w:r>
              <w:rPr>
                <w:spacing w:val="-7"/>
                <w:sz w:val="20"/>
              </w:rPr>
              <w:t> </w:t>
            </w:r>
            <w:r>
              <w:rPr>
                <w:sz w:val="20"/>
              </w:rPr>
              <w:t>κάλυψη</w:t>
            </w:r>
            <w:r>
              <w:rPr>
                <w:spacing w:val="-9"/>
                <w:sz w:val="20"/>
              </w:rPr>
              <w:t> </w:t>
            </w:r>
            <w:r>
              <w:rPr>
                <w:sz w:val="20"/>
              </w:rPr>
              <w:t>του </w:t>
            </w:r>
            <w:r>
              <w:rPr>
                <w:spacing w:val="-4"/>
                <w:sz w:val="20"/>
              </w:rPr>
              <w:t>SCR</w:t>
            </w:r>
          </w:p>
        </w:tc>
        <w:tc>
          <w:tcPr>
            <w:tcW w:w="872" w:type="dxa"/>
            <w:shd w:val="clear" w:color="auto" w:fill="BEBEBE"/>
          </w:tcPr>
          <w:p>
            <w:pPr>
              <w:pStyle w:val="TableParagraph"/>
              <w:spacing w:before="111"/>
              <w:ind w:left="31"/>
              <w:jc w:val="center"/>
              <w:rPr>
                <w:sz w:val="20"/>
              </w:rPr>
            </w:pPr>
            <w:r>
              <w:rPr>
                <w:spacing w:val="-2"/>
                <w:sz w:val="20"/>
              </w:rPr>
              <w:t>3.984</w:t>
            </w:r>
          </w:p>
        </w:tc>
        <w:tc>
          <w:tcPr>
            <w:tcW w:w="852" w:type="dxa"/>
            <w:shd w:val="clear" w:color="auto" w:fill="BEBEBE"/>
          </w:tcPr>
          <w:p>
            <w:pPr>
              <w:pStyle w:val="TableParagraph"/>
              <w:spacing w:before="111"/>
              <w:ind w:left="206"/>
              <w:rPr>
                <w:sz w:val="20"/>
              </w:rPr>
            </w:pPr>
            <w:r>
              <w:rPr>
                <w:spacing w:val="-2"/>
                <w:sz w:val="20"/>
              </w:rPr>
              <w:t>3.606</w:t>
            </w:r>
          </w:p>
        </w:tc>
        <w:tc>
          <w:tcPr>
            <w:tcW w:w="887" w:type="dxa"/>
            <w:shd w:val="clear" w:color="auto" w:fill="BEBEBE"/>
          </w:tcPr>
          <w:p>
            <w:pPr>
              <w:pStyle w:val="TableParagraph"/>
              <w:spacing w:before="111"/>
              <w:ind w:right="234"/>
              <w:jc w:val="right"/>
              <w:rPr>
                <w:sz w:val="20"/>
              </w:rPr>
            </w:pPr>
            <w:r>
              <w:rPr>
                <w:spacing w:val="-2"/>
                <w:sz w:val="20"/>
              </w:rPr>
              <w:t>3.697</w:t>
            </w:r>
          </w:p>
        </w:tc>
        <w:tc>
          <w:tcPr>
            <w:tcW w:w="932" w:type="dxa"/>
            <w:shd w:val="clear" w:color="auto" w:fill="BEBEBE"/>
          </w:tcPr>
          <w:p>
            <w:pPr>
              <w:pStyle w:val="TableParagraph"/>
              <w:spacing w:before="111"/>
              <w:ind w:left="236"/>
              <w:rPr>
                <w:sz w:val="20"/>
              </w:rPr>
            </w:pPr>
            <w:r>
              <w:rPr>
                <w:spacing w:val="-2"/>
                <w:sz w:val="20"/>
              </w:rPr>
              <w:t>3.669</w:t>
            </w:r>
          </w:p>
        </w:tc>
        <w:tc>
          <w:tcPr>
            <w:tcW w:w="949" w:type="dxa"/>
            <w:shd w:val="clear" w:color="auto" w:fill="BEBEBE"/>
          </w:tcPr>
          <w:p>
            <w:pPr>
              <w:pStyle w:val="TableParagraph"/>
              <w:spacing w:before="111"/>
              <w:ind w:left="102" w:right="106"/>
              <w:jc w:val="center"/>
              <w:rPr>
                <w:sz w:val="20"/>
              </w:rPr>
            </w:pPr>
            <w:r>
              <w:rPr>
                <w:spacing w:val="-2"/>
                <w:sz w:val="20"/>
              </w:rPr>
              <w:t>3.937</w:t>
            </w:r>
          </w:p>
        </w:tc>
      </w:tr>
      <w:tr>
        <w:trPr>
          <w:trHeight w:val="333" w:hRule="atLeast"/>
        </w:trPr>
        <w:tc>
          <w:tcPr>
            <w:tcW w:w="4013" w:type="dxa"/>
            <w:shd w:val="clear" w:color="auto" w:fill="C0C0C0"/>
          </w:tcPr>
          <w:p>
            <w:pPr>
              <w:pStyle w:val="TableParagraph"/>
              <w:spacing w:before="30"/>
              <w:ind w:left="108"/>
              <w:rPr>
                <w:sz w:val="20"/>
              </w:rPr>
            </w:pPr>
            <w:r>
              <w:rPr>
                <w:sz w:val="20"/>
              </w:rPr>
              <w:t>Δείκτης</w:t>
            </w:r>
            <w:r>
              <w:rPr>
                <w:spacing w:val="-6"/>
                <w:sz w:val="20"/>
              </w:rPr>
              <w:t> </w:t>
            </w:r>
            <w:r>
              <w:rPr>
                <w:sz w:val="20"/>
              </w:rPr>
              <w:t>κάλυψης</w:t>
            </w:r>
            <w:r>
              <w:rPr>
                <w:spacing w:val="-5"/>
                <w:sz w:val="20"/>
              </w:rPr>
              <w:t> </w:t>
            </w:r>
            <w:r>
              <w:rPr>
                <w:sz w:val="20"/>
              </w:rPr>
              <w:t>του</w:t>
            </w:r>
            <w:r>
              <w:rPr>
                <w:spacing w:val="-7"/>
                <w:sz w:val="20"/>
              </w:rPr>
              <w:t> </w:t>
            </w:r>
            <w:r>
              <w:rPr>
                <w:spacing w:val="-5"/>
                <w:sz w:val="20"/>
              </w:rPr>
              <w:t>SCR</w:t>
            </w:r>
          </w:p>
        </w:tc>
        <w:tc>
          <w:tcPr>
            <w:tcW w:w="872" w:type="dxa"/>
            <w:shd w:val="clear" w:color="auto" w:fill="BEBEBE"/>
          </w:tcPr>
          <w:p>
            <w:pPr>
              <w:pStyle w:val="TableParagraph"/>
              <w:spacing w:before="30"/>
              <w:ind w:left="31" w:right="1"/>
              <w:jc w:val="center"/>
              <w:rPr>
                <w:sz w:val="20"/>
              </w:rPr>
            </w:pPr>
            <w:r>
              <w:rPr>
                <w:spacing w:val="-2"/>
                <w:sz w:val="20"/>
              </w:rPr>
              <w:t>190,3%</w:t>
            </w:r>
          </w:p>
        </w:tc>
        <w:tc>
          <w:tcPr>
            <w:tcW w:w="852" w:type="dxa"/>
            <w:shd w:val="clear" w:color="auto" w:fill="BEBEBE"/>
          </w:tcPr>
          <w:p>
            <w:pPr>
              <w:pStyle w:val="TableParagraph"/>
              <w:spacing w:before="30"/>
              <w:ind w:left="112"/>
              <w:rPr>
                <w:sz w:val="20"/>
              </w:rPr>
            </w:pPr>
            <w:r>
              <w:rPr>
                <w:spacing w:val="-2"/>
                <w:sz w:val="20"/>
              </w:rPr>
              <w:t>184,6%</w:t>
            </w:r>
          </w:p>
        </w:tc>
        <w:tc>
          <w:tcPr>
            <w:tcW w:w="887" w:type="dxa"/>
            <w:shd w:val="clear" w:color="auto" w:fill="BEBEBE"/>
          </w:tcPr>
          <w:p>
            <w:pPr>
              <w:pStyle w:val="TableParagraph"/>
              <w:spacing w:before="30"/>
              <w:ind w:right="148"/>
              <w:jc w:val="right"/>
              <w:rPr>
                <w:sz w:val="20"/>
              </w:rPr>
            </w:pPr>
            <w:r>
              <w:rPr>
                <w:spacing w:val="-2"/>
                <w:sz w:val="20"/>
              </w:rPr>
              <w:t>175,5%</w:t>
            </w:r>
          </w:p>
        </w:tc>
        <w:tc>
          <w:tcPr>
            <w:tcW w:w="932" w:type="dxa"/>
            <w:shd w:val="clear" w:color="auto" w:fill="BEBEBE"/>
          </w:tcPr>
          <w:p>
            <w:pPr>
              <w:pStyle w:val="TableParagraph"/>
              <w:spacing w:before="30"/>
              <w:ind w:left="152"/>
              <w:rPr>
                <w:sz w:val="20"/>
              </w:rPr>
            </w:pPr>
            <w:r>
              <w:rPr>
                <w:spacing w:val="-2"/>
                <w:sz w:val="20"/>
              </w:rPr>
              <w:t>173,1%</w:t>
            </w:r>
          </w:p>
        </w:tc>
        <w:tc>
          <w:tcPr>
            <w:tcW w:w="949" w:type="dxa"/>
            <w:shd w:val="clear" w:color="auto" w:fill="BEBEBE"/>
          </w:tcPr>
          <w:p>
            <w:pPr>
              <w:pStyle w:val="TableParagraph"/>
              <w:spacing w:before="30"/>
              <w:ind w:left="102" w:right="107"/>
              <w:jc w:val="center"/>
              <w:rPr>
                <w:sz w:val="20"/>
              </w:rPr>
            </w:pPr>
            <w:r>
              <w:rPr>
                <w:spacing w:val="-2"/>
                <w:sz w:val="20"/>
              </w:rPr>
              <w:t>172,6%</w:t>
            </w:r>
          </w:p>
        </w:tc>
      </w:tr>
      <w:tr>
        <w:trPr>
          <w:trHeight w:val="333" w:hRule="atLeast"/>
        </w:trPr>
        <w:tc>
          <w:tcPr>
            <w:tcW w:w="4013" w:type="dxa"/>
            <w:shd w:val="clear" w:color="auto" w:fill="C0C0C0"/>
          </w:tcPr>
          <w:p>
            <w:pPr>
              <w:pStyle w:val="TableParagraph"/>
              <w:spacing w:before="64"/>
              <w:ind w:left="108"/>
              <w:rPr>
                <w:sz w:val="20"/>
              </w:rPr>
            </w:pPr>
            <w:r>
              <w:rPr>
                <w:sz w:val="20"/>
              </w:rPr>
              <w:t>Ελάχιστη</w:t>
            </w:r>
            <w:r>
              <w:rPr>
                <w:spacing w:val="-9"/>
                <w:sz w:val="20"/>
              </w:rPr>
              <w:t> </w:t>
            </w:r>
            <w:r>
              <w:rPr>
                <w:sz w:val="20"/>
              </w:rPr>
              <w:t>Κεφαλαιακή</w:t>
            </w:r>
            <w:r>
              <w:rPr>
                <w:spacing w:val="-8"/>
                <w:sz w:val="20"/>
              </w:rPr>
              <w:t> </w:t>
            </w:r>
            <w:r>
              <w:rPr>
                <w:sz w:val="20"/>
              </w:rPr>
              <w:t>Απαίτηση</w:t>
            </w:r>
            <w:r>
              <w:rPr>
                <w:spacing w:val="-8"/>
                <w:sz w:val="20"/>
              </w:rPr>
              <w:t> </w:t>
            </w:r>
            <w:r>
              <w:rPr>
                <w:spacing w:val="-4"/>
                <w:sz w:val="20"/>
              </w:rPr>
              <w:t>(MCR)</w:t>
            </w:r>
          </w:p>
        </w:tc>
        <w:tc>
          <w:tcPr>
            <w:tcW w:w="872" w:type="dxa"/>
            <w:shd w:val="clear" w:color="auto" w:fill="BEBEBE"/>
          </w:tcPr>
          <w:p>
            <w:pPr>
              <w:pStyle w:val="TableParagraph"/>
              <w:spacing w:before="64"/>
              <w:ind w:left="31"/>
              <w:jc w:val="center"/>
              <w:rPr>
                <w:sz w:val="20"/>
              </w:rPr>
            </w:pPr>
            <w:r>
              <w:rPr>
                <w:spacing w:val="-5"/>
                <w:sz w:val="20"/>
              </w:rPr>
              <w:t>714</w:t>
            </w:r>
          </w:p>
        </w:tc>
        <w:tc>
          <w:tcPr>
            <w:tcW w:w="852" w:type="dxa"/>
            <w:shd w:val="clear" w:color="auto" w:fill="BEBEBE"/>
          </w:tcPr>
          <w:p>
            <w:pPr>
              <w:pStyle w:val="TableParagraph"/>
              <w:spacing w:before="64"/>
              <w:ind w:left="275"/>
              <w:rPr>
                <w:sz w:val="20"/>
              </w:rPr>
            </w:pPr>
            <w:r>
              <w:rPr>
                <w:spacing w:val="-5"/>
                <w:sz w:val="20"/>
              </w:rPr>
              <w:t>676</w:t>
            </w:r>
          </w:p>
        </w:tc>
        <w:tc>
          <w:tcPr>
            <w:tcW w:w="887" w:type="dxa"/>
            <w:shd w:val="clear" w:color="auto" w:fill="BEBEBE"/>
          </w:tcPr>
          <w:p>
            <w:pPr>
              <w:pStyle w:val="TableParagraph"/>
              <w:spacing w:before="64"/>
              <w:ind w:left="275"/>
              <w:rPr>
                <w:sz w:val="20"/>
              </w:rPr>
            </w:pPr>
            <w:r>
              <w:rPr>
                <w:spacing w:val="-5"/>
                <w:sz w:val="20"/>
              </w:rPr>
              <w:t>737</w:t>
            </w:r>
          </w:p>
        </w:tc>
        <w:tc>
          <w:tcPr>
            <w:tcW w:w="932" w:type="dxa"/>
            <w:shd w:val="clear" w:color="auto" w:fill="BEBEBE"/>
          </w:tcPr>
          <w:p>
            <w:pPr>
              <w:pStyle w:val="TableParagraph"/>
              <w:spacing w:before="64"/>
              <w:ind w:left="310"/>
              <w:rPr>
                <w:sz w:val="20"/>
              </w:rPr>
            </w:pPr>
            <w:r>
              <w:rPr>
                <w:spacing w:val="-5"/>
                <w:sz w:val="20"/>
              </w:rPr>
              <w:t>740</w:t>
            </w:r>
          </w:p>
        </w:tc>
        <w:tc>
          <w:tcPr>
            <w:tcW w:w="949" w:type="dxa"/>
            <w:shd w:val="clear" w:color="auto" w:fill="BEBEBE"/>
          </w:tcPr>
          <w:p>
            <w:pPr>
              <w:pStyle w:val="TableParagraph"/>
              <w:spacing w:before="64"/>
              <w:ind w:left="102" w:right="106"/>
              <w:jc w:val="center"/>
              <w:rPr>
                <w:sz w:val="20"/>
              </w:rPr>
            </w:pPr>
            <w:r>
              <w:rPr>
                <w:spacing w:val="-5"/>
                <w:sz w:val="20"/>
              </w:rPr>
              <w:t>770</w:t>
            </w:r>
          </w:p>
        </w:tc>
      </w:tr>
      <w:tr>
        <w:trPr>
          <w:trHeight w:val="530" w:hRule="atLeast"/>
        </w:trPr>
        <w:tc>
          <w:tcPr>
            <w:tcW w:w="4013" w:type="dxa"/>
            <w:shd w:val="clear" w:color="auto" w:fill="C0C0C0"/>
          </w:tcPr>
          <w:p>
            <w:pPr>
              <w:pStyle w:val="TableParagraph"/>
              <w:spacing w:before="30"/>
              <w:ind w:left="108"/>
              <w:rPr>
                <w:sz w:val="20"/>
              </w:rPr>
            </w:pPr>
            <w:r>
              <w:rPr>
                <w:sz w:val="20"/>
              </w:rPr>
              <w:t>Επιλέξιμα</w:t>
            </w:r>
            <w:r>
              <w:rPr>
                <w:spacing w:val="-7"/>
                <w:sz w:val="20"/>
              </w:rPr>
              <w:t> </w:t>
            </w:r>
            <w:r>
              <w:rPr>
                <w:sz w:val="20"/>
              </w:rPr>
              <w:t>Ίδια</w:t>
            </w:r>
            <w:r>
              <w:rPr>
                <w:spacing w:val="-7"/>
                <w:sz w:val="20"/>
              </w:rPr>
              <w:t> </w:t>
            </w:r>
            <w:r>
              <w:rPr>
                <w:sz w:val="20"/>
              </w:rPr>
              <w:t>Κεφάλαια</w:t>
            </w:r>
            <w:r>
              <w:rPr>
                <w:spacing w:val="-7"/>
                <w:sz w:val="20"/>
              </w:rPr>
              <w:t> </w:t>
            </w:r>
            <w:r>
              <w:rPr>
                <w:sz w:val="20"/>
              </w:rPr>
              <w:t>για</w:t>
            </w:r>
            <w:r>
              <w:rPr>
                <w:spacing w:val="-7"/>
                <w:sz w:val="20"/>
              </w:rPr>
              <w:t> </w:t>
            </w:r>
            <w:r>
              <w:rPr>
                <w:sz w:val="20"/>
              </w:rPr>
              <w:t>την</w:t>
            </w:r>
            <w:r>
              <w:rPr>
                <w:spacing w:val="-7"/>
                <w:sz w:val="20"/>
              </w:rPr>
              <w:t> </w:t>
            </w:r>
            <w:r>
              <w:rPr>
                <w:sz w:val="20"/>
              </w:rPr>
              <w:t>κάλυψη</w:t>
            </w:r>
            <w:r>
              <w:rPr>
                <w:spacing w:val="-9"/>
                <w:sz w:val="20"/>
              </w:rPr>
              <w:t> </w:t>
            </w:r>
            <w:r>
              <w:rPr>
                <w:sz w:val="20"/>
              </w:rPr>
              <w:t>του </w:t>
            </w:r>
            <w:r>
              <w:rPr>
                <w:spacing w:val="-4"/>
                <w:sz w:val="20"/>
              </w:rPr>
              <w:t>MCR</w:t>
            </w:r>
          </w:p>
        </w:tc>
        <w:tc>
          <w:tcPr>
            <w:tcW w:w="872" w:type="dxa"/>
            <w:shd w:val="clear" w:color="auto" w:fill="BEBEBE"/>
          </w:tcPr>
          <w:p>
            <w:pPr>
              <w:pStyle w:val="TableParagraph"/>
              <w:spacing w:before="145"/>
              <w:ind w:left="31"/>
              <w:jc w:val="center"/>
              <w:rPr>
                <w:sz w:val="20"/>
              </w:rPr>
            </w:pPr>
            <w:r>
              <w:rPr>
                <w:spacing w:val="-2"/>
                <w:sz w:val="20"/>
              </w:rPr>
              <w:t>3.718</w:t>
            </w:r>
          </w:p>
        </w:tc>
        <w:tc>
          <w:tcPr>
            <w:tcW w:w="852" w:type="dxa"/>
            <w:shd w:val="clear" w:color="auto" w:fill="BEBEBE"/>
          </w:tcPr>
          <w:p>
            <w:pPr>
              <w:pStyle w:val="TableParagraph"/>
              <w:spacing w:before="145"/>
              <w:ind w:left="199"/>
              <w:rPr>
                <w:sz w:val="20"/>
              </w:rPr>
            </w:pPr>
            <w:r>
              <w:rPr>
                <w:spacing w:val="-2"/>
                <w:sz w:val="20"/>
              </w:rPr>
              <w:t>3.290</w:t>
            </w:r>
          </w:p>
        </w:tc>
        <w:tc>
          <w:tcPr>
            <w:tcW w:w="887" w:type="dxa"/>
            <w:shd w:val="clear" w:color="auto" w:fill="BEBEBE"/>
          </w:tcPr>
          <w:p>
            <w:pPr>
              <w:pStyle w:val="TableParagraph"/>
              <w:spacing w:before="145"/>
              <w:ind w:right="234"/>
              <w:jc w:val="right"/>
              <w:rPr>
                <w:sz w:val="20"/>
              </w:rPr>
            </w:pPr>
            <w:r>
              <w:rPr>
                <w:spacing w:val="-2"/>
                <w:sz w:val="20"/>
              </w:rPr>
              <w:t>3.365</w:t>
            </w:r>
          </w:p>
        </w:tc>
        <w:tc>
          <w:tcPr>
            <w:tcW w:w="932" w:type="dxa"/>
            <w:shd w:val="clear" w:color="auto" w:fill="BEBEBE"/>
          </w:tcPr>
          <w:p>
            <w:pPr>
              <w:pStyle w:val="TableParagraph"/>
              <w:spacing w:before="145"/>
              <w:ind w:left="236"/>
              <w:rPr>
                <w:sz w:val="20"/>
              </w:rPr>
            </w:pPr>
            <w:r>
              <w:rPr>
                <w:spacing w:val="-2"/>
                <w:sz w:val="20"/>
              </w:rPr>
              <w:t>3.376</w:t>
            </w:r>
          </w:p>
        </w:tc>
        <w:tc>
          <w:tcPr>
            <w:tcW w:w="949" w:type="dxa"/>
            <w:shd w:val="clear" w:color="auto" w:fill="BEBEBE"/>
          </w:tcPr>
          <w:p>
            <w:pPr>
              <w:pStyle w:val="TableParagraph"/>
              <w:spacing w:before="145"/>
              <w:ind w:left="102" w:right="106"/>
              <w:jc w:val="center"/>
              <w:rPr>
                <w:sz w:val="20"/>
              </w:rPr>
            </w:pPr>
            <w:r>
              <w:rPr>
                <w:spacing w:val="-2"/>
                <w:sz w:val="20"/>
              </w:rPr>
              <w:t>3.655</w:t>
            </w:r>
          </w:p>
        </w:tc>
      </w:tr>
      <w:tr>
        <w:trPr>
          <w:trHeight w:val="414" w:hRule="atLeast"/>
        </w:trPr>
        <w:tc>
          <w:tcPr>
            <w:tcW w:w="4013" w:type="dxa"/>
            <w:shd w:val="clear" w:color="auto" w:fill="C0C0C0"/>
          </w:tcPr>
          <w:p>
            <w:pPr>
              <w:pStyle w:val="TableParagraph"/>
              <w:spacing w:before="30"/>
              <w:ind w:left="108"/>
              <w:rPr>
                <w:sz w:val="20"/>
              </w:rPr>
            </w:pPr>
            <w:r>
              <w:rPr>
                <w:sz w:val="20"/>
              </w:rPr>
              <w:t>Δείκτης</w:t>
            </w:r>
            <w:r>
              <w:rPr>
                <w:spacing w:val="-6"/>
                <w:sz w:val="20"/>
              </w:rPr>
              <w:t> </w:t>
            </w:r>
            <w:r>
              <w:rPr>
                <w:sz w:val="20"/>
              </w:rPr>
              <w:t>κάλυψης</w:t>
            </w:r>
            <w:r>
              <w:rPr>
                <w:spacing w:val="-5"/>
                <w:sz w:val="20"/>
              </w:rPr>
              <w:t> </w:t>
            </w:r>
            <w:r>
              <w:rPr>
                <w:sz w:val="20"/>
              </w:rPr>
              <w:t>του</w:t>
            </w:r>
            <w:r>
              <w:rPr>
                <w:spacing w:val="-6"/>
                <w:sz w:val="20"/>
              </w:rPr>
              <w:t> </w:t>
            </w:r>
            <w:r>
              <w:rPr>
                <w:spacing w:val="-5"/>
                <w:sz w:val="20"/>
              </w:rPr>
              <w:t>MCR</w:t>
            </w:r>
          </w:p>
        </w:tc>
        <w:tc>
          <w:tcPr>
            <w:tcW w:w="872" w:type="dxa"/>
            <w:shd w:val="clear" w:color="auto" w:fill="BEBEBE"/>
          </w:tcPr>
          <w:p>
            <w:pPr>
              <w:pStyle w:val="TableParagraph"/>
              <w:spacing w:before="30"/>
              <w:ind w:left="31" w:right="1"/>
              <w:jc w:val="center"/>
              <w:rPr>
                <w:sz w:val="20"/>
              </w:rPr>
            </w:pPr>
            <w:r>
              <w:rPr>
                <w:spacing w:val="-2"/>
                <w:sz w:val="20"/>
              </w:rPr>
              <w:t>521,0%</w:t>
            </w:r>
          </w:p>
        </w:tc>
        <w:tc>
          <w:tcPr>
            <w:tcW w:w="852" w:type="dxa"/>
            <w:shd w:val="clear" w:color="auto" w:fill="BEBEBE"/>
          </w:tcPr>
          <w:p>
            <w:pPr>
              <w:pStyle w:val="TableParagraph"/>
              <w:spacing w:before="30"/>
              <w:ind w:left="117"/>
              <w:rPr>
                <w:sz w:val="20"/>
              </w:rPr>
            </w:pPr>
            <w:r>
              <w:rPr>
                <w:spacing w:val="-2"/>
                <w:sz w:val="20"/>
              </w:rPr>
              <w:t>486,9%</w:t>
            </w:r>
          </w:p>
        </w:tc>
        <w:tc>
          <w:tcPr>
            <w:tcW w:w="887" w:type="dxa"/>
            <w:shd w:val="clear" w:color="auto" w:fill="BEBEBE"/>
          </w:tcPr>
          <w:p>
            <w:pPr>
              <w:pStyle w:val="TableParagraph"/>
              <w:spacing w:before="30"/>
              <w:ind w:right="148"/>
              <w:jc w:val="right"/>
              <w:rPr>
                <w:sz w:val="20"/>
              </w:rPr>
            </w:pPr>
            <w:r>
              <w:rPr>
                <w:spacing w:val="-2"/>
                <w:sz w:val="20"/>
              </w:rPr>
              <w:t>456,8%</w:t>
            </w:r>
          </w:p>
        </w:tc>
        <w:tc>
          <w:tcPr>
            <w:tcW w:w="932" w:type="dxa"/>
            <w:shd w:val="clear" w:color="auto" w:fill="BEBEBE"/>
          </w:tcPr>
          <w:p>
            <w:pPr>
              <w:pStyle w:val="TableParagraph"/>
              <w:spacing w:before="30"/>
              <w:ind w:left="152"/>
              <w:rPr>
                <w:sz w:val="20"/>
              </w:rPr>
            </w:pPr>
            <w:r>
              <w:rPr>
                <w:spacing w:val="-2"/>
                <w:sz w:val="20"/>
              </w:rPr>
              <w:t>456,0%</w:t>
            </w:r>
          </w:p>
        </w:tc>
        <w:tc>
          <w:tcPr>
            <w:tcW w:w="949" w:type="dxa"/>
            <w:shd w:val="clear" w:color="auto" w:fill="BEBEBE"/>
          </w:tcPr>
          <w:p>
            <w:pPr>
              <w:pStyle w:val="TableParagraph"/>
              <w:spacing w:before="30"/>
              <w:ind w:left="102" w:right="107"/>
              <w:jc w:val="center"/>
              <w:rPr>
                <w:sz w:val="20"/>
              </w:rPr>
            </w:pPr>
            <w:r>
              <w:rPr>
                <w:spacing w:val="-2"/>
                <w:sz w:val="20"/>
              </w:rPr>
              <w:t>474,4%</w:t>
            </w:r>
          </w:p>
        </w:tc>
      </w:tr>
      <w:tr>
        <w:trPr>
          <w:trHeight w:val="369" w:hRule="atLeast"/>
        </w:trPr>
        <w:tc>
          <w:tcPr>
            <w:tcW w:w="4013" w:type="dxa"/>
            <w:shd w:val="clear" w:color="auto" w:fill="C0C0C0"/>
          </w:tcPr>
          <w:p>
            <w:pPr>
              <w:pStyle w:val="TableParagraph"/>
              <w:spacing w:before="147"/>
              <w:ind w:left="220"/>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c>
          <w:tcPr>
            <w:tcW w:w="872" w:type="dxa"/>
            <w:shd w:val="clear" w:color="auto" w:fill="C0C0C0"/>
          </w:tcPr>
          <w:p>
            <w:pPr>
              <w:pStyle w:val="TableParagraph"/>
              <w:rPr>
                <w:sz w:val="16"/>
              </w:rPr>
            </w:pPr>
          </w:p>
        </w:tc>
        <w:tc>
          <w:tcPr>
            <w:tcW w:w="852" w:type="dxa"/>
            <w:shd w:val="clear" w:color="auto" w:fill="C0C0C0"/>
          </w:tcPr>
          <w:p>
            <w:pPr>
              <w:pStyle w:val="TableParagraph"/>
              <w:rPr>
                <w:sz w:val="16"/>
              </w:rPr>
            </w:pPr>
          </w:p>
        </w:tc>
        <w:tc>
          <w:tcPr>
            <w:tcW w:w="887" w:type="dxa"/>
            <w:shd w:val="clear" w:color="auto" w:fill="C0C0C0"/>
          </w:tcPr>
          <w:p>
            <w:pPr>
              <w:pStyle w:val="TableParagraph"/>
              <w:rPr>
                <w:sz w:val="16"/>
              </w:rPr>
            </w:pPr>
          </w:p>
        </w:tc>
        <w:tc>
          <w:tcPr>
            <w:tcW w:w="932" w:type="dxa"/>
            <w:shd w:val="clear" w:color="auto" w:fill="C0C0C0"/>
          </w:tcPr>
          <w:p>
            <w:pPr>
              <w:pStyle w:val="TableParagraph"/>
              <w:rPr>
                <w:sz w:val="16"/>
              </w:rPr>
            </w:pPr>
          </w:p>
        </w:tc>
        <w:tc>
          <w:tcPr>
            <w:tcW w:w="949" w:type="dxa"/>
            <w:shd w:val="clear" w:color="auto" w:fill="C0C0C0"/>
          </w:tcPr>
          <w:p>
            <w:pPr>
              <w:pStyle w:val="TableParagraph"/>
              <w:rPr>
                <w:sz w:val="16"/>
              </w:rPr>
            </w:pPr>
          </w:p>
        </w:tc>
      </w:tr>
    </w:tbl>
    <w:p>
      <w:pPr>
        <w:pStyle w:val="BodyText"/>
        <w:spacing w:before="183"/>
        <w:rPr>
          <w:sz w:val="20"/>
        </w:rPr>
      </w:pPr>
      <w:r>
        <w:rPr>
          <w:sz w:val="20"/>
        </w:rPr>
        <mc:AlternateContent>
          <mc:Choice Requires="wps">
            <w:drawing>
              <wp:anchor distT="0" distB="0" distL="0" distR="0" allowOverlap="1" layoutInCell="1" locked="0" behindDoc="1" simplePos="0" relativeHeight="487648768">
                <wp:simplePos x="0" y="0"/>
                <wp:positionH relativeFrom="page">
                  <wp:posOffset>1009192</wp:posOffset>
                </wp:positionH>
                <wp:positionV relativeFrom="paragraph">
                  <wp:posOffset>277875</wp:posOffset>
                </wp:positionV>
                <wp:extent cx="2661285" cy="601980"/>
                <wp:effectExtent l="0" t="0" r="0" b="0"/>
                <wp:wrapTopAndBottom/>
                <wp:docPr id="583" name="Textbox 583"/>
                <wp:cNvGraphicFramePr>
                  <a:graphicFrameLocks/>
                </wp:cNvGraphicFramePr>
                <a:graphic>
                  <a:graphicData uri="http://schemas.microsoft.com/office/word/2010/wordprocessingShape">
                    <wps:wsp>
                      <wps:cNvPr id="583" name="Textbox 583"/>
                      <wps:cNvSpPr txBox="1"/>
                      <wps:spPr>
                        <a:xfrm>
                          <a:off x="0" y="0"/>
                          <a:ext cx="2661285" cy="601980"/>
                        </a:xfrm>
                        <a:prstGeom prst="rect">
                          <a:avLst/>
                        </a:prstGeom>
                        <a:solidFill>
                          <a:srgbClr val="1F487C"/>
                        </a:solidFill>
                      </wps:spPr>
                      <wps:txbx>
                        <w:txbxContent>
                          <w:p>
                            <w:pPr>
                              <w:spacing w:before="60"/>
                              <w:ind w:left="112" w:right="110" w:firstLine="0"/>
                              <w:jc w:val="left"/>
                              <w:rPr>
                                <w:b/>
                                <w:color w:val="000000"/>
                                <w:sz w:val="18"/>
                              </w:rPr>
                            </w:pPr>
                            <w:r>
                              <w:rPr>
                                <w:b/>
                                <w:color w:val="FFFFFF"/>
                                <w:sz w:val="18"/>
                              </w:rPr>
                              <w:t>Δ</w:t>
                            </w:r>
                            <w:r>
                              <w:rPr>
                                <w:b/>
                                <w:smallCaps/>
                                <w:color w:val="FFFFFF"/>
                                <w:sz w:val="18"/>
                              </w:rPr>
                              <w:t>ι</w:t>
                            </w:r>
                            <w:r>
                              <w:rPr>
                                <w:b/>
                                <w:smallCaps w:val="0"/>
                                <w:color w:val="FFFFFF"/>
                                <w:sz w:val="18"/>
                              </w:rPr>
                              <w:t>άγραμμα V.5 Συνολ</w:t>
                            </w:r>
                            <w:r>
                              <w:rPr>
                                <w:b/>
                                <w:smallCaps/>
                                <w:color w:val="FFFFFF"/>
                                <w:sz w:val="18"/>
                              </w:rPr>
                              <w:t>ι</w:t>
                            </w:r>
                            <w:r>
                              <w:rPr>
                                <w:b/>
                                <w:smallCaps w:val="0"/>
                                <w:color w:val="FFFFFF"/>
                                <w:sz w:val="18"/>
                              </w:rPr>
                              <w:t>κή Κεφαλα</w:t>
                            </w:r>
                            <w:r>
                              <w:rPr>
                                <w:b/>
                                <w:smallCaps/>
                                <w:color w:val="FFFFFF"/>
                                <w:sz w:val="18"/>
                              </w:rPr>
                              <w:t>ι</w:t>
                            </w:r>
                            <w:r>
                              <w:rPr>
                                <w:b/>
                                <w:smallCaps w:val="0"/>
                                <w:color w:val="FFFFFF"/>
                                <w:sz w:val="18"/>
                              </w:rPr>
                              <w:t>ακή Απαίτηση Φερεγγυότητας κα</w:t>
                            </w:r>
                            <w:r>
                              <w:rPr>
                                <w:b/>
                                <w:smallCaps/>
                                <w:color w:val="FFFFFF"/>
                                <w:sz w:val="18"/>
                              </w:rPr>
                              <w:t>ι</w:t>
                            </w:r>
                            <w:r>
                              <w:rPr>
                                <w:b/>
                                <w:smallCaps w:val="0"/>
                                <w:color w:val="FFFFFF"/>
                                <w:sz w:val="18"/>
                              </w:rPr>
                              <w:t> Επ</w:t>
                            </w:r>
                            <w:r>
                              <w:rPr>
                                <w:b/>
                                <w:smallCaps/>
                                <w:color w:val="FFFFFF"/>
                                <w:sz w:val="18"/>
                              </w:rPr>
                              <w:t>ι</w:t>
                            </w:r>
                            <w:r>
                              <w:rPr>
                                <w:b/>
                                <w:smallCaps w:val="0"/>
                                <w:color w:val="FFFFFF"/>
                                <w:sz w:val="18"/>
                              </w:rPr>
                              <w:t>λέξ</w:t>
                            </w:r>
                            <w:r>
                              <w:rPr>
                                <w:b/>
                                <w:smallCaps/>
                                <w:color w:val="FFFFFF"/>
                                <w:sz w:val="18"/>
                              </w:rPr>
                              <w:t>ι</w:t>
                            </w:r>
                            <w:r>
                              <w:rPr>
                                <w:b/>
                                <w:smallCaps w:val="0"/>
                                <w:color w:val="FFFFFF"/>
                                <w:sz w:val="18"/>
                              </w:rPr>
                              <w:t>μα Ίδ</w:t>
                            </w:r>
                            <w:r>
                              <w:rPr>
                                <w:b/>
                                <w:smallCaps/>
                                <w:color w:val="FFFFFF"/>
                                <w:sz w:val="18"/>
                              </w:rPr>
                              <w:t>ι</w:t>
                            </w:r>
                            <w:r>
                              <w:rPr>
                                <w:b/>
                                <w:smallCaps w:val="0"/>
                                <w:color w:val="FFFFFF"/>
                                <w:sz w:val="18"/>
                              </w:rPr>
                              <w:t>α Κεφάλα</w:t>
                            </w:r>
                            <w:r>
                              <w:rPr>
                                <w:b/>
                                <w:smallCaps/>
                                <w:color w:val="FFFFFF"/>
                                <w:sz w:val="18"/>
                              </w:rPr>
                              <w:t>ι</w:t>
                            </w:r>
                            <w:r>
                              <w:rPr>
                                <w:b/>
                                <w:smallCaps w:val="0"/>
                                <w:color w:val="FFFFFF"/>
                                <w:sz w:val="18"/>
                              </w:rPr>
                              <w:t>α γ</w:t>
                            </w:r>
                            <w:r>
                              <w:rPr>
                                <w:b/>
                                <w:smallCaps/>
                                <w:color w:val="FFFFFF"/>
                                <w:sz w:val="18"/>
                              </w:rPr>
                              <w:t>ι</w:t>
                            </w:r>
                            <w:r>
                              <w:rPr>
                                <w:b/>
                                <w:smallCaps w:val="0"/>
                                <w:color w:val="FFFFFF"/>
                                <w:sz w:val="18"/>
                              </w:rPr>
                              <w:t>α την</w:t>
                            </w:r>
                            <w:r>
                              <w:rPr>
                                <w:b/>
                                <w:smallCaps w:val="0"/>
                                <w:color w:val="FFFFFF"/>
                                <w:spacing w:val="-5"/>
                                <w:sz w:val="18"/>
                              </w:rPr>
                              <w:t> </w:t>
                            </w:r>
                            <w:r>
                              <w:rPr>
                                <w:b/>
                                <w:smallCaps w:val="0"/>
                                <w:color w:val="FFFFFF"/>
                                <w:sz w:val="18"/>
                              </w:rPr>
                              <w:t>κάλυψη</w:t>
                            </w:r>
                            <w:r>
                              <w:rPr>
                                <w:b/>
                                <w:smallCaps w:val="0"/>
                                <w:color w:val="FFFFFF"/>
                                <w:spacing w:val="-6"/>
                                <w:sz w:val="18"/>
                              </w:rPr>
                              <w:t> </w:t>
                            </w:r>
                            <w:r>
                              <w:rPr>
                                <w:b/>
                                <w:smallCaps w:val="0"/>
                                <w:color w:val="FFFFFF"/>
                                <w:sz w:val="18"/>
                              </w:rPr>
                              <w:t>του</w:t>
                            </w:r>
                            <w:r>
                              <w:rPr>
                                <w:b/>
                                <w:smallCaps w:val="0"/>
                                <w:color w:val="FFFFFF"/>
                                <w:spacing w:val="-6"/>
                                <w:sz w:val="18"/>
                              </w:rPr>
                              <w:t> </w:t>
                            </w:r>
                            <w:r>
                              <w:rPr>
                                <w:b/>
                                <w:smallCaps w:val="0"/>
                                <w:color w:val="FFFFFF"/>
                                <w:sz w:val="18"/>
                              </w:rPr>
                              <w:t>SCR</w:t>
                            </w:r>
                            <w:r>
                              <w:rPr>
                                <w:b/>
                                <w:smallCaps w:val="0"/>
                                <w:color w:val="FFFFFF"/>
                                <w:spacing w:val="-5"/>
                                <w:sz w:val="18"/>
                              </w:rPr>
                              <w:t> </w:t>
                            </w:r>
                            <w:r>
                              <w:rPr>
                                <w:b/>
                                <w:smallCaps w:val="0"/>
                                <w:color w:val="FFFFFF"/>
                                <w:sz w:val="18"/>
                              </w:rPr>
                              <w:t>ανά</w:t>
                            </w:r>
                            <w:r>
                              <w:rPr>
                                <w:b/>
                                <w:smallCaps w:val="0"/>
                                <w:color w:val="FFFFFF"/>
                                <w:spacing w:val="-4"/>
                                <w:sz w:val="18"/>
                              </w:rPr>
                              <w:t> </w:t>
                            </w:r>
                            <w:r>
                              <w:rPr>
                                <w:b/>
                                <w:smallCaps w:val="0"/>
                                <w:color w:val="FFFFFF"/>
                                <w:sz w:val="18"/>
                              </w:rPr>
                              <w:t>κλάδο</w:t>
                            </w:r>
                            <w:r>
                              <w:rPr>
                                <w:b/>
                                <w:smallCaps w:val="0"/>
                                <w:color w:val="FFFFFF"/>
                                <w:spacing w:val="-4"/>
                                <w:sz w:val="18"/>
                              </w:rPr>
                              <w:t> </w:t>
                            </w:r>
                            <w:r>
                              <w:rPr>
                                <w:b/>
                                <w:smallCaps w:val="0"/>
                                <w:color w:val="FFFFFF"/>
                                <w:sz w:val="18"/>
                              </w:rPr>
                              <w:t>ασφαλ</w:t>
                            </w:r>
                            <w:r>
                              <w:rPr>
                                <w:b/>
                                <w:smallCaps/>
                                <w:color w:val="FFFFFF"/>
                                <w:sz w:val="18"/>
                              </w:rPr>
                              <w:t>ι</w:t>
                            </w:r>
                            <w:r>
                              <w:rPr>
                                <w:b/>
                                <w:smallCaps w:val="0"/>
                                <w:color w:val="FFFFFF"/>
                                <w:sz w:val="18"/>
                              </w:rPr>
                              <w:t>στ</w:t>
                            </w:r>
                            <w:r>
                              <w:rPr>
                                <w:b/>
                                <w:smallCaps/>
                                <w:color w:val="FFFFFF"/>
                                <w:sz w:val="18"/>
                              </w:rPr>
                              <w:t>ι</w:t>
                            </w:r>
                            <w:r>
                              <w:rPr>
                                <w:b/>
                                <w:smallCaps w:val="0"/>
                                <w:color w:val="FFFFFF"/>
                                <w:sz w:val="18"/>
                              </w:rPr>
                              <w:t>κών</w:t>
                            </w:r>
                            <w:r>
                              <w:rPr>
                                <w:b/>
                                <w:smallCaps w:val="0"/>
                                <w:color w:val="FFFFFF"/>
                                <w:spacing w:val="-4"/>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 (2025)</w:t>
                            </w:r>
                          </w:p>
                        </w:txbxContent>
                      </wps:txbx>
                      <wps:bodyPr wrap="square" lIns="0" tIns="0" rIns="0" bIns="0" rtlCol="0">
                        <a:noAutofit/>
                      </wps:bodyPr>
                    </wps:wsp>
                  </a:graphicData>
                </a:graphic>
              </wp:anchor>
            </w:drawing>
          </mc:Choice>
          <mc:Fallback>
            <w:pict>
              <v:shape style="position:absolute;margin-left:79.463997pt;margin-top:21.879999pt;width:209.55pt;height:47.4pt;mso-position-horizontal-relative:page;mso-position-vertical-relative:paragraph;z-index:-15667712;mso-wrap-distance-left:0;mso-wrap-distance-right:0" type="#_x0000_t202" id="docshape551" filled="true" fillcolor="#1f487c" stroked="false">
                <v:textbox inset="0,0,0,0">
                  <w:txbxContent>
                    <w:p>
                      <w:pPr>
                        <w:spacing w:before="60"/>
                        <w:ind w:left="112" w:right="110" w:firstLine="0"/>
                        <w:jc w:val="left"/>
                        <w:rPr>
                          <w:b/>
                          <w:color w:val="000000"/>
                          <w:sz w:val="18"/>
                        </w:rPr>
                      </w:pPr>
                      <w:r>
                        <w:rPr>
                          <w:b/>
                          <w:color w:val="FFFFFF"/>
                          <w:sz w:val="18"/>
                        </w:rPr>
                        <w:t>Δ</w:t>
                      </w:r>
                      <w:r>
                        <w:rPr>
                          <w:b/>
                          <w:smallCaps/>
                          <w:color w:val="FFFFFF"/>
                          <w:sz w:val="18"/>
                        </w:rPr>
                        <w:t>ι</w:t>
                      </w:r>
                      <w:r>
                        <w:rPr>
                          <w:b/>
                          <w:smallCaps w:val="0"/>
                          <w:color w:val="FFFFFF"/>
                          <w:sz w:val="18"/>
                        </w:rPr>
                        <w:t>άγραμμα V.5 Συνολ</w:t>
                      </w:r>
                      <w:r>
                        <w:rPr>
                          <w:b/>
                          <w:smallCaps/>
                          <w:color w:val="FFFFFF"/>
                          <w:sz w:val="18"/>
                        </w:rPr>
                        <w:t>ι</w:t>
                      </w:r>
                      <w:r>
                        <w:rPr>
                          <w:b/>
                          <w:smallCaps w:val="0"/>
                          <w:color w:val="FFFFFF"/>
                          <w:sz w:val="18"/>
                        </w:rPr>
                        <w:t>κή Κεφαλα</w:t>
                      </w:r>
                      <w:r>
                        <w:rPr>
                          <w:b/>
                          <w:smallCaps/>
                          <w:color w:val="FFFFFF"/>
                          <w:sz w:val="18"/>
                        </w:rPr>
                        <w:t>ι</w:t>
                      </w:r>
                      <w:r>
                        <w:rPr>
                          <w:b/>
                          <w:smallCaps w:val="0"/>
                          <w:color w:val="FFFFFF"/>
                          <w:sz w:val="18"/>
                        </w:rPr>
                        <w:t>ακή Απαίτηση Φερεγγυότητας κα</w:t>
                      </w:r>
                      <w:r>
                        <w:rPr>
                          <w:b/>
                          <w:smallCaps/>
                          <w:color w:val="FFFFFF"/>
                          <w:sz w:val="18"/>
                        </w:rPr>
                        <w:t>ι</w:t>
                      </w:r>
                      <w:r>
                        <w:rPr>
                          <w:b/>
                          <w:smallCaps w:val="0"/>
                          <w:color w:val="FFFFFF"/>
                          <w:sz w:val="18"/>
                        </w:rPr>
                        <w:t> Επ</w:t>
                      </w:r>
                      <w:r>
                        <w:rPr>
                          <w:b/>
                          <w:smallCaps/>
                          <w:color w:val="FFFFFF"/>
                          <w:sz w:val="18"/>
                        </w:rPr>
                        <w:t>ι</w:t>
                      </w:r>
                      <w:r>
                        <w:rPr>
                          <w:b/>
                          <w:smallCaps w:val="0"/>
                          <w:color w:val="FFFFFF"/>
                          <w:sz w:val="18"/>
                        </w:rPr>
                        <w:t>λέξ</w:t>
                      </w:r>
                      <w:r>
                        <w:rPr>
                          <w:b/>
                          <w:smallCaps/>
                          <w:color w:val="FFFFFF"/>
                          <w:sz w:val="18"/>
                        </w:rPr>
                        <w:t>ι</w:t>
                      </w:r>
                      <w:r>
                        <w:rPr>
                          <w:b/>
                          <w:smallCaps w:val="0"/>
                          <w:color w:val="FFFFFF"/>
                          <w:sz w:val="18"/>
                        </w:rPr>
                        <w:t>μα Ίδ</w:t>
                      </w:r>
                      <w:r>
                        <w:rPr>
                          <w:b/>
                          <w:smallCaps/>
                          <w:color w:val="FFFFFF"/>
                          <w:sz w:val="18"/>
                        </w:rPr>
                        <w:t>ι</w:t>
                      </w:r>
                      <w:r>
                        <w:rPr>
                          <w:b/>
                          <w:smallCaps w:val="0"/>
                          <w:color w:val="FFFFFF"/>
                          <w:sz w:val="18"/>
                        </w:rPr>
                        <w:t>α Κεφάλα</w:t>
                      </w:r>
                      <w:r>
                        <w:rPr>
                          <w:b/>
                          <w:smallCaps/>
                          <w:color w:val="FFFFFF"/>
                          <w:sz w:val="18"/>
                        </w:rPr>
                        <w:t>ι</w:t>
                      </w:r>
                      <w:r>
                        <w:rPr>
                          <w:b/>
                          <w:smallCaps w:val="0"/>
                          <w:color w:val="FFFFFF"/>
                          <w:sz w:val="18"/>
                        </w:rPr>
                        <w:t>α γ</w:t>
                      </w:r>
                      <w:r>
                        <w:rPr>
                          <w:b/>
                          <w:smallCaps/>
                          <w:color w:val="FFFFFF"/>
                          <w:sz w:val="18"/>
                        </w:rPr>
                        <w:t>ι</w:t>
                      </w:r>
                      <w:r>
                        <w:rPr>
                          <w:b/>
                          <w:smallCaps w:val="0"/>
                          <w:color w:val="FFFFFF"/>
                          <w:sz w:val="18"/>
                        </w:rPr>
                        <w:t>α την</w:t>
                      </w:r>
                      <w:r>
                        <w:rPr>
                          <w:b/>
                          <w:smallCaps w:val="0"/>
                          <w:color w:val="FFFFFF"/>
                          <w:spacing w:val="-5"/>
                          <w:sz w:val="18"/>
                        </w:rPr>
                        <w:t> </w:t>
                      </w:r>
                      <w:r>
                        <w:rPr>
                          <w:b/>
                          <w:smallCaps w:val="0"/>
                          <w:color w:val="FFFFFF"/>
                          <w:sz w:val="18"/>
                        </w:rPr>
                        <w:t>κάλυψη</w:t>
                      </w:r>
                      <w:r>
                        <w:rPr>
                          <w:b/>
                          <w:smallCaps w:val="0"/>
                          <w:color w:val="FFFFFF"/>
                          <w:spacing w:val="-6"/>
                          <w:sz w:val="18"/>
                        </w:rPr>
                        <w:t> </w:t>
                      </w:r>
                      <w:r>
                        <w:rPr>
                          <w:b/>
                          <w:smallCaps w:val="0"/>
                          <w:color w:val="FFFFFF"/>
                          <w:sz w:val="18"/>
                        </w:rPr>
                        <w:t>του</w:t>
                      </w:r>
                      <w:r>
                        <w:rPr>
                          <w:b/>
                          <w:smallCaps w:val="0"/>
                          <w:color w:val="FFFFFF"/>
                          <w:spacing w:val="-6"/>
                          <w:sz w:val="18"/>
                        </w:rPr>
                        <w:t> </w:t>
                      </w:r>
                      <w:r>
                        <w:rPr>
                          <w:b/>
                          <w:smallCaps w:val="0"/>
                          <w:color w:val="FFFFFF"/>
                          <w:sz w:val="18"/>
                        </w:rPr>
                        <w:t>SCR</w:t>
                      </w:r>
                      <w:r>
                        <w:rPr>
                          <w:b/>
                          <w:smallCaps w:val="0"/>
                          <w:color w:val="FFFFFF"/>
                          <w:spacing w:val="-5"/>
                          <w:sz w:val="18"/>
                        </w:rPr>
                        <w:t> </w:t>
                      </w:r>
                      <w:r>
                        <w:rPr>
                          <w:b/>
                          <w:smallCaps w:val="0"/>
                          <w:color w:val="FFFFFF"/>
                          <w:sz w:val="18"/>
                        </w:rPr>
                        <w:t>ανά</w:t>
                      </w:r>
                      <w:r>
                        <w:rPr>
                          <w:b/>
                          <w:smallCaps w:val="0"/>
                          <w:color w:val="FFFFFF"/>
                          <w:spacing w:val="-4"/>
                          <w:sz w:val="18"/>
                        </w:rPr>
                        <w:t> </w:t>
                      </w:r>
                      <w:r>
                        <w:rPr>
                          <w:b/>
                          <w:smallCaps w:val="0"/>
                          <w:color w:val="FFFFFF"/>
                          <w:sz w:val="18"/>
                        </w:rPr>
                        <w:t>κλάδο</w:t>
                      </w:r>
                      <w:r>
                        <w:rPr>
                          <w:b/>
                          <w:smallCaps w:val="0"/>
                          <w:color w:val="FFFFFF"/>
                          <w:spacing w:val="-4"/>
                          <w:sz w:val="18"/>
                        </w:rPr>
                        <w:t> </w:t>
                      </w:r>
                      <w:r>
                        <w:rPr>
                          <w:b/>
                          <w:smallCaps w:val="0"/>
                          <w:color w:val="FFFFFF"/>
                          <w:sz w:val="18"/>
                        </w:rPr>
                        <w:t>ασφαλ</w:t>
                      </w:r>
                      <w:r>
                        <w:rPr>
                          <w:b/>
                          <w:smallCaps/>
                          <w:color w:val="FFFFFF"/>
                          <w:sz w:val="18"/>
                        </w:rPr>
                        <w:t>ι</w:t>
                      </w:r>
                      <w:r>
                        <w:rPr>
                          <w:b/>
                          <w:smallCaps w:val="0"/>
                          <w:color w:val="FFFFFF"/>
                          <w:sz w:val="18"/>
                        </w:rPr>
                        <w:t>στ</w:t>
                      </w:r>
                      <w:r>
                        <w:rPr>
                          <w:b/>
                          <w:smallCaps/>
                          <w:color w:val="FFFFFF"/>
                          <w:sz w:val="18"/>
                        </w:rPr>
                        <w:t>ι</w:t>
                      </w:r>
                      <w:r>
                        <w:rPr>
                          <w:b/>
                          <w:smallCaps w:val="0"/>
                          <w:color w:val="FFFFFF"/>
                          <w:sz w:val="18"/>
                        </w:rPr>
                        <w:t>κών</w:t>
                      </w:r>
                      <w:r>
                        <w:rPr>
                          <w:b/>
                          <w:smallCaps w:val="0"/>
                          <w:color w:val="FFFFFF"/>
                          <w:spacing w:val="-4"/>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 (2025)</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49280">
                <wp:simplePos x="0" y="0"/>
                <wp:positionH relativeFrom="page">
                  <wp:posOffset>3745103</wp:posOffset>
                </wp:positionH>
                <wp:positionV relativeFrom="paragraph">
                  <wp:posOffset>277875</wp:posOffset>
                </wp:positionV>
                <wp:extent cx="2665095" cy="601980"/>
                <wp:effectExtent l="0" t="0" r="0" b="0"/>
                <wp:wrapTopAndBottom/>
                <wp:docPr id="584" name="Group 584"/>
                <wp:cNvGraphicFramePr>
                  <a:graphicFrameLocks/>
                </wp:cNvGraphicFramePr>
                <a:graphic>
                  <a:graphicData uri="http://schemas.microsoft.com/office/word/2010/wordprocessingGroup">
                    <wpg:wgp>
                      <wpg:cNvPr id="584" name="Group 584"/>
                      <wpg:cNvGrpSpPr/>
                      <wpg:grpSpPr>
                        <a:xfrm>
                          <a:off x="0" y="0"/>
                          <a:ext cx="2665095" cy="601980"/>
                          <a:chExt cx="2665095" cy="601980"/>
                        </a:xfrm>
                      </wpg:grpSpPr>
                      <wps:wsp>
                        <wps:cNvPr id="585" name="Graphic 585"/>
                        <wps:cNvSpPr/>
                        <wps:spPr>
                          <a:xfrm>
                            <a:off x="0" y="0"/>
                            <a:ext cx="2665095" cy="601980"/>
                          </a:xfrm>
                          <a:custGeom>
                            <a:avLst/>
                            <a:gdLst/>
                            <a:ahLst/>
                            <a:cxnLst/>
                            <a:rect l="l" t="t" r="r" b="b"/>
                            <a:pathLst>
                              <a:path w="2665095" h="601980">
                                <a:moveTo>
                                  <a:pt x="2664587" y="0"/>
                                </a:moveTo>
                                <a:lnTo>
                                  <a:pt x="0" y="0"/>
                                </a:lnTo>
                                <a:lnTo>
                                  <a:pt x="0" y="601979"/>
                                </a:lnTo>
                                <a:lnTo>
                                  <a:pt x="2664587" y="601979"/>
                                </a:lnTo>
                                <a:lnTo>
                                  <a:pt x="2664587" y="0"/>
                                </a:lnTo>
                                <a:close/>
                              </a:path>
                            </a:pathLst>
                          </a:custGeom>
                          <a:solidFill>
                            <a:srgbClr val="1F487C"/>
                          </a:solidFill>
                        </wps:spPr>
                        <wps:bodyPr wrap="square" lIns="0" tIns="0" rIns="0" bIns="0" rtlCol="0">
                          <a:prstTxWarp prst="textNoShape">
                            <a:avLst/>
                          </a:prstTxWarp>
                          <a:noAutofit/>
                        </wps:bodyPr>
                      </wps:wsp>
                      <wps:wsp>
                        <wps:cNvPr id="586" name="Textbox 586"/>
                        <wps:cNvSpPr txBox="1"/>
                        <wps:spPr>
                          <a:xfrm>
                            <a:off x="0" y="0"/>
                            <a:ext cx="2665095" cy="601980"/>
                          </a:xfrm>
                          <a:prstGeom prst="rect">
                            <a:avLst/>
                          </a:prstGeom>
                        </wps:spPr>
                        <wps:txbx>
                          <w:txbxContent>
                            <w:p>
                              <w:pPr>
                                <w:spacing w:before="60"/>
                                <w:ind w:left="112" w:right="43" w:firstLine="0"/>
                                <w:jc w:val="left"/>
                                <w:rPr>
                                  <w:b/>
                                  <w:sz w:val="18"/>
                                </w:rPr>
                              </w:pPr>
                              <w:r>
                                <w:rPr>
                                  <w:b/>
                                  <w:color w:val="FFFFFF"/>
                                  <w:sz w:val="18"/>
                                </w:rPr>
                                <w:t>Δ</w:t>
                              </w:r>
                              <w:r>
                                <w:rPr>
                                  <w:b/>
                                  <w:smallCaps/>
                                  <w:color w:val="FFFFFF"/>
                                  <w:sz w:val="18"/>
                                </w:rPr>
                                <w:t>ι</w:t>
                              </w:r>
                              <w:r>
                                <w:rPr>
                                  <w:b/>
                                  <w:smallCaps w:val="0"/>
                                  <w:color w:val="FFFFFF"/>
                                  <w:sz w:val="18"/>
                                </w:rPr>
                                <w:t>άγραμμα V.6 Ελάχ</w:t>
                              </w:r>
                              <w:r>
                                <w:rPr>
                                  <w:b/>
                                  <w:smallCaps/>
                                  <w:color w:val="FFFFFF"/>
                                  <w:sz w:val="18"/>
                                </w:rPr>
                                <w:t>ι</w:t>
                              </w:r>
                              <w:r>
                                <w:rPr>
                                  <w:b/>
                                  <w:smallCaps w:val="0"/>
                                  <w:color w:val="FFFFFF"/>
                                  <w:sz w:val="18"/>
                                </w:rPr>
                                <w:t>στη Κεφαλα</w:t>
                              </w:r>
                              <w:r>
                                <w:rPr>
                                  <w:b/>
                                  <w:smallCaps/>
                                  <w:color w:val="FFFFFF"/>
                                  <w:sz w:val="18"/>
                                </w:rPr>
                                <w:t>ι</w:t>
                              </w:r>
                              <w:r>
                                <w:rPr>
                                  <w:b/>
                                  <w:smallCaps w:val="0"/>
                                  <w:color w:val="FFFFFF"/>
                                  <w:sz w:val="18"/>
                                </w:rPr>
                                <w:t>ακή Απαίτηση Φερεγγυότητας κα</w:t>
                              </w:r>
                              <w:r>
                                <w:rPr>
                                  <w:b/>
                                  <w:smallCaps/>
                                  <w:color w:val="FFFFFF"/>
                                  <w:sz w:val="18"/>
                                </w:rPr>
                                <w:t>ι</w:t>
                              </w:r>
                              <w:r>
                                <w:rPr>
                                  <w:b/>
                                  <w:smallCaps w:val="0"/>
                                  <w:color w:val="FFFFFF"/>
                                  <w:sz w:val="18"/>
                                </w:rPr>
                                <w:t> Επ</w:t>
                              </w:r>
                              <w:r>
                                <w:rPr>
                                  <w:b/>
                                  <w:smallCaps/>
                                  <w:color w:val="FFFFFF"/>
                                  <w:sz w:val="18"/>
                                </w:rPr>
                                <w:t>ι</w:t>
                              </w:r>
                              <w:r>
                                <w:rPr>
                                  <w:b/>
                                  <w:smallCaps w:val="0"/>
                                  <w:color w:val="FFFFFF"/>
                                  <w:sz w:val="18"/>
                                </w:rPr>
                                <w:t>λέξ</w:t>
                              </w:r>
                              <w:r>
                                <w:rPr>
                                  <w:b/>
                                  <w:smallCaps/>
                                  <w:color w:val="FFFFFF"/>
                                  <w:sz w:val="18"/>
                                </w:rPr>
                                <w:t>ι</w:t>
                              </w:r>
                              <w:r>
                                <w:rPr>
                                  <w:b/>
                                  <w:smallCaps w:val="0"/>
                                  <w:color w:val="FFFFFF"/>
                                  <w:sz w:val="18"/>
                                </w:rPr>
                                <w:t>μα Ίδ</w:t>
                              </w:r>
                              <w:r>
                                <w:rPr>
                                  <w:b/>
                                  <w:smallCaps/>
                                  <w:color w:val="FFFFFF"/>
                                  <w:sz w:val="18"/>
                                </w:rPr>
                                <w:t>ι</w:t>
                              </w:r>
                              <w:r>
                                <w:rPr>
                                  <w:b/>
                                  <w:smallCaps w:val="0"/>
                                  <w:color w:val="FFFFFF"/>
                                  <w:sz w:val="18"/>
                                </w:rPr>
                                <w:t>α Κεφάλα</w:t>
                              </w:r>
                              <w:r>
                                <w:rPr>
                                  <w:b/>
                                  <w:smallCaps/>
                                  <w:color w:val="FFFFFF"/>
                                  <w:sz w:val="18"/>
                                </w:rPr>
                                <w:t>ι</w:t>
                              </w:r>
                              <w:r>
                                <w:rPr>
                                  <w:b/>
                                  <w:smallCaps w:val="0"/>
                                  <w:color w:val="FFFFFF"/>
                                  <w:sz w:val="18"/>
                                </w:rPr>
                                <w:t>α γ</w:t>
                              </w:r>
                              <w:r>
                                <w:rPr>
                                  <w:b/>
                                  <w:smallCaps/>
                                  <w:color w:val="FFFFFF"/>
                                  <w:sz w:val="18"/>
                                </w:rPr>
                                <w:t>ι</w:t>
                              </w:r>
                              <w:r>
                                <w:rPr>
                                  <w:b/>
                                  <w:smallCaps w:val="0"/>
                                  <w:color w:val="FFFFFF"/>
                                  <w:sz w:val="18"/>
                                </w:rPr>
                                <w:t>α την</w:t>
                              </w:r>
                              <w:r>
                                <w:rPr>
                                  <w:b/>
                                  <w:smallCaps w:val="0"/>
                                  <w:color w:val="FFFFFF"/>
                                  <w:spacing w:val="-5"/>
                                  <w:sz w:val="18"/>
                                </w:rPr>
                                <w:t> </w:t>
                              </w:r>
                              <w:r>
                                <w:rPr>
                                  <w:b/>
                                  <w:smallCaps w:val="0"/>
                                  <w:color w:val="FFFFFF"/>
                                  <w:sz w:val="18"/>
                                </w:rPr>
                                <w:t>κάλυψη</w:t>
                              </w:r>
                              <w:r>
                                <w:rPr>
                                  <w:b/>
                                  <w:smallCaps w:val="0"/>
                                  <w:color w:val="FFFFFF"/>
                                  <w:spacing w:val="-6"/>
                                  <w:sz w:val="18"/>
                                </w:rPr>
                                <w:t> </w:t>
                              </w:r>
                              <w:r>
                                <w:rPr>
                                  <w:b/>
                                  <w:smallCaps w:val="0"/>
                                  <w:color w:val="FFFFFF"/>
                                  <w:sz w:val="18"/>
                                </w:rPr>
                                <w:t>του</w:t>
                              </w:r>
                              <w:r>
                                <w:rPr>
                                  <w:b/>
                                  <w:smallCaps w:val="0"/>
                                  <w:color w:val="FFFFFF"/>
                                  <w:spacing w:val="-6"/>
                                  <w:sz w:val="18"/>
                                </w:rPr>
                                <w:t> </w:t>
                              </w:r>
                              <w:r>
                                <w:rPr>
                                  <w:b/>
                                  <w:smallCaps w:val="0"/>
                                  <w:color w:val="FFFFFF"/>
                                  <w:sz w:val="18"/>
                                </w:rPr>
                                <w:t>MCR</w:t>
                              </w:r>
                              <w:r>
                                <w:rPr>
                                  <w:b/>
                                  <w:smallCaps w:val="0"/>
                                  <w:color w:val="FFFFFF"/>
                                  <w:spacing w:val="-5"/>
                                  <w:sz w:val="18"/>
                                </w:rPr>
                                <w:t> </w:t>
                              </w:r>
                              <w:r>
                                <w:rPr>
                                  <w:b/>
                                  <w:smallCaps w:val="0"/>
                                  <w:color w:val="FFFFFF"/>
                                  <w:sz w:val="18"/>
                                </w:rPr>
                                <w:t>ανά</w:t>
                              </w:r>
                              <w:r>
                                <w:rPr>
                                  <w:b/>
                                  <w:smallCaps w:val="0"/>
                                  <w:color w:val="FFFFFF"/>
                                  <w:spacing w:val="-6"/>
                                  <w:sz w:val="18"/>
                                </w:rPr>
                                <w:t> </w:t>
                              </w:r>
                              <w:r>
                                <w:rPr>
                                  <w:b/>
                                  <w:smallCaps w:val="0"/>
                                  <w:color w:val="FFFFFF"/>
                                  <w:sz w:val="18"/>
                                </w:rPr>
                                <w:t>κλάδο</w:t>
                              </w:r>
                              <w:r>
                                <w:rPr>
                                  <w:b/>
                                  <w:smallCaps w:val="0"/>
                                  <w:color w:val="FFFFFF"/>
                                  <w:spacing w:val="-3"/>
                                  <w:sz w:val="18"/>
                                </w:rPr>
                                <w:t> </w:t>
                              </w:r>
                              <w:r>
                                <w:rPr>
                                  <w:b/>
                                  <w:smallCaps w:val="0"/>
                                  <w:color w:val="FFFFFF"/>
                                  <w:sz w:val="18"/>
                                </w:rPr>
                                <w:t>ασφαλ</w:t>
                              </w:r>
                              <w:r>
                                <w:rPr>
                                  <w:b/>
                                  <w:smallCaps/>
                                  <w:color w:val="FFFFFF"/>
                                  <w:sz w:val="18"/>
                                </w:rPr>
                                <w:t>ι</w:t>
                              </w:r>
                              <w:r>
                                <w:rPr>
                                  <w:b/>
                                  <w:smallCaps w:val="0"/>
                                  <w:color w:val="FFFFFF"/>
                                  <w:sz w:val="18"/>
                                </w:rPr>
                                <w:t>στ</w:t>
                              </w:r>
                              <w:r>
                                <w:rPr>
                                  <w:b/>
                                  <w:smallCaps/>
                                  <w:color w:val="FFFFFF"/>
                                  <w:sz w:val="18"/>
                                </w:rPr>
                                <w:t>ι</w:t>
                              </w:r>
                              <w:r>
                                <w:rPr>
                                  <w:b/>
                                  <w:smallCaps w:val="0"/>
                                  <w:color w:val="FFFFFF"/>
                                  <w:sz w:val="18"/>
                                </w:rPr>
                                <w:t>κών</w:t>
                              </w:r>
                              <w:r>
                                <w:rPr>
                                  <w:b/>
                                  <w:smallCaps w:val="0"/>
                                  <w:color w:val="FFFFFF"/>
                                  <w:spacing w:val="-3"/>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 (2025)</w:t>
                              </w:r>
                            </w:p>
                          </w:txbxContent>
                        </wps:txbx>
                        <wps:bodyPr wrap="square" lIns="0" tIns="0" rIns="0" bIns="0" rtlCol="0">
                          <a:noAutofit/>
                        </wps:bodyPr>
                      </wps:wsp>
                    </wpg:wgp>
                  </a:graphicData>
                </a:graphic>
              </wp:anchor>
            </w:drawing>
          </mc:Choice>
          <mc:Fallback>
            <w:pict>
              <v:group style="position:absolute;margin-left:294.890015pt;margin-top:21.879999pt;width:209.85pt;height:47.4pt;mso-position-horizontal-relative:page;mso-position-vertical-relative:paragraph;z-index:-15667200;mso-wrap-distance-left:0;mso-wrap-distance-right:0" id="docshapegroup552" coordorigin="5898,438" coordsize="4197,948">
                <v:rect style="position:absolute;left:5897;top:437;width:4197;height:948" id="docshape553" filled="true" fillcolor="#1f487c" stroked="false">
                  <v:fill type="solid"/>
                </v:rect>
                <v:shape style="position:absolute;left:5897;top:437;width:4197;height:948" type="#_x0000_t202" id="docshape554" filled="false" stroked="false">
                  <v:textbox inset="0,0,0,0">
                    <w:txbxContent>
                      <w:p>
                        <w:pPr>
                          <w:spacing w:before="60"/>
                          <w:ind w:left="112" w:right="43" w:firstLine="0"/>
                          <w:jc w:val="left"/>
                          <w:rPr>
                            <w:b/>
                            <w:sz w:val="18"/>
                          </w:rPr>
                        </w:pPr>
                        <w:r>
                          <w:rPr>
                            <w:b/>
                            <w:color w:val="FFFFFF"/>
                            <w:sz w:val="18"/>
                          </w:rPr>
                          <w:t>Δ</w:t>
                        </w:r>
                        <w:r>
                          <w:rPr>
                            <w:b/>
                            <w:smallCaps/>
                            <w:color w:val="FFFFFF"/>
                            <w:sz w:val="18"/>
                          </w:rPr>
                          <w:t>ι</w:t>
                        </w:r>
                        <w:r>
                          <w:rPr>
                            <w:b/>
                            <w:smallCaps w:val="0"/>
                            <w:color w:val="FFFFFF"/>
                            <w:sz w:val="18"/>
                          </w:rPr>
                          <w:t>άγραμμα V.6 Ελάχ</w:t>
                        </w:r>
                        <w:r>
                          <w:rPr>
                            <w:b/>
                            <w:smallCaps/>
                            <w:color w:val="FFFFFF"/>
                            <w:sz w:val="18"/>
                          </w:rPr>
                          <w:t>ι</w:t>
                        </w:r>
                        <w:r>
                          <w:rPr>
                            <w:b/>
                            <w:smallCaps w:val="0"/>
                            <w:color w:val="FFFFFF"/>
                            <w:sz w:val="18"/>
                          </w:rPr>
                          <w:t>στη Κεφαλα</w:t>
                        </w:r>
                        <w:r>
                          <w:rPr>
                            <w:b/>
                            <w:smallCaps/>
                            <w:color w:val="FFFFFF"/>
                            <w:sz w:val="18"/>
                          </w:rPr>
                          <w:t>ι</w:t>
                        </w:r>
                        <w:r>
                          <w:rPr>
                            <w:b/>
                            <w:smallCaps w:val="0"/>
                            <w:color w:val="FFFFFF"/>
                            <w:sz w:val="18"/>
                          </w:rPr>
                          <w:t>ακή Απαίτηση Φερεγγυότητας κα</w:t>
                        </w:r>
                        <w:r>
                          <w:rPr>
                            <w:b/>
                            <w:smallCaps/>
                            <w:color w:val="FFFFFF"/>
                            <w:sz w:val="18"/>
                          </w:rPr>
                          <w:t>ι</w:t>
                        </w:r>
                        <w:r>
                          <w:rPr>
                            <w:b/>
                            <w:smallCaps w:val="0"/>
                            <w:color w:val="FFFFFF"/>
                            <w:sz w:val="18"/>
                          </w:rPr>
                          <w:t> Επ</w:t>
                        </w:r>
                        <w:r>
                          <w:rPr>
                            <w:b/>
                            <w:smallCaps/>
                            <w:color w:val="FFFFFF"/>
                            <w:sz w:val="18"/>
                          </w:rPr>
                          <w:t>ι</w:t>
                        </w:r>
                        <w:r>
                          <w:rPr>
                            <w:b/>
                            <w:smallCaps w:val="0"/>
                            <w:color w:val="FFFFFF"/>
                            <w:sz w:val="18"/>
                          </w:rPr>
                          <w:t>λέξ</w:t>
                        </w:r>
                        <w:r>
                          <w:rPr>
                            <w:b/>
                            <w:smallCaps/>
                            <w:color w:val="FFFFFF"/>
                            <w:sz w:val="18"/>
                          </w:rPr>
                          <w:t>ι</w:t>
                        </w:r>
                        <w:r>
                          <w:rPr>
                            <w:b/>
                            <w:smallCaps w:val="0"/>
                            <w:color w:val="FFFFFF"/>
                            <w:sz w:val="18"/>
                          </w:rPr>
                          <w:t>μα Ίδ</w:t>
                        </w:r>
                        <w:r>
                          <w:rPr>
                            <w:b/>
                            <w:smallCaps/>
                            <w:color w:val="FFFFFF"/>
                            <w:sz w:val="18"/>
                          </w:rPr>
                          <w:t>ι</w:t>
                        </w:r>
                        <w:r>
                          <w:rPr>
                            <w:b/>
                            <w:smallCaps w:val="0"/>
                            <w:color w:val="FFFFFF"/>
                            <w:sz w:val="18"/>
                          </w:rPr>
                          <w:t>α Κεφάλα</w:t>
                        </w:r>
                        <w:r>
                          <w:rPr>
                            <w:b/>
                            <w:smallCaps/>
                            <w:color w:val="FFFFFF"/>
                            <w:sz w:val="18"/>
                          </w:rPr>
                          <w:t>ι</w:t>
                        </w:r>
                        <w:r>
                          <w:rPr>
                            <w:b/>
                            <w:smallCaps w:val="0"/>
                            <w:color w:val="FFFFFF"/>
                            <w:sz w:val="18"/>
                          </w:rPr>
                          <w:t>α γ</w:t>
                        </w:r>
                        <w:r>
                          <w:rPr>
                            <w:b/>
                            <w:smallCaps/>
                            <w:color w:val="FFFFFF"/>
                            <w:sz w:val="18"/>
                          </w:rPr>
                          <w:t>ι</w:t>
                        </w:r>
                        <w:r>
                          <w:rPr>
                            <w:b/>
                            <w:smallCaps w:val="0"/>
                            <w:color w:val="FFFFFF"/>
                            <w:sz w:val="18"/>
                          </w:rPr>
                          <w:t>α την</w:t>
                        </w:r>
                        <w:r>
                          <w:rPr>
                            <w:b/>
                            <w:smallCaps w:val="0"/>
                            <w:color w:val="FFFFFF"/>
                            <w:spacing w:val="-5"/>
                            <w:sz w:val="18"/>
                          </w:rPr>
                          <w:t> </w:t>
                        </w:r>
                        <w:r>
                          <w:rPr>
                            <w:b/>
                            <w:smallCaps w:val="0"/>
                            <w:color w:val="FFFFFF"/>
                            <w:sz w:val="18"/>
                          </w:rPr>
                          <w:t>κάλυψη</w:t>
                        </w:r>
                        <w:r>
                          <w:rPr>
                            <w:b/>
                            <w:smallCaps w:val="0"/>
                            <w:color w:val="FFFFFF"/>
                            <w:spacing w:val="-6"/>
                            <w:sz w:val="18"/>
                          </w:rPr>
                          <w:t> </w:t>
                        </w:r>
                        <w:r>
                          <w:rPr>
                            <w:b/>
                            <w:smallCaps w:val="0"/>
                            <w:color w:val="FFFFFF"/>
                            <w:sz w:val="18"/>
                          </w:rPr>
                          <w:t>του</w:t>
                        </w:r>
                        <w:r>
                          <w:rPr>
                            <w:b/>
                            <w:smallCaps w:val="0"/>
                            <w:color w:val="FFFFFF"/>
                            <w:spacing w:val="-6"/>
                            <w:sz w:val="18"/>
                          </w:rPr>
                          <w:t> </w:t>
                        </w:r>
                        <w:r>
                          <w:rPr>
                            <w:b/>
                            <w:smallCaps w:val="0"/>
                            <w:color w:val="FFFFFF"/>
                            <w:sz w:val="18"/>
                          </w:rPr>
                          <w:t>MCR</w:t>
                        </w:r>
                        <w:r>
                          <w:rPr>
                            <w:b/>
                            <w:smallCaps w:val="0"/>
                            <w:color w:val="FFFFFF"/>
                            <w:spacing w:val="-5"/>
                            <w:sz w:val="18"/>
                          </w:rPr>
                          <w:t> </w:t>
                        </w:r>
                        <w:r>
                          <w:rPr>
                            <w:b/>
                            <w:smallCaps w:val="0"/>
                            <w:color w:val="FFFFFF"/>
                            <w:sz w:val="18"/>
                          </w:rPr>
                          <w:t>ανά</w:t>
                        </w:r>
                        <w:r>
                          <w:rPr>
                            <w:b/>
                            <w:smallCaps w:val="0"/>
                            <w:color w:val="FFFFFF"/>
                            <w:spacing w:val="-6"/>
                            <w:sz w:val="18"/>
                          </w:rPr>
                          <w:t> </w:t>
                        </w:r>
                        <w:r>
                          <w:rPr>
                            <w:b/>
                            <w:smallCaps w:val="0"/>
                            <w:color w:val="FFFFFF"/>
                            <w:sz w:val="18"/>
                          </w:rPr>
                          <w:t>κλάδο</w:t>
                        </w:r>
                        <w:r>
                          <w:rPr>
                            <w:b/>
                            <w:smallCaps w:val="0"/>
                            <w:color w:val="FFFFFF"/>
                            <w:spacing w:val="-3"/>
                            <w:sz w:val="18"/>
                          </w:rPr>
                          <w:t> </w:t>
                        </w:r>
                        <w:r>
                          <w:rPr>
                            <w:b/>
                            <w:smallCaps w:val="0"/>
                            <w:color w:val="FFFFFF"/>
                            <w:sz w:val="18"/>
                          </w:rPr>
                          <w:t>ασφαλ</w:t>
                        </w:r>
                        <w:r>
                          <w:rPr>
                            <w:b/>
                            <w:smallCaps/>
                            <w:color w:val="FFFFFF"/>
                            <w:sz w:val="18"/>
                          </w:rPr>
                          <w:t>ι</w:t>
                        </w:r>
                        <w:r>
                          <w:rPr>
                            <w:b/>
                            <w:smallCaps w:val="0"/>
                            <w:color w:val="FFFFFF"/>
                            <w:sz w:val="18"/>
                          </w:rPr>
                          <w:t>στ</w:t>
                        </w:r>
                        <w:r>
                          <w:rPr>
                            <w:b/>
                            <w:smallCaps/>
                            <w:color w:val="FFFFFF"/>
                            <w:sz w:val="18"/>
                          </w:rPr>
                          <w:t>ι</w:t>
                        </w:r>
                        <w:r>
                          <w:rPr>
                            <w:b/>
                            <w:smallCaps w:val="0"/>
                            <w:color w:val="FFFFFF"/>
                            <w:sz w:val="18"/>
                          </w:rPr>
                          <w:t>κών</w:t>
                        </w:r>
                        <w:r>
                          <w:rPr>
                            <w:b/>
                            <w:smallCaps w:val="0"/>
                            <w:color w:val="FFFFFF"/>
                            <w:spacing w:val="-3"/>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 (2025)</w:t>
                        </w:r>
                      </w:p>
                    </w:txbxContent>
                  </v:textbox>
                  <w10:wrap type="none"/>
                </v:shape>
                <w10:wrap type="topAndBottom"/>
              </v:group>
            </w:pict>
          </mc:Fallback>
        </mc:AlternateContent>
      </w:r>
    </w:p>
    <w:p>
      <w:pPr>
        <w:tabs>
          <w:tab w:pos="4593" w:val="left" w:leader="none"/>
        </w:tabs>
        <w:spacing w:before="60" w:after="60"/>
        <w:ind w:left="285" w:right="0" w:firstLine="0"/>
        <w:jc w:val="left"/>
        <w:rPr>
          <w:sz w:val="20"/>
        </w:rPr>
      </w:pPr>
      <w:r>
        <w:rPr>
          <w:sz w:val="20"/>
        </w:rPr>
        <w:t>(2025,</w:t>
      </w:r>
      <w:r>
        <w:rPr>
          <w:spacing w:val="-4"/>
          <w:sz w:val="20"/>
        </w:rPr>
        <w:t> </w:t>
      </w:r>
      <w:r>
        <w:rPr>
          <w:sz w:val="20"/>
        </w:rPr>
        <w:t>εκατ.</w:t>
      </w:r>
      <w:r>
        <w:rPr>
          <w:spacing w:val="-4"/>
          <w:sz w:val="20"/>
        </w:rPr>
        <w:t> </w:t>
      </w:r>
      <w:r>
        <w:rPr>
          <w:spacing w:val="-2"/>
          <w:sz w:val="20"/>
        </w:rPr>
        <w:t>ευρώ)</w:t>
      </w:r>
      <w:r>
        <w:rPr>
          <w:sz w:val="20"/>
        </w:rPr>
        <w:tab/>
        <w:t>(2025,</w:t>
      </w:r>
      <w:r>
        <w:rPr>
          <w:spacing w:val="-4"/>
          <w:sz w:val="20"/>
        </w:rPr>
        <w:t> </w:t>
      </w:r>
      <w:r>
        <w:rPr>
          <w:sz w:val="20"/>
        </w:rPr>
        <w:t>εκατ.</w:t>
      </w:r>
      <w:r>
        <w:rPr>
          <w:spacing w:val="-4"/>
          <w:sz w:val="20"/>
        </w:rPr>
        <w:t> </w:t>
      </w:r>
      <w:r>
        <w:rPr>
          <w:spacing w:val="-2"/>
          <w:sz w:val="20"/>
        </w:rPr>
        <w:t>ευρώ)</w:t>
      </w:r>
    </w:p>
    <w:p>
      <w:pPr>
        <w:spacing w:line="240" w:lineRule="auto"/>
        <w:ind w:left="172" w:right="0" w:firstLine="0"/>
        <w:jc w:val="left"/>
        <w:rPr>
          <w:sz w:val="20"/>
        </w:rPr>
      </w:pPr>
      <w:r>
        <w:rPr>
          <w:sz w:val="20"/>
        </w:rPr>
        <mc:AlternateContent>
          <mc:Choice Requires="wps">
            <w:drawing>
              <wp:inline distT="0" distB="0" distL="0" distR="0">
                <wp:extent cx="2664460" cy="2679700"/>
                <wp:effectExtent l="0" t="0" r="0" b="6350"/>
                <wp:docPr id="587" name="Group 587"/>
                <wp:cNvGraphicFramePr>
                  <a:graphicFrameLocks/>
                </wp:cNvGraphicFramePr>
                <a:graphic>
                  <a:graphicData uri="http://schemas.microsoft.com/office/word/2010/wordprocessingGroup">
                    <wpg:wgp>
                      <wpg:cNvPr id="587" name="Group 587"/>
                      <wpg:cNvGrpSpPr/>
                      <wpg:grpSpPr>
                        <a:xfrm>
                          <a:off x="0" y="0"/>
                          <a:ext cx="2664460" cy="2679700"/>
                          <a:chExt cx="2664460" cy="2679700"/>
                        </a:xfrm>
                      </wpg:grpSpPr>
                      <wps:wsp>
                        <wps:cNvPr id="588" name="Graphic 588"/>
                        <wps:cNvSpPr/>
                        <wps:spPr>
                          <a:xfrm>
                            <a:off x="0" y="0"/>
                            <a:ext cx="2661285" cy="2679700"/>
                          </a:xfrm>
                          <a:custGeom>
                            <a:avLst/>
                            <a:gdLst/>
                            <a:ahLst/>
                            <a:cxnLst/>
                            <a:rect l="l" t="t" r="r" b="b"/>
                            <a:pathLst>
                              <a:path w="2661285" h="2679700">
                                <a:moveTo>
                                  <a:pt x="2661158" y="2456954"/>
                                </a:moveTo>
                                <a:lnTo>
                                  <a:pt x="0" y="2456954"/>
                                </a:lnTo>
                                <a:lnTo>
                                  <a:pt x="0" y="2679446"/>
                                </a:lnTo>
                                <a:lnTo>
                                  <a:pt x="2661158" y="2679446"/>
                                </a:lnTo>
                                <a:lnTo>
                                  <a:pt x="2661158" y="2456954"/>
                                </a:lnTo>
                                <a:close/>
                              </a:path>
                              <a:path w="2661285" h="2679700">
                                <a:moveTo>
                                  <a:pt x="2661158" y="0"/>
                                </a:moveTo>
                                <a:lnTo>
                                  <a:pt x="0" y="0"/>
                                </a:lnTo>
                                <a:lnTo>
                                  <a:pt x="0" y="2456942"/>
                                </a:lnTo>
                                <a:lnTo>
                                  <a:pt x="2661158" y="2456942"/>
                                </a:lnTo>
                                <a:lnTo>
                                  <a:pt x="2661158" y="0"/>
                                </a:lnTo>
                                <a:close/>
                              </a:path>
                            </a:pathLst>
                          </a:custGeom>
                          <a:solidFill>
                            <a:srgbClr val="D9D9D9"/>
                          </a:solidFill>
                        </wps:spPr>
                        <wps:bodyPr wrap="square" lIns="0" tIns="0" rIns="0" bIns="0" rtlCol="0">
                          <a:prstTxWarp prst="textNoShape">
                            <a:avLst/>
                          </a:prstTxWarp>
                          <a:noAutofit/>
                        </wps:bodyPr>
                      </wps:wsp>
                      <wps:wsp>
                        <wps:cNvPr id="589" name="Graphic 589"/>
                        <wps:cNvSpPr/>
                        <wps:spPr>
                          <a:xfrm>
                            <a:off x="372728" y="1520132"/>
                            <a:ext cx="2224405" cy="1270"/>
                          </a:xfrm>
                          <a:custGeom>
                            <a:avLst/>
                            <a:gdLst/>
                            <a:ahLst/>
                            <a:cxnLst/>
                            <a:rect l="l" t="t" r="r" b="b"/>
                            <a:pathLst>
                              <a:path w="2224405" h="0">
                                <a:moveTo>
                                  <a:pt x="652111" y="0"/>
                                </a:moveTo>
                                <a:lnTo>
                                  <a:pt x="1205065" y="0"/>
                                </a:lnTo>
                              </a:path>
                              <a:path w="2224405" h="0">
                                <a:moveTo>
                                  <a:pt x="1391387" y="0"/>
                                </a:moveTo>
                                <a:lnTo>
                                  <a:pt x="1577709" y="0"/>
                                </a:lnTo>
                              </a:path>
                              <a:path w="2224405" h="0">
                                <a:moveTo>
                                  <a:pt x="1764031" y="0"/>
                                </a:moveTo>
                                <a:lnTo>
                                  <a:pt x="1944342" y="0"/>
                                </a:lnTo>
                              </a:path>
                              <a:path w="2224405" h="0">
                                <a:moveTo>
                                  <a:pt x="2130664" y="0"/>
                                </a:moveTo>
                                <a:lnTo>
                                  <a:pt x="2223824" y="0"/>
                                </a:lnTo>
                              </a:path>
                              <a:path w="2224405" h="0">
                                <a:moveTo>
                                  <a:pt x="0" y="0"/>
                                </a:moveTo>
                                <a:lnTo>
                                  <a:pt x="465789" y="0"/>
                                </a:lnTo>
                              </a:path>
                            </a:pathLst>
                          </a:custGeom>
                          <a:ln w="7009">
                            <a:solidFill>
                              <a:srgbClr val="FFFFFF"/>
                            </a:solidFill>
                            <a:prstDash val="solid"/>
                          </a:ln>
                        </wps:spPr>
                        <wps:bodyPr wrap="square" lIns="0" tIns="0" rIns="0" bIns="0" rtlCol="0">
                          <a:prstTxWarp prst="textNoShape">
                            <a:avLst/>
                          </a:prstTxWarp>
                          <a:noAutofit/>
                        </wps:bodyPr>
                      </wps:wsp>
                      <wps:wsp>
                        <wps:cNvPr id="590" name="Graphic 590"/>
                        <wps:cNvSpPr/>
                        <wps:spPr>
                          <a:xfrm>
                            <a:off x="372728" y="1165662"/>
                            <a:ext cx="1577975" cy="1270"/>
                          </a:xfrm>
                          <a:custGeom>
                            <a:avLst/>
                            <a:gdLst/>
                            <a:ahLst/>
                            <a:cxnLst/>
                            <a:rect l="l" t="t" r="r" b="b"/>
                            <a:pathLst>
                              <a:path w="1577975" h="0">
                                <a:moveTo>
                                  <a:pt x="0" y="0"/>
                                </a:moveTo>
                                <a:lnTo>
                                  <a:pt x="1577709" y="0"/>
                                </a:lnTo>
                              </a:path>
                            </a:pathLst>
                          </a:custGeom>
                          <a:ln w="7009">
                            <a:solidFill>
                              <a:srgbClr val="FFFFFF"/>
                            </a:solidFill>
                            <a:prstDash val="solid"/>
                          </a:ln>
                        </wps:spPr>
                        <wps:bodyPr wrap="square" lIns="0" tIns="0" rIns="0" bIns="0" rtlCol="0">
                          <a:prstTxWarp prst="textNoShape">
                            <a:avLst/>
                          </a:prstTxWarp>
                          <a:noAutofit/>
                        </wps:bodyPr>
                      </wps:wsp>
                      <wps:wsp>
                        <wps:cNvPr id="591" name="Graphic 591"/>
                        <wps:cNvSpPr/>
                        <wps:spPr>
                          <a:xfrm>
                            <a:off x="2136759" y="1165662"/>
                            <a:ext cx="460375" cy="1270"/>
                          </a:xfrm>
                          <a:custGeom>
                            <a:avLst/>
                            <a:gdLst/>
                            <a:ahLst/>
                            <a:cxnLst/>
                            <a:rect l="l" t="t" r="r" b="b"/>
                            <a:pathLst>
                              <a:path w="460375" h="0">
                                <a:moveTo>
                                  <a:pt x="0" y="0"/>
                                </a:moveTo>
                                <a:lnTo>
                                  <a:pt x="180311" y="0"/>
                                </a:lnTo>
                              </a:path>
                              <a:path w="460375" h="0">
                                <a:moveTo>
                                  <a:pt x="366633" y="0"/>
                                </a:moveTo>
                                <a:lnTo>
                                  <a:pt x="459793" y="0"/>
                                </a:lnTo>
                              </a:path>
                            </a:pathLst>
                          </a:custGeom>
                          <a:ln w="7009">
                            <a:solidFill>
                              <a:srgbClr val="FFFFFF"/>
                            </a:solidFill>
                            <a:prstDash val="solid"/>
                          </a:ln>
                        </wps:spPr>
                        <wps:bodyPr wrap="square" lIns="0" tIns="0" rIns="0" bIns="0" rtlCol="0">
                          <a:prstTxWarp prst="textNoShape">
                            <a:avLst/>
                          </a:prstTxWarp>
                          <a:noAutofit/>
                        </wps:bodyPr>
                      </wps:wsp>
                      <wps:wsp>
                        <wps:cNvPr id="592" name="Graphic 592"/>
                        <wps:cNvSpPr/>
                        <wps:spPr>
                          <a:xfrm>
                            <a:off x="372728" y="811191"/>
                            <a:ext cx="2224405" cy="1270"/>
                          </a:xfrm>
                          <a:custGeom>
                            <a:avLst/>
                            <a:gdLst/>
                            <a:ahLst/>
                            <a:cxnLst/>
                            <a:rect l="l" t="t" r="r" b="b"/>
                            <a:pathLst>
                              <a:path w="2224405" h="0">
                                <a:moveTo>
                                  <a:pt x="0" y="0"/>
                                </a:moveTo>
                                <a:lnTo>
                                  <a:pt x="1944342" y="0"/>
                                </a:lnTo>
                              </a:path>
                              <a:path w="2224405" h="0">
                                <a:moveTo>
                                  <a:pt x="2130664" y="0"/>
                                </a:moveTo>
                                <a:lnTo>
                                  <a:pt x="2223824" y="0"/>
                                </a:lnTo>
                              </a:path>
                            </a:pathLst>
                          </a:custGeom>
                          <a:ln w="7009">
                            <a:solidFill>
                              <a:srgbClr val="FFFFFF"/>
                            </a:solidFill>
                            <a:prstDash val="solid"/>
                          </a:ln>
                        </wps:spPr>
                        <wps:bodyPr wrap="square" lIns="0" tIns="0" rIns="0" bIns="0" rtlCol="0">
                          <a:prstTxWarp prst="textNoShape">
                            <a:avLst/>
                          </a:prstTxWarp>
                          <a:noAutofit/>
                        </wps:bodyPr>
                      </wps:wsp>
                      <wps:wsp>
                        <wps:cNvPr id="593" name="Graphic 593"/>
                        <wps:cNvSpPr/>
                        <wps:spPr>
                          <a:xfrm>
                            <a:off x="372728" y="450713"/>
                            <a:ext cx="2224405" cy="1270"/>
                          </a:xfrm>
                          <a:custGeom>
                            <a:avLst/>
                            <a:gdLst/>
                            <a:ahLst/>
                            <a:cxnLst/>
                            <a:rect l="l" t="t" r="r" b="b"/>
                            <a:pathLst>
                              <a:path w="2224405" h="0">
                                <a:moveTo>
                                  <a:pt x="0" y="0"/>
                                </a:moveTo>
                                <a:lnTo>
                                  <a:pt x="1944342" y="0"/>
                                </a:lnTo>
                              </a:path>
                              <a:path w="2224405" h="0">
                                <a:moveTo>
                                  <a:pt x="2130664" y="0"/>
                                </a:moveTo>
                                <a:lnTo>
                                  <a:pt x="2223824" y="0"/>
                                </a:lnTo>
                              </a:path>
                            </a:pathLst>
                          </a:custGeom>
                          <a:ln w="7009">
                            <a:solidFill>
                              <a:srgbClr val="FFFFFF"/>
                            </a:solidFill>
                            <a:prstDash val="solid"/>
                          </a:ln>
                        </wps:spPr>
                        <wps:bodyPr wrap="square" lIns="0" tIns="0" rIns="0" bIns="0" rtlCol="0">
                          <a:prstTxWarp prst="textNoShape">
                            <a:avLst/>
                          </a:prstTxWarp>
                          <a:noAutofit/>
                        </wps:bodyPr>
                      </wps:wsp>
                      <wps:wsp>
                        <wps:cNvPr id="594" name="Graphic 594"/>
                        <wps:cNvSpPr/>
                        <wps:spPr>
                          <a:xfrm>
                            <a:off x="372728" y="96243"/>
                            <a:ext cx="2224405" cy="1270"/>
                          </a:xfrm>
                          <a:custGeom>
                            <a:avLst/>
                            <a:gdLst/>
                            <a:ahLst/>
                            <a:cxnLst/>
                            <a:rect l="l" t="t" r="r" b="b"/>
                            <a:pathLst>
                              <a:path w="2224405" h="0">
                                <a:moveTo>
                                  <a:pt x="0" y="0"/>
                                </a:moveTo>
                                <a:lnTo>
                                  <a:pt x="2223824" y="0"/>
                                </a:lnTo>
                              </a:path>
                            </a:pathLst>
                          </a:custGeom>
                          <a:ln w="7009">
                            <a:solidFill>
                              <a:srgbClr val="FFFFFF"/>
                            </a:solidFill>
                            <a:prstDash val="solid"/>
                          </a:ln>
                        </wps:spPr>
                        <wps:bodyPr wrap="square" lIns="0" tIns="0" rIns="0" bIns="0" rtlCol="0">
                          <a:prstTxWarp prst="textNoShape">
                            <a:avLst/>
                          </a:prstTxWarp>
                          <a:noAutofit/>
                        </wps:bodyPr>
                      </wps:wsp>
                      <wps:wsp>
                        <wps:cNvPr id="595" name="Graphic 595"/>
                        <wps:cNvSpPr/>
                        <wps:spPr>
                          <a:xfrm>
                            <a:off x="465886" y="1348904"/>
                            <a:ext cx="559435" cy="528955"/>
                          </a:xfrm>
                          <a:custGeom>
                            <a:avLst/>
                            <a:gdLst/>
                            <a:ahLst/>
                            <a:cxnLst/>
                            <a:rect l="l" t="t" r="r" b="b"/>
                            <a:pathLst>
                              <a:path w="559435" h="528955">
                                <a:moveTo>
                                  <a:pt x="186321" y="204279"/>
                                </a:moveTo>
                                <a:lnTo>
                                  <a:pt x="0" y="204279"/>
                                </a:lnTo>
                                <a:lnTo>
                                  <a:pt x="0" y="528713"/>
                                </a:lnTo>
                                <a:lnTo>
                                  <a:pt x="186321" y="528713"/>
                                </a:lnTo>
                                <a:lnTo>
                                  <a:pt x="186321" y="204279"/>
                                </a:lnTo>
                                <a:close/>
                              </a:path>
                              <a:path w="559435" h="528955">
                                <a:moveTo>
                                  <a:pt x="558952" y="0"/>
                                </a:moveTo>
                                <a:lnTo>
                                  <a:pt x="372630" y="0"/>
                                </a:lnTo>
                                <a:lnTo>
                                  <a:pt x="372630" y="528713"/>
                                </a:lnTo>
                                <a:lnTo>
                                  <a:pt x="558952" y="528713"/>
                                </a:lnTo>
                                <a:lnTo>
                                  <a:pt x="558952" y="0"/>
                                </a:lnTo>
                                <a:close/>
                              </a:path>
                            </a:pathLst>
                          </a:custGeom>
                          <a:solidFill>
                            <a:srgbClr val="B8CDE4"/>
                          </a:solidFill>
                        </wps:spPr>
                        <wps:bodyPr wrap="square" lIns="0" tIns="0" rIns="0" bIns="0" rtlCol="0">
                          <a:prstTxWarp prst="textNoShape">
                            <a:avLst/>
                          </a:prstTxWarp>
                          <a:noAutofit/>
                        </wps:bodyPr>
                      </wps:wsp>
                      <wps:wsp>
                        <wps:cNvPr id="596" name="Graphic 596"/>
                        <wps:cNvSpPr/>
                        <wps:spPr>
                          <a:xfrm>
                            <a:off x="1211161" y="1288833"/>
                            <a:ext cx="553085" cy="589280"/>
                          </a:xfrm>
                          <a:custGeom>
                            <a:avLst/>
                            <a:gdLst/>
                            <a:ahLst/>
                            <a:cxnLst/>
                            <a:rect l="l" t="t" r="r" b="b"/>
                            <a:pathLst>
                              <a:path w="553085" h="589280">
                                <a:moveTo>
                                  <a:pt x="180301" y="288378"/>
                                </a:moveTo>
                                <a:lnTo>
                                  <a:pt x="0" y="288378"/>
                                </a:lnTo>
                                <a:lnTo>
                                  <a:pt x="0" y="588784"/>
                                </a:lnTo>
                                <a:lnTo>
                                  <a:pt x="180301" y="588784"/>
                                </a:lnTo>
                                <a:lnTo>
                                  <a:pt x="180301" y="288378"/>
                                </a:lnTo>
                                <a:close/>
                              </a:path>
                              <a:path w="553085" h="589280">
                                <a:moveTo>
                                  <a:pt x="552945" y="0"/>
                                </a:moveTo>
                                <a:lnTo>
                                  <a:pt x="366623" y="0"/>
                                </a:lnTo>
                                <a:lnTo>
                                  <a:pt x="366623" y="588784"/>
                                </a:lnTo>
                                <a:lnTo>
                                  <a:pt x="552945" y="588784"/>
                                </a:lnTo>
                                <a:lnTo>
                                  <a:pt x="552945" y="0"/>
                                </a:lnTo>
                                <a:close/>
                              </a:path>
                            </a:pathLst>
                          </a:custGeom>
                          <a:solidFill>
                            <a:srgbClr val="94B3D6"/>
                          </a:solidFill>
                        </wps:spPr>
                        <wps:bodyPr wrap="square" lIns="0" tIns="0" rIns="0" bIns="0" rtlCol="0">
                          <a:prstTxWarp prst="textNoShape">
                            <a:avLst/>
                          </a:prstTxWarp>
                          <a:noAutofit/>
                        </wps:bodyPr>
                      </wps:wsp>
                      <wps:wsp>
                        <wps:cNvPr id="597" name="Graphic 597"/>
                        <wps:cNvSpPr/>
                        <wps:spPr>
                          <a:xfrm>
                            <a:off x="1950428" y="189369"/>
                            <a:ext cx="553085" cy="1688464"/>
                          </a:xfrm>
                          <a:custGeom>
                            <a:avLst/>
                            <a:gdLst/>
                            <a:ahLst/>
                            <a:cxnLst/>
                            <a:rect l="l" t="t" r="r" b="b"/>
                            <a:pathLst>
                              <a:path w="553085" h="1688464">
                                <a:moveTo>
                                  <a:pt x="186321" y="690918"/>
                                </a:moveTo>
                                <a:lnTo>
                                  <a:pt x="0" y="690918"/>
                                </a:lnTo>
                                <a:lnTo>
                                  <a:pt x="0" y="1688249"/>
                                </a:lnTo>
                                <a:lnTo>
                                  <a:pt x="186321" y="1688249"/>
                                </a:lnTo>
                                <a:lnTo>
                                  <a:pt x="186321" y="690918"/>
                                </a:lnTo>
                                <a:close/>
                              </a:path>
                              <a:path w="553085" h="1688464">
                                <a:moveTo>
                                  <a:pt x="552958" y="0"/>
                                </a:moveTo>
                                <a:lnTo>
                                  <a:pt x="366636" y="0"/>
                                </a:lnTo>
                                <a:lnTo>
                                  <a:pt x="366636" y="1688249"/>
                                </a:lnTo>
                                <a:lnTo>
                                  <a:pt x="552958" y="1688249"/>
                                </a:lnTo>
                                <a:lnTo>
                                  <a:pt x="552958" y="0"/>
                                </a:lnTo>
                                <a:close/>
                              </a:path>
                            </a:pathLst>
                          </a:custGeom>
                          <a:solidFill>
                            <a:srgbClr val="4F81BC"/>
                          </a:solidFill>
                        </wps:spPr>
                        <wps:bodyPr wrap="square" lIns="0" tIns="0" rIns="0" bIns="0" rtlCol="0">
                          <a:prstTxWarp prst="textNoShape">
                            <a:avLst/>
                          </a:prstTxWarp>
                          <a:noAutofit/>
                        </wps:bodyPr>
                      </wps:wsp>
                      <wps:wsp>
                        <wps:cNvPr id="598" name="Graphic 598"/>
                        <wps:cNvSpPr/>
                        <wps:spPr>
                          <a:xfrm>
                            <a:off x="372728" y="96243"/>
                            <a:ext cx="2224405" cy="2277110"/>
                          </a:xfrm>
                          <a:custGeom>
                            <a:avLst/>
                            <a:gdLst/>
                            <a:ahLst/>
                            <a:cxnLst/>
                            <a:rect l="l" t="t" r="r" b="b"/>
                            <a:pathLst>
                              <a:path w="2224405" h="2277110">
                                <a:moveTo>
                                  <a:pt x="0" y="1784366"/>
                                </a:moveTo>
                                <a:lnTo>
                                  <a:pt x="0" y="0"/>
                                </a:lnTo>
                              </a:path>
                              <a:path w="2224405" h="2277110">
                                <a:moveTo>
                                  <a:pt x="0" y="1784366"/>
                                </a:moveTo>
                                <a:lnTo>
                                  <a:pt x="2223825" y="1784366"/>
                                </a:lnTo>
                              </a:path>
                              <a:path w="2224405" h="2277110">
                                <a:moveTo>
                                  <a:pt x="0" y="1784366"/>
                                </a:moveTo>
                                <a:lnTo>
                                  <a:pt x="0" y="1892490"/>
                                </a:lnTo>
                              </a:path>
                              <a:path w="2224405" h="2277110">
                                <a:moveTo>
                                  <a:pt x="372628" y="1784366"/>
                                </a:moveTo>
                                <a:lnTo>
                                  <a:pt x="372628" y="1892490"/>
                                </a:lnTo>
                              </a:path>
                              <a:path w="2224405" h="2277110">
                                <a:moveTo>
                                  <a:pt x="745271" y="1784366"/>
                                </a:moveTo>
                                <a:lnTo>
                                  <a:pt x="745271" y="1892490"/>
                                </a:lnTo>
                              </a:path>
                              <a:path w="2224405" h="2277110">
                                <a:moveTo>
                                  <a:pt x="1111905" y="1784366"/>
                                </a:moveTo>
                                <a:lnTo>
                                  <a:pt x="1111905" y="1892490"/>
                                </a:lnTo>
                              </a:path>
                              <a:path w="2224405" h="2277110">
                                <a:moveTo>
                                  <a:pt x="1484548" y="1784366"/>
                                </a:moveTo>
                                <a:lnTo>
                                  <a:pt x="1484548" y="1892490"/>
                                </a:lnTo>
                              </a:path>
                              <a:path w="2224405" h="2277110">
                                <a:moveTo>
                                  <a:pt x="1851181" y="1784366"/>
                                </a:moveTo>
                                <a:lnTo>
                                  <a:pt x="1851181" y="1892490"/>
                                </a:lnTo>
                              </a:path>
                              <a:path w="2224405" h="2277110">
                                <a:moveTo>
                                  <a:pt x="2223825" y="1784366"/>
                                </a:moveTo>
                                <a:lnTo>
                                  <a:pt x="2223825" y="1892490"/>
                                </a:lnTo>
                              </a:path>
                              <a:path w="2224405" h="2277110">
                                <a:moveTo>
                                  <a:pt x="0" y="1892490"/>
                                </a:moveTo>
                                <a:lnTo>
                                  <a:pt x="0" y="2277000"/>
                                </a:lnTo>
                              </a:path>
                              <a:path w="2224405" h="2277110">
                                <a:moveTo>
                                  <a:pt x="372628" y="1892490"/>
                                </a:moveTo>
                                <a:lnTo>
                                  <a:pt x="372628" y="2277000"/>
                                </a:lnTo>
                              </a:path>
                              <a:path w="2224405" h="2277110">
                                <a:moveTo>
                                  <a:pt x="745271" y="1892490"/>
                                </a:moveTo>
                                <a:lnTo>
                                  <a:pt x="745271" y="2277000"/>
                                </a:lnTo>
                              </a:path>
                              <a:path w="2224405" h="2277110">
                                <a:moveTo>
                                  <a:pt x="1111905" y="1892490"/>
                                </a:moveTo>
                                <a:lnTo>
                                  <a:pt x="1111905" y="2277000"/>
                                </a:lnTo>
                              </a:path>
                              <a:path w="2224405" h="2277110">
                                <a:moveTo>
                                  <a:pt x="1484548" y="1892490"/>
                                </a:moveTo>
                                <a:lnTo>
                                  <a:pt x="1484548" y="2277000"/>
                                </a:lnTo>
                              </a:path>
                              <a:path w="2224405" h="2277110">
                                <a:moveTo>
                                  <a:pt x="1851181" y="1892490"/>
                                </a:moveTo>
                                <a:lnTo>
                                  <a:pt x="1851181" y="2277000"/>
                                </a:lnTo>
                              </a:path>
                              <a:path w="2224405" h="2277110">
                                <a:moveTo>
                                  <a:pt x="2223825" y="1892490"/>
                                </a:moveTo>
                                <a:lnTo>
                                  <a:pt x="2223825" y="2277000"/>
                                </a:lnTo>
                              </a:path>
                            </a:pathLst>
                          </a:custGeom>
                          <a:ln w="7010">
                            <a:solidFill>
                              <a:srgbClr val="7E7E7E"/>
                            </a:solidFill>
                            <a:prstDash val="solid"/>
                          </a:ln>
                        </wps:spPr>
                        <wps:bodyPr wrap="square" lIns="0" tIns="0" rIns="0" bIns="0" rtlCol="0">
                          <a:prstTxWarp prst="textNoShape">
                            <a:avLst/>
                          </a:prstTxWarp>
                          <a:noAutofit/>
                        </wps:bodyPr>
                      </wps:wsp>
                      <wps:wsp>
                        <wps:cNvPr id="599" name="Graphic 599"/>
                        <wps:cNvSpPr/>
                        <wps:spPr>
                          <a:xfrm>
                            <a:off x="78217" y="6124"/>
                            <a:ext cx="2582545" cy="2427605"/>
                          </a:xfrm>
                          <a:custGeom>
                            <a:avLst/>
                            <a:gdLst/>
                            <a:ahLst/>
                            <a:cxnLst/>
                            <a:rect l="l" t="t" r="r" b="b"/>
                            <a:pathLst>
                              <a:path w="2582545" h="2427605">
                                <a:moveTo>
                                  <a:pt x="2582381" y="2427201"/>
                                </a:moveTo>
                                <a:lnTo>
                                  <a:pt x="0" y="2427201"/>
                                </a:lnTo>
                                <a:lnTo>
                                  <a:pt x="0" y="0"/>
                                </a:lnTo>
                                <a:lnTo>
                                  <a:pt x="2582381" y="0"/>
                                </a:lnTo>
                              </a:path>
                            </a:pathLst>
                          </a:custGeom>
                          <a:ln w="7010">
                            <a:solidFill>
                              <a:srgbClr val="D9D9D9"/>
                            </a:solidFill>
                            <a:prstDash val="solid"/>
                          </a:ln>
                        </wps:spPr>
                        <wps:bodyPr wrap="square" lIns="0" tIns="0" rIns="0" bIns="0" rtlCol="0">
                          <a:prstTxWarp prst="textNoShape">
                            <a:avLst/>
                          </a:prstTxWarp>
                          <a:noAutofit/>
                        </wps:bodyPr>
                      </wps:wsp>
                      <wps:wsp>
                        <wps:cNvPr id="600" name="Textbox 600"/>
                        <wps:cNvSpPr txBox="1"/>
                        <wps:spPr>
                          <a:xfrm>
                            <a:off x="500083" y="1929199"/>
                            <a:ext cx="131445" cy="55880"/>
                          </a:xfrm>
                          <a:prstGeom prst="rect">
                            <a:avLst/>
                          </a:prstGeom>
                        </wps:spPr>
                        <wps:txbx>
                          <w:txbxContent>
                            <w:p>
                              <w:pPr>
                                <w:spacing w:line="87" w:lineRule="exact" w:before="0"/>
                                <w:ind w:left="0" w:right="0" w:firstLine="0"/>
                                <w:jc w:val="left"/>
                                <w:rPr>
                                  <w:rFonts w:ascii="Calibri" w:hAnsi="Calibri"/>
                                  <w:b/>
                                  <w:sz w:val="8"/>
                                </w:rPr>
                              </w:pPr>
                              <w:r>
                                <w:rPr>
                                  <w:rFonts w:ascii="Calibri" w:hAnsi="Calibri"/>
                                  <w:b/>
                                  <w:color w:val="252525"/>
                                  <w:spacing w:val="-4"/>
                                  <w:w w:val="110"/>
                                  <w:sz w:val="8"/>
                                </w:rPr>
                                <w:t>Zωήç</w:t>
                              </w:r>
                            </w:p>
                          </w:txbxContent>
                        </wps:txbx>
                        <wps:bodyPr wrap="square" lIns="0" tIns="0" rIns="0" bIns="0" rtlCol="0">
                          <a:noAutofit/>
                        </wps:bodyPr>
                      </wps:wsp>
                      <wps:wsp>
                        <wps:cNvPr id="601" name="Textbox 601"/>
                        <wps:cNvSpPr txBox="1"/>
                        <wps:spPr>
                          <a:xfrm>
                            <a:off x="71627" y="2501195"/>
                            <a:ext cx="1506855" cy="140335"/>
                          </a:xfrm>
                          <a:prstGeom prst="rect">
                            <a:avLst/>
                          </a:prstGeom>
                        </wps:spPr>
                        <wps:txbx>
                          <w:txbxContent>
                            <w:p>
                              <w:pPr>
                                <w:spacing w:line="221" w:lineRule="exact" w:before="0"/>
                                <w:ind w:left="0" w:right="0" w:firstLine="0"/>
                                <w:jc w:val="left"/>
                                <w:rPr>
                                  <w:sz w:val="20"/>
                                </w:rPr>
                              </w:pPr>
                              <w:r>
                                <w:rPr>
                                  <w:sz w:val="20"/>
                                </w:rPr>
                                <w:t>Πηγή:</w:t>
                              </w:r>
                              <w:r>
                                <w:rPr>
                                  <w:spacing w:val="-7"/>
                                  <w:sz w:val="20"/>
                                </w:rPr>
                                <w:t> </w:t>
                              </w:r>
                              <w:r>
                                <w:rPr>
                                  <w:sz w:val="20"/>
                                </w:rPr>
                                <w:t>Τράπεζα</w:t>
                              </w:r>
                              <w:r>
                                <w:rPr>
                                  <w:spacing w:val="-5"/>
                                  <w:sz w:val="20"/>
                                </w:rPr>
                                <w:t> </w:t>
                              </w:r>
                              <w:r>
                                <w:rPr>
                                  <w:sz w:val="20"/>
                                </w:rPr>
                                <w:t>της</w:t>
                              </w:r>
                              <w:r>
                                <w:rPr>
                                  <w:spacing w:val="-5"/>
                                  <w:sz w:val="20"/>
                                </w:rPr>
                                <w:t> </w:t>
                              </w:r>
                              <w:r>
                                <w:rPr>
                                  <w:spacing w:val="-2"/>
                                  <w:sz w:val="20"/>
                                </w:rPr>
                                <w:t>Ελλάδος.</w:t>
                              </w:r>
                            </w:p>
                          </w:txbxContent>
                        </wps:txbx>
                        <wps:bodyPr wrap="square" lIns="0" tIns="0" rIns="0" bIns="0" rtlCol="0">
                          <a:noAutofit/>
                        </wps:bodyPr>
                      </wps:wsp>
                      <wps:wsp>
                        <wps:cNvPr id="602" name="Textbox 602"/>
                        <wps:cNvSpPr txBox="1"/>
                        <wps:spPr>
                          <a:xfrm>
                            <a:off x="871524" y="1929199"/>
                            <a:ext cx="131445" cy="55880"/>
                          </a:xfrm>
                          <a:prstGeom prst="rect">
                            <a:avLst/>
                          </a:prstGeom>
                        </wps:spPr>
                        <wps:txbx>
                          <w:txbxContent>
                            <w:p>
                              <w:pPr>
                                <w:spacing w:line="87" w:lineRule="exact" w:before="0"/>
                                <w:ind w:left="0" w:right="0" w:firstLine="0"/>
                                <w:jc w:val="left"/>
                                <w:rPr>
                                  <w:rFonts w:ascii="Calibri" w:hAnsi="Calibri"/>
                                  <w:b/>
                                  <w:sz w:val="8"/>
                                </w:rPr>
                              </w:pPr>
                              <w:r>
                                <w:rPr>
                                  <w:rFonts w:ascii="Calibri" w:hAnsi="Calibri"/>
                                  <w:b/>
                                  <w:color w:val="252525"/>
                                  <w:spacing w:val="-4"/>
                                  <w:w w:val="110"/>
                                  <w:sz w:val="8"/>
                                </w:rPr>
                                <w:t>Zωήç</w:t>
                              </w:r>
                            </w:p>
                          </w:txbxContent>
                        </wps:txbx>
                        <wps:bodyPr wrap="square" lIns="0" tIns="0" rIns="0" bIns="0" rtlCol="0">
                          <a:noAutofit/>
                        </wps:bodyPr>
                      </wps:wsp>
                      <wps:wsp>
                        <wps:cNvPr id="603" name="Textbox 603"/>
                        <wps:cNvSpPr txBox="1"/>
                        <wps:spPr>
                          <a:xfrm>
                            <a:off x="1154012" y="1929199"/>
                            <a:ext cx="1348105" cy="55880"/>
                          </a:xfrm>
                          <a:prstGeom prst="rect">
                            <a:avLst/>
                          </a:prstGeom>
                        </wps:spPr>
                        <wps:txbx>
                          <w:txbxContent>
                            <w:p>
                              <w:pPr>
                                <w:tabs>
                                  <w:tab w:pos="1273" w:val="left" w:leader="none"/>
                                  <w:tab w:pos="1858" w:val="left" w:leader="none"/>
                                </w:tabs>
                                <w:spacing w:line="87" w:lineRule="exact" w:before="0"/>
                                <w:ind w:left="0" w:right="0" w:firstLine="0"/>
                                <w:jc w:val="left"/>
                                <w:rPr>
                                  <w:rFonts w:ascii="Calibri" w:hAnsi="Calibri"/>
                                  <w:b/>
                                  <w:sz w:val="8"/>
                                </w:rPr>
                              </w:pPr>
                              <w:r>
                                <w:rPr>
                                  <w:rFonts w:ascii="Calibri" w:hAnsi="Calibri"/>
                                  <w:b/>
                                  <w:color w:val="252525"/>
                                  <w:w w:val="110"/>
                                  <w:sz w:val="8"/>
                                </w:rPr>
                                <w:t>Κaτá</w:t>
                              </w:r>
                              <w:r>
                                <w:rPr>
                                  <w:rFonts w:ascii="Calibri" w:hAnsi="Calibri"/>
                                  <w:b/>
                                  <w:color w:val="252525"/>
                                  <w:spacing w:val="24"/>
                                  <w:w w:val="110"/>
                                  <w:sz w:val="8"/>
                                </w:rPr>
                                <w:t> </w:t>
                              </w:r>
                              <w:r>
                                <w:rPr>
                                  <w:rFonts w:ascii="Calibri" w:hAnsi="Calibri"/>
                                  <w:b/>
                                  <w:color w:val="252525"/>
                                  <w:w w:val="110"/>
                                  <w:sz w:val="8"/>
                                </w:rPr>
                                <w:t>ηµtώv</w:t>
                              </w:r>
                              <w:r>
                                <w:rPr>
                                  <w:rFonts w:ascii="Calibri" w:hAnsi="Calibri"/>
                                  <w:b/>
                                  <w:color w:val="252525"/>
                                  <w:spacing w:val="51"/>
                                  <w:w w:val="110"/>
                                  <w:sz w:val="8"/>
                                </w:rPr>
                                <w:t>  </w:t>
                              </w:r>
                              <w:r>
                                <w:rPr>
                                  <w:rFonts w:ascii="Calibri" w:hAnsi="Calibri"/>
                                  <w:b/>
                                  <w:color w:val="252525"/>
                                  <w:w w:val="110"/>
                                  <w:sz w:val="8"/>
                                </w:rPr>
                                <w:t>Κaτá</w:t>
                              </w:r>
                              <w:r>
                                <w:rPr>
                                  <w:rFonts w:ascii="Calibri" w:hAnsi="Calibri"/>
                                  <w:b/>
                                  <w:color w:val="252525"/>
                                  <w:spacing w:val="28"/>
                                  <w:w w:val="110"/>
                                  <w:sz w:val="8"/>
                                </w:rPr>
                                <w:t> </w:t>
                              </w:r>
                              <w:r>
                                <w:rPr>
                                  <w:rFonts w:ascii="Calibri" w:hAnsi="Calibri"/>
                                  <w:b/>
                                  <w:color w:val="252525"/>
                                  <w:spacing w:val="-2"/>
                                  <w:w w:val="110"/>
                                  <w:sz w:val="8"/>
                                </w:rPr>
                                <w:t>ηµtώv</w:t>
                              </w:r>
                              <w:r>
                                <w:rPr>
                                  <w:rFonts w:ascii="Calibri" w:hAnsi="Calibri"/>
                                  <w:b/>
                                  <w:color w:val="252525"/>
                                  <w:sz w:val="8"/>
                                </w:rPr>
                                <w:tab/>
                              </w:r>
                              <w:r>
                                <w:rPr>
                                  <w:rFonts w:ascii="Calibri" w:hAnsi="Calibri"/>
                                  <w:b/>
                                  <w:color w:val="252525"/>
                                  <w:spacing w:val="-2"/>
                                  <w:w w:val="110"/>
                                  <w:sz w:val="8"/>
                                </w:rPr>
                                <w:t>Mt</w:t>
                              </w:r>
                              <w:r>
                                <w:rPr>
                                  <w:rFonts w:ascii="Calibri" w:hAnsi="Calibri"/>
                                  <w:b/>
                                  <w:smallCaps/>
                                  <w:color w:val="252525"/>
                                  <w:spacing w:val="-2"/>
                                  <w:w w:val="110"/>
                                  <w:sz w:val="8"/>
                                </w:rPr>
                                <w:t>k</w:t>
                              </w:r>
                              <w:r>
                                <w:rPr>
                                  <w:rFonts w:ascii="Calibri" w:hAnsi="Calibri"/>
                                  <w:b/>
                                  <w:smallCaps w:val="0"/>
                                  <w:color w:val="252525"/>
                                  <w:spacing w:val="-2"/>
                                  <w:w w:val="110"/>
                                  <w:sz w:val="8"/>
                                </w:rPr>
                                <w:t>τćç</w:t>
                              </w:r>
                              <w:r>
                                <w:rPr>
                                  <w:rFonts w:ascii="Calibri" w:hAnsi="Calibri"/>
                                  <w:b/>
                                  <w:smallCaps w:val="0"/>
                                  <w:color w:val="252525"/>
                                  <w:sz w:val="8"/>
                                </w:rPr>
                                <w:tab/>
                              </w:r>
                              <w:r>
                                <w:rPr>
                                  <w:rFonts w:ascii="Calibri" w:hAnsi="Calibri"/>
                                  <w:b/>
                                  <w:smallCaps w:val="0"/>
                                  <w:color w:val="252525"/>
                                  <w:spacing w:val="-2"/>
                                  <w:w w:val="110"/>
                                  <w:sz w:val="8"/>
                                </w:rPr>
                                <w:t>Mt</w:t>
                              </w:r>
                              <w:r>
                                <w:rPr>
                                  <w:rFonts w:ascii="Calibri" w:hAnsi="Calibri"/>
                                  <w:b/>
                                  <w:smallCaps/>
                                  <w:color w:val="252525"/>
                                  <w:spacing w:val="-2"/>
                                  <w:w w:val="110"/>
                                  <w:sz w:val="8"/>
                                </w:rPr>
                                <w:t>k</w:t>
                              </w:r>
                              <w:r>
                                <w:rPr>
                                  <w:rFonts w:ascii="Calibri" w:hAnsi="Calibri"/>
                                  <w:b/>
                                  <w:smallCaps w:val="0"/>
                                  <w:color w:val="252525"/>
                                  <w:spacing w:val="-2"/>
                                  <w:w w:val="110"/>
                                  <w:sz w:val="8"/>
                                </w:rPr>
                                <w:t>τćç</w:t>
                              </w:r>
                            </w:p>
                          </w:txbxContent>
                        </wps:txbx>
                        <wps:bodyPr wrap="square" lIns="0" tIns="0" rIns="0" bIns="0" rtlCol="0">
                          <a:noAutofit/>
                        </wps:bodyPr>
                      </wps:wsp>
                      <wps:wsp>
                        <wps:cNvPr id="604" name="Textbox 604"/>
                        <wps:cNvSpPr txBox="1"/>
                        <wps:spPr>
                          <a:xfrm>
                            <a:off x="453202" y="2039445"/>
                            <a:ext cx="216535" cy="54610"/>
                          </a:xfrm>
                          <a:prstGeom prst="rect">
                            <a:avLst/>
                          </a:prstGeom>
                        </wps:spPr>
                        <wps:txbx>
                          <w:txbxContent>
                            <w:p>
                              <w:pPr>
                                <w:spacing w:line="85" w:lineRule="exact" w:before="0"/>
                                <w:ind w:left="0" w:right="0" w:firstLine="0"/>
                                <w:jc w:val="left"/>
                                <w:rPr>
                                  <w:rFonts w:ascii="Calibri" w:hAnsi="Calibri"/>
                                  <w:b/>
                                  <w:sz w:val="8"/>
                                </w:rPr>
                              </w:pPr>
                              <w:r>
                                <w:rPr>
                                  <w:rFonts w:ascii="Calibri" w:hAnsi="Calibri"/>
                                  <w:b/>
                                  <w:color w:val="252525"/>
                                  <w:w w:val="105"/>
                                  <w:sz w:val="8"/>
                                </w:rPr>
                                <w:t>Σuvo</w:t>
                              </w:r>
                              <w:r>
                                <w:rPr>
                                  <w:rFonts w:ascii="Calibri" w:hAnsi="Calibri"/>
                                  <w:b/>
                                  <w:color w:val="252525"/>
                                  <w:spacing w:val="15"/>
                                  <w:w w:val="105"/>
                                  <w:sz w:val="8"/>
                                </w:rPr>
                                <w:t> </w:t>
                              </w:r>
                              <w:r>
                                <w:rPr>
                                  <w:rFonts w:ascii="Calibri" w:hAnsi="Calibri"/>
                                  <w:b/>
                                  <w:color w:val="252525"/>
                                  <w:spacing w:val="-5"/>
                                  <w:w w:val="105"/>
                                  <w:sz w:val="8"/>
                                </w:rPr>
                                <w:t>t</w:t>
                              </w:r>
                              <w:r>
                                <w:rPr>
                                  <w:rFonts w:ascii="Calibri" w:hAnsi="Calibri"/>
                                  <w:b/>
                                  <w:smallCaps/>
                                  <w:color w:val="252525"/>
                                  <w:spacing w:val="-5"/>
                                  <w:w w:val="105"/>
                                  <w:sz w:val="8"/>
                                </w:rPr>
                                <w:t>k</w:t>
                              </w:r>
                              <w:r>
                                <w:rPr>
                                  <w:rFonts w:ascii="Calibri" w:hAnsi="Calibri"/>
                                  <w:b/>
                                  <w:smallCaps w:val="0"/>
                                  <w:color w:val="252525"/>
                                  <w:spacing w:val="-5"/>
                                  <w:w w:val="105"/>
                                  <w:sz w:val="8"/>
                                </w:rPr>
                                <w:t>ή</w:t>
                              </w:r>
                            </w:p>
                          </w:txbxContent>
                        </wps:txbx>
                        <wps:bodyPr wrap="square" lIns="0" tIns="0" rIns="0" bIns="0" rtlCol="0">
                          <a:noAutofit/>
                        </wps:bodyPr>
                      </wps:wsp>
                      <wps:wsp>
                        <wps:cNvPr id="605" name="Textbox 605"/>
                        <wps:cNvSpPr txBox="1"/>
                        <wps:spPr>
                          <a:xfrm>
                            <a:off x="762135" y="2039445"/>
                            <a:ext cx="339090" cy="54610"/>
                          </a:xfrm>
                          <a:prstGeom prst="rect">
                            <a:avLst/>
                          </a:prstGeom>
                        </wps:spPr>
                        <wps:txbx>
                          <w:txbxContent>
                            <w:p>
                              <w:pPr>
                                <w:spacing w:line="85" w:lineRule="exact" w:before="0"/>
                                <w:ind w:left="0" w:right="0" w:firstLine="0"/>
                                <w:jc w:val="left"/>
                                <w:rPr>
                                  <w:rFonts w:ascii="Calibri" w:hAnsi="Calibri"/>
                                  <w:b/>
                                  <w:sz w:val="8"/>
                                </w:rPr>
                              </w:pPr>
                              <w:r>
                                <w:rPr>
                                  <w:rFonts w:ascii="Calibri" w:hAnsi="Calibri"/>
                                  <w:b/>
                                  <w:color w:val="252525"/>
                                  <w:w w:val="105"/>
                                  <w:sz w:val="8"/>
                                </w:rPr>
                                <w:t>Eut</w:t>
                              </w:r>
                              <w:r>
                                <w:rPr>
                                  <w:rFonts w:ascii="Calibri" w:hAnsi="Calibri"/>
                                  <w:b/>
                                  <w:color w:val="252525"/>
                                  <w:spacing w:val="15"/>
                                  <w:w w:val="105"/>
                                  <w:sz w:val="8"/>
                                </w:rPr>
                                <w:t> </w:t>
                              </w:r>
                              <w:r>
                                <w:rPr>
                                  <w:rFonts w:ascii="Calibri" w:hAnsi="Calibri"/>
                                  <w:b/>
                                  <w:color w:val="252525"/>
                                  <w:w w:val="105"/>
                                  <w:sz w:val="8"/>
                                </w:rPr>
                                <w:t>ćÇtµa</w:t>
                              </w:r>
                              <w:r>
                                <w:rPr>
                                  <w:rFonts w:ascii="Calibri" w:hAnsi="Calibri"/>
                                  <w:b/>
                                  <w:color w:val="252525"/>
                                  <w:spacing w:val="-5"/>
                                  <w:w w:val="105"/>
                                  <w:sz w:val="8"/>
                                </w:rPr>
                                <w:t> </w:t>
                              </w:r>
                              <w:r>
                                <w:rPr>
                                  <w:rFonts w:ascii="Calibri" w:hAnsi="Calibri"/>
                                  <w:b/>
                                  <w:color w:val="252525"/>
                                  <w:spacing w:val="-4"/>
                                  <w:w w:val="105"/>
                                  <w:sz w:val="8"/>
                                </w:rPr>
                                <w:t>Įδta</w:t>
                              </w:r>
                            </w:p>
                          </w:txbxContent>
                        </wps:txbx>
                        <wps:bodyPr wrap="square" lIns="0" tIns="0" rIns="0" bIns="0" rtlCol="0">
                          <a:noAutofit/>
                        </wps:bodyPr>
                      </wps:wsp>
                      <wps:wsp>
                        <wps:cNvPr id="606" name="Textbox 606"/>
                        <wps:cNvSpPr txBox="1"/>
                        <wps:spPr>
                          <a:xfrm>
                            <a:off x="1194882" y="2039446"/>
                            <a:ext cx="1391285" cy="54610"/>
                          </a:xfrm>
                          <a:prstGeom prst="rect">
                            <a:avLst/>
                          </a:prstGeom>
                        </wps:spPr>
                        <wps:txbx>
                          <w:txbxContent>
                            <w:p>
                              <w:pPr>
                                <w:spacing w:line="85" w:lineRule="exact" w:before="0"/>
                                <w:ind w:left="0" w:right="0" w:firstLine="0"/>
                                <w:jc w:val="left"/>
                                <w:rPr>
                                  <w:rFonts w:ascii="Calibri" w:hAnsi="Calibri"/>
                                  <w:b/>
                                  <w:sz w:val="8"/>
                                </w:rPr>
                              </w:pPr>
                              <w:r>
                                <w:rPr>
                                  <w:rFonts w:ascii="Calibri" w:hAnsi="Calibri"/>
                                  <w:b/>
                                  <w:color w:val="252525"/>
                                  <w:w w:val="105"/>
                                  <w:sz w:val="8"/>
                                </w:rPr>
                                <w:t>Σuvo</w:t>
                              </w:r>
                              <w:r>
                                <w:rPr>
                                  <w:rFonts w:ascii="Calibri" w:hAnsi="Calibri"/>
                                  <w:b/>
                                  <w:color w:val="252525"/>
                                  <w:spacing w:val="17"/>
                                  <w:w w:val="105"/>
                                  <w:sz w:val="8"/>
                                </w:rPr>
                                <w:t> </w:t>
                              </w:r>
                              <w:r>
                                <w:rPr>
                                  <w:rFonts w:ascii="Calibri" w:hAnsi="Calibri"/>
                                  <w:b/>
                                  <w:color w:val="252525"/>
                                  <w:w w:val="105"/>
                                  <w:sz w:val="8"/>
                                </w:rPr>
                                <w:t>t</w:t>
                              </w:r>
                              <w:r>
                                <w:rPr>
                                  <w:rFonts w:ascii="Calibri" w:hAnsi="Calibri"/>
                                  <w:b/>
                                  <w:smallCaps/>
                                  <w:color w:val="252525"/>
                                  <w:w w:val="105"/>
                                  <w:sz w:val="8"/>
                                </w:rPr>
                                <w:t>k</w:t>
                              </w:r>
                              <w:r>
                                <w:rPr>
                                  <w:rFonts w:ascii="Calibri" w:hAnsi="Calibri"/>
                                  <w:b/>
                                  <w:smallCaps w:val="0"/>
                                  <w:color w:val="252525"/>
                                  <w:w w:val="105"/>
                                  <w:sz w:val="8"/>
                                </w:rPr>
                                <w:t>ή</w:t>
                              </w:r>
                              <w:r>
                                <w:rPr>
                                  <w:rFonts w:ascii="Calibri" w:hAnsi="Calibri"/>
                                  <w:b/>
                                  <w:smallCaps w:val="0"/>
                                  <w:color w:val="252525"/>
                                  <w:spacing w:val="60"/>
                                  <w:w w:val="105"/>
                                  <w:sz w:val="8"/>
                                </w:rPr>
                                <w:t>  </w:t>
                              </w:r>
                              <w:r>
                                <w:rPr>
                                  <w:rFonts w:ascii="Calibri" w:hAnsi="Calibri"/>
                                  <w:b/>
                                  <w:smallCaps w:val="0"/>
                                  <w:color w:val="252525"/>
                                  <w:w w:val="105"/>
                                  <w:sz w:val="8"/>
                                </w:rPr>
                                <w:t>Eut</w:t>
                              </w:r>
                              <w:r>
                                <w:rPr>
                                  <w:rFonts w:ascii="Calibri" w:hAnsi="Calibri"/>
                                  <w:b/>
                                  <w:smallCaps w:val="0"/>
                                  <w:color w:val="252525"/>
                                  <w:spacing w:val="27"/>
                                  <w:w w:val="105"/>
                                  <w:sz w:val="8"/>
                                </w:rPr>
                                <w:t> </w:t>
                              </w:r>
                              <w:r>
                                <w:rPr>
                                  <w:rFonts w:ascii="Calibri" w:hAnsi="Calibri"/>
                                  <w:b/>
                                  <w:smallCaps w:val="0"/>
                                  <w:color w:val="252525"/>
                                  <w:w w:val="105"/>
                                  <w:sz w:val="8"/>
                                </w:rPr>
                                <w:t>ćÇtµa</w:t>
                              </w:r>
                              <w:r>
                                <w:rPr>
                                  <w:rFonts w:ascii="Calibri" w:hAnsi="Calibri"/>
                                  <w:b/>
                                  <w:smallCaps w:val="0"/>
                                  <w:color w:val="252525"/>
                                  <w:spacing w:val="-5"/>
                                  <w:w w:val="105"/>
                                  <w:sz w:val="8"/>
                                </w:rPr>
                                <w:t> </w:t>
                              </w:r>
                              <w:r>
                                <w:rPr>
                                  <w:rFonts w:ascii="Calibri" w:hAnsi="Calibri"/>
                                  <w:b/>
                                  <w:smallCaps w:val="0"/>
                                  <w:color w:val="252525"/>
                                  <w:w w:val="105"/>
                                  <w:sz w:val="8"/>
                                </w:rPr>
                                <w:t>Įδta</w:t>
                              </w:r>
                              <w:r>
                                <w:rPr>
                                  <w:rFonts w:ascii="Calibri" w:hAnsi="Calibri"/>
                                  <w:b/>
                                  <w:smallCaps w:val="0"/>
                                  <w:color w:val="252525"/>
                                  <w:spacing w:val="62"/>
                                  <w:w w:val="105"/>
                                  <w:sz w:val="8"/>
                                </w:rPr>
                                <w:t>  </w:t>
                              </w:r>
                              <w:r>
                                <w:rPr>
                                  <w:rFonts w:ascii="Calibri" w:hAnsi="Calibri"/>
                                  <w:b/>
                                  <w:smallCaps w:val="0"/>
                                  <w:color w:val="252525"/>
                                  <w:w w:val="105"/>
                                  <w:sz w:val="8"/>
                                </w:rPr>
                                <w:t>Σuvo</w:t>
                              </w:r>
                              <w:r>
                                <w:rPr>
                                  <w:rFonts w:ascii="Calibri" w:hAnsi="Calibri"/>
                                  <w:b/>
                                  <w:smallCaps w:val="0"/>
                                  <w:color w:val="252525"/>
                                  <w:spacing w:val="17"/>
                                  <w:w w:val="105"/>
                                  <w:sz w:val="8"/>
                                </w:rPr>
                                <w:t> </w:t>
                              </w:r>
                              <w:r>
                                <w:rPr>
                                  <w:rFonts w:ascii="Calibri" w:hAnsi="Calibri"/>
                                  <w:b/>
                                  <w:smallCaps w:val="0"/>
                                  <w:color w:val="252525"/>
                                  <w:w w:val="105"/>
                                  <w:sz w:val="8"/>
                                </w:rPr>
                                <w:t>t</w:t>
                              </w:r>
                              <w:r>
                                <w:rPr>
                                  <w:rFonts w:ascii="Calibri" w:hAnsi="Calibri"/>
                                  <w:b/>
                                  <w:smallCaps/>
                                  <w:color w:val="252525"/>
                                  <w:w w:val="105"/>
                                  <w:sz w:val="8"/>
                                </w:rPr>
                                <w:t>k</w:t>
                              </w:r>
                              <w:r>
                                <w:rPr>
                                  <w:rFonts w:ascii="Calibri" w:hAnsi="Calibri"/>
                                  <w:b/>
                                  <w:smallCaps w:val="0"/>
                                  <w:color w:val="252525"/>
                                  <w:w w:val="105"/>
                                  <w:sz w:val="8"/>
                                </w:rPr>
                                <w:t>ή</w:t>
                              </w:r>
                              <w:r>
                                <w:rPr>
                                  <w:rFonts w:ascii="Calibri" w:hAnsi="Calibri"/>
                                  <w:b/>
                                  <w:smallCaps w:val="0"/>
                                  <w:color w:val="252525"/>
                                  <w:spacing w:val="61"/>
                                  <w:w w:val="105"/>
                                  <w:sz w:val="8"/>
                                </w:rPr>
                                <w:t>  </w:t>
                              </w:r>
                              <w:r>
                                <w:rPr>
                                  <w:rFonts w:ascii="Calibri" w:hAnsi="Calibri"/>
                                  <w:b/>
                                  <w:smallCaps w:val="0"/>
                                  <w:color w:val="252525"/>
                                  <w:w w:val="105"/>
                                  <w:sz w:val="8"/>
                                </w:rPr>
                                <w:t>Eut</w:t>
                              </w:r>
                              <w:r>
                                <w:rPr>
                                  <w:rFonts w:ascii="Calibri" w:hAnsi="Calibri"/>
                                  <w:b/>
                                  <w:smallCaps w:val="0"/>
                                  <w:color w:val="252525"/>
                                  <w:spacing w:val="25"/>
                                  <w:w w:val="105"/>
                                  <w:sz w:val="8"/>
                                </w:rPr>
                                <w:t> </w:t>
                              </w:r>
                              <w:r>
                                <w:rPr>
                                  <w:rFonts w:ascii="Calibri" w:hAnsi="Calibri"/>
                                  <w:b/>
                                  <w:smallCaps w:val="0"/>
                                  <w:color w:val="252525"/>
                                  <w:w w:val="105"/>
                                  <w:sz w:val="8"/>
                                </w:rPr>
                                <w:t>ćÇtµa</w:t>
                              </w:r>
                              <w:r>
                                <w:rPr>
                                  <w:rFonts w:ascii="Calibri" w:hAnsi="Calibri"/>
                                  <w:b/>
                                  <w:smallCaps w:val="0"/>
                                  <w:color w:val="252525"/>
                                  <w:spacing w:val="-4"/>
                                  <w:w w:val="105"/>
                                  <w:sz w:val="8"/>
                                </w:rPr>
                                <w:t> Įδta</w:t>
                              </w:r>
                            </w:p>
                          </w:txbxContent>
                        </wps:txbx>
                        <wps:bodyPr wrap="square" lIns="0" tIns="0" rIns="0" bIns="0" rtlCol="0">
                          <a:noAutofit/>
                        </wps:bodyPr>
                      </wps:wsp>
                      <wps:wsp>
                        <wps:cNvPr id="607" name="Textbox 607"/>
                        <wps:cNvSpPr txBox="1"/>
                        <wps:spPr>
                          <a:xfrm>
                            <a:off x="375067" y="2105533"/>
                            <a:ext cx="2204720" cy="192405"/>
                          </a:xfrm>
                          <a:prstGeom prst="rect">
                            <a:avLst/>
                          </a:prstGeom>
                        </wps:spPr>
                        <wps:txbx>
                          <w:txbxContent>
                            <w:p>
                              <w:pPr>
                                <w:spacing w:line="85" w:lineRule="exact" w:before="0"/>
                                <w:ind w:left="58" w:right="0" w:firstLine="0"/>
                                <w:jc w:val="left"/>
                                <w:rPr>
                                  <w:rFonts w:ascii="Calibri" w:hAnsi="Calibri" w:cs="Calibri" w:eastAsia="Calibri"/>
                                  <w:b/>
                                  <w:bCs/>
                                  <w:sz w:val="8"/>
                                  <w:szCs w:val="8"/>
                                </w:rPr>
                              </w:pPr>
                              <w:r>
                                <w:rPr>
                                  <w:rFonts w:ascii="Calibri" w:hAnsi="Calibri" w:cs="Calibri" w:eastAsia="Calibri"/>
                                  <w:b/>
                                  <w:bCs/>
                                  <w:color w:val="252525"/>
                                  <w:w w:val="110"/>
                                  <w:sz w:val="8"/>
                                  <w:szCs w:val="8"/>
                                </w:rPr>
                                <w:t>Κεϕa</w:t>
                              </w:r>
                              <w:r>
                                <w:rPr>
                                  <w:rFonts w:ascii="Calibri" w:hAnsi="Calibri" w:cs="Calibri" w:eastAsia="Calibri"/>
                                  <w:b/>
                                  <w:bCs/>
                                  <w:color w:val="252525"/>
                                  <w:spacing w:val="19"/>
                                  <w:w w:val="110"/>
                                  <w:sz w:val="8"/>
                                  <w:szCs w:val="8"/>
                                </w:rPr>
                                <w:t> </w:t>
                              </w:r>
                              <w:r>
                                <w:rPr>
                                  <w:rFonts w:ascii="Calibri" w:hAnsi="Calibri" w:cs="Calibri" w:eastAsia="Calibri"/>
                                  <w:b/>
                                  <w:bCs/>
                                  <w:color w:val="252525"/>
                                  <w:w w:val="110"/>
                                  <w:sz w:val="8"/>
                                  <w:szCs w:val="8"/>
                                </w:rPr>
                                <w:t>ata</w:t>
                              </w:r>
                              <w:r>
                                <w:rPr>
                                  <w:rFonts w:ascii="Calibri" w:hAnsi="Calibri" w:cs="Calibri" w:eastAsia="Calibri"/>
                                  <w:b/>
                                  <w:bCs/>
                                  <w:smallCaps/>
                                  <w:color w:val="252525"/>
                                  <w:w w:val="110"/>
                                  <w:sz w:val="8"/>
                                  <w:szCs w:val="8"/>
                                </w:rPr>
                                <w:t>k</w:t>
                              </w:r>
                              <w:r>
                                <w:rPr>
                                  <w:rFonts w:ascii="Calibri" w:hAnsi="Calibri" w:cs="Calibri" w:eastAsia="Calibri"/>
                                  <w:b/>
                                  <w:bCs/>
                                  <w:smallCaps w:val="0"/>
                                  <w:color w:val="252525"/>
                                  <w:w w:val="110"/>
                                  <w:sz w:val="8"/>
                                  <w:szCs w:val="8"/>
                                </w:rPr>
                                <w:t>ή</w:t>
                              </w:r>
                              <w:r>
                                <w:rPr>
                                  <w:rFonts w:ascii="Calibri" w:hAnsi="Calibri" w:cs="Calibri" w:eastAsia="Calibri"/>
                                  <w:b/>
                                  <w:bCs/>
                                  <w:smallCaps w:val="0"/>
                                  <w:color w:val="252525"/>
                                  <w:spacing w:val="41"/>
                                  <w:w w:val="110"/>
                                  <w:sz w:val="8"/>
                                  <w:szCs w:val="8"/>
                                </w:rPr>
                                <w:t>  </w:t>
                              </w:r>
                              <w:r>
                                <w:rPr>
                                  <w:rFonts w:ascii="Calibri" w:hAnsi="Calibri" w:cs="Calibri" w:eastAsia="Calibri"/>
                                  <w:b/>
                                  <w:bCs/>
                                  <w:smallCaps w:val="0"/>
                                  <w:color w:val="252525"/>
                                  <w:w w:val="110"/>
                                  <w:sz w:val="8"/>
                                  <w:szCs w:val="8"/>
                                </w:rPr>
                                <w:t>Κεϕá</w:t>
                              </w:r>
                              <w:r>
                                <w:rPr>
                                  <w:rFonts w:ascii="Calibri" w:hAnsi="Calibri" w:cs="Calibri" w:eastAsia="Calibri"/>
                                  <w:b/>
                                  <w:bCs/>
                                  <w:smallCaps w:val="0"/>
                                  <w:color w:val="252525"/>
                                  <w:spacing w:val="19"/>
                                  <w:w w:val="110"/>
                                  <w:sz w:val="8"/>
                                  <w:szCs w:val="8"/>
                                </w:rPr>
                                <w:t> </w:t>
                              </w:r>
                              <w:r>
                                <w:rPr>
                                  <w:rFonts w:ascii="Calibri" w:hAnsi="Calibri" w:cs="Calibri" w:eastAsia="Calibri"/>
                                  <w:b/>
                                  <w:bCs/>
                                  <w:smallCaps w:val="0"/>
                                  <w:color w:val="252525"/>
                                  <w:w w:val="110"/>
                                  <w:sz w:val="8"/>
                                  <w:szCs w:val="8"/>
                                </w:rPr>
                                <w:t>ata</w:t>
                              </w:r>
                              <w:r>
                                <w:rPr>
                                  <w:rFonts w:ascii="Calibri" w:hAnsi="Calibri" w:cs="Calibri" w:eastAsia="Calibri"/>
                                  <w:b/>
                                  <w:bCs/>
                                  <w:smallCaps w:val="0"/>
                                  <w:color w:val="252525"/>
                                  <w:spacing w:val="-4"/>
                                  <w:w w:val="110"/>
                                  <w:sz w:val="8"/>
                                  <w:szCs w:val="8"/>
                                </w:rPr>
                                <w:t> </w:t>
                              </w:r>
                              <w:r>
                                <w:rPr>
                                  <w:rFonts w:ascii="Calibri" w:hAnsi="Calibri" w:cs="Calibri" w:eastAsia="Calibri"/>
                                  <w:b/>
                                  <w:bCs/>
                                  <w:smallCaps w:val="0"/>
                                  <w:color w:val="252525"/>
                                  <w:w w:val="110"/>
                                  <w:sz w:val="8"/>
                                  <w:szCs w:val="8"/>
                                </w:rPr>
                                <w:t>γta</w:t>
                              </w:r>
                              <w:r>
                                <w:rPr>
                                  <w:rFonts w:ascii="Calibri" w:hAnsi="Calibri" w:cs="Calibri" w:eastAsia="Calibri"/>
                                  <w:b/>
                                  <w:bCs/>
                                  <w:smallCaps w:val="0"/>
                                  <w:color w:val="252525"/>
                                  <w:spacing w:val="38"/>
                                  <w:w w:val="110"/>
                                  <w:sz w:val="8"/>
                                  <w:szCs w:val="8"/>
                                </w:rPr>
                                <w:t>  </w:t>
                              </w:r>
                              <w:r>
                                <w:rPr>
                                  <w:rFonts w:ascii="Calibri" w:hAnsi="Calibri" w:cs="Calibri" w:eastAsia="Calibri"/>
                                  <w:b/>
                                  <w:bCs/>
                                  <w:smallCaps w:val="0"/>
                                  <w:color w:val="252525"/>
                                  <w:w w:val="110"/>
                                  <w:sz w:val="8"/>
                                  <w:szCs w:val="8"/>
                                </w:rPr>
                                <w:t>Κεϕa</w:t>
                              </w:r>
                              <w:r>
                                <w:rPr>
                                  <w:rFonts w:ascii="Calibri" w:hAnsi="Calibri" w:cs="Calibri" w:eastAsia="Calibri"/>
                                  <w:b/>
                                  <w:bCs/>
                                  <w:smallCaps w:val="0"/>
                                  <w:color w:val="252525"/>
                                  <w:spacing w:val="21"/>
                                  <w:w w:val="110"/>
                                  <w:sz w:val="8"/>
                                  <w:szCs w:val="8"/>
                                </w:rPr>
                                <w:t> </w:t>
                              </w:r>
                              <w:r>
                                <w:rPr>
                                  <w:rFonts w:ascii="Calibri" w:hAnsi="Calibri" w:cs="Calibri" w:eastAsia="Calibri"/>
                                  <w:b/>
                                  <w:bCs/>
                                  <w:smallCaps w:val="0"/>
                                  <w:color w:val="252525"/>
                                  <w:w w:val="110"/>
                                  <w:sz w:val="8"/>
                                  <w:szCs w:val="8"/>
                                </w:rPr>
                                <w:t>ata</w:t>
                              </w:r>
                              <w:r>
                                <w:rPr>
                                  <w:rFonts w:ascii="Calibri" w:hAnsi="Calibri" w:cs="Calibri" w:eastAsia="Calibri"/>
                                  <w:b/>
                                  <w:bCs/>
                                  <w:smallCaps/>
                                  <w:color w:val="252525"/>
                                  <w:w w:val="110"/>
                                  <w:sz w:val="8"/>
                                  <w:szCs w:val="8"/>
                                </w:rPr>
                                <w:t>k</w:t>
                              </w:r>
                              <w:r>
                                <w:rPr>
                                  <w:rFonts w:ascii="Calibri" w:hAnsi="Calibri" w:cs="Calibri" w:eastAsia="Calibri"/>
                                  <w:b/>
                                  <w:bCs/>
                                  <w:smallCaps w:val="0"/>
                                  <w:color w:val="252525"/>
                                  <w:w w:val="110"/>
                                  <w:sz w:val="8"/>
                                  <w:szCs w:val="8"/>
                                </w:rPr>
                                <w:t>ή</w:t>
                              </w:r>
                              <w:r>
                                <w:rPr>
                                  <w:rFonts w:ascii="Calibri" w:hAnsi="Calibri" w:cs="Calibri" w:eastAsia="Calibri"/>
                                  <w:b/>
                                  <w:bCs/>
                                  <w:smallCaps w:val="0"/>
                                  <w:color w:val="252525"/>
                                  <w:spacing w:val="40"/>
                                  <w:w w:val="110"/>
                                  <w:sz w:val="8"/>
                                  <w:szCs w:val="8"/>
                                </w:rPr>
                                <w:t>  </w:t>
                              </w:r>
                              <w:r>
                                <w:rPr>
                                  <w:rFonts w:ascii="Calibri" w:hAnsi="Calibri" w:cs="Calibri" w:eastAsia="Calibri"/>
                                  <w:b/>
                                  <w:bCs/>
                                  <w:smallCaps w:val="0"/>
                                  <w:color w:val="252525"/>
                                  <w:w w:val="110"/>
                                  <w:sz w:val="8"/>
                                  <w:szCs w:val="8"/>
                                </w:rPr>
                                <w:t>Κεϕá</w:t>
                              </w:r>
                              <w:r>
                                <w:rPr>
                                  <w:rFonts w:ascii="Calibri" w:hAnsi="Calibri" w:cs="Calibri" w:eastAsia="Calibri"/>
                                  <w:b/>
                                  <w:bCs/>
                                  <w:smallCaps w:val="0"/>
                                  <w:color w:val="252525"/>
                                  <w:spacing w:val="21"/>
                                  <w:w w:val="110"/>
                                  <w:sz w:val="8"/>
                                  <w:szCs w:val="8"/>
                                </w:rPr>
                                <w:t> </w:t>
                              </w:r>
                              <w:r>
                                <w:rPr>
                                  <w:rFonts w:ascii="Calibri" w:hAnsi="Calibri" w:cs="Calibri" w:eastAsia="Calibri"/>
                                  <w:b/>
                                  <w:bCs/>
                                  <w:smallCaps w:val="0"/>
                                  <w:color w:val="252525"/>
                                  <w:w w:val="110"/>
                                  <w:sz w:val="8"/>
                                  <w:szCs w:val="8"/>
                                </w:rPr>
                                <w:t>ata</w:t>
                              </w:r>
                              <w:r>
                                <w:rPr>
                                  <w:rFonts w:ascii="Calibri" w:hAnsi="Calibri" w:cs="Calibri" w:eastAsia="Calibri"/>
                                  <w:b/>
                                  <w:bCs/>
                                  <w:smallCaps w:val="0"/>
                                  <w:color w:val="252525"/>
                                  <w:spacing w:val="-5"/>
                                  <w:w w:val="110"/>
                                  <w:sz w:val="8"/>
                                  <w:szCs w:val="8"/>
                                </w:rPr>
                                <w:t> </w:t>
                              </w:r>
                              <w:r>
                                <w:rPr>
                                  <w:rFonts w:ascii="Calibri" w:hAnsi="Calibri" w:cs="Calibri" w:eastAsia="Calibri"/>
                                  <w:b/>
                                  <w:bCs/>
                                  <w:smallCaps w:val="0"/>
                                  <w:color w:val="252525"/>
                                  <w:w w:val="110"/>
                                  <w:sz w:val="8"/>
                                  <w:szCs w:val="8"/>
                                </w:rPr>
                                <w:t>γta</w:t>
                              </w:r>
                              <w:r>
                                <w:rPr>
                                  <w:rFonts w:ascii="Calibri" w:hAnsi="Calibri" w:cs="Calibri" w:eastAsia="Calibri"/>
                                  <w:b/>
                                  <w:bCs/>
                                  <w:smallCaps w:val="0"/>
                                  <w:color w:val="252525"/>
                                  <w:spacing w:val="40"/>
                                  <w:w w:val="110"/>
                                  <w:sz w:val="8"/>
                                  <w:szCs w:val="8"/>
                                </w:rPr>
                                <w:t>  </w:t>
                              </w:r>
                              <w:r>
                                <w:rPr>
                                  <w:rFonts w:ascii="Calibri" w:hAnsi="Calibri" w:cs="Calibri" w:eastAsia="Calibri"/>
                                  <w:b/>
                                  <w:bCs/>
                                  <w:smallCaps w:val="0"/>
                                  <w:color w:val="252525"/>
                                  <w:w w:val="110"/>
                                  <w:sz w:val="8"/>
                                  <w:szCs w:val="8"/>
                                </w:rPr>
                                <w:t>Κεϕa</w:t>
                              </w:r>
                              <w:r>
                                <w:rPr>
                                  <w:rFonts w:ascii="Calibri" w:hAnsi="Calibri" w:cs="Calibri" w:eastAsia="Calibri"/>
                                  <w:b/>
                                  <w:bCs/>
                                  <w:smallCaps w:val="0"/>
                                  <w:color w:val="252525"/>
                                  <w:spacing w:val="19"/>
                                  <w:w w:val="110"/>
                                  <w:sz w:val="8"/>
                                  <w:szCs w:val="8"/>
                                </w:rPr>
                                <w:t> </w:t>
                              </w:r>
                              <w:r>
                                <w:rPr>
                                  <w:rFonts w:ascii="Calibri" w:hAnsi="Calibri" w:cs="Calibri" w:eastAsia="Calibri"/>
                                  <w:b/>
                                  <w:bCs/>
                                  <w:smallCaps w:val="0"/>
                                  <w:color w:val="252525"/>
                                  <w:w w:val="110"/>
                                  <w:sz w:val="8"/>
                                  <w:szCs w:val="8"/>
                                </w:rPr>
                                <w:t>ata</w:t>
                              </w:r>
                              <w:r>
                                <w:rPr>
                                  <w:rFonts w:ascii="Calibri" w:hAnsi="Calibri" w:cs="Calibri" w:eastAsia="Calibri"/>
                                  <w:b/>
                                  <w:bCs/>
                                  <w:smallCaps/>
                                  <w:color w:val="252525"/>
                                  <w:w w:val="110"/>
                                  <w:sz w:val="8"/>
                                  <w:szCs w:val="8"/>
                                </w:rPr>
                                <w:t>k</w:t>
                              </w:r>
                              <w:r>
                                <w:rPr>
                                  <w:rFonts w:ascii="Calibri" w:hAnsi="Calibri" w:cs="Calibri" w:eastAsia="Calibri"/>
                                  <w:b/>
                                  <w:bCs/>
                                  <w:smallCaps w:val="0"/>
                                  <w:color w:val="252525"/>
                                  <w:w w:val="110"/>
                                  <w:sz w:val="8"/>
                                  <w:szCs w:val="8"/>
                                </w:rPr>
                                <w:t>ή</w:t>
                              </w:r>
                              <w:r>
                                <w:rPr>
                                  <w:rFonts w:ascii="Calibri" w:hAnsi="Calibri" w:cs="Calibri" w:eastAsia="Calibri"/>
                                  <w:b/>
                                  <w:bCs/>
                                  <w:smallCaps w:val="0"/>
                                  <w:color w:val="252525"/>
                                  <w:spacing w:val="41"/>
                                  <w:w w:val="110"/>
                                  <w:sz w:val="8"/>
                                  <w:szCs w:val="8"/>
                                </w:rPr>
                                <w:t>  </w:t>
                              </w:r>
                              <w:r>
                                <w:rPr>
                                  <w:rFonts w:ascii="Calibri" w:hAnsi="Calibri" w:cs="Calibri" w:eastAsia="Calibri"/>
                                  <w:b/>
                                  <w:bCs/>
                                  <w:smallCaps w:val="0"/>
                                  <w:color w:val="252525"/>
                                  <w:w w:val="110"/>
                                  <w:sz w:val="8"/>
                                  <w:szCs w:val="8"/>
                                </w:rPr>
                                <w:t>Κεϕá</w:t>
                              </w:r>
                              <w:r>
                                <w:rPr>
                                  <w:rFonts w:ascii="Calibri" w:hAnsi="Calibri" w:cs="Calibri" w:eastAsia="Calibri"/>
                                  <w:b/>
                                  <w:bCs/>
                                  <w:smallCaps w:val="0"/>
                                  <w:color w:val="252525"/>
                                  <w:spacing w:val="19"/>
                                  <w:w w:val="110"/>
                                  <w:sz w:val="8"/>
                                  <w:szCs w:val="8"/>
                                </w:rPr>
                                <w:t> </w:t>
                              </w:r>
                              <w:r>
                                <w:rPr>
                                  <w:rFonts w:ascii="Calibri" w:hAnsi="Calibri" w:cs="Calibri" w:eastAsia="Calibri"/>
                                  <w:b/>
                                  <w:bCs/>
                                  <w:smallCaps w:val="0"/>
                                  <w:color w:val="252525"/>
                                  <w:w w:val="110"/>
                                  <w:sz w:val="8"/>
                                  <w:szCs w:val="8"/>
                                </w:rPr>
                                <w:t>ata</w:t>
                              </w:r>
                              <w:r>
                                <w:rPr>
                                  <w:rFonts w:ascii="Calibri" w:hAnsi="Calibri" w:cs="Calibri" w:eastAsia="Calibri"/>
                                  <w:b/>
                                  <w:bCs/>
                                  <w:smallCaps w:val="0"/>
                                  <w:color w:val="252525"/>
                                  <w:spacing w:val="-4"/>
                                  <w:w w:val="110"/>
                                  <w:sz w:val="8"/>
                                  <w:szCs w:val="8"/>
                                </w:rPr>
                                <w:t> </w:t>
                              </w:r>
                              <w:r>
                                <w:rPr>
                                  <w:rFonts w:ascii="Calibri" w:hAnsi="Calibri" w:cs="Calibri" w:eastAsia="Calibri"/>
                                  <w:b/>
                                  <w:bCs/>
                                  <w:smallCaps w:val="0"/>
                                  <w:color w:val="252525"/>
                                  <w:spacing w:val="-5"/>
                                  <w:w w:val="110"/>
                                  <w:sz w:val="8"/>
                                  <w:szCs w:val="8"/>
                                </w:rPr>
                                <w:t>γta</w:t>
                              </w:r>
                            </w:p>
                            <w:p>
                              <w:pPr>
                                <w:spacing w:line="256" w:lineRule="auto" w:before="8"/>
                                <w:ind w:left="0" w:right="1281" w:firstLine="111"/>
                                <w:jc w:val="left"/>
                                <w:rPr>
                                  <w:rFonts w:ascii="Calibri" w:hAnsi="Calibri"/>
                                  <w:b/>
                                  <w:sz w:val="8"/>
                                </w:rPr>
                              </w:pPr>
                              <w:r>
                                <w:rPr>
                                  <w:rFonts w:ascii="Calibri" w:hAnsi="Calibri"/>
                                  <w:b/>
                                  <w:color w:val="252525"/>
                                  <w:w w:val="110"/>
                                  <w:sz w:val="8"/>
                                </w:rPr>
                                <w:t>Auaíτηơη</w:t>
                              </w:r>
                              <w:r>
                                <w:rPr>
                                  <w:rFonts w:ascii="Calibri" w:hAnsi="Calibri"/>
                                  <w:b/>
                                  <w:color w:val="252525"/>
                                  <w:spacing w:val="80"/>
                                  <w:w w:val="110"/>
                                  <w:sz w:val="8"/>
                                </w:rPr>
                                <w:t>  </w:t>
                              </w:r>
                              <w:r>
                                <w:rPr>
                                  <w:rFonts w:ascii="Calibri" w:hAnsi="Calibri"/>
                                  <w:b/>
                                  <w:color w:val="252525"/>
                                  <w:w w:val="110"/>
                                  <w:sz w:val="8"/>
                                </w:rPr>
                                <w:t>τηv </w:t>
                              </w:r>
                              <w:r>
                                <w:rPr>
                                  <w:rFonts w:ascii="Calibri" w:hAnsi="Calibri"/>
                                  <w:b/>
                                  <w:smallCaps/>
                                  <w:color w:val="252525"/>
                                  <w:w w:val="110"/>
                                  <w:sz w:val="8"/>
                                </w:rPr>
                                <w:t>k</w:t>
                              </w:r>
                              <w:r>
                                <w:rPr>
                                  <w:rFonts w:ascii="Calibri" w:hAnsi="Calibri"/>
                                  <w:b/>
                                  <w:smallCaps w:val="0"/>
                                  <w:color w:val="252525"/>
                                  <w:w w:val="110"/>
                                  <w:sz w:val="8"/>
                                </w:rPr>
                                <w:t>á</w:t>
                              </w:r>
                              <w:r>
                                <w:rPr>
                                  <w:rFonts w:ascii="Calibri" w:hAnsi="Calibri"/>
                                  <w:b/>
                                  <w:smallCaps w:val="0"/>
                                  <w:color w:val="252525"/>
                                  <w:spacing w:val="28"/>
                                  <w:w w:val="110"/>
                                  <w:sz w:val="8"/>
                                </w:rPr>
                                <w:t> </w:t>
                              </w:r>
                              <w:r>
                                <w:rPr>
                                  <w:rFonts w:ascii="Calibri" w:hAnsi="Calibri"/>
                                  <w:b/>
                                  <w:smallCaps w:val="0"/>
                                  <w:color w:val="252525"/>
                                  <w:w w:val="110"/>
                                  <w:sz w:val="8"/>
                                </w:rPr>
                                <w:t>uψη</w:t>
                              </w:r>
                              <w:r>
                                <w:rPr>
                                  <w:rFonts w:ascii="Calibri" w:hAnsi="Calibri"/>
                                  <w:b/>
                                  <w:smallCaps w:val="0"/>
                                  <w:color w:val="252525"/>
                                  <w:spacing w:val="80"/>
                                  <w:w w:val="110"/>
                                  <w:sz w:val="8"/>
                                </w:rPr>
                                <w:t>  </w:t>
                              </w:r>
                              <w:r>
                                <w:rPr>
                                  <w:rFonts w:ascii="Calibri" w:hAnsi="Calibri"/>
                                  <w:b/>
                                  <w:smallCaps w:val="0"/>
                                  <w:color w:val="252525"/>
                                  <w:w w:val="110"/>
                                  <w:sz w:val="8"/>
                                </w:rPr>
                                <w:t>Auaíτηơη</w:t>
                              </w:r>
                              <w:r>
                                <w:rPr>
                                  <w:rFonts w:ascii="Calibri" w:hAnsi="Calibri"/>
                                  <w:b/>
                                  <w:smallCaps w:val="0"/>
                                  <w:color w:val="252525"/>
                                  <w:spacing w:val="40"/>
                                  <w:w w:val="110"/>
                                  <w:sz w:val="8"/>
                                </w:rPr>
                                <w:t> </w:t>
                              </w:r>
                              <w:r>
                                <w:rPr>
                                  <w:rFonts w:ascii="Calibri" w:hAnsi="Calibri"/>
                                  <w:b/>
                                  <w:smallCaps w:val="0"/>
                                  <w:color w:val="252525"/>
                                  <w:w w:val="110"/>
                                  <w:sz w:val="8"/>
                                </w:rPr>
                                <w:t>Фεpεγγuóτητaç</w:t>
                              </w:r>
                              <w:r>
                                <w:rPr>
                                  <w:rFonts w:ascii="Calibri" w:hAnsi="Calibri"/>
                                  <w:b/>
                                  <w:smallCaps w:val="0"/>
                                  <w:color w:val="252525"/>
                                  <w:spacing w:val="40"/>
                                  <w:w w:val="110"/>
                                  <w:sz w:val="8"/>
                                </w:rPr>
                                <w:t>  </w:t>
                              </w:r>
                              <w:r>
                                <w:rPr>
                                  <w:rFonts w:ascii="Calibri" w:hAnsi="Calibri"/>
                                  <w:b/>
                                  <w:smallCaps w:val="0"/>
                                  <w:color w:val="252525"/>
                                  <w:w w:val="110"/>
                                  <w:sz w:val="8"/>
                                </w:rPr>
                                <w:t>τou SCR</w:t>
                              </w:r>
                              <w:r>
                                <w:rPr>
                                  <w:rFonts w:ascii="Calibri" w:hAnsi="Calibri"/>
                                  <w:b/>
                                  <w:smallCaps w:val="0"/>
                                  <w:color w:val="252525"/>
                                  <w:spacing w:val="72"/>
                                  <w:w w:val="150"/>
                                  <w:sz w:val="8"/>
                                </w:rPr>
                                <w:t> </w:t>
                              </w:r>
                              <w:r>
                                <w:rPr>
                                  <w:rFonts w:ascii="Calibri" w:hAnsi="Calibri"/>
                                  <w:b/>
                                  <w:smallCaps w:val="0"/>
                                  <w:color w:val="252525"/>
                                  <w:spacing w:val="-2"/>
                                  <w:w w:val="110"/>
                                  <w:sz w:val="8"/>
                                </w:rPr>
                                <w:t>Фεpεγγuóτητaç</w:t>
                              </w:r>
                            </w:p>
                          </w:txbxContent>
                        </wps:txbx>
                        <wps:bodyPr wrap="square" lIns="0" tIns="0" rIns="0" bIns="0" rtlCol="0">
                          <a:noAutofit/>
                        </wps:bodyPr>
                      </wps:wsp>
                      <wps:wsp>
                        <wps:cNvPr id="608" name="Textbox 608"/>
                        <wps:cNvSpPr txBox="1"/>
                        <wps:spPr>
                          <a:xfrm>
                            <a:off x="498881" y="2309804"/>
                            <a:ext cx="132080" cy="54610"/>
                          </a:xfrm>
                          <a:prstGeom prst="rect">
                            <a:avLst/>
                          </a:prstGeom>
                        </wps:spPr>
                        <wps:txbx>
                          <w:txbxContent>
                            <w:p>
                              <w:pPr>
                                <w:spacing w:line="85" w:lineRule="exact" w:before="0"/>
                                <w:ind w:left="0" w:right="0" w:firstLine="0"/>
                                <w:jc w:val="left"/>
                                <w:rPr>
                                  <w:rFonts w:ascii="Calibri"/>
                                  <w:b/>
                                  <w:sz w:val="8"/>
                                </w:rPr>
                              </w:pPr>
                              <w:r>
                                <w:rPr>
                                  <w:rFonts w:ascii="Calibri"/>
                                  <w:b/>
                                  <w:color w:val="252525"/>
                                  <w:spacing w:val="-2"/>
                                  <w:w w:val="105"/>
                                  <w:sz w:val="8"/>
                                </w:rPr>
                                <w:t>(SCR)</w:t>
                              </w:r>
                            </w:p>
                          </w:txbxContent>
                        </wps:txbx>
                        <wps:bodyPr wrap="square" lIns="0" tIns="0" rIns="0" bIns="0" rtlCol="0">
                          <a:noAutofit/>
                        </wps:bodyPr>
                      </wps:wsp>
                      <wps:wsp>
                        <wps:cNvPr id="609" name="Textbox 609"/>
                        <wps:cNvSpPr txBox="1"/>
                        <wps:spPr>
                          <a:xfrm>
                            <a:off x="1240561" y="2309804"/>
                            <a:ext cx="133350" cy="54610"/>
                          </a:xfrm>
                          <a:prstGeom prst="rect">
                            <a:avLst/>
                          </a:prstGeom>
                        </wps:spPr>
                        <wps:txbx>
                          <w:txbxContent>
                            <w:p>
                              <w:pPr>
                                <w:spacing w:line="85" w:lineRule="exact" w:before="0"/>
                                <w:ind w:left="0" w:right="0" w:firstLine="0"/>
                                <w:jc w:val="left"/>
                                <w:rPr>
                                  <w:rFonts w:ascii="Calibri"/>
                                  <w:b/>
                                  <w:sz w:val="8"/>
                                </w:rPr>
                              </w:pPr>
                              <w:r>
                                <w:rPr>
                                  <w:rFonts w:ascii="Calibri"/>
                                  <w:b/>
                                  <w:color w:val="252525"/>
                                  <w:spacing w:val="-2"/>
                                  <w:w w:val="105"/>
                                  <w:sz w:val="8"/>
                                </w:rPr>
                                <w:t>(SCR)</w:t>
                              </w:r>
                            </w:p>
                          </w:txbxContent>
                        </wps:txbx>
                        <wps:bodyPr wrap="square" lIns="0" tIns="0" rIns="0" bIns="0" rtlCol="0">
                          <a:noAutofit/>
                        </wps:bodyPr>
                      </wps:wsp>
                      <wps:wsp>
                        <wps:cNvPr id="610" name="Textbox 610"/>
                        <wps:cNvSpPr txBox="1"/>
                        <wps:spPr>
                          <a:xfrm>
                            <a:off x="1532666" y="2177629"/>
                            <a:ext cx="1024255" cy="186690"/>
                          </a:xfrm>
                          <a:prstGeom prst="rect">
                            <a:avLst/>
                          </a:prstGeom>
                        </wps:spPr>
                        <wps:txbx>
                          <w:txbxContent>
                            <w:p>
                              <w:pPr>
                                <w:tabs>
                                  <w:tab w:pos="624" w:val="left" w:leader="none"/>
                                </w:tabs>
                                <w:spacing w:line="85" w:lineRule="exact" w:before="0"/>
                                <w:ind w:left="0" w:right="0" w:firstLine="0"/>
                                <w:jc w:val="left"/>
                                <w:rPr>
                                  <w:rFonts w:ascii="Calibri" w:hAnsi="Calibri"/>
                                  <w:b/>
                                  <w:sz w:val="8"/>
                                </w:rPr>
                              </w:pPr>
                              <w:r>
                                <w:rPr>
                                  <w:rFonts w:ascii="Calibri" w:hAnsi="Calibri"/>
                                  <w:b/>
                                  <w:color w:val="252525"/>
                                  <w:w w:val="110"/>
                                  <w:sz w:val="8"/>
                                </w:rPr>
                                <w:t>τηv</w:t>
                              </w:r>
                              <w:r>
                                <w:rPr>
                                  <w:rFonts w:ascii="Calibri" w:hAnsi="Calibri"/>
                                  <w:b/>
                                  <w:color w:val="252525"/>
                                  <w:spacing w:val="3"/>
                                  <w:w w:val="110"/>
                                  <w:sz w:val="8"/>
                                </w:rPr>
                                <w:t> </w:t>
                              </w:r>
                              <w:r>
                                <w:rPr>
                                  <w:rFonts w:ascii="Calibri" w:hAnsi="Calibri"/>
                                  <w:b/>
                                  <w:smallCaps/>
                                  <w:color w:val="252525"/>
                                  <w:w w:val="110"/>
                                  <w:sz w:val="8"/>
                                </w:rPr>
                                <w:t>k</w:t>
                              </w:r>
                              <w:r>
                                <w:rPr>
                                  <w:rFonts w:ascii="Calibri" w:hAnsi="Calibri"/>
                                  <w:b/>
                                  <w:smallCaps w:val="0"/>
                                  <w:color w:val="252525"/>
                                  <w:w w:val="110"/>
                                  <w:sz w:val="8"/>
                                </w:rPr>
                                <w:t>á</w:t>
                              </w:r>
                              <w:r>
                                <w:rPr>
                                  <w:rFonts w:ascii="Calibri" w:hAnsi="Calibri"/>
                                  <w:b/>
                                  <w:smallCaps w:val="0"/>
                                  <w:color w:val="252525"/>
                                  <w:spacing w:val="14"/>
                                  <w:w w:val="110"/>
                                  <w:sz w:val="8"/>
                                </w:rPr>
                                <w:t> </w:t>
                              </w:r>
                              <w:r>
                                <w:rPr>
                                  <w:rFonts w:ascii="Calibri" w:hAnsi="Calibri"/>
                                  <w:b/>
                                  <w:smallCaps w:val="0"/>
                                  <w:color w:val="252525"/>
                                  <w:spacing w:val="-5"/>
                                  <w:w w:val="110"/>
                                  <w:sz w:val="8"/>
                                </w:rPr>
                                <w:t>uψη</w:t>
                              </w:r>
                              <w:r>
                                <w:rPr>
                                  <w:rFonts w:ascii="Calibri" w:hAnsi="Calibri"/>
                                  <w:b/>
                                  <w:smallCaps w:val="0"/>
                                  <w:color w:val="252525"/>
                                  <w:sz w:val="8"/>
                                </w:rPr>
                                <w:tab/>
                              </w:r>
                              <w:r>
                                <w:rPr>
                                  <w:rFonts w:ascii="Calibri" w:hAnsi="Calibri"/>
                                  <w:b/>
                                  <w:smallCaps w:val="0"/>
                                  <w:color w:val="252525"/>
                                  <w:w w:val="110"/>
                                  <w:sz w:val="8"/>
                                </w:rPr>
                                <w:t>Auaíτηơη</w:t>
                              </w:r>
                              <w:r>
                                <w:rPr>
                                  <w:rFonts w:ascii="Calibri" w:hAnsi="Calibri"/>
                                  <w:b/>
                                  <w:smallCaps w:val="0"/>
                                  <w:color w:val="252525"/>
                                  <w:spacing w:val="68"/>
                                  <w:w w:val="110"/>
                                  <w:sz w:val="8"/>
                                </w:rPr>
                                <w:t>  </w:t>
                              </w:r>
                              <w:r>
                                <w:rPr>
                                  <w:rFonts w:ascii="Calibri" w:hAnsi="Calibri"/>
                                  <w:b/>
                                  <w:smallCaps w:val="0"/>
                                  <w:color w:val="252525"/>
                                  <w:w w:val="110"/>
                                  <w:sz w:val="8"/>
                                </w:rPr>
                                <w:t>τηv</w:t>
                              </w:r>
                              <w:r>
                                <w:rPr>
                                  <w:rFonts w:ascii="Calibri" w:hAnsi="Calibri"/>
                                  <w:b/>
                                  <w:smallCaps w:val="0"/>
                                  <w:color w:val="252525"/>
                                  <w:spacing w:val="5"/>
                                  <w:w w:val="110"/>
                                  <w:sz w:val="8"/>
                                </w:rPr>
                                <w:t> </w:t>
                              </w:r>
                              <w:r>
                                <w:rPr>
                                  <w:rFonts w:ascii="Calibri" w:hAnsi="Calibri"/>
                                  <w:b/>
                                  <w:smallCaps/>
                                  <w:color w:val="252525"/>
                                  <w:w w:val="110"/>
                                  <w:sz w:val="8"/>
                                </w:rPr>
                                <w:t>k</w:t>
                              </w:r>
                              <w:r>
                                <w:rPr>
                                  <w:rFonts w:ascii="Calibri" w:hAnsi="Calibri"/>
                                  <w:b/>
                                  <w:smallCaps w:val="0"/>
                                  <w:color w:val="252525"/>
                                  <w:w w:val="110"/>
                                  <w:sz w:val="8"/>
                                </w:rPr>
                                <w:t>á</w:t>
                              </w:r>
                              <w:r>
                                <w:rPr>
                                  <w:rFonts w:ascii="Calibri" w:hAnsi="Calibri"/>
                                  <w:b/>
                                  <w:smallCaps w:val="0"/>
                                  <w:color w:val="252525"/>
                                  <w:spacing w:val="17"/>
                                  <w:w w:val="110"/>
                                  <w:sz w:val="8"/>
                                </w:rPr>
                                <w:t> </w:t>
                              </w:r>
                              <w:r>
                                <w:rPr>
                                  <w:rFonts w:ascii="Calibri" w:hAnsi="Calibri"/>
                                  <w:b/>
                                  <w:smallCaps w:val="0"/>
                                  <w:color w:val="252525"/>
                                  <w:spacing w:val="-5"/>
                                  <w:w w:val="110"/>
                                  <w:sz w:val="8"/>
                                </w:rPr>
                                <w:t>uψη</w:t>
                              </w:r>
                            </w:p>
                            <w:p>
                              <w:pPr>
                                <w:spacing w:line="256" w:lineRule="auto" w:before="0"/>
                                <w:ind w:left="709" w:right="80" w:hanging="633"/>
                                <w:jc w:val="left"/>
                                <w:rPr>
                                  <w:rFonts w:ascii="Calibri" w:hAnsi="Calibri"/>
                                  <w:b/>
                                  <w:sz w:val="8"/>
                                </w:rPr>
                              </w:pPr>
                              <w:r>
                                <w:rPr>
                                  <w:rFonts w:ascii="Calibri" w:hAnsi="Calibri"/>
                                  <w:b/>
                                  <w:color w:val="252525"/>
                                  <w:w w:val="105"/>
                                  <w:sz w:val="8"/>
                                </w:rPr>
                                <w:t>τou SCR</w:t>
                              </w:r>
                              <w:r>
                                <w:rPr>
                                  <w:rFonts w:ascii="Calibri" w:hAnsi="Calibri"/>
                                  <w:b/>
                                  <w:color w:val="252525"/>
                                  <w:spacing w:val="80"/>
                                  <w:w w:val="105"/>
                                  <w:sz w:val="8"/>
                                </w:rPr>
                                <w:t> </w:t>
                              </w:r>
                              <w:r>
                                <w:rPr>
                                  <w:rFonts w:ascii="Calibri" w:hAnsi="Calibri"/>
                                  <w:b/>
                                  <w:color w:val="252525"/>
                                  <w:w w:val="105"/>
                                  <w:sz w:val="8"/>
                                </w:rPr>
                                <w:t>Фεpεγγuóτητaç</w:t>
                              </w:r>
                              <w:r>
                                <w:rPr>
                                  <w:rFonts w:ascii="Calibri" w:hAnsi="Calibri"/>
                                  <w:b/>
                                  <w:color w:val="252525"/>
                                  <w:spacing w:val="80"/>
                                  <w:w w:val="105"/>
                                  <w:sz w:val="8"/>
                                </w:rPr>
                                <w:t> </w:t>
                              </w:r>
                              <w:r>
                                <w:rPr>
                                  <w:rFonts w:ascii="Calibri" w:hAnsi="Calibri"/>
                                  <w:b/>
                                  <w:color w:val="252525"/>
                                  <w:w w:val="105"/>
                                  <w:sz w:val="8"/>
                                </w:rPr>
                                <w:t>τou SCR</w:t>
                              </w:r>
                              <w:r>
                                <w:rPr>
                                  <w:rFonts w:ascii="Calibri" w:hAnsi="Calibri"/>
                                  <w:b/>
                                  <w:color w:val="252525"/>
                                  <w:spacing w:val="40"/>
                                  <w:w w:val="105"/>
                                  <w:sz w:val="8"/>
                                </w:rPr>
                                <w:t> </w:t>
                              </w:r>
                              <w:r>
                                <w:rPr>
                                  <w:rFonts w:ascii="Calibri" w:hAnsi="Calibri"/>
                                  <w:b/>
                                  <w:color w:val="252525"/>
                                  <w:spacing w:val="-2"/>
                                  <w:w w:val="105"/>
                                  <w:sz w:val="8"/>
                                </w:rPr>
                                <w:t>(SCR)</w:t>
                              </w:r>
                            </w:p>
                          </w:txbxContent>
                        </wps:txbx>
                        <wps:bodyPr wrap="square" lIns="0" tIns="0" rIns="0" bIns="0" rtlCol="0">
                          <a:noAutofit/>
                        </wps:bodyPr>
                      </wps:wsp>
                      <wps:wsp>
                        <wps:cNvPr id="611" name="Textbox 611"/>
                        <wps:cNvSpPr txBox="1"/>
                        <wps:spPr>
                          <a:xfrm>
                            <a:off x="256061" y="1830243"/>
                            <a:ext cx="57785" cy="100330"/>
                          </a:xfrm>
                          <a:prstGeom prst="rect">
                            <a:avLst/>
                          </a:prstGeom>
                        </wps:spPr>
                        <wps:txbx>
                          <w:txbxContent>
                            <w:p>
                              <w:pPr>
                                <w:spacing w:line="157" w:lineRule="exact" w:before="0"/>
                                <w:ind w:left="0" w:right="0" w:firstLine="0"/>
                                <w:jc w:val="left"/>
                                <w:rPr>
                                  <w:b/>
                                  <w:sz w:val="14"/>
                                </w:rPr>
                              </w:pPr>
                              <w:r>
                                <w:rPr>
                                  <w:b/>
                                  <w:color w:val="252525"/>
                                  <w:spacing w:val="-10"/>
                                  <w:sz w:val="14"/>
                                </w:rPr>
                                <w:t>0</w:t>
                              </w:r>
                            </w:p>
                          </w:txbxContent>
                        </wps:txbx>
                        <wps:bodyPr wrap="square" lIns="0" tIns="0" rIns="0" bIns="0" rtlCol="0">
                          <a:noAutofit/>
                        </wps:bodyPr>
                      </wps:wsp>
                      <wps:wsp>
                        <wps:cNvPr id="612" name="Textbox 612"/>
                        <wps:cNvSpPr txBox="1"/>
                        <wps:spPr>
                          <a:xfrm>
                            <a:off x="1241763" y="1467462"/>
                            <a:ext cx="130810" cy="78105"/>
                          </a:xfrm>
                          <a:prstGeom prst="rect">
                            <a:avLst/>
                          </a:prstGeom>
                        </wps:spPr>
                        <wps:txbx>
                          <w:txbxContent>
                            <w:p>
                              <w:pPr>
                                <w:spacing w:line="123" w:lineRule="exact" w:before="0"/>
                                <w:ind w:left="0" w:right="0" w:firstLine="0"/>
                                <w:jc w:val="left"/>
                                <w:rPr>
                                  <w:rFonts w:ascii="Calibri"/>
                                  <w:b/>
                                  <w:sz w:val="12"/>
                                </w:rPr>
                              </w:pPr>
                              <w:r>
                                <w:rPr>
                                  <w:rFonts w:ascii="Calibri"/>
                                  <w:b/>
                                  <w:color w:val="252525"/>
                                  <w:spacing w:val="-5"/>
                                  <w:sz w:val="12"/>
                                </w:rPr>
                                <w:t>421</w:t>
                              </w:r>
                            </w:p>
                          </w:txbxContent>
                        </wps:txbx>
                        <wps:bodyPr wrap="square" lIns="0" tIns="0" rIns="0" bIns="0" rtlCol="0">
                          <a:noAutofit/>
                        </wps:bodyPr>
                      </wps:wsp>
                      <wps:wsp>
                        <wps:cNvPr id="613" name="Textbox 613"/>
                        <wps:cNvSpPr txBox="1"/>
                        <wps:spPr>
                          <a:xfrm>
                            <a:off x="498881" y="1435319"/>
                            <a:ext cx="131445" cy="79375"/>
                          </a:xfrm>
                          <a:prstGeom prst="rect">
                            <a:avLst/>
                          </a:prstGeom>
                        </wps:spPr>
                        <wps:txbx>
                          <w:txbxContent>
                            <w:p>
                              <w:pPr>
                                <w:spacing w:line="125" w:lineRule="exact" w:before="0"/>
                                <w:ind w:left="0" w:right="0" w:firstLine="0"/>
                                <w:jc w:val="left"/>
                                <w:rPr>
                                  <w:rFonts w:ascii="Calibri"/>
                                  <w:b/>
                                  <w:sz w:val="12"/>
                                </w:rPr>
                              </w:pPr>
                              <w:r>
                                <w:rPr>
                                  <w:rFonts w:ascii="Calibri"/>
                                  <w:b/>
                                  <w:color w:val="252525"/>
                                  <w:spacing w:val="-5"/>
                                  <w:w w:val="105"/>
                                  <w:sz w:val="12"/>
                                </w:rPr>
                                <w:t>458</w:t>
                              </w:r>
                            </w:p>
                          </w:txbxContent>
                        </wps:txbx>
                        <wps:bodyPr wrap="square" lIns="0" tIns="0" rIns="0" bIns="0" rtlCol="0">
                          <a:noAutofit/>
                        </wps:bodyPr>
                      </wps:wsp>
                      <wps:wsp>
                        <wps:cNvPr id="614" name="Textbox 614"/>
                        <wps:cNvSpPr txBox="1"/>
                        <wps:spPr>
                          <a:xfrm>
                            <a:off x="167108" y="1469765"/>
                            <a:ext cx="147955" cy="100330"/>
                          </a:xfrm>
                          <a:prstGeom prst="rect">
                            <a:avLst/>
                          </a:prstGeom>
                        </wps:spPr>
                        <wps:txbx>
                          <w:txbxContent>
                            <w:p>
                              <w:pPr>
                                <w:spacing w:line="157" w:lineRule="exact" w:before="0"/>
                                <w:ind w:left="0" w:right="0" w:firstLine="0"/>
                                <w:jc w:val="left"/>
                                <w:rPr>
                                  <w:b/>
                                  <w:sz w:val="14"/>
                                </w:rPr>
                              </w:pPr>
                              <w:r>
                                <w:rPr>
                                  <w:b/>
                                  <w:color w:val="252525"/>
                                  <w:spacing w:val="-5"/>
                                  <w:sz w:val="14"/>
                                </w:rPr>
                                <w:t>500</w:t>
                              </w:r>
                            </w:p>
                          </w:txbxContent>
                        </wps:txbx>
                        <wps:bodyPr wrap="square" lIns="0" tIns="0" rIns="0" bIns="0" rtlCol="0">
                          <a:noAutofit/>
                        </wps:bodyPr>
                      </wps:wsp>
                      <wps:wsp>
                        <wps:cNvPr id="615" name="Textbox 615"/>
                        <wps:cNvSpPr txBox="1"/>
                        <wps:spPr>
                          <a:xfrm>
                            <a:off x="870322" y="1237957"/>
                            <a:ext cx="130810" cy="78105"/>
                          </a:xfrm>
                          <a:prstGeom prst="rect">
                            <a:avLst/>
                          </a:prstGeom>
                        </wps:spPr>
                        <wps:txbx>
                          <w:txbxContent>
                            <w:p>
                              <w:pPr>
                                <w:spacing w:line="123" w:lineRule="exact" w:before="0"/>
                                <w:ind w:left="0" w:right="0" w:firstLine="0"/>
                                <w:jc w:val="left"/>
                                <w:rPr>
                                  <w:rFonts w:ascii="Calibri"/>
                                  <w:b/>
                                  <w:sz w:val="12"/>
                                </w:rPr>
                              </w:pPr>
                              <w:r>
                                <w:rPr>
                                  <w:rFonts w:ascii="Calibri"/>
                                  <w:b/>
                                  <w:color w:val="252525"/>
                                  <w:spacing w:val="-5"/>
                                  <w:sz w:val="12"/>
                                </w:rPr>
                                <w:t>742</w:t>
                              </w:r>
                            </w:p>
                          </w:txbxContent>
                        </wps:txbx>
                        <wps:bodyPr wrap="square" lIns="0" tIns="0" rIns="0" bIns="0" rtlCol="0">
                          <a:noAutofit/>
                        </wps:bodyPr>
                      </wps:wsp>
                      <wps:wsp>
                        <wps:cNvPr id="616" name="Textbox 616"/>
                        <wps:cNvSpPr txBox="1"/>
                        <wps:spPr>
                          <a:xfrm>
                            <a:off x="1613205" y="1177878"/>
                            <a:ext cx="130810" cy="78105"/>
                          </a:xfrm>
                          <a:prstGeom prst="rect">
                            <a:avLst/>
                          </a:prstGeom>
                        </wps:spPr>
                        <wps:txbx>
                          <w:txbxContent>
                            <w:p>
                              <w:pPr>
                                <w:spacing w:line="123" w:lineRule="exact" w:before="0"/>
                                <w:ind w:left="0" w:right="0" w:firstLine="0"/>
                                <w:jc w:val="left"/>
                                <w:rPr>
                                  <w:rFonts w:ascii="Calibri"/>
                                  <w:b/>
                                  <w:sz w:val="12"/>
                                </w:rPr>
                              </w:pPr>
                              <w:r>
                                <w:rPr>
                                  <w:rFonts w:ascii="Calibri"/>
                                  <w:b/>
                                  <w:color w:val="252525"/>
                                  <w:spacing w:val="-5"/>
                                  <w:sz w:val="12"/>
                                </w:rPr>
                                <w:t>827</w:t>
                              </w:r>
                            </w:p>
                          </w:txbxContent>
                        </wps:txbx>
                        <wps:bodyPr wrap="square" lIns="0" tIns="0" rIns="0" bIns="0" rtlCol="0">
                          <a:noAutofit/>
                        </wps:bodyPr>
                      </wps:wsp>
                      <wps:wsp>
                        <wps:cNvPr id="617" name="Textbox 617"/>
                        <wps:cNvSpPr txBox="1"/>
                        <wps:spPr>
                          <a:xfrm>
                            <a:off x="100994" y="1114093"/>
                            <a:ext cx="215265" cy="100330"/>
                          </a:xfrm>
                          <a:prstGeom prst="rect">
                            <a:avLst/>
                          </a:prstGeom>
                        </wps:spPr>
                        <wps:txbx>
                          <w:txbxContent>
                            <w:p>
                              <w:pPr>
                                <w:spacing w:line="157" w:lineRule="exact" w:before="0"/>
                                <w:ind w:left="0" w:right="0" w:firstLine="0"/>
                                <w:jc w:val="left"/>
                                <w:rPr>
                                  <w:b/>
                                  <w:sz w:val="14"/>
                                </w:rPr>
                              </w:pPr>
                              <w:r>
                                <w:rPr>
                                  <w:b/>
                                  <w:color w:val="252525"/>
                                  <w:spacing w:val="-2"/>
                                  <w:sz w:val="14"/>
                                </w:rPr>
                                <w:t>1,000</w:t>
                              </w:r>
                            </w:p>
                          </w:txbxContent>
                        </wps:txbx>
                        <wps:bodyPr wrap="square" lIns="0" tIns="0" rIns="0" bIns="0" rtlCol="0">
                          <a:noAutofit/>
                        </wps:bodyPr>
                      </wps:wsp>
                      <wps:wsp>
                        <wps:cNvPr id="618" name="Textbox 618"/>
                        <wps:cNvSpPr txBox="1"/>
                        <wps:spPr>
                          <a:xfrm>
                            <a:off x="1953392" y="768134"/>
                            <a:ext cx="190500" cy="78105"/>
                          </a:xfrm>
                          <a:prstGeom prst="rect">
                            <a:avLst/>
                          </a:prstGeom>
                        </wps:spPr>
                        <wps:txbx>
                          <w:txbxContent>
                            <w:p>
                              <w:pPr>
                                <w:spacing w:line="123" w:lineRule="exact" w:before="0"/>
                                <w:ind w:left="0" w:right="0" w:firstLine="0"/>
                                <w:jc w:val="left"/>
                                <w:rPr>
                                  <w:rFonts w:ascii="Calibri"/>
                                  <w:b/>
                                  <w:sz w:val="12"/>
                                </w:rPr>
                              </w:pPr>
                              <w:r>
                                <w:rPr>
                                  <w:rFonts w:ascii="Calibri"/>
                                  <w:b/>
                                  <w:color w:val="252525"/>
                                  <w:spacing w:val="-2"/>
                                  <w:sz w:val="12"/>
                                </w:rPr>
                                <w:t>1,401</w:t>
                              </w:r>
                            </w:p>
                          </w:txbxContent>
                        </wps:txbx>
                        <wps:bodyPr wrap="square" lIns="0" tIns="0" rIns="0" bIns="0" rtlCol="0">
                          <a:noAutofit/>
                        </wps:bodyPr>
                      </wps:wsp>
                      <wps:wsp>
                        <wps:cNvPr id="619" name="Textbox 619"/>
                        <wps:cNvSpPr txBox="1"/>
                        <wps:spPr>
                          <a:xfrm>
                            <a:off x="100994" y="758421"/>
                            <a:ext cx="215265" cy="100330"/>
                          </a:xfrm>
                          <a:prstGeom prst="rect">
                            <a:avLst/>
                          </a:prstGeom>
                        </wps:spPr>
                        <wps:txbx>
                          <w:txbxContent>
                            <w:p>
                              <w:pPr>
                                <w:spacing w:line="157" w:lineRule="exact" w:before="0"/>
                                <w:ind w:left="0" w:right="0" w:firstLine="0"/>
                                <w:jc w:val="left"/>
                                <w:rPr>
                                  <w:b/>
                                  <w:sz w:val="14"/>
                                </w:rPr>
                              </w:pPr>
                              <w:r>
                                <w:rPr>
                                  <w:b/>
                                  <w:color w:val="252525"/>
                                  <w:spacing w:val="-2"/>
                                  <w:sz w:val="14"/>
                                </w:rPr>
                                <w:t>1,500</w:t>
                              </w:r>
                            </w:p>
                          </w:txbxContent>
                        </wps:txbx>
                        <wps:bodyPr wrap="square" lIns="0" tIns="0" rIns="0" bIns="0" rtlCol="0">
                          <a:noAutofit/>
                        </wps:bodyPr>
                      </wps:wsp>
                      <wps:wsp>
                        <wps:cNvPr id="620" name="Textbox 620"/>
                        <wps:cNvSpPr txBox="1"/>
                        <wps:spPr>
                          <a:xfrm>
                            <a:off x="100994" y="397943"/>
                            <a:ext cx="215265" cy="100330"/>
                          </a:xfrm>
                          <a:prstGeom prst="rect">
                            <a:avLst/>
                          </a:prstGeom>
                        </wps:spPr>
                        <wps:txbx>
                          <w:txbxContent>
                            <w:p>
                              <w:pPr>
                                <w:spacing w:line="157" w:lineRule="exact" w:before="0"/>
                                <w:ind w:left="0" w:right="0" w:firstLine="0"/>
                                <w:jc w:val="left"/>
                                <w:rPr>
                                  <w:b/>
                                  <w:sz w:val="14"/>
                                </w:rPr>
                              </w:pPr>
                              <w:r>
                                <w:rPr>
                                  <w:b/>
                                  <w:color w:val="252525"/>
                                  <w:spacing w:val="-2"/>
                                  <w:sz w:val="14"/>
                                </w:rPr>
                                <w:t>2,000</w:t>
                              </w:r>
                            </w:p>
                          </w:txbxContent>
                        </wps:txbx>
                        <wps:bodyPr wrap="square" lIns="0" tIns="0" rIns="0" bIns="0" rtlCol="0">
                          <a:noAutofit/>
                        </wps:bodyPr>
                      </wps:wsp>
                      <wps:wsp>
                        <wps:cNvPr id="621" name="Textbox 621"/>
                        <wps:cNvSpPr txBox="1"/>
                        <wps:spPr>
                          <a:xfrm>
                            <a:off x="2323632" y="76016"/>
                            <a:ext cx="190500" cy="78105"/>
                          </a:xfrm>
                          <a:prstGeom prst="rect">
                            <a:avLst/>
                          </a:prstGeom>
                        </wps:spPr>
                        <wps:txbx>
                          <w:txbxContent>
                            <w:p>
                              <w:pPr>
                                <w:spacing w:line="123" w:lineRule="exact" w:before="0"/>
                                <w:ind w:left="0" w:right="0" w:firstLine="0"/>
                                <w:jc w:val="left"/>
                                <w:rPr>
                                  <w:rFonts w:ascii="Calibri"/>
                                  <w:b/>
                                  <w:sz w:val="12"/>
                                </w:rPr>
                              </w:pPr>
                              <w:r>
                                <w:rPr>
                                  <w:rFonts w:ascii="Calibri"/>
                                  <w:b/>
                                  <w:color w:val="252525"/>
                                  <w:spacing w:val="-2"/>
                                  <w:sz w:val="12"/>
                                </w:rPr>
                                <w:t>2,368</w:t>
                              </w:r>
                            </w:p>
                          </w:txbxContent>
                        </wps:txbx>
                        <wps:bodyPr wrap="square" lIns="0" tIns="0" rIns="0" bIns="0" rtlCol="0">
                          <a:noAutofit/>
                        </wps:bodyPr>
                      </wps:wsp>
                      <wps:wsp>
                        <wps:cNvPr id="622" name="Textbox 622"/>
                        <wps:cNvSpPr txBox="1"/>
                        <wps:spPr>
                          <a:xfrm>
                            <a:off x="100994" y="42271"/>
                            <a:ext cx="215265" cy="100330"/>
                          </a:xfrm>
                          <a:prstGeom prst="rect">
                            <a:avLst/>
                          </a:prstGeom>
                        </wps:spPr>
                        <wps:txbx>
                          <w:txbxContent>
                            <w:p>
                              <w:pPr>
                                <w:spacing w:line="157" w:lineRule="exact" w:before="0"/>
                                <w:ind w:left="0" w:right="0" w:firstLine="0"/>
                                <w:jc w:val="left"/>
                                <w:rPr>
                                  <w:b/>
                                  <w:sz w:val="14"/>
                                </w:rPr>
                              </w:pPr>
                              <w:r>
                                <w:rPr>
                                  <w:b/>
                                  <w:color w:val="252525"/>
                                  <w:spacing w:val="-2"/>
                                  <w:sz w:val="14"/>
                                </w:rPr>
                                <w:t>2,500</w:t>
                              </w:r>
                            </w:p>
                          </w:txbxContent>
                        </wps:txbx>
                        <wps:bodyPr wrap="square" lIns="0" tIns="0" rIns="0" bIns="0" rtlCol="0">
                          <a:noAutofit/>
                        </wps:bodyPr>
                      </wps:wsp>
                    </wpg:wgp>
                  </a:graphicData>
                </a:graphic>
              </wp:inline>
            </w:drawing>
          </mc:Choice>
          <mc:Fallback>
            <w:pict>
              <v:group style="width:209.8pt;height:211pt;mso-position-horizontal-relative:char;mso-position-vertical-relative:line" id="docshapegroup555" coordorigin="0,0" coordsize="4196,4220">
                <v:shape style="position:absolute;left:0;top:0;width:4191;height:4220" id="docshape556" coordorigin="0,0" coordsize="4191,4220" path="m4191,3869l0,3869,0,4220,4191,4220,4191,3869xm4191,0l0,0,0,3869,4191,3869,4191,0xe" filled="true" fillcolor="#d9d9d9" stroked="false">
                  <v:path arrowok="t"/>
                  <v:fill type="solid"/>
                </v:shape>
                <v:shape style="position:absolute;left:586;top:2393;width:3503;height:2" id="docshape557" coordorigin="587,2394" coordsize="3503,0" path="m1614,2394l2485,2394m2778,2394l3072,2394m3365,2394l3649,2394m3942,2394l4089,2394m587,2394l1321,2394e" filled="false" stroked="true" strokeweight=".551936pt" strokecolor="#ffffff">
                  <v:path arrowok="t"/>
                  <v:stroke dashstyle="solid"/>
                </v:shape>
                <v:line style="position:absolute" from="587,1836" to="3072,1836" stroked="true" strokeweight=".551936pt" strokecolor="#ffffff">
                  <v:stroke dashstyle="solid"/>
                </v:line>
                <v:shape style="position:absolute;left:3364;top:1835;width:725;height:2" id="docshape558" coordorigin="3365,1836" coordsize="725,0" path="m3365,1836l3649,1836m3942,1836l4089,1836e" filled="false" stroked="true" strokeweight=".551936pt" strokecolor="#ffffff">
                  <v:path arrowok="t"/>
                  <v:stroke dashstyle="solid"/>
                </v:shape>
                <v:shape style="position:absolute;left:586;top:1277;width:3503;height:2" id="docshape559" coordorigin="587,1277" coordsize="3503,0" path="m587,1277l3649,1277m3942,1277l4089,1277e" filled="false" stroked="true" strokeweight=".551936pt" strokecolor="#ffffff">
                  <v:path arrowok="t"/>
                  <v:stroke dashstyle="solid"/>
                </v:shape>
                <v:shape style="position:absolute;left:586;top:709;width:3503;height:2" id="docshape560" coordorigin="587,710" coordsize="3503,0" path="m587,710l3649,710m3942,710l4089,710e" filled="false" stroked="true" strokeweight=".551936pt" strokecolor="#ffffff">
                  <v:path arrowok="t"/>
                  <v:stroke dashstyle="solid"/>
                </v:shape>
                <v:line style="position:absolute" from="587,152" to="4089,152" stroked="true" strokeweight=".551913pt" strokecolor="#ffffff">
                  <v:stroke dashstyle="solid"/>
                </v:line>
                <v:shape style="position:absolute;left:733;top:2124;width:881;height:833" id="docshape561" coordorigin="734,2124" coordsize="881,833" path="m1027,2446l734,2446,734,2957,1027,2957,1027,2446xm1614,2124l1321,2124,1321,2957,1614,2957,1614,2124xe" filled="true" fillcolor="#b8cde4" stroked="false">
                  <v:path arrowok="t"/>
                  <v:fill type="solid"/>
                </v:shape>
                <v:shape style="position:absolute;left:1907;top:2029;width:871;height:928" id="docshape562" coordorigin="1907,2030" coordsize="871,928" path="m2191,2484l1907,2484,1907,2957,2191,2957,2191,2484xm2778,2030l2485,2030,2485,2957,2778,2957,2778,2030xe" filled="true" fillcolor="#94b3d6" stroked="false">
                  <v:path arrowok="t"/>
                  <v:fill type="solid"/>
                </v:shape>
                <v:shape style="position:absolute;left:3071;top:298;width:871;height:2659" id="docshape563" coordorigin="3072,298" coordsize="871,2659" path="m3365,1386l3072,1386,3072,2957,3365,2957,3365,1386xm3942,298l3649,298,3649,2957,3942,2957,3942,298xe" filled="true" fillcolor="#4f81bc" stroked="false">
                  <v:path arrowok="t"/>
                  <v:fill type="solid"/>
                </v:shape>
                <v:shape style="position:absolute;left:586;top:151;width:3503;height:3586" id="docshape564" coordorigin="587,152" coordsize="3503,3586" path="m587,2962l587,152m587,2962l4089,2962m587,2962l587,3132m1174,2962l1174,3132m1761,2962l1761,3132m2338,2962l2338,3132m2925,2962l2925,3132m3502,2962l3502,3132m4089,2962l4089,3132m587,3132l587,3737m1174,3132l1174,3737m1761,3132l1761,3737m2338,3132l2338,3737m2925,3132l2925,3737m3502,3132l3502,3737m4089,3132l4089,3737e" filled="false" stroked="true" strokeweight=".552024pt" strokecolor="#7e7e7e">
                  <v:path arrowok="t"/>
                  <v:stroke dashstyle="solid"/>
                </v:shape>
                <v:shape style="position:absolute;left:123;top:9;width:4067;height:3823" id="docshape565" coordorigin="123,10" coordsize="4067,3823" path="m4190,3832l123,3832,123,10,4190,10e" filled="false" stroked="true" strokeweight=".552017pt" strokecolor="#d9d9d9">
                  <v:path arrowok="t"/>
                  <v:stroke dashstyle="solid"/>
                </v:shape>
                <v:shape style="position:absolute;left:787;top:3038;width:207;height:88" type="#_x0000_t202" id="docshape566" filled="false" stroked="false">
                  <v:textbox inset="0,0,0,0">
                    <w:txbxContent>
                      <w:p>
                        <w:pPr>
                          <w:spacing w:line="87" w:lineRule="exact" w:before="0"/>
                          <w:ind w:left="0" w:right="0" w:firstLine="0"/>
                          <w:jc w:val="left"/>
                          <w:rPr>
                            <w:rFonts w:ascii="Calibri" w:hAnsi="Calibri"/>
                            <w:b/>
                            <w:sz w:val="8"/>
                          </w:rPr>
                        </w:pPr>
                        <w:r>
                          <w:rPr>
                            <w:rFonts w:ascii="Calibri" w:hAnsi="Calibri"/>
                            <w:b/>
                            <w:color w:val="252525"/>
                            <w:spacing w:val="-4"/>
                            <w:w w:val="110"/>
                            <w:sz w:val="8"/>
                          </w:rPr>
                          <w:t>Zωήç</w:t>
                        </w:r>
                      </w:p>
                    </w:txbxContent>
                  </v:textbox>
                  <w10:wrap type="none"/>
                </v:shape>
                <v:shape style="position:absolute;left:112;top:3938;width:2373;height:221" type="#_x0000_t202" id="docshape567" filled="false" stroked="false">
                  <v:textbox inset="0,0,0,0">
                    <w:txbxContent>
                      <w:p>
                        <w:pPr>
                          <w:spacing w:line="221" w:lineRule="exact" w:before="0"/>
                          <w:ind w:left="0" w:right="0" w:firstLine="0"/>
                          <w:jc w:val="left"/>
                          <w:rPr>
                            <w:sz w:val="20"/>
                          </w:rPr>
                        </w:pPr>
                        <w:r>
                          <w:rPr>
                            <w:sz w:val="20"/>
                          </w:rPr>
                          <w:t>Πηγή:</w:t>
                        </w:r>
                        <w:r>
                          <w:rPr>
                            <w:spacing w:val="-7"/>
                            <w:sz w:val="20"/>
                          </w:rPr>
                          <w:t> </w:t>
                        </w:r>
                        <w:r>
                          <w:rPr>
                            <w:sz w:val="20"/>
                          </w:rPr>
                          <w:t>Τράπεζα</w:t>
                        </w:r>
                        <w:r>
                          <w:rPr>
                            <w:spacing w:val="-5"/>
                            <w:sz w:val="20"/>
                          </w:rPr>
                          <w:t> </w:t>
                        </w:r>
                        <w:r>
                          <w:rPr>
                            <w:sz w:val="20"/>
                          </w:rPr>
                          <w:t>της</w:t>
                        </w:r>
                        <w:r>
                          <w:rPr>
                            <w:spacing w:val="-5"/>
                            <w:sz w:val="20"/>
                          </w:rPr>
                          <w:t> </w:t>
                        </w:r>
                        <w:r>
                          <w:rPr>
                            <w:spacing w:val="-2"/>
                            <w:sz w:val="20"/>
                          </w:rPr>
                          <w:t>Ελλάδος.</w:t>
                        </w:r>
                      </w:p>
                    </w:txbxContent>
                  </v:textbox>
                  <w10:wrap type="none"/>
                </v:shape>
                <v:shape style="position:absolute;left:1372;top:3038;width:207;height:88" type="#_x0000_t202" id="docshape568" filled="false" stroked="false">
                  <v:textbox inset="0,0,0,0">
                    <w:txbxContent>
                      <w:p>
                        <w:pPr>
                          <w:spacing w:line="87" w:lineRule="exact" w:before="0"/>
                          <w:ind w:left="0" w:right="0" w:firstLine="0"/>
                          <w:jc w:val="left"/>
                          <w:rPr>
                            <w:rFonts w:ascii="Calibri" w:hAnsi="Calibri"/>
                            <w:b/>
                            <w:sz w:val="8"/>
                          </w:rPr>
                        </w:pPr>
                        <w:r>
                          <w:rPr>
                            <w:rFonts w:ascii="Calibri" w:hAnsi="Calibri"/>
                            <w:b/>
                            <w:color w:val="252525"/>
                            <w:spacing w:val="-4"/>
                            <w:w w:val="110"/>
                            <w:sz w:val="8"/>
                          </w:rPr>
                          <w:t>Zωήç</w:t>
                        </w:r>
                      </w:p>
                    </w:txbxContent>
                  </v:textbox>
                  <w10:wrap type="none"/>
                </v:shape>
                <v:shape style="position:absolute;left:1817;top:3038;width:2123;height:88" type="#_x0000_t202" id="docshape569" filled="false" stroked="false">
                  <v:textbox inset="0,0,0,0">
                    <w:txbxContent>
                      <w:p>
                        <w:pPr>
                          <w:tabs>
                            <w:tab w:pos="1273" w:val="left" w:leader="none"/>
                            <w:tab w:pos="1858" w:val="left" w:leader="none"/>
                          </w:tabs>
                          <w:spacing w:line="87" w:lineRule="exact" w:before="0"/>
                          <w:ind w:left="0" w:right="0" w:firstLine="0"/>
                          <w:jc w:val="left"/>
                          <w:rPr>
                            <w:rFonts w:ascii="Calibri" w:hAnsi="Calibri"/>
                            <w:b/>
                            <w:sz w:val="8"/>
                          </w:rPr>
                        </w:pPr>
                        <w:r>
                          <w:rPr>
                            <w:rFonts w:ascii="Calibri" w:hAnsi="Calibri"/>
                            <w:b/>
                            <w:color w:val="252525"/>
                            <w:w w:val="110"/>
                            <w:sz w:val="8"/>
                          </w:rPr>
                          <w:t>Κaτá</w:t>
                        </w:r>
                        <w:r>
                          <w:rPr>
                            <w:rFonts w:ascii="Calibri" w:hAnsi="Calibri"/>
                            <w:b/>
                            <w:color w:val="252525"/>
                            <w:spacing w:val="24"/>
                            <w:w w:val="110"/>
                            <w:sz w:val="8"/>
                          </w:rPr>
                          <w:t> </w:t>
                        </w:r>
                        <w:r>
                          <w:rPr>
                            <w:rFonts w:ascii="Calibri" w:hAnsi="Calibri"/>
                            <w:b/>
                            <w:color w:val="252525"/>
                            <w:w w:val="110"/>
                            <w:sz w:val="8"/>
                          </w:rPr>
                          <w:t>ηµtώv</w:t>
                        </w:r>
                        <w:r>
                          <w:rPr>
                            <w:rFonts w:ascii="Calibri" w:hAnsi="Calibri"/>
                            <w:b/>
                            <w:color w:val="252525"/>
                            <w:spacing w:val="51"/>
                            <w:w w:val="110"/>
                            <w:sz w:val="8"/>
                          </w:rPr>
                          <w:t>  </w:t>
                        </w:r>
                        <w:r>
                          <w:rPr>
                            <w:rFonts w:ascii="Calibri" w:hAnsi="Calibri"/>
                            <w:b/>
                            <w:color w:val="252525"/>
                            <w:w w:val="110"/>
                            <w:sz w:val="8"/>
                          </w:rPr>
                          <w:t>Κaτá</w:t>
                        </w:r>
                        <w:r>
                          <w:rPr>
                            <w:rFonts w:ascii="Calibri" w:hAnsi="Calibri"/>
                            <w:b/>
                            <w:color w:val="252525"/>
                            <w:spacing w:val="28"/>
                            <w:w w:val="110"/>
                            <w:sz w:val="8"/>
                          </w:rPr>
                          <w:t> </w:t>
                        </w:r>
                        <w:r>
                          <w:rPr>
                            <w:rFonts w:ascii="Calibri" w:hAnsi="Calibri"/>
                            <w:b/>
                            <w:color w:val="252525"/>
                            <w:spacing w:val="-2"/>
                            <w:w w:val="110"/>
                            <w:sz w:val="8"/>
                          </w:rPr>
                          <w:t>ηµtώv</w:t>
                        </w:r>
                        <w:r>
                          <w:rPr>
                            <w:rFonts w:ascii="Calibri" w:hAnsi="Calibri"/>
                            <w:b/>
                            <w:color w:val="252525"/>
                            <w:sz w:val="8"/>
                          </w:rPr>
                          <w:tab/>
                        </w:r>
                        <w:r>
                          <w:rPr>
                            <w:rFonts w:ascii="Calibri" w:hAnsi="Calibri"/>
                            <w:b/>
                            <w:color w:val="252525"/>
                            <w:spacing w:val="-2"/>
                            <w:w w:val="110"/>
                            <w:sz w:val="8"/>
                          </w:rPr>
                          <w:t>Mt</w:t>
                        </w:r>
                        <w:r>
                          <w:rPr>
                            <w:rFonts w:ascii="Calibri" w:hAnsi="Calibri"/>
                            <w:b/>
                            <w:smallCaps/>
                            <w:color w:val="252525"/>
                            <w:spacing w:val="-2"/>
                            <w:w w:val="110"/>
                            <w:sz w:val="8"/>
                          </w:rPr>
                          <w:t>k</w:t>
                        </w:r>
                        <w:r>
                          <w:rPr>
                            <w:rFonts w:ascii="Calibri" w:hAnsi="Calibri"/>
                            <w:b/>
                            <w:smallCaps w:val="0"/>
                            <w:color w:val="252525"/>
                            <w:spacing w:val="-2"/>
                            <w:w w:val="110"/>
                            <w:sz w:val="8"/>
                          </w:rPr>
                          <w:t>τćç</w:t>
                        </w:r>
                        <w:r>
                          <w:rPr>
                            <w:rFonts w:ascii="Calibri" w:hAnsi="Calibri"/>
                            <w:b/>
                            <w:smallCaps w:val="0"/>
                            <w:color w:val="252525"/>
                            <w:sz w:val="8"/>
                          </w:rPr>
                          <w:tab/>
                        </w:r>
                        <w:r>
                          <w:rPr>
                            <w:rFonts w:ascii="Calibri" w:hAnsi="Calibri"/>
                            <w:b/>
                            <w:smallCaps w:val="0"/>
                            <w:color w:val="252525"/>
                            <w:spacing w:val="-2"/>
                            <w:w w:val="110"/>
                            <w:sz w:val="8"/>
                          </w:rPr>
                          <w:t>Mt</w:t>
                        </w:r>
                        <w:r>
                          <w:rPr>
                            <w:rFonts w:ascii="Calibri" w:hAnsi="Calibri"/>
                            <w:b/>
                            <w:smallCaps/>
                            <w:color w:val="252525"/>
                            <w:spacing w:val="-2"/>
                            <w:w w:val="110"/>
                            <w:sz w:val="8"/>
                          </w:rPr>
                          <w:t>k</w:t>
                        </w:r>
                        <w:r>
                          <w:rPr>
                            <w:rFonts w:ascii="Calibri" w:hAnsi="Calibri"/>
                            <w:b/>
                            <w:smallCaps w:val="0"/>
                            <w:color w:val="252525"/>
                            <w:spacing w:val="-2"/>
                            <w:w w:val="110"/>
                            <w:sz w:val="8"/>
                          </w:rPr>
                          <w:t>τćç</w:t>
                        </w:r>
                      </w:p>
                    </w:txbxContent>
                  </v:textbox>
                  <w10:wrap type="none"/>
                </v:shape>
                <v:shape style="position:absolute;left:713;top:3211;width:341;height:86" type="#_x0000_t202" id="docshape570" filled="false" stroked="false">
                  <v:textbox inset="0,0,0,0">
                    <w:txbxContent>
                      <w:p>
                        <w:pPr>
                          <w:spacing w:line="85" w:lineRule="exact" w:before="0"/>
                          <w:ind w:left="0" w:right="0" w:firstLine="0"/>
                          <w:jc w:val="left"/>
                          <w:rPr>
                            <w:rFonts w:ascii="Calibri" w:hAnsi="Calibri"/>
                            <w:b/>
                            <w:sz w:val="8"/>
                          </w:rPr>
                        </w:pPr>
                        <w:r>
                          <w:rPr>
                            <w:rFonts w:ascii="Calibri" w:hAnsi="Calibri"/>
                            <w:b/>
                            <w:color w:val="252525"/>
                            <w:w w:val="105"/>
                            <w:sz w:val="8"/>
                          </w:rPr>
                          <w:t>Σuvo</w:t>
                        </w:r>
                        <w:r>
                          <w:rPr>
                            <w:rFonts w:ascii="Calibri" w:hAnsi="Calibri"/>
                            <w:b/>
                            <w:color w:val="252525"/>
                            <w:spacing w:val="15"/>
                            <w:w w:val="105"/>
                            <w:sz w:val="8"/>
                          </w:rPr>
                          <w:t> </w:t>
                        </w:r>
                        <w:r>
                          <w:rPr>
                            <w:rFonts w:ascii="Calibri" w:hAnsi="Calibri"/>
                            <w:b/>
                            <w:color w:val="252525"/>
                            <w:spacing w:val="-5"/>
                            <w:w w:val="105"/>
                            <w:sz w:val="8"/>
                          </w:rPr>
                          <w:t>t</w:t>
                        </w:r>
                        <w:r>
                          <w:rPr>
                            <w:rFonts w:ascii="Calibri" w:hAnsi="Calibri"/>
                            <w:b/>
                            <w:smallCaps/>
                            <w:color w:val="252525"/>
                            <w:spacing w:val="-5"/>
                            <w:w w:val="105"/>
                            <w:sz w:val="8"/>
                          </w:rPr>
                          <w:t>k</w:t>
                        </w:r>
                        <w:r>
                          <w:rPr>
                            <w:rFonts w:ascii="Calibri" w:hAnsi="Calibri"/>
                            <w:b/>
                            <w:smallCaps w:val="0"/>
                            <w:color w:val="252525"/>
                            <w:spacing w:val="-5"/>
                            <w:w w:val="105"/>
                            <w:sz w:val="8"/>
                          </w:rPr>
                          <w:t>ή</w:t>
                        </w:r>
                      </w:p>
                    </w:txbxContent>
                  </v:textbox>
                  <w10:wrap type="none"/>
                </v:shape>
                <v:shape style="position:absolute;left:1200;top:3211;width:534;height:86" type="#_x0000_t202" id="docshape571" filled="false" stroked="false">
                  <v:textbox inset="0,0,0,0">
                    <w:txbxContent>
                      <w:p>
                        <w:pPr>
                          <w:spacing w:line="85" w:lineRule="exact" w:before="0"/>
                          <w:ind w:left="0" w:right="0" w:firstLine="0"/>
                          <w:jc w:val="left"/>
                          <w:rPr>
                            <w:rFonts w:ascii="Calibri" w:hAnsi="Calibri"/>
                            <w:b/>
                            <w:sz w:val="8"/>
                          </w:rPr>
                        </w:pPr>
                        <w:r>
                          <w:rPr>
                            <w:rFonts w:ascii="Calibri" w:hAnsi="Calibri"/>
                            <w:b/>
                            <w:color w:val="252525"/>
                            <w:w w:val="105"/>
                            <w:sz w:val="8"/>
                          </w:rPr>
                          <w:t>Eut</w:t>
                        </w:r>
                        <w:r>
                          <w:rPr>
                            <w:rFonts w:ascii="Calibri" w:hAnsi="Calibri"/>
                            <w:b/>
                            <w:color w:val="252525"/>
                            <w:spacing w:val="15"/>
                            <w:w w:val="105"/>
                            <w:sz w:val="8"/>
                          </w:rPr>
                          <w:t> </w:t>
                        </w:r>
                        <w:r>
                          <w:rPr>
                            <w:rFonts w:ascii="Calibri" w:hAnsi="Calibri"/>
                            <w:b/>
                            <w:color w:val="252525"/>
                            <w:w w:val="105"/>
                            <w:sz w:val="8"/>
                          </w:rPr>
                          <w:t>ćÇtµa</w:t>
                        </w:r>
                        <w:r>
                          <w:rPr>
                            <w:rFonts w:ascii="Calibri" w:hAnsi="Calibri"/>
                            <w:b/>
                            <w:color w:val="252525"/>
                            <w:spacing w:val="-5"/>
                            <w:w w:val="105"/>
                            <w:sz w:val="8"/>
                          </w:rPr>
                          <w:t> </w:t>
                        </w:r>
                        <w:r>
                          <w:rPr>
                            <w:rFonts w:ascii="Calibri" w:hAnsi="Calibri"/>
                            <w:b/>
                            <w:color w:val="252525"/>
                            <w:spacing w:val="-4"/>
                            <w:w w:val="105"/>
                            <w:sz w:val="8"/>
                          </w:rPr>
                          <w:t>Įδta</w:t>
                        </w:r>
                      </w:p>
                    </w:txbxContent>
                  </v:textbox>
                  <w10:wrap type="none"/>
                </v:shape>
                <v:shape style="position:absolute;left:1881;top:3211;width:2191;height:86" type="#_x0000_t202" id="docshape572" filled="false" stroked="false">
                  <v:textbox inset="0,0,0,0">
                    <w:txbxContent>
                      <w:p>
                        <w:pPr>
                          <w:spacing w:line="85" w:lineRule="exact" w:before="0"/>
                          <w:ind w:left="0" w:right="0" w:firstLine="0"/>
                          <w:jc w:val="left"/>
                          <w:rPr>
                            <w:rFonts w:ascii="Calibri" w:hAnsi="Calibri"/>
                            <w:b/>
                            <w:sz w:val="8"/>
                          </w:rPr>
                        </w:pPr>
                        <w:r>
                          <w:rPr>
                            <w:rFonts w:ascii="Calibri" w:hAnsi="Calibri"/>
                            <w:b/>
                            <w:color w:val="252525"/>
                            <w:w w:val="105"/>
                            <w:sz w:val="8"/>
                          </w:rPr>
                          <w:t>Σuvo</w:t>
                        </w:r>
                        <w:r>
                          <w:rPr>
                            <w:rFonts w:ascii="Calibri" w:hAnsi="Calibri"/>
                            <w:b/>
                            <w:color w:val="252525"/>
                            <w:spacing w:val="17"/>
                            <w:w w:val="105"/>
                            <w:sz w:val="8"/>
                          </w:rPr>
                          <w:t> </w:t>
                        </w:r>
                        <w:r>
                          <w:rPr>
                            <w:rFonts w:ascii="Calibri" w:hAnsi="Calibri"/>
                            <w:b/>
                            <w:color w:val="252525"/>
                            <w:w w:val="105"/>
                            <w:sz w:val="8"/>
                          </w:rPr>
                          <w:t>t</w:t>
                        </w:r>
                        <w:r>
                          <w:rPr>
                            <w:rFonts w:ascii="Calibri" w:hAnsi="Calibri"/>
                            <w:b/>
                            <w:smallCaps/>
                            <w:color w:val="252525"/>
                            <w:w w:val="105"/>
                            <w:sz w:val="8"/>
                          </w:rPr>
                          <w:t>k</w:t>
                        </w:r>
                        <w:r>
                          <w:rPr>
                            <w:rFonts w:ascii="Calibri" w:hAnsi="Calibri"/>
                            <w:b/>
                            <w:smallCaps w:val="0"/>
                            <w:color w:val="252525"/>
                            <w:w w:val="105"/>
                            <w:sz w:val="8"/>
                          </w:rPr>
                          <w:t>ή</w:t>
                        </w:r>
                        <w:r>
                          <w:rPr>
                            <w:rFonts w:ascii="Calibri" w:hAnsi="Calibri"/>
                            <w:b/>
                            <w:smallCaps w:val="0"/>
                            <w:color w:val="252525"/>
                            <w:spacing w:val="60"/>
                            <w:w w:val="105"/>
                            <w:sz w:val="8"/>
                          </w:rPr>
                          <w:t>  </w:t>
                        </w:r>
                        <w:r>
                          <w:rPr>
                            <w:rFonts w:ascii="Calibri" w:hAnsi="Calibri"/>
                            <w:b/>
                            <w:smallCaps w:val="0"/>
                            <w:color w:val="252525"/>
                            <w:w w:val="105"/>
                            <w:sz w:val="8"/>
                          </w:rPr>
                          <w:t>Eut</w:t>
                        </w:r>
                        <w:r>
                          <w:rPr>
                            <w:rFonts w:ascii="Calibri" w:hAnsi="Calibri"/>
                            <w:b/>
                            <w:smallCaps w:val="0"/>
                            <w:color w:val="252525"/>
                            <w:spacing w:val="27"/>
                            <w:w w:val="105"/>
                            <w:sz w:val="8"/>
                          </w:rPr>
                          <w:t> </w:t>
                        </w:r>
                        <w:r>
                          <w:rPr>
                            <w:rFonts w:ascii="Calibri" w:hAnsi="Calibri"/>
                            <w:b/>
                            <w:smallCaps w:val="0"/>
                            <w:color w:val="252525"/>
                            <w:w w:val="105"/>
                            <w:sz w:val="8"/>
                          </w:rPr>
                          <w:t>ćÇtµa</w:t>
                        </w:r>
                        <w:r>
                          <w:rPr>
                            <w:rFonts w:ascii="Calibri" w:hAnsi="Calibri"/>
                            <w:b/>
                            <w:smallCaps w:val="0"/>
                            <w:color w:val="252525"/>
                            <w:spacing w:val="-5"/>
                            <w:w w:val="105"/>
                            <w:sz w:val="8"/>
                          </w:rPr>
                          <w:t> </w:t>
                        </w:r>
                        <w:r>
                          <w:rPr>
                            <w:rFonts w:ascii="Calibri" w:hAnsi="Calibri"/>
                            <w:b/>
                            <w:smallCaps w:val="0"/>
                            <w:color w:val="252525"/>
                            <w:w w:val="105"/>
                            <w:sz w:val="8"/>
                          </w:rPr>
                          <w:t>Įδta</w:t>
                        </w:r>
                        <w:r>
                          <w:rPr>
                            <w:rFonts w:ascii="Calibri" w:hAnsi="Calibri"/>
                            <w:b/>
                            <w:smallCaps w:val="0"/>
                            <w:color w:val="252525"/>
                            <w:spacing w:val="62"/>
                            <w:w w:val="105"/>
                            <w:sz w:val="8"/>
                          </w:rPr>
                          <w:t>  </w:t>
                        </w:r>
                        <w:r>
                          <w:rPr>
                            <w:rFonts w:ascii="Calibri" w:hAnsi="Calibri"/>
                            <w:b/>
                            <w:smallCaps w:val="0"/>
                            <w:color w:val="252525"/>
                            <w:w w:val="105"/>
                            <w:sz w:val="8"/>
                          </w:rPr>
                          <w:t>Σuvo</w:t>
                        </w:r>
                        <w:r>
                          <w:rPr>
                            <w:rFonts w:ascii="Calibri" w:hAnsi="Calibri"/>
                            <w:b/>
                            <w:smallCaps w:val="0"/>
                            <w:color w:val="252525"/>
                            <w:spacing w:val="17"/>
                            <w:w w:val="105"/>
                            <w:sz w:val="8"/>
                          </w:rPr>
                          <w:t> </w:t>
                        </w:r>
                        <w:r>
                          <w:rPr>
                            <w:rFonts w:ascii="Calibri" w:hAnsi="Calibri"/>
                            <w:b/>
                            <w:smallCaps w:val="0"/>
                            <w:color w:val="252525"/>
                            <w:w w:val="105"/>
                            <w:sz w:val="8"/>
                          </w:rPr>
                          <w:t>t</w:t>
                        </w:r>
                        <w:r>
                          <w:rPr>
                            <w:rFonts w:ascii="Calibri" w:hAnsi="Calibri"/>
                            <w:b/>
                            <w:smallCaps/>
                            <w:color w:val="252525"/>
                            <w:w w:val="105"/>
                            <w:sz w:val="8"/>
                          </w:rPr>
                          <w:t>k</w:t>
                        </w:r>
                        <w:r>
                          <w:rPr>
                            <w:rFonts w:ascii="Calibri" w:hAnsi="Calibri"/>
                            <w:b/>
                            <w:smallCaps w:val="0"/>
                            <w:color w:val="252525"/>
                            <w:w w:val="105"/>
                            <w:sz w:val="8"/>
                          </w:rPr>
                          <w:t>ή</w:t>
                        </w:r>
                        <w:r>
                          <w:rPr>
                            <w:rFonts w:ascii="Calibri" w:hAnsi="Calibri"/>
                            <w:b/>
                            <w:smallCaps w:val="0"/>
                            <w:color w:val="252525"/>
                            <w:spacing w:val="61"/>
                            <w:w w:val="105"/>
                            <w:sz w:val="8"/>
                          </w:rPr>
                          <w:t>  </w:t>
                        </w:r>
                        <w:r>
                          <w:rPr>
                            <w:rFonts w:ascii="Calibri" w:hAnsi="Calibri"/>
                            <w:b/>
                            <w:smallCaps w:val="0"/>
                            <w:color w:val="252525"/>
                            <w:w w:val="105"/>
                            <w:sz w:val="8"/>
                          </w:rPr>
                          <w:t>Eut</w:t>
                        </w:r>
                        <w:r>
                          <w:rPr>
                            <w:rFonts w:ascii="Calibri" w:hAnsi="Calibri"/>
                            <w:b/>
                            <w:smallCaps w:val="0"/>
                            <w:color w:val="252525"/>
                            <w:spacing w:val="25"/>
                            <w:w w:val="105"/>
                            <w:sz w:val="8"/>
                          </w:rPr>
                          <w:t> </w:t>
                        </w:r>
                        <w:r>
                          <w:rPr>
                            <w:rFonts w:ascii="Calibri" w:hAnsi="Calibri"/>
                            <w:b/>
                            <w:smallCaps w:val="0"/>
                            <w:color w:val="252525"/>
                            <w:w w:val="105"/>
                            <w:sz w:val="8"/>
                          </w:rPr>
                          <w:t>ćÇtµa</w:t>
                        </w:r>
                        <w:r>
                          <w:rPr>
                            <w:rFonts w:ascii="Calibri" w:hAnsi="Calibri"/>
                            <w:b/>
                            <w:smallCaps w:val="0"/>
                            <w:color w:val="252525"/>
                            <w:spacing w:val="-4"/>
                            <w:w w:val="105"/>
                            <w:sz w:val="8"/>
                          </w:rPr>
                          <w:t> Įδta</w:t>
                        </w:r>
                      </w:p>
                    </w:txbxContent>
                  </v:textbox>
                  <w10:wrap type="none"/>
                </v:shape>
                <v:shape style="position:absolute;left:590;top:3315;width:3472;height:303" type="#_x0000_t202" id="docshape573" filled="false" stroked="false">
                  <v:textbox inset="0,0,0,0">
                    <w:txbxContent>
                      <w:p>
                        <w:pPr>
                          <w:spacing w:line="85" w:lineRule="exact" w:before="0"/>
                          <w:ind w:left="58" w:right="0" w:firstLine="0"/>
                          <w:jc w:val="left"/>
                          <w:rPr>
                            <w:rFonts w:ascii="Calibri" w:hAnsi="Calibri" w:cs="Calibri" w:eastAsia="Calibri"/>
                            <w:b/>
                            <w:bCs/>
                            <w:sz w:val="8"/>
                            <w:szCs w:val="8"/>
                          </w:rPr>
                        </w:pPr>
                        <w:r>
                          <w:rPr>
                            <w:rFonts w:ascii="Calibri" w:hAnsi="Calibri" w:cs="Calibri" w:eastAsia="Calibri"/>
                            <w:b/>
                            <w:bCs/>
                            <w:color w:val="252525"/>
                            <w:w w:val="110"/>
                            <w:sz w:val="8"/>
                            <w:szCs w:val="8"/>
                          </w:rPr>
                          <w:t>Κεϕa</w:t>
                        </w:r>
                        <w:r>
                          <w:rPr>
                            <w:rFonts w:ascii="Calibri" w:hAnsi="Calibri" w:cs="Calibri" w:eastAsia="Calibri"/>
                            <w:b/>
                            <w:bCs/>
                            <w:color w:val="252525"/>
                            <w:spacing w:val="19"/>
                            <w:w w:val="110"/>
                            <w:sz w:val="8"/>
                            <w:szCs w:val="8"/>
                          </w:rPr>
                          <w:t> </w:t>
                        </w:r>
                        <w:r>
                          <w:rPr>
                            <w:rFonts w:ascii="Calibri" w:hAnsi="Calibri" w:cs="Calibri" w:eastAsia="Calibri"/>
                            <w:b/>
                            <w:bCs/>
                            <w:color w:val="252525"/>
                            <w:w w:val="110"/>
                            <w:sz w:val="8"/>
                            <w:szCs w:val="8"/>
                          </w:rPr>
                          <w:t>ata</w:t>
                        </w:r>
                        <w:r>
                          <w:rPr>
                            <w:rFonts w:ascii="Calibri" w:hAnsi="Calibri" w:cs="Calibri" w:eastAsia="Calibri"/>
                            <w:b/>
                            <w:bCs/>
                            <w:smallCaps/>
                            <w:color w:val="252525"/>
                            <w:w w:val="110"/>
                            <w:sz w:val="8"/>
                            <w:szCs w:val="8"/>
                          </w:rPr>
                          <w:t>k</w:t>
                        </w:r>
                        <w:r>
                          <w:rPr>
                            <w:rFonts w:ascii="Calibri" w:hAnsi="Calibri" w:cs="Calibri" w:eastAsia="Calibri"/>
                            <w:b/>
                            <w:bCs/>
                            <w:smallCaps w:val="0"/>
                            <w:color w:val="252525"/>
                            <w:w w:val="110"/>
                            <w:sz w:val="8"/>
                            <w:szCs w:val="8"/>
                          </w:rPr>
                          <w:t>ή</w:t>
                        </w:r>
                        <w:r>
                          <w:rPr>
                            <w:rFonts w:ascii="Calibri" w:hAnsi="Calibri" w:cs="Calibri" w:eastAsia="Calibri"/>
                            <w:b/>
                            <w:bCs/>
                            <w:smallCaps w:val="0"/>
                            <w:color w:val="252525"/>
                            <w:spacing w:val="41"/>
                            <w:w w:val="110"/>
                            <w:sz w:val="8"/>
                            <w:szCs w:val="8"/>
                          </w:rPr>
                          <w:t>  </w:t>
                        </w:r>
                        <w:r>
                          <w:rPr>
                            <w:rFonts w:ascii="Calibri" w:hAnsi="Calibri" w:cs="Calibri" w:eastAsia="Calibri"/>
                            <w:b/>
                            <w:bCs/>
                            <w:smallCaps w:val="0"/>
                            <w:color w:val="252525"/>
                            <w:w w:val="110"/>
                            <w:sz w:val="8"/>
                            <w:szCs w:val="8"/>
                          </w:rPr>
                          <w:t>Κεϕá</w:t>
                        </w:r>
                        <w:r>
                          <w:rPr>
                            <w:rFonts w:ascii="Calibri" w:hAnsi="Calibri" w:cs="Calibri" w:eastAsia="Calibri"/>
                            <w:b/>
                            <w:bCs/>
                            <w:smallCaps w:val="0"/>
                            <w:color w:val="252525"/>
                            <w:spacing w:val="19"/>
                            <w:w w:val="110"/>
                            <w:sz w:val="8"/>
                            <w:szCs w:val="8"/>
                          </w:rPr>
                          <w:t> </w:t>
                        </w:r>
                        <w:r>
                          <w:rPr>
                            <w:rFonts w:ascii="Calibri" w:hAnsi="Calibri" w:cs="Calibri" w:eastAsia="Calibri"/>
                            <w:b/>
                            <w:bCs/>
                            <w:smallCaps w:val="0"/>
                            <w:color w:val="252525"/>
                            <w:w w:val="110"/>
                            <w:sz w:val="8"/>
                            <w:szCs w:val="8"/>
                          </w:rPr>
                          <w:t>ata</w:t>
                        </w:r>
                        <w:r>
                          <w:rPr>
                            <w:rFonts w:ascii="Calibri" w:hAnsi="Calibri" w:cs="Calibri" w:eastAsia="Calibri"/>
                            <w:b/>
                            <w:bCs/>
                            <w:smallCaps w:val="0"/>
                            <w:color w:val="252525"/>
                            <w:spacing w:val="-4"/>
                            <w:w w:val="110"/>
                            <w:sz w:val="8"/>
                            <w:szCs w:val="8"/>
                          </w:rPr>
                          <w:t> </w:t>
                        </w:r>
                        <w:r>
                          <w:rPr>
                            <w:rFonts w:ascii="Calibri" w:hAnsi="Calibri" w:cs="Calibri" w:eastAsia="Calibri"/>
                            <w:b/>
                            <w:bCs/>
                            <w:smallCaps w:val="0"/>
                            <w:color w:val="252525"/>
                            <w:w w:val="110"/>
                            <w:sz w:val="8"/>
                            <w:szCs w:val="8"/>
                          </w:rPr>
                          <w:t>γta</w:t>
                        </w:r>
                        <w:r>
                          <w:rPr>
                            <w:rFonts w:ascii="Calibri" w:hAnsi="Calibri" w:cs="Calibri" w:eastAsia="Calibri"/>
                            <w:b/>
                            <w:bCs/>
                            <w:smallCaps w:val="0"/>
                            <w:color w:val="252525"/>
                            <w:spacing w:val="38"/>
                            <w:w w:val="110"/>
                            <w:sz w:val="8"/>
                            <w:szCs w:val="8"/>
                          </w:rPr>
                          <w:t>  </w:t>
                        </w:r>
                        <w:r>
                          <w:rPr>
                            <w:rFonts w:ascii="Calibri" w:hAnsi="Calibri" w:cs="Calibri" w:eastAsia="Calibri"/>
                            <w:b/>
                            <w:bCs/>
                            <w:smallCaps w:val="0"/>
                            <w:color w:val="252525"/>
                            <w:w w:val="110"/>
                            <w:sz w:val="8"/>
                            <w:szCs w:val="8"/>
                          </w:rPr>
                          <w:t>Κεϕa</w:t>
                        </w:r>
                        <w:r>
                          <w:rPr>
                            <w:rFonts w:ascii="Calibri" w:hAnsi="Calibri" w:cs="Calibri" w:eastAsia="Calibri"/>
                            <w:b/>
                            <w:bCs/>
                            <w:smallCaps w:val="0"/>
                            <w:color w:val="252525"/>
                            <w:spacing w:val="21"/>
                            <w:w w:val="110"/>
                            <w:sz w:val="8"/>
                            <w:szCs w:val="8"/>
                          </w:rPr>
                          <w:t> </w:t>
                        </w:r>
                        <w:r>
                          <w:rPr>
                            <w:rFonts w:ascii="Calibri" w:hAnsi="Calibri" w:cs="Calibri" w:eastAsia="Calibri"/>
                            <w:b/>
                            <w:bCs/>
                            <w:smallCaps w:val="0"/>
                            <w:color w:val="252525"/>
                            <w:w w:val="110"/>
                            <w:sz w:val="8"/>
                            <w:szCs w:val="8"/>
                          </w:rPr>
                          <w:t>ata</w:t>
                        </w:r>
                        <w:r>
                          <w:rPr>
                            <w:rFonts w:ascii="Calibri" w:hAnsi="Calibri" w:cs="Calibri" w:eastAsia="Calibri"/>
                            <w:b/>
                            <w:bCs/>
                            <w:smallCaps/>
                            <w:color w:val="252525"/>
                            <w:w w:val="110"/>
                            <w:sz w:val="8"/>
                            <w:szCs w:val="8"/>
                          </w:rPr>
                          <w:t>k</w:t>
                        </w:r>
                        <w:r>
                          <w:rPr>
                            <w:rFonts w:ascii="Calibri" w:hAnsi="Calibri" w:cs="Calibri" w:eastAsia="Calibri"/>
                            <w:b/>
                            <w:bCs/>
                            <w:smallCaps w:val="0"/>
                            <w:color w:val="252525"/>
                            <w:w w:val="110"/>
                            <w:sz w:val="8"/>
                            <w:szCs w:val="8"/>
                          </w:rPr>
                          <w:t>ή</w:t>
                        </w:r>
                        <w:r>
                          <w:rPr>
                            <w:rFonts w:ascii="Calibri" w:hAnsi="Calibri" w:cs="Calibri" w:eastAsia="Calibri"/>
                            <w:b/>
                            <w:bCs/>
                            <w:smallCaps w:val="0"/>
                            <w:color w:val="252525"/>
                            <w:spacing w:val="40"/>
                            <w:w w:val="110"/>
                            <w:sz w:val="8"/>
                            <w:szCs w:val="8"/>
                          </w:rPr>
                          <w:t>  </w:t>
                        </w:r>
                        <w:r>
                          <w:rPr>
                            <w:rFonts w:ascii="Calibri" w:hAnsi="Calibri" w:cs="Calibri" w:eastAsia="Calibri"/>
                            <w:b/>
                            <w:bCs/>
                            <w:smallCaps w:val="0"/>
                            <w:color w:val="252525"/>
                            <w:w w:val="110"/>
                            <w:sz w:val="8"/>
                            <w:szCs w:val="8"/>
                          </w:rPr>
                          <w:t>Κεϕá</w:t>
                        </w:r>
                        <w:r>
                          <w:rPr>
                            <w:rFonts w:ascii="Calibri" w:hAnsi="Calibri" w:cs="Calibri" w:eastAsia="Calibri"/>
                            <w:b/>
                            <w:bCs/>
                            <w:smallCaps w:val="0"/>
                            <w:color w:val="252525"/>
                            <w:spacing w:val="21"/>
                            <w:w w:val="110"/>
                            <w:sz w:val="8"/>
                            <w:szCs w:val="8"/>
                          </w:rPr>
                          <w:t> </w:t>
                        </w:r>
                        <w:r>
                          <w:rPr>
                            <w:rFonts w:ascii="Calibri" w:hAnsi="Calibri" w:cs="Calibri" w:eastAsia="Calibri"/>
                            <w:b/>
                            <w:bCs/>
                            <w:smallCaps w:val="0"/>
                            <w:color w:val="252525"/>
                            <w:w w:val="110"/>
                            <w:sz w:val="8"/>
                            <w:szCs w:val="8"/>
                          </w:rPr>
                          <w:t>ata</w:t>
                        </w:r>
                        <w:r>
                          <w:rPr>
                            <w:rFonts w:ascii="Calibri" w:hAnsi="Calibri" w:cs="Calibri" w:eastAsia="Calibri"/>
                            <w:b/>
                            <w:bCs/>
                            <w:smallCaps w:val="0"/>
                            <w:color w:val="252525"/>
                            <w:spacing w:val="-5"/>
                            <w:w w:val="110"/>
                            <w:sz w:val="8"/>
                            <w:szCs w:val="8"/>
                          </w:rPr>
                          <w:t> </w:t>
                        </w:r>
                        <w:r>
                          <w:rPr>
                            <w:rFonts w:ascii="Calibri" w:hAnsi="Calibri" w:cs="Calibri" w:eastAsia="Calibri"/>
                            <w:b/>
                            <w:bCs/>
                            <w:smallCaps w:val="0"/>
                            <w:color w:val="252525"/>
                            <w:w w:val="110"/>
                            <w:sz w:val="8"/>
                            <w:szCs w:val="8"/>
                          </w:rPr>
                          <w:t>γta</w:t>
                        </w:r>
                        <w:r>
                          <w:rPr>
                            <w:rFonts w:ascii="Calibri" w:hAnsi="Calibri" w:cs="Calibri" w:eastAsia="Calibri"/>
                            <w:b/>
                            <w:bCs/>
                            <w:smallCaps w:val="0"/>
                            <w:color w:val="252525"/>
                            <w:spacing w:val="40"/>
                            <w:w w:val="110"/>
                            <w:sz w:val="8"/>
                            <w:szCs w:val="8"/>
                          </w:rPr>
                          <w:t>  </w:t>
                        </w:r>
                        <w:r>
                          <w:rPr>
                            <w:rFonts w:ascii="Calibri" w:hAnsi="Calibri" w:cs="Calibri" w:eastAsia="Calibri"/>
                            <w:b/>
                            <w:bCs/>
                            <w:smallCaps w:val="0"/>
                            <w:color w:val="252525"/>
                            <w:w w:val="110"/>
                            <w:sz w:val="8"/>
                            <w:szCs w:val="8"/>
                          </w:rPr>
                          <w:t>Κεϕa</w:t>
                        </w:r>
                        <w:r>
                          <w:rPr>
                            <w:rFonts w:ascii="Calibri" w:hAnsi="Calibri" w:cs="Calibri" w:eastAsia="Calibri"/>
                            <w:b/>
                            <w:bCs/>
                            <w:smallCaps w:val="0"/>
                            <w:color w:val="252525"/>
                            <w:spacing w:val="19"/>
                            <w:w w:val="110"/>
                            <w:sz w:val="8"/>
                            <w:szCs w:val="8"/>
                          </w:rPr>
                          <w:t> </w:t>
                        </w:r>
                        <w:r>
                          <w:rPr>
                            <w:rFonts w:ascii="Calibri" w:hAnsi="Calibri" w:cs="Calibri" w:eastAsia="Calibri"/>
                            <w:b/>
                            <w:bCs/>
                            <w:smallCaps w:val="0"/>
                            <w:color w:val="252525"/>
                            <w:w w:val="110"/>
                            <w:sz w:val="8"/>
                            <w:szCs w:val="8"/>
                          </w:rPr>
                          <w:t>ata</w:t>
                        </w:r>
                        <w:r>
                          <w:rPr>
                            <w:rFonts w:ascii="Calibri" w:hAnsi="Calibri" w:cs="Calibri" w:eastAsia="Calibri"/>
                            <w:b/>
                            <w:bCs/>
                            <w:smallCaps/>
                            <w:color w:val="252525"/>
                            <w:w w:val="110"/>
                            <w:sz w:val="8"/>
                            <w:szCs w:val="8"/>
                          </w:rPr>
                          <w:t>k</w:t>
                        </w:r>
                        <w:r>
                          <w:rPr>
                            <w:rFonts w:ascii="Calibri" w:hAnsi="Calibri" w:cs="Calibri" w:eastAsia="Calibri"/>
                            <w:b/>
                            <w:bCs/>
                            <w:smallCaps w:val="0"/>
                            <w:color w:val="252525"/>
                            <w:w w:val="110"/>
                            <w:sz w:val="8"/>
                            <w:szCs w:val="8"/>
                          </w:rPr>
                          <w:t>ή</w:t>
                        </w:r>
                        <w:r>
                          <w:rPr>
                            <w:rFonts w:ascii="Calibri" w:hAnsi="Calibri" w:cs="Calibri" w:eastAsia="Calibri"/>
                            <w:b/>
                            <w:bCs/>
                            <w:smallCaps w:val="0"/>
                            <w:color w:val="252525"/>
                            <w:spacing w:val="41"/>
                            <w:w w:val="110"/>
                            <w:sz w:val="8"/>
                            <w:szCs w:val="8"/>
                          </w:rPr>
                          <w:t>  </w:t>
                        </w:r>
                        <w:r>
                          <w:rPr>
                            <w:rFonts w:ascii="Calibri" w:hAnsi="Calibri" w:cs="Calibri" w:eastAsia="Calibri"/>
                            <w:b/>
                            <w:bCs/>
                            <w:smallCaps w:val="0"/>
                            <w:color w:val="252525"/>
                            <w:w w:val="110"/>
                            <w:sz w:val="8"/>
                            <w:szCs w:val="8"/>
                          </w:rPr>
                          <w:t>Κεϕá</w:t>
                        </w:r>
                        <w:r>
                          <w:rPr>
                            <w:rFonts w:ascii="Calibri" w:hAnsi="Calibri" w:cs="Calibri" w:eastAsia="Calibri"/>
                            <w:b/>
                            <w:bCs/>
                            <w:smallCaps w:val="0"/>
                            <w:color w:val="252525"/>
                            <w:spacing w:val="19"/>
                            <w:w w:val="110"/>
                            <w:sz w:val="8"/>
                            <w:szCs w:val="8"/>
                          </w:rPr>
                          <w:t> </w:t>
                        </w:r>
                        <w:r>
                          <w:rPr>
                            <w:rFonts w:ascii="Calibri" w:hAnsi="Calibri" w:cs="Calibri" w:eastAsia="Calibri"/>
                            <w:b/>
                            <w:bCs/>
                            <w:smallCaps w:val="0"/>
                            <w:color w:val="252525"/>
                            <w:w w:val="110"/>
                            <w:sz w:val="8"/>
                            <w:szCs w:val="8"/>
                          </w:rPr>
                          <w:t>ata</w:t>
                        </w:r>
                        <w:r>
                          <w:rPr>
                            <w:rFonts w:ascii="Calibri" w:hAnsi="Calibri" w:cs="Calibri" w:eastAsia="Calibri"/>
                            <w:b/>
                            <w:bCs/>
                            <w:smallCaps w:val="0"/>
                            <w:color w:val="252525"/>
                            <w:spacing w:val="-4"/>
                            <w:w w:val="110"/>
                            <w:sz w:val="8"/>
                            <w:szCs w:val="8"/>
                          </w:rPr>
                          <w:t> </w:t>
                        </w:r>
                        <w:r>
                          <w:rPr>
                            <w:rFonts w:ascii="Calibri" w:hAnsi="Calibri" w:cs="Calibri" w:eastAsia="Calibri"/>
                            <w:b/>
                            <w:bCs/>
                            <w:smallCaps w:val="0"/>
                            <w:color w:val="252525"/>
                            <w:spacing w:val="-5"/>
                            <w:w w:val="110"/>
                            <w:sz w:val="8"/>
                            <w:szCs w:val="8"/>
                          </w:rPr>
                          <w:t>γta</w:t>
                        </w:r>
                      </w:p>
                      <w:p>
                        <w:pPr>
                          <w:spacing w:line="256" w:lineRule="auto" w:before="8"/>
                          <w:ind w:left="0" w:right="1281" w:firstLine="111"/>
                          <w:jc w:val="left"/>
                          <w:rPr>
                            <w:rFonts w:ascii="Calibri" w:hAnsi="Calibri"/>
                            <w:b/>
                            <w:sz w:val="8"/>
                          </w:rPr>
                        </w:pPr>
                        <w:r>
                          <w:rPr>
                            <w:rFonts w:ascii="Calibri" w:hAnsi="Calibri"/>
                            <w:b/>
                            <w:color w:val="252525"/>
                            <w:w w:val="110"/>
                            <w:sz w:val="8"/>
                          </w:rPr>
                          <w:t>Auaíτηơη</w:t>
                        </w:r>
                        <w:r>
                          <w:rPr>
                            <w:rFonts w:ascii="Calibri" w:hAnsi="Calibri"/>
                            <w:b/>
                            <w:color w:val="252525"/>
                            <w:spacing w:val="80"/>
                            <w:w w:val="110"/>
                            <w:sz w:val="8"/>
                          </w:rPr>
                          <w:t>  </w:t>
                        </w:r>
                        <w:r>
                          <w:rPr>
                            <w:rFonts w:ascii="Calibri" w:hAnsi="Calibri"/>
                            <w:b/>
                            <w:color w:val="252525"/>
                            <w:w w:val="110"/>
                            <w:sz w:val="8"/>
                          </w:rPr>
                          <w:t>τηv </w:t>
                        </w:r>
                        <w:r>
                          <w:rPr>
                            <w:rFonts w:ascii="Calibri" w:hAnsi="Calibri"/>
                            <w:b/>
                            <w:smallCaps/>
                            <w:color w:val="252525"/>
                            <w:w w:val="110"/>
                            <w:sz w:val="8"/>
                          </w:rPr>
                          <w:t>k</w:t>
                        </w:r>
                        <w:r>
                          <w:rPr>
                            <w:rFonts w:ascii="Calibri" w:hAnsi="Calibri"/>
                            <w:b/>
                            <w:smallCaps w:val="0"/>
                            <w:color w:val="252525"/>
                            <w:w w:val="110"/>
                            <w:sz w:val="8"/>
                          </w:rPr>
                          <w:t>á</w:t>
                        </w:r>
                        <w:r>
                          <w:rPr>
                            <w:rFonts w:ascii="Calibri" w:hAnsi="Calibri"/>
                            <w:b/>
                            <w:smallCaps w:val="0"/>
                            <w:color w:val="252525"/>
                            <w:spacing w:val="28"/>
                            <w:w w:val="110"/>
                            <w:sz w:val="8"/>
                          </w:rPr>
                          <w:t> </w:t>
                        </w:r>
                        <w:r>
                          <w:rPr>
                            <w:rFonts w:ascii="Calibri" w:hAnsi="Calibri"/>
                            <w:b/>
                            <w:smallCaps w:val="0"/>
                            <w:color w:val="252525"/>
                            <w:w w:val="110"/>
                            <w:sz w:val="8"/>
                          </w:rPr>
                          <w:t>uψη</w:t>
                        </w:r>
                        <w:r>
                          <w:rPr>
                            <w:rFonts w:ascii="Calibri" w:hAnsi="Calibri"/>
                            <w:b/>
                            <w:smallCaps w:val="0"/>
                            <w:color w:val="252525"/>
                            <w:spacing w:val="80"/>
                            <w:w w:val="110"/>
                            <w:sz w:val="8"/>
                          </w:rPr>
                          <w:t>  </w:t>
                        </w:r>
                        <w:r>
                          <w:rPr>
                            <w:rFonts w:ascii="Calibri" w:hAnsi="Calibri"/>
                            <w:b/>
                            <w:smallCaps w:val="0"/>
                            <w:color w:val="252525"/>
                            <w:w w:val="110"/>
                            <w:sz w:val="8"/>
                          </w:rPr>
                          <w:t>Auaíτηơη</w:t>
                        </w:r>
                        <w:r>
                          <w:rPr>
                            <w:rFonts w:ascii="Calibri" w:hAnsi="Calibri"/>
                            <w:b/>
                            <w:smallCaps w:val="0"/>
                            <w:color w:val="252525"/>
                            <w:spacing w:val="40"/>
                            <w:w w:val="110"/>
                            <w:sz w:val="8"/>
                          </w:rPr>
                          <w:t> </w:t>
                        </w:r>
                        <w:r>
                          <w:rPr>
                            <w:rFonts w:ascii="Calibri" w:hAnsi="Calibri"/>
                            <w:b/>
                            <w:smallCaps w:val="0"/>
                            <w:color w:val="252525"/>
                            <w:w w:val="110"/>
                            <w:sz w:val="8"/>
                          </w:rPr>
                          <w:t>Фεpεγγuóτητaç</w:t>
                        </w:r>
                        <w:r>
                          <w:rPr>
                            <w:rFonts w:ascii="Calibri" w:hAnsi="Calibri"/>
                            <w:b/>
                            <w:smallCaps w:val="0"/>
                            <w:color w:val="252525"/>
                            <w:spacing w:val="40"/>
                            <w:w w:val="110"/>
                            <w:sz w:val="8"/>
                          </w:rPr>
                          <w:t>  </w:t>
                        </w:r>
                        <w:r>
                          <w:rPr>
                            <w:rFonts w:ascii="Calibri" w:hAnsi="Calibri"/>
                            <w:b/>
                            <w:smallCaps w:val="0"/>
                            <w:color w:val="252525"/>
                            <w:w w:val="110"/>
                            <w:sz w:val="8"/>
                          </w:rPr>
                          <w:t>τou SCR</w:t>
                        </w:r>
                        <w:r>
                          <w:rPr>
                            <w:rFonts w:ascii="Calibri" w:hAnsi="Calibri"/>
                            <w:b/>
                            <w:smallCaps w:val="0"/>
                            <w:color w:val="252525"/>
                            <w:spacing w:val="72"/>
                            <w:w w:val="150"/>
                            <w:sz w:val="8"/>
                          </w:rPr>
                          <w:t> </w:t>
                        </w:r>
                        <w:r>
                          <w:rPr>
                            <w:rFonts w:ascii="Calibri" w:hAnsi="Calibri"/>
                            <w:b/>
                            <w:smallCaps w:val="0"/>
                            <w:color w:val="252525"/>
                            <w:spacing w:val="-2"/>
                            <w:w w:val="110"/>
                            <w:sz w:val="8"/>
                          </w:rPr>
                          <w:t>Фεpεγγuóτητaç</w:t>
                        </w:r>
                      </w:p>
                    </w:txbxContent>
                  </v:textbox>
                  <w10:wrap type="none"/>
                </v:shape>
                <v:shape style="position:absolute;left:785;top:3637;width:208;height:86" type="#_x0000_t202" id="docshape574" filled="false" stroked="false">
                  <v:textbox inset="0,0,0,0">
                    <w:txbxContent>
                      <w:p>
                        <w:pPr>
                          <w:spacing w:line="85" w:lineRule="exact" w:before="0"/>
                          <w:ind w:left="0" w:right="0" w:firstLine="0"/>
                          <w:jc w:val="left"/>
                          <w:rPr>
                            <w:rFonts w:ascii="Calibri"/>
                            <w:b/>
                            <w:sz w:val="8"/>
                          </w:rPr>
                        </w:pPr>
                        <w:r>
                          <w:rPr>
                            <w:rFonts w:ascii="Calibri"/>
                            <w:b/>
                            <w:color w:val="252525"/>
                            <w:spacing w:val="-2"/>
                            <w:w w:val="105"/>
                            <w:sz w:val="8"/>
                          </w:rPr>
                          <w:t>(SCR)</w:t>
                        </w:r>
                      </w:p>
                    </w:txbxContent>
                  </v:textbox>
                  <w10:wrap type="none"/>
                </v:shape>
                <v:shape style="position:absolute;left:1953;top:3637;width:210;height:86" type="#_x0000_t202" id="docshape575" filled="false" stroked="false">
                  <v:textbox inset="0,0,0,0">
                    <w:txbxContent>
                      <w:p>
                        <w:pPr>
                          <w:spacing w:line="85" w:lineRule="exact" w:before="0"/>
                          <w:ind w:left="0" w:right="0" w:firstLine="0"/>
                          <w:jc w:val="left"/>
                          <w:rPr>
                            <w:rFonts w:ascii="Calibri"/>
                            <w:b/>
                            <w:sz w:val="8"/>
                          </w:rPr>
                        </w:pPr>
                        <w:r>
                          <w:rPr>
                            <w:rFonts w:ascii="Calibri"/>
                            <w:b/>
                            <w:color w:val="252525"/>
                            <w:spacing w:val="-2"/>
                            <w:w w:val="105"/>
                            <w:sz w:val="8"/>
                          </w:rPr>
                          <w:t>(SCR)</w:t>
                        </w:r>
                      </w:p>
                    </w:txbxContent>
                  </v:textbox>
                  <w10:wrap type="none"/>
                </v:shape>
                <v:shape style="position:absolute;left:2413;top:3429;width:1613;height:294" type="#_x0000_t202" id="docshape576" filled="false" stroked="false">
                  <v:textbox inset="0,0,0,0">
                    <w:txbxContent>
                      <w:p>
                        <w:pPr>
                          <w:tabs>
                            <w:tab w:pos="624" w:val="left" w:leader="none"/>
                          </w:tabs>
                          <w:spacing w:line="85" w:lineRule="exact" w:before="0"/>
                          <w:ind w:left="0" w:right="0" w:firstLine="0"/>
                          <w:jc w:val="left"/>
                          <w:rPr>
                            <w:rFonts w:ascii="Calibri" w:hAnsi="Calibri"/>
                            <w:b/>
                            <w:sz w:val="8"/>
                          </w:rPr>
                        </w:pPr>
                        <w:r>
                          <w:rPr>
                            <w:rFonts w:ascii="Calibri" w:hAnsi="Calibri"/>
                            <w:b/>
                            <w:color w:val="252525"/>
                            <w:w w:val="110"/>
                            <w:sz w:val="8"/>
                          </w:rPr>
                          <w:t>τηv</w:t>
                        </w:r>
                        <w:r>
                          <w:rPr>
                            <w:rFonts w:ascii="Calibri" w:hAnsi="Calibri"/>
                            <w:b/>
                            <w:color w:val="252525"/>
                            <w:spacing w:val="3"/>
                            <w:w w:val="110"/>
                            <w:sz w:val="8"/>
                          </w:rPr>
                          <w:t> </w:t>
                        </w:r>
                        <w:r>
                          <w:rPr>
                            <w:rFonts w:ascii="Calibri" w:hAnsi="Calibri"/>
                            <w:b/>
                            <w:smallCaps/>
                            <w:color w:val="252525"/>
                            <w:w w:val="110"/>
                            <w:sz w:val="8"/>
                          </w:rPr>
                          <w:t>k</w:t>
                        </w:r>
                        <w:r>
                          <w:rPr>
                            <w:rFonts w:ascii="Calibri" w:hAnsi="Calibri"/>
                            <w:b/>
                            <w:smallCaps w:val="0"/>
                            <w:color w:val="252525"/>
                            <w:w w:val="110"/>
                            <w:sz w:val="8"/>
                          </w:rPr>
                          <w:t>á</w:t>
                        </w:r>
                        <w:r>
                          <w:rPr>
                            <w:rFonts w:ascii="Calibri" w:hAnsi="Calibri"/>
                            <w:b/>
                            <w:smallCaps w:val="0"/>
                            <w:color w:val="252525"/>
                            <w:spacing w:val="14"/>
                            <w:w w:val="110"/>
                            <w:sz w:val="8"/>
                          </w:rPr>
                          <w:t> </w:t>
                        </w:r>
                        <w:r>
                          <w:rPr>
                            <w:rFonts w:ascii="Calibri" w:hAnsi="Calibri"/>
                            <w:b/>
                            <w:smallCaps w:val="0"/>
                            <w:color w:val="252525"/>
                            <w:spacing w:val="-5"/>
                            <w:w w:val="110"/>
                            <w:sz w:val="8"/>
                          </w:rPr>
                          <w:t>uψη</w:t>
                        </w:r>
                        <w:r>
                          <w:rPr>
                            <w:rFonts w:ascii="Calibri" w:hAnsi="Calibri"/>
                            <w:b/>
                            <w:smallCaps w:val="0"/>
                            <w:color w:val="252525"/>
                            <w:sz w:val="8"/>
                          </w:rPr>
                          <w:tab/>
                        </w:r>
                        <w:r>
                          <w:rPr>
                            <w:rFonts w:ascii="Calibri" w:hAnsi="Calibri"/>
                            <w:b/>
                            <w:smallCaps w:val="0"/>
                            <w:color w:val="252525"/>
                            <w:w w:val="110"/>
                            <w:sz w:val="8"/>
                          </w:rPr>
                          <w:t>Auaíτηơη</w:t>
                        </w:r>
                        <w:r>
                          <w:rPr>
                            <w:rFonts w:ascii="Calibri" w:hAnsi="Calibri"/>
                            <w:b/>
                            <w:smallCaps w:val="0"/>
                            <w:color w:val="252525"/>
                            <w:spacing w:val="68"/>
                            <w:w w:val="110"/>
                            <w:sz w:val="8"/>
                          </w:rPr>
                          <w:t>  </w:t>
                        </w:r>
                        <w:r>
                          <w:rPr>
                            <w:rFonts w:ascii="Calibri" w:hAnsi="Calibri"/>
                            <w:b/>
                            <w:smallCaps w:val="0"/>
                            <w:color w:val="252525"/>
                            <w:w w:val="110"/>
                            <w:sz w:val="8"/>
                          </w:rPr>
                          <w:t>τηv</w:t>
                        </w:r>
                        <w:r>
                          <w:rPr>
                            <w:rFonts w:ascii="Calibri" w:hAnsi="Calibri"/>
                            <w:b/>
                            <w:smallCaps w:val="0"/>
                            <w:color w:val="252525"/>
                            <w:spacing w:val="5"/>
                            <w:w w:val="110"/>
                            <w:sz w:val="8"/>
                          </w:rPr>
                          <w:t> </w:t>
                        </w:r>
                        <w:r>
                          <w:rPr>
                            <w:rFonts w:ascii="Calibri" w:hAnsi="Calibri"/>
                            <w:b/>
                            <w:smallCaps/>
                            <w:color w:val="252525"/>
                            <w:w w:val="110"/>
                            <w:sz w:val="8"/>
                          </w:rPr>
                          <w:t>k</w:t>
                        </w:r>
                        <w:r>
                          <w:rPr>
                            <w:rFonts w:ascii="Calibri" w:hAnsi="Calibri"/>
                            <w:b/>
                            <w:smallCaps w:val="0"/>
                            <w:color w:val="252525"/>
                            <w:w w:val="110"/>
                            <w:sz w:val="8"/>
                          </w:rPr>
                          <w:t>á</w:t>
                        </w:r>
                        <w:r>
                          <w:rPr>
                            <w:rFonts w:ascii="Calibri" w:hAnsi="Calibri"/>
                            <w:b/>
                            <w:smallCaps w:val="0"/>
                            <w:color w:val="252525"/>
                            <w:spacing w:val="17"/>
                            <w:w w:val="110"/>
                            <w:sz w:val="8"/>
                          </w:rPr>
                          <w:t> </w:t>
                        </w:r>
                        <w:r>
                          <w:rPr>
                            <w:rFonts w:ascii="Calibri" w:hAnsi="Calibri"/>
                            <w:b/>
                            <w:smallCaps w:val="0"/>
                            <w:color w:val="252525"/>
                            <w:spacing w:val="-5"/>
                            <w:w w:val="110"/>
                            <w:sz w:val="8"/>
                          </w:rPr>
                          <w:t>uψη</w:t>
                        </w:r>
                      </w:p>
                      <w:p>
                        <w:pPr>
                          <w:spacing w:line="256" w:lineRule="auto" w:before="0"/>
                          <w:ind w:left="709" w:right="80" w:hanging="633"/>
                          <w:jc w:val="left"/>
                          <w:rPr>
                            <w:rFonts w:ascii="Calibri" w:hAnsi="Calibri"/>
                            <w:b/>
                            <w:sz w:val="8"/>
                          </w:rPr>
                        </w:pPr>
                        <w:r>
                          <w:rPr>
                            <w:rFonts w:ascii="Calibri" w:hAnsi="Calibri"/>
                            <w:b/>
                            <w:color w:val="252525"/>
                            <w:w w:val="105"/>
                            <w:sz w:val="8"/>
                          </w:rPr>
                          <w:t>τou SCR</w:t>
                        </w:r>
                        <w:r>
                          <w:rPr>
                            <w:rFonts w:ascii="Calibri" w:hAnsi="Calibri"/>
                            <w:b/>
                            <w:color w:val="252525"/>
                            <w:spacing w:val="80"/>
                            <w:w w:val="105"/>
                            <w:sz w:val="8"/>
                          </w:rPr>
                          <w:t> </w:t>
                        </w:r>
                        <w:r>
                          <w:rPr>
                            <w:rFonts w:ascii="Calibri" w:hAnsi="Calibri"/>
                            <w:b/>
                            <w:color w:val="252525"/>
                            <w:w w:val="105"/>
                            <w:sz w:val="8"/>
                          </w:rPr>
                          <w:t>Фεpεγγuóτητaç</w:t>
                        </w:r>
                        <w:r>
                          <w:rPr>
                            <w:rFonts w:ascii="Calibri" w:hAnsi="Calibri"/>
                            <w:b/>
                            <w:color w:val="252525"/>
                            <w:spacing w:val="80"/>
                            <w:w w:val="105"/>
                            <w:sz w:val="8"/>
                          </w:rPr>
                          <w:t> </w:t>
                        </w:r>
                        <w:r>
                          <w:rPr>
                            <w:rFonts w:ascii="Calibri" w:hAnsi="Calibri"/>
                            <w:b/>
                            <w:color w:val="252525"/>
                            <w:w w:val="105"/>
                            <w:sz w:val="8"/>
                          </w:rPr>
                          <w:t>τou SCR</w:t>
                        </w:r>
                        <w:r>
                          <w:rPr>
                            <w:rFonts w:ascii="Calibri" w:hAnsi="Calibri"/>
                            <w:b/>
                            <w:color w:val="252525"/>
                            <w:spacing w:val="40"/>
                            <w:w w:val="105"/>
                            <w:sz w:val="8"/>
                          </w:rPr>
                          <w:t> </w:t>
                        </w:r>
                        <w:r>
                          <w:rPr>
                            <w:rFonts w:ascii="Calibri" w:hAnsi="Calibri"/>
                            <w:b/>
                            <w:color w:val="252525"/>
                            <w:spacing w:val="-2"/>
                            <w:w w:val="105"/>
                            <w:sz w:val="8"/>
                          </w:rPr>
                          <w:t>(SCR)</w:t>
                        </w:r>
                      </w:p>
                    </w:txbxContent>
                  </v:textbox>
                  <w10:wrap type="none"/>
                </v:shape>
                <v:shape style="position:absolute;left:403;top:2882;width:91;height:158" type="#_x0000_t202" id="docshape577" filled="false" stroked="false">
                  <v:textbox inset="0,0,0,0">
                    <w:txbxContent>
                      <w:p>
                        <w:pPr>
                          <w:spacing w:line="157" w:lineRule="exact" w:before="0"/>
                          <w:ind w:left="0" w:right="0" w:firstLine="0"/>
                          <w:jc w:val="left"/>
                          <w:rPr>
                            <w:b/>
                            <w:sz w:val="14"/>
                          </w:rPr>
                        </w:pPr>
                        <w:r>
                          <w:rPr>
                            <w:b/>
                            <w:color w:val="252525"/>
                            <w:spacing w:val="-10"/>
                            <w:sz w:val="14"/>
                          </w:rPr>
                          <w:t>0</w:t>
                        </w:r>
                      </w:p>
                    </w:txbxContent>
                  </v:textbox>
                  <w10:wrap type="none"/>
                </v:shape>
                <v:shape style="position:absolute;left:1955;top:2310;width:206;height:123" type="#_x0000_t202" id="docshape578" filled="false" stroked="false">
                  <v:textbox inset="0,0,0,0">
                    <w:txbxContent>
                      <w:p>
                        <w:pPr>
                          <w:spacing w:line="123" w:lineRule="exact" w:before="0"/>
                          <w:ind w:left="0" w:right="0" w:firstLine="0"/>
                          <w:jc w:val="left"/>
                          <w:rPr>
                            <w:rFonts w:ascii="Calibri"/>
                            <w:b/>
                            <w:sz w:val="12"/>
                          </w:rPr>
                        </w:pPr>
                        <w:r>
                          <w:rPr>
                            <w:rFonts w:ascii="Calibri"/>
                            <w:b/>
                            <w:color w:val="252525"/>
                            <w:spacing w:val="-5"/>
                            <w:sz w:val="12"/>
                          </w:rPr>
                          <w:t>421</w:t>
                        </w:r>
                      </w:p>
                    </w:txbxContent>
                  </v:textbox>
                  <w10:wrap type="none"/>
                </v:shape>
                <v:shape style="position:absolute;left:785;top:2260;width:207;height:125" type="#_x0000_t202" id="docshape579" filled="false" stroked="false">
                  <v:textbox inset="0,0,0,0">
                    <w:txbxContent>
                      <w:p>
                        <w:pPr>
                          <w:spacing w:line="125" w:lineRule="exact" w:before="0"/>
                          <w:ind w:left="0" w:right="0" w:firstLine="0"/>
                          <w:jc w:val="left"/>
                          <w:rPr>
                            <w:rFonts w:ascii="Calibri"/>
                            <w:b/>
                            <w:sz w:val="12"/>
                          </w:rPr>
                        </w:pPr>
                        <w:r>
                          <w:rPr>
                            <w:rFonts w:ascii="Calibri"/>
                            <w:b/>
                            <w:color w:val="252525"/>
                            <w:spacing w:val="-5"/>
                            <w:w w:val="105"/>
                            <w:sz w:val="12"/>
                          </w:rPr>
                          <w:t>458</w:t>
                        </w:r>
                      </w:p>
                    </w:txbxContent>
                  </v:textbox>
                  <w10:wrap type="none"/>
                </v:shape>
                <v:shape style="position:absolute;left:263;top:2314;width:233;height:158" type="#_x0000_t202" id="docshape580" filled="false" stroked="false">
                  <v:textbox inset="0,0,0,0">
                    <w:txbxContent>
                      <w:p>
                        <w:pPr>
                          <w:spacing w:line="157" w:lineRule="exact" w:before="0"/>
                          <w:ind w:left="0" w:right="0" w:firstLine="0"/>
                          <w:jc w:val="left"/>
                          <w:rPr>
                            <w:b/>
                            <w:sz w:val="14"/>
                          </w:rPr>
                        </w:pPr>
                        <w:r>
                          <w:rPr>
                            <w:b/>
                            <w:color w:val="252525"/>
                            <w:spacing w:val="-5"/>
                            <w:sz w:val="14"/>
                          </w:rPr>
                          <w:t>500</w:t>
                        </w:r>
                      </w:p>
                    </w:txbxContent>
                  </v:textbox>
                  <w10:wrap type="none"/>
                </v:shape>
                <v:shape style="position:absolute;left:1370;top:1949;width:206;height:123" type="#_x0000_t202" id="docshape581" filled="false" stroked="false">
                  <v:textbox inset="0,0,0,0">
                    <w:txbxContent>
                      <w:p>
                        <w:pPr>
                          <w:spacing w:line="123" w:lineRule="exact" w:before="0"/>
                          <w:ind w:left="0" w:right="0" w:firstLine="0"/>
                          <w:jc w:val="left"/>
                          <w:rPr>
                            <w:rFonts w:ascii="Calibri"/>
                            <w:b/>
                            <w:sz w:val="12"/>
                          </w:rPr>
                        </w:pPr>
                        <w:r>
                          <w:rPr>
                            <w:rFonts w:ascii="Calibri"/>
                            <w:b/>
                            <w:color w:val="252525"/>
                            <w:spacing w:val="-5"/>
                            <w:sz w:val="12"/>
                          </w:rPr>
                          <w:t>742</w:t>
                        </w:r>
                      </w:p>
                    </w:txbxContent>
                  </v:textbox>
                  <w10:wrap type="none"/>
                </v:shape>
                <v:shape style="position:absolute;left:2540;top:1854;width:206;height:123" type="#_x0000_t202" id="docshape582" filled="false" stroked="false">
                  <v:textbox inset="0,0,0,0">
                    <w:txbxContent>
                      <w:p>
                        <w:pPr>
                          <w:spacing w:line="123" w:lineRule="exact" w:before="0"/>
                          <w:ind w:left="0" w:right="0" w:firstLine="0"/>
                          <w:jc w:val="left"/>
                          <w:rPr>
                            <w:rFonts w:ascii="Calibri"/>
                            <w:b/>
                            <w:sz w:val="12"/>
                          </w:rPr>
                        </w:pPr>
                        <w:r>
                          <w:rPr>
                            <w:rFonts w:ascii="Calibri"/>
                            <w:b/>
                            <w:color w:val="252525"/>
                            <w:spacing w:val="-5"/>
                            <w:sz w:val="12"/>
                          </w:rPr>
                          <w:t>827</w:t>
                        </w:r>
                      </w:p>
                    </w:txbxContent>
                  </v:textbox>
                  <w10:wrap type="none"/>
                </v:shape>
                <v:shape style="position:absolute;left:159;top:1754;width:339;height:158" type="#_x0000_t202" id="docshape583" filled="false" stroked="false">
                  <v:textbox inset="0,0,0,0">
                    <w:txbxContent>
                      <w:p>
                        <w:pPr>
                          <w:spacing w:line="157" w:lineRule="exact" w:before="0"/>
                          <w:ind w:left="0" w:right="0" w:firstLine="0"/>
                          <w:jc w:val="left"/>
                          <w:rPr>
                            <w:b/>
                            <w:sz w:val="14"/>
                          </w:rPr>
                        </w:pPr>
                        <w:r>
                          <w:rPr>
                            <w:b/>
                            <w:color w:val="252525"/>
                            <w:spacing w:val="-2"/>
                            <w:sz w:val="14"/>
                          </w:rPr>
                          <w:t>1,000</w:t>
                        </w:r>
                      </w:p>
                    </w:txbxContent>
                  </v:textbox>
                  <w10:wrap type="none"/>
                </v:shape>
                <v:shape style="position:absolute;left:3076;top:1209;width:300;height:123" type="#_x0000_t202" id="docshape584" filled="false" stroked="false">
                  <v:textbox inset="0,0,0,0">
                    <w:txbxContent>
                      <w:p>
                        <w:pPr>
                          <w:spacing w:line="123" w:lineRule="exact" w:before="0"/>
                          <w:ind w:left="0" w:right="0" w:firstLine="0"/>
                          <w:jc w:val="left"/>
                          <w:rPr>
                            <w:rFonts w:ascii="Calibri"/>
                            <w:b/>
                            <w:sz w:val="12"/>
                          </w:rPr>
                        </w:pPr>
                        <w:r>
                          <w:rPr>
                            <w:rFonts w:ascii="Calibri"/>
                            <w:b/>
                            <w:color w:val="252525"/>
                            <w:spacing w:val="-2"/>
                            <w:sz w:val="12"/>
                          </w:rPr>
                          <w:t>1,401</w:t>
                        </w:r>
                      </w:p>
                    </w:txbxContent>
                  </v:textbox>
                  <w10:wrap type="none"/>
                </v:shape>
                <v:shape style="position:absolute;left:159;top:1194;width:339;height:158" type="#_x0000_t202" id="docshape585" filled="false" stroked="false">
                  <v:textbox inset="0,0,0,0">
                    <w:txbxContent>
                      <w:p>
                        <w:pPr>
                          <w:spacing w:line="157" w:lineRule="exact" w:before="0"/>
                          <w:ind w:left="0" w:right="0" w:firstLine="0"/>
                          <w:jc w:val="left"/>
                          <w:rPr>
                            <w:b/>
                            <w:sz w:val="14"/>
                          </w:rPr>
                        </w:pPr>
                        <w:r>
                          <w:rPr>
                            <w:b/>
                            <w:color w:val="252525"/>
                            <w:spacing w:val="-2"/>
                            <w:sz w:val="14"/>
                          </w:rPr>
                          <w:t>1,500</w:t>
                        </w:r>
                      </w:p>
                    </w:txbxContent>
                  </v:textbox>
                  <w10:wrap type="none"/>
                </v:shape>
                <v:shape style="position:absolute;left:159;top:626;width:339;height:158" type="#_x0000_t202" id="docshape586" filled="false" stroked="false">
                  <v:textbox inset="0,0,0,0">
                    <w:txbxContent>
                      <w:p>
                        <w:pPr>
                          <w:spacing w:line="157" w:lineRule="exact" w:before="0"/>
                          <w:ind w:left="0" w:right="0" w:firstLine="0"/>
                          <w:jc w:val="left"/>
                          <w:rPr>
                            <w:b/>
                            <w:sz w:val="14"/>
                          </w:rPr>
                        </w:pPr>
                        <w:r>
                          <w:rPr>
                            <w:b/>
                            <w:color w:val="252525"/>
                            <w:spacing w:val="-2"/>
                            <w:sz w:val="14"/>
                          </w:rPr>
                          <w:t>2,000</w:t>
                        </w:r>
                      </w:p>
                    </w:txbxContent>
                  </v:textbox>
                  <w10:wrap type="none"/>
                </v:shape>
                <v:shape style="position:absolute;left:3659;top:119;width:300;height:123" type="#_x0000_t202" id="docshape587" filled="false" stroked="false">
                  <v:textbox inset="0,0,0,0">
                    <w:txbxContent>
                      <w:p>
                        <w:pPr>
                          <w:spacing w:line="123" w:lineRule="exact" w:before="0"/>
                          <w:ind w:left="0" w:right="0" w:firstLine="0"/>
                          <w:jc w:val="left"/>
                          <w:rPr>
                            <w:rFonts w:ascii="Calibri"/>
                            <w:b/>
                            <w:sz w:val="12"/>
                          </w:rPr>
                        </w:pPr>
                        <w:r>
                          <w:rPr>
                            <w:rFonts w:ascii="Calibri"/>
                            <w:b/>
                            <w:color w:val="252525"/>
                            <w:spacing w:val="-2"/>
                            <w:sz w:val="12"/>
                          </w:rPr>
                          <w:t>2,368</w:t>
                        </w:r>
                      </w:p>
                    </w:txbxContent>
                  </v:textbox>
                  <w10:wrap type="none"/>
                </v:shape>
                <v:shape style="position:absolute;left:159;top:66;width:339;height:158" type="#_x0000_t202" id="docshape588" filled="false" stroked="false">
                  <v:textbox inset="0,0,0,0">
                    <w:txbxContent>
                      <w:p>
                        <w:pPr>
                          <w:spacing w:line="157" w:lineRule="exact" w:before="0"/>
                          <w:ind w:left="0" w:right="0" w:firstLine="0"/>
                          <w:jc w:val="left"/>
                          <w:rPr>
                            <w:b/>
                            <w:sz w:val="14"/>
                          </w:rPr>
                        </w:pPr>
                        <w:r>
                          <w:rPr>
                            <w:b/>
                            <w:color w:val="252525"/>
                            <w:spacing w:val="-2"/>
                            <w:sz w:val="14"/>
                          </w:rPr>
                          <w:t>2,500</w:t>
                        </w:r>
                      </w:p>
                    </w:txbxContent>
                  </v:textbox>
                  <w10:wrap type="none"/>
                </v:shape>
              </v:group>
            </w:pict>
          </mc:Fallback>
        </mc:AlternateContent>
      </w:r>
      <w:r>
        <w:rPr>
          <w:sz w:val="20"/>
        </w:rPr>
      </w:r>
      <w:r>
        <w:rPr>
          <w:spacing w:val="49"/>
          <w:sz w:val="20"/>
        </w:rPr>
        <w:t> </w:t>
      </w:r>
      <w:r>
        <w:rPr>
          <w:spacing w:val="49"/>
          <w:sz w:val="20"/>
        </w:rPr>
        <mc:AlternateContent>
          <mc:Choice Requires="wps">
            <w:drawing>
              <wp:inline distT="0" distB="0" distL="0" distR="0">
                <wp:extent cx="2667000" cy="2679700"/>
                <wp:effectExtent l="0" t="0" r="0" b="6350"/>
                <wp:docPr id="623" name="Group 623"/>
                <wp:cNvGraphicFramePr>
                  <a:graphicFrameLocks/>
                </wp:cNvGraphicFramePr>
                <a:graphic>
                  <a:graphicData uri="http://schemas.microsoft.com/office/word/2010/wordprocessingGroup">
                    <wpg:wgp>
                      <wpg:cNvPr id="623" name="Group 623"/>
                      <wpg:cNvGrpSpPr/>
                      <wpg:grpSpPr>
                        <a:xfrm>
                          <a:off x="0" y="0"/>
                          <a:ext cx="2667000" cy="2679700"/>
                          <a:chExt cx="2667000" cy="2679700"/>
                        </a:xfrm>
                      </wpg:grpSpPr>
                      <wps:wsp>
                        <wps:cNvPr id="624" name="Graphic 624"/>
                        <wps:cNvSpPr/>
                        <wps:spPr>
                          <a:xfrm>
                            <a:off x="0" y="0"/>
                            <a:ext cx="2665095" cy="2679700"/>
                          </a:xfrm>
                          <a:custGeom>
                            <a:avLst/>
                            <a:gdLst/>
                            <a:ahLst/>
                            <a:cxnLst/>
                            <a:rect l="l" t="t" r="r" b="b"/>
                            <a:pathLst>
                              <a:path w="2665095" h="2679700">
                                <a:moveTo>
                                  <a:pt x="2664587" y="2456954"/>
                                </a:moveTo>
                                <a:lnTo>
                                  <a:pt x="0" y="2456954"/>
                                </a:lnTo>
                                <a:lnTo>
                                  <a:pt x="0" y="2679446"/>
                                </a:lnTo>
                                <a:lnTo>
                                  <a:pt x="2664587" y="2679446"/>
                                </a:lnTo>
                                <a:lnTo>
                                  <a:pt x="2664587" y="2456954"/>
                                </a:lnTo>
                                <a:close/>
                              </a:path>
                              <a:path w="2665095" h="2679700">
                                <a:moveTo>
                                  <a:pt x="2664587" y="0"/>
                                </a:moveTo>
                                <a:lnTo>
                                  <a:pt x="0" y="0"/>
                                </a:lnTo>
                                <a:lnTo>
                                  <a:pt x="0" y="2456942"/>
                                </a:lnTo>
                                <a:lnTo>
                                  <a:pt x="2664587" y="2456942"/>
                                </a:lnTo>
                                <a:lnTo>
                                  <a:pt x="2664587" y="0"/>
                                </a:lnTo>
                                <a:close/>
                              </a:path>
                            </a:pathLst>
                          </a:custGeom>
                          <a:solidFill>
                            <a:srgbClr val="D9D9D9"/>
                          </a:solidFill>
                        </wps:spPr>
                        <wps:bodyPr wrap="square" lIns="0" tIns="0" rIns="0" bIns="0" rtlCol="0">
                          <a:prstTxWarp prst="textNoShape">
                            <a:avLst/>
                          </a:prstTxWarp>
                          <a:noAutofit/>
                        </wps:bodyPr>
                      </wps:wsp>
                      <wps:wsp>
                        <wps:cNvPr id="625" name="Graphic 625"/>
                        <wps:cNvSpPr/>
                        <wps:spPr>
                          <a:xfrm>
                            <a:off x="375693" y="451477"/>
                            <a:ext cx="2217420" cy="1081405"/>
                          </a:xfrm>
                          <a:custGeom>
                            <a:avLst/>
                            <a:gdLst/>
                            <a:ahLst/>
                            <a:cxnLst/>
                            <a:rect l="l" t="t" r="r" b="b"/>
                            <a:pathLst>
                              <a:path w="2217420" h="1081405">
                                <a:moveTo>
                                  <a:pt x="0" y="1081409"/>
                                </a:moveTo>
                                <a:lnTo>
                                  <a:pt x="462602" y="1081409"/>
                                </a:lnTo>
                              </a:path>
                              <a:path w="2217420" h="1081405">
                                <a:moveTo>
                                  <a:pt x="648811" y="1081409"/>
                                </a:moveTo>
                                <a:lnTo>
                                  <a:pt x="1201617" y="1081409"/>
                                </a:lnTo>
                              </a:path>
                              <a:path w="2217420" h="1081405">
                                <a:moveTo>
                                  <a:pt x="1387826" y="1081409"/>
                                </a:moveTo>
                                <a:lnTo>
                                  <a:pt x="1574035" y="1081409"/>
                                </a:lnTo>
                              </a:path>
                              <a:path w="2217420" h="1081405">
                                <a:moveTo>
                                  <a:pt x="1754424" y="1081409"/>
                                </a:moveTo>
                                <a:lnTo>
                                  <a:pt x="1940633" y="1081409"/>
                                </a:lnTo>
                              </a:path>
                              <a:path w="2217420" h="1081405">
                                <a:moveTo>
                                  <a:pt x="2126842" y="1081409"/>
                                </a:moveTo>
                                <a:lnTo>
                                  <a:pt x="2217036" y="1081409"/>
                                </a:lnTo>
                              </a:path>
                              <a:path w="2217420" h="1081405">
                                <a:moveTo>
                                  <a:pt x="0" y="718958"/>
                                </a:moveTo>
                                <a:lnTo>
                                  <a:pt x="1940633" y="718958"/>
                                </a:lnTo>
                              </a:path>
                              <a:path w="2217420" h="1081405">
                                <a:moveTo>
                                  <a:pt x="2126842" y="718958"/>
                                </a:moveTo>
                                <a:lnTo>
                                  <a:pt x="2217036" y="718958"/>
                                </a:lnTo>
                              </a:path>
                              <a:path w="2217420" h="1081405">
                                <a:moveTo>
                                  <a:pt x="0" y="356508"/>
                                </a:moveTo>
                                <a:lnTo>
                                  <a:pt x="1940633" y="356508"/>
                                </a:lnTo>
                              </a:path>
                              <a:path w="2217420" h="1081405">
                                <a:moveTo>
                                  <a:pt x="2126842" y="356508"/>
                                </a:moveTo>
                                <a:lnTo>
                                  <a:pt x="2217036" y="356508"/>
                                </a:lnTo>
                              </a:path>
                              <a:path w="2217420" h="1081405">
                                <a:moveTo>
                                  <a:pt x="0" y="0"/>
                                </a:moveTo>
                                <a:lnTo>
                                  <a:pt x="1940633" y="0"/>
                                </a:lnTo>
                              </a:path>
                              <a:path w="2217420" h="1081405">
                                <a:moveTo>
                                  <a:pt x="2126842" y="0"/>
                                </a:moveTo>
                                <a:lnTo>
                                  <a:pt x="2217036" y="0"/>
                                </a:lnTo>
                              </a:path>
                            </a:pathLst>
                          </a:custGeom>
                          <a:ln w="6932">
                            <a:solidFill>
                              <a:srgbClr val="FFFFFF"/>
                            </a:solidFill>
                            <a:prstDash val="solid"/>
                          </a:ln>
                        </wps:spPr>
                        <wps:bodyPr wrap="square" lIns="0" tIns="0" rIns="0" bIns="0" rtlCol="0">
                          <a:prstTxWarp prst="textNoShape">
                            <a:avLst/>
                          </a:prstTxWarp>
                          <a:noAutofit/>
                        </wps:bodyPr>
                      </wps:wsp>
                      <wps:wsp>
                        <wps:cNvPr id="626" name="Graphic 626"/>
                        <wps:cNvSpPr/>
                        <wps:spPr>
                          <a:xfrm>
                            <a:off x="375693" y="89026"/>
                            <a:ext cx="2217420" cy="1270"/>
                          </a:xfrm>
                          <a:custGeom>
                            <a:avLst/>
                            <a:gdLst/>
                            <a:ahLst/>
                            <a:cxnLst/>
                            <a:rect l="l" t="t" r="r" b="b"/>
                            <a:pathLst>
                              <a:path w="2217420" h="0">
                                <a:moveTo>
                                  <a:pt x="0" y="0"/>
                                </a:moveTo>
                                <a:lnTo>
                                  <a:pt x="2217036" y="0"/>
                                </a:lnTo>
                              </a:path>
                            </a:pathLst>
                          </a:custGeom>
                          <a:ln w="6932">
                            <a:solidFill>
                              <a:srgbClr val="FFFFFF"/>
                            </a:solidFill>
                            <a:prstDash val="solid"/>
                          </a:ln>
                        </wps:spPr>
                        <wps:bodyPr wrap="square" lIns="0" tIns="0" rIns="0" bIns="0" rtlCol="0">
                          <a:prstTxWarp prst="textNoShape">
                            <a:avLst/>
                          </a:prstTxWarp>
                          <a:noAutofit/>
                        </wps:bodyPr>
                      </wps:wsp>
                      <wps:wsp>
                        <wps:cNvPr id="627" name="Graphic 627"/>
                        <wps:cNvSpPr/>
                        <wps:spPr>
                          <a:xfrm>
                            <a:off x="471703" y="1357604"/>
                            <a:ext cx="553085" cy="535305"/>
                          </a:xfrm>
                          <a:custGeom>
                            <a:avLst/>
                            <a:gdLst/>
                            <a:ahLst/>
                            <a:cxnLst/>
                            <a:rect l="l" t="t" r="r" b="b"/>
                            <a:pathLst>
                              <a:path w="553085" h="535305">
                                <a:moveTo>
                                  <a:pt x="180390" y="445643"/>
                                </a:moveTo>
                                <a:lnTo>
                                  <a:pt x="0" y="445643"/>
                                </a:lnTo>
                                <a:lnTo>
                                  <a:pt x="0" y="534771"/>
                                </a:lnTo>
                                <a:lnTo>
                                  <a:pt x="180390" y="534771"/>
                                </a:lnTo>
                                <a:lnTo>
                                  <a:pt x="180390" y="445643"/>
                                </a:lnTo>
                                <a:close/>
                              </a:path>
                              <a:path w="553085" h="535305">
                                <a:moveTo>
                                  <a:pt x="552792" y="0"/>
                                </a:moveTo>
                                <a:lnTo>
                                  <a:pt x="366585" y="0"/>
                                </a:lnTo>
                                <a:lnTo>
                                  <a:pt x="366585" y="534771"/>
                                </a:lnTo>
                                <a:lnTo>
                                  <a:pt x="552792" y="534771"/>
                                </a:lnTo>
                                <a:lnTo>
                                  <a:pt x="552792" y="0"/>
                                </a:lnTo>
                                <a:close/>
                              </a:path>
                            </a:pathLst>
                          </a:custGeom>
                          <a:solidFill>
                            <a:srgbClr val="B8CDE4"/>
                          </a:solidFill>
                        </wps:spPr>
                        <wps:bodyPr wrap="square" lIns="0" tIns="0" rIns="0" bIns="0" rtlCol="0">
                          <a:prstTxWarp prst="textNoShape">
                            <a:avLst/>
                          </a:prstTxWarp>
                          <a:noAutofit/>
                        </wps:bodyPr>
                      </wps:wsp>
                      <wps:wsp>
                        <wps:cNvPr id="628" name="Graphic 628"/>
                        <wps:cNvSpPr/>
                        <wps:spPr>
                          <a:xfrm>
                            <a:off x="1210703" y="1298193"/>
                            <a:ext cx="553085" cy="594360"/>
                          </a:xfrm>
                          <a:custGeom>
                            <a:avLst/>
                            <a:gdLst/>
                            <a:ahLst/>
                            <a:cxnLst/>
                            <a:rect l="l" t="t" r="r" b="b"/>
                            <a:pathLst>
                              <a:path w="553085" h="594360">
                                <a:moveTo>
                                  <a:pt x="180390" y="493166"/>
                                </a:moveTo>
                                <a:lnTo>
                                  <a:pt x="0" y="493166"/>
                                </a:lnTo>
                                <a:lnTo>
                                  <a:pt x="0" y="594182"/>
                                </a:lnTo>
                                <a:lnTo>
                                  <a:pt x="180390" y="594182"/>
                                </a:lnTo>
                                <a:lnTo>
                                  <a:pt x="180390" y="493166"/>
                                </a:lnTo>
                                <a:close/>
                              </a:path>
                              <a:path w="553085" h="594360">
                                <a:moveTo>
                                  <a:pt x="552805" y="0"/>
                                </a:moveTo>
                                <a:lnTo>
                                  <a:pt x="366598" y="0"/>
                                </a:lnTo>
                                <a:lnTo>
                                  <a:pt x="366598" y="594182"/>
                                </a:lnTo>
                                <a:lnTo>
                                  <a:pt x="552805" y="594182"/>
                                </a:lnTo>
                                <a:lnTo>
                                  <a:pt x="552805" y="0"/>
                                </a:lnTo>
                                <a:close/>
                              </a:path>
                            </a:pathLst>
                          </a:custGeom>
                          <a:solidFill>
                            <a:srgbClr val="8EB4E2"/>
                          </a:solidFill>
                        </wps:spPr>
                        <wps:bodyPr wrap="square" lIns="0" tIns="0" rIns="0" bIns="0" rtlCol="0">
                          <a:prstTxWarp prst="textNoShape">
                            <a:avLst/>
                          </a:prstTxWarp>
                          <a:noAutofit/>
                        </wps:bodyPr>
                      </wps:wsp>
                      <wps:wsp>
                        <wps:cNvPr id="629" name="Graphic 629"/>
                        <wps:cNvSpPr/>
                        <wps:spPr>
                          <a:xfrm>
                            <a:off x="1949717" y="377215"/>
                            <a:ext cx="553085" cy="1515745"/>
                          </a:xfrm>
                          <a:custGeom>
                            <a:avLst/>
                            <a:gdLst/>
                            <a:ahLst/>
                            <a:cxnLst/>
                            <a:rect l="l" t="t" r="r" b="b"/>
                            <a:pathLst>
                              <a:path w="553085" h="1515745">
                                <a:moveTo>
                                  <a:pt x="180390" y="1146759"/>
                                </a:moveTo>
                                <a:lnTo>
                                  <a:pt x="0" y="1146759"/>
                                </a:lnTo>
                                <a:lnTo>
                                  <a:pt x="0" y="1515160"/>
                                </a:lnTo>
                                <a:lnTo>
                                  <a:pt x="180390" y="1515160"/>
                                </a:lnTo>
                                <a:lnTo>
                                  <a:pt x="180390" y="1146759"/>
                                </a:lnTo>
                                <a:close/>
                              </a:path>
                              <a:path w="553085" h="1515745">
                                <a:moveTo>
                                  <a:pt x="552818" y="0"/>
                                </a:moveTo>
                                <a:lnTo>
                                  <a:pt x="366598" y="0"/>
                                </a:lnTo>
                                <a:lnTo>
                                  <a:pt x="366598" y="1515160"/>
                                </a:lnTo>
                                <a:lnTo>
                                  <a:pt x="552818" y="1515160"/>
                                </a:lnTo>
                                <a:lnTo>
                                  <a:pt x="552818" y="0"/>
                                </a:lnTo>
                                <a:close/>
                              </a:path>
                            </a:pathLst>
                          </a:custGeom>
                          <a:solidFill>
                            <a:srgbClr val="4F81BC"/>
                          </a:solidFill>
                        </wps:spPr>
                        <wps:bodyPr wrap="square" lIns="0" tIns="0" rIns="0" bIns="0" rtlCol="0">
                          <a:prstTxWarp prst="textNoShape">
                            <a:avLst/>
                          </a:prstTxWarp>
                          <a:noAutofit/>
                        </wps:bodyPr>
                      </wps:wsp>
                      <wps:wsp>
                        <wps:cNvPr id="630" name="Graphic 630"/>
                        <wps:cNvSpPr/>
                        <wps:spPr>
                          <a:xfrm>
                            <a:off x="558497" y="1802743"/>
                            <a:ext cx="6985" cy="6985"/>
                          </a:xfrm>
                          <a:custGeom>
                            <a:avLst/>
                            <a:gdLst/>
                            <a:ahLst/>
                            <a:cxnLst/>
                            <a:rect l="l" t="t" r="r" b="b"/>
                            <a:pathLst>
                              <a:path w="6985" h="6985">
                                <a:moveTo>
                                  <a:pt x="0" y="3466"/>
                                </a:moveTo>
                                <a:lnTo>
                                  <a:pt x="994" y="1015"/>
                                </a:lnTo>
                                <a:lnTo>
                                  <a:pt x="3394" y="0"/>
                                </a:lnTo>
                                <a:lnTo>
                                  <a:pt x="5794" y="1015"/>
                                </a:lnTo>
                                <a:lnTo>
                                  <a:pt x="6788" y="3466"/>
                                </a:lnTo>
                                <a:lnTo>
                                  <a:pt x="5794" y="5916"/>
                                </a:lnTo>
                                <a:lnTo>
                                  <a:pt x="3394" y="6932"/>
                                </a:lnTo>
                                <a:lnTo>
                                  <a:pt x="994" y="5916"/>
                                </a:lnTo>
                                <a:lnTo>
                                  <a:pt x="0" y="3466"/>
                                </a:lnTo>
                                <a:close/>
                              </a:path>
                            </a:pathLst>
                          </a:custGeom>
                          <a:solidFill>
                            <a:srgbClr val="585858"/>
                          </a:solidFill>
                        </wps:spPr>
                        <wps:bodyPr wrap="square" lIns="0" tIns="0" rIns="0" bIns="0" rtlCol="0">
                          <a:prstTxWarp prst="textNoShape">
                            <a:avLst/>
                          </a:prstTxWarp>
                          <a:noAutofit/>
                        </wps:bodyPr>
                      </wps:wsp>
                      <wps:wsp>
                        <wps:cNvPr id="631" name="Graphic 631"/>
                        <wps:cNvSpPr/>
                        <wps:spPr>
                          <a:xfrm>
                            <a:off x="561892" y="1360574"/>
                            <a:ext cx="372745" cy="445770"/>
                          </a:xfrm>
                          <a:custGeom>
                            <a:avLst/>
                            <a:gdLst/>
                            <a:ahLst/>
                            <a:cxnLst/>
                            <a:rect l="l" t="t" r="r" b="b"/>
                            <a:pathLst>
                              <a:path w="372745" h="445770">
                                <a:moveTo>
                                  <a:pt x="0" y="445635"/>
                                </a:moveTo>
                                <a:lnTo>
                                  <a:pt x="0" y="439693"/>
                                </a:lnTo>
                              </a:path>
                              <a:path w="372745" h="445770">
                                <a:moveTo>
                                  <a:pt x="372417" y="0"/>
                                </a:moveTo>
                                <a:lnTo>
                                  <a:pt x="372417" y="5941"/>
                                </a:lnTo>
                              </a:path>
                            </a:pathLst>
                          </a:custGeom>
                          <a:ln w="6860">
                            <a:solidFill>
                              <a:srgbClr val="585858"/>
                            </a:solidFill>
                            <a:prstDash val="solid"/>
                          </a:ln>
                        </wps:spPr>
                        <wps:bodyPr wrap="square" lIns="0" tIns="0" rIns="0" bIns="0" rtlCol="0">
                          <a:prstTxWarp prst="textNoShape">
                            <a:avLst/>
                          </a:prstTxWarp>
                          <a:noAutofit/>
                        </wps:bodyPr>
                      </wps:wsp>
                      <wps:wsp>
                        <wps:cNvPr id="632" name="Graphic 632"/>
                        <wps:cNvSpPr/>
                        <wps:spPr>
                          <a:xfrm>
                            <a:off x="930914" y="1357108"/>
                            <a:ext cx="6985" cy="6985"/>
                          </a:xfrm>
                          <a:custGeom>
                            <a:avLst/>
                            <a:gdLst/>
                            <a:ahLst/>
                            <a:cxnLst/>
                            <a:rect l="l" t="t" r="r" b="b"/>
                            <a:pathLst>
                              <a:path w="6985" h="6985">
                                <a:moveTo>
                                  <a:pt x="0" y="3466"/>
                                </a:moveTo>
                                <a:lnTo>
                                  <a:pt x="994" y="1015"/>
                                </a:lnTo>
                                <a:lnTo>
                                  <a:pt x="3394" y="0"/>
                                </a:lnTo>
                                <a:lnTo>
                                  <a:pt x="5794" y="1015"/>
                                </a:lnTo>
                                <a:lnTo>
                                  <a:pt x="6788" y="3466"/>
                                </a:lnTo>
                                <a:lnTo>
                                  <a:pt x="5794" y="5916"/>
                                </a:lnTo>
                                <a:lnTo>
                                  <a:pt x="3394" y="6932"/>
                                </a:lnTo>
                                <a:lnTo>
                                  <a:pt x="994" y="5916"/>
                                </a:lnTo>
                                <a:lnTo>
                                  <a:pt x="0" y="3466"/>
                                </a:lnTo>
                                <a:close/>
                              </a:path>
                            </a:pathLst>
                          </a:custGeom>
                          <a:solidFill>
                            <a:srgbClr val="585858"/>
                          </a:solidFill>
                        </wps:spPr>
                        <wps:bodyPr wrap="square" lIns="0" tIns="0" rIns="0" bIns="0" rtlCol="0">
                          <a:prstTxWarp prst="textNoShape">
                            <a:avLst/>
                          </a:prstTxWarp>
                          <a:noAutofit/>
                        </wps:bodyPr>
                      </wps:wsp>
                      <wps:wsp>
                        <wps:cNvPr id="633" name="Graphic 633"/>
                        <wps:cNvSpPr/>
                        <wps:spPr>
                          <a:xfrm>
                            <a:off x="1300907" y="1788384"/>
                            <a:ext cx="1270" cy="6350"/>
                          </a:xfrm>
                          <a:custGeom>
                            <a:avLst/>
                            <a:gdLst/>
                            <a:ahLst/>
                            <a:cxnLst/>
                            <a:rect l="l" t="t" r="r" b="b"/>
                            <a:pathLst>
                              <a:path w="0" h="6350">
                                <a:moveTo>
                                  <a:pt x="0" y="0"/>
                                </a:moveTo>
                                <a:lnTo>
                                  <a:pt x="0" y="5941"/>
                                </a:lnTo>
                              </a:path>
                            </a:pathLst>
                          </a:custGeom>
                          <a:ln w="6788">
                            <a:solidFill>
                              <a:srgbClr val="585858"/>
                            </a:solidFill>
                            <a:prstDash val="solid"/>
                          </a:ln>
                        </wps:spPr>
                        <wps:bodyPr wrap="square" lIns="0" tIns="0" rIns="0" bIns="0" rtlCol="0">
                          <a:prstTxWarp prst="textNoShape">
                            <a:avLst/>
                          </a:prstTxWarp>
                          <a:noAutofit/>
                        </wps:bodyPr>
                      </wps:wsp>
                      <wps:wsp>
                        <wps:cNvPr id="634" name="Graphic 634"/>
                        <wps:cNvSpPr/>
                        <wps:spPr>
                          <a:xfrm>
                            <a:off x="1297513" y="1784918"/>
                            <a:ext cx="6985" cy="6985"/>
                          </a:xfrm>
                          <a:custGeom>
                            <a:avLst/>
                            <a:gdLst/>
                            <a:ahLst/>
                            <a:cxnLst/>
                            <a:rect l="l" t="t" r="r" b="b"/>
                            <a:pathLst>
                              <a:path w="6985" h="6985">
                                <a:moveTo>
                                  <a:pt x="0" y="3466"/>
                                </a:moveTo>
                                <a:lnTo>
                                  <a:pt x="994" y="1015"/>
                                </a:lnTo>
                                <a:lnTo>
                                  <a:pt x="3394" y="0"/>
                                </a:lnTo>
                                <a:lnTo>
                                  <a:pt x="5794" y="1015"/>
                                </a:lnTo>
                                <a:lnTo>
                                  <a:pt x="6788" y="3466"/>
                                </a:lnTo>
                                <a:lnTo>
                                  <a:pt x="5794" y="5916"/>
                                </a:lnTo>
                                <a:lnTo>
                                  <a:pt x="3394" y="6932"/>
                                </a:lnTo>
                                <a:lnTo>
                                  <a:pt x="994" y="5916"/>
                                </a:lnTo>
                                <a:lnTo>
                                  <a:pt x="0" y="3466"/>
                                </a:lnTo>
                                <a:close/>
                              </a:path>
                            </a:pathLst>
                          </a:custGeom>
                          <a:solidFill>
                            <a:srgbClr val="585858"/>
                          </a:solidFill>
                        </wps:spPr>
                        <wps:bodyPr wrap="square" lIns="0" tIns="0" rIns="0" bIns="0" rtlCol="0">
                          <a:prstTxWarp prst="textNoShape">
                            <a:avLst/>
                          </a:prstTxWarp>
                          <a:noAutofit/>
                        </wps:bodyPr>
                      </wps:wsp>
                      <wps:wsp>
                        <wps:cNvPr id="635" name="Graphic 635"/>
                        <wps:cNvSpPr/>
                        <wps:spPr>
                          <a:xfrm>
                            <a:off x="1667505" y="1301156"/>
                            <a:ext cx="1270" cy="6350"/>
                          </a:xfrm>
                          <a:custGeom>
                            <a:avLst/>
                            <a:gdLst/>
                            <a:ahLst/>
                            <a:cxnLst/>
                            <a:rect l="l" t="t" r="r" b="b"/>
                            <a:pathLst>
                              <a:path w="0" h="6350">
                                <a:moveTo>
                                  <a:pt x="0" y="0"/>
                                </a:moveTo>
                                <a:lnTo>
                                  <a:pt x="0" y="5941"/>
                                </a:lnTo>
                              </a:path>
                            </a:pathLst>
                          </a:custGeom>
                          <a:ln w="6788">
                            <a:solidFill>
                              <a:srgbClr val="585858"/>
                            </a:solidFill>
                            <a:prstDash val="solid"/>
                          </a:ln>
                        </wps:spPr>
                        <wps:bodyPr wrap="square" lIns="0" tIns="0" rIns="0" bIns="0" rtlCol="0">
                          <a:prstTxWarp prst="textNoShape">
                            <a:avLst/>
                          </a:prstTxWarp>
                          <a:noAutofit/>
                        </wps:bodyPr>
                      </wps:wsp>
                      <wps:wsp>
                        <wps:cNvPr id="636" name="Graphic 636"/>
                        <wps:cNvSpPr/>
                        <wps:spPr>
                          <a:xfrm>
                            <a:off x="1664111" y="1297690"/>
                            <a:ext cx="6985" cy="6985"/>
                          </a:xfrm>
                          <a:custGeom>
                            <a:avLst/>
                            <a:gdLst/>
                            <a:ahLst/>
                            <a:cxnLst/>
                            <a:rect l="l" t="t" r="r" b="b"/>
                            <a:pathLst>
                              <a:path w="6985" h="6985">
                                <a:moveTo>
                                  <a:pt x="0" y="3466"/>
                                </a:moveTo>
                                <a:lnTo>
                                  <a:pt x="994" y="1015"/>
                                </a:lnTo>
                                <a:lnTo>
                                  <a:pt x="3394" y="0"/>
                                </a:lnTo>
                                <a:lnTo>
                                  <a:pt x="5794" y="1015"/>
                                </a:lnTo>
                                <a:lnTo>
                                  <a:pt x="6788" y="3466"/>
                                </a:lnTo>
                                <a:lnTo>
                                  <a:pt x="5794" y="5916"/>
                                </a:lnTo>
                                <a:lnTo>
                                  <a:pt x="3394" y="6932"/>
                                </a:lnTo>
                                <a:lnTo>
                                  <a:pt x="994" y="5916"/>
                                </a:lnTo>
                                <a:lnTo>
                                  <a:pt x="0" y="3466"/>
                                </a:lnTo>
                                <a:close/>
                              </a:path>
                            </a:pathLst>
                          </a:custGeom>
                          <a:solidFill>
                            <a:srgbClr val="585858"/>
                          </a:solidFill>
                        </wps:spPr>
                        <wps:bodyPr wrap="square" lIns="0" tIns="0" rIns="0" bIns="0" rtlCol="0">
                          <a:prstTxWarp prst="textNoShape">
                            <a:avLst/>
                          </a:prstTxWarp>
                          <a:noAutofit/>
                        </wps:bodyPr>
                      </wps:wsp>
                      <wps:wsp>
                        <wps:cNvPr id="637" name="Graphic 637"/>
                        <wps:cNvSpPr/>
                        <wps:spPr>
                          <a:xfrm>
                            <a:off x="2039923" y="1521003"/>
                            <a:ext cx="1270" cy="6350"/>
                          </a:xfrm>
                          <a:custGeom>
                            <a:avLst/>
                            <a:gdLst/>
                            <a:ahLst/>
                            <a:cxnLst/>
                            <a:rect l="l" t="t" r="r" b="b"/>
                            <a:pathLst>
                              <a:path w="0" h="6350">
                                <a:moveTo>
                                  <a:pt x="0" y="0"/>
                                </a:moveTo>
                                <a:lnTo>
                                  <a:pt x="0" y="5941"/>
                                </a:lnTo>
                              </a:path>
                            </a:pathLst>
                          </a:custGeom>
                          <a:ln w="6788">
                            <a:solidFill>
                              <a:srgbClr val="585858"/>
                            </a:solidFill>
                            <a:prstDash val="solid"/>
                          </a:ln>
                        </wps:spPr>
                        <wps:bodyPr wrap="square" lIns="0" tIns="0" rIns="0" bIns="0" rtlCol="0">
                          <a:prstTxWarp prst="textNoShape">
                            <a:avLst/>
                          </a:prstTxWarp>
                          <a:noAutofit/>
                        </wps:bodyPr>
                      </wps:wsp>
                      <wps:wsp>
                        <wps:cNvPr id="638" name="Graphic 638"/>
                        <wps:cNvSpPr/>
                        <wps:spPr>
                          <a:xfrm>
                            <a:off x="2036528" y="1517537"/>
                            <a:ext cx="6985" cy="6985"/>
                          </a:xfrm>
                          <a:custGeom>
                            <a:avLst/>
                            <a:gdLst/>
                            <a:ahLst/>
                            <a:cxnLst/>
                            <a:rect l="l" t="t" r="r" b="b"/>
                            <a:pathLst>
                              <a:path w="6985" h="6985">
                                <a:moveTo>
                                  <a:pt x="0" y="3466"/>
                                </a:moveTo>
                                <a:lnTo>
                                  <a:pt x="994" y="1015"/>
                                </a:lnTo>
                                <a:lnTo>
                                  <a:pt x="3394" y="0"/>
                                </a:lnTo>
                                <a:lnTo>
                                  <a:pt x="5794" y="1015"/>
                                </a:lnTo>
                                <a:lnTo>
                                  <a:pt x="6788" y="3466"/>
                                </a:lnTo>
                                <a:lnTo>
                                  <a:pt x="5794" y="5916"/>
                                </a:lnTo>
                                <a:lnTo>
                                  <a:pt x="3394" y="6932"/>
                                </a:lnTo>
                                <a:lnTo>
                                  <a:pt x="994" y="5916"/>
                                </a:lnTo>
                                <a:lnTo>
                                  <a:pt x="0" y="3466"/>
                                </a:lnTo>
                                <a:close/>
                              </a:path>
                            </a:pathLst>
                          </a:custGeom>
                          <a:solidFill>
                            <a:srgbClr val="585858"/>
                          </a:solidFill>
                        </wps:spPr>
                        <wps:bodyPr wrap="square" lIns="0" tIns="0" rIns="0" bIns="0" rtlCol="0">
                          <a:prstTxWarp prst="textNoShape">
                            <a:avLst/>
                          </a:prstTxWarp>
                          <a:noAutofit/>
                        </wps:bodyPr>
                      </wps:wsp>
                      <wps:wsp>
                        <wps:cNvPr id="639" name="Graphic 639"/>
                        <wps:cNvSpPr/>
                        <wps:spPr>
                          <a:xfrm>
                            <a:off x="2406521" y="380175"/>
                            <a:ext cx="1270" cy="6350"/>
                          </a:xfrm>
                          <a:custGeom>
                            <a:avLst/>
                            <a:gdLst/>
                            <a:ahLst/>
                            <a:cxnLst/>
                            <a:rect l="l" t="t" r="r" b="b"/>
                            <a:pathLst>
                              <a:path w="0" h="6350">
                                <a:moveTo>
                                  <a:pt x="0" y="0"/>
                                </a:moveTo>
                                <a:lnTo>
                                  <a:pt x="0" y="5941"/>
                                </a:lnTo>
                              </a:path>
                            </a:pathLst>
                          </a:custGeom>
                          <a:ln w="6788">
                            <a:solidFill>
                              <a:srgbClr val="585858"/>
                            </a:solidFill>
                            <a:prstDash val="solid"/>
                          </a:ln>
                        </wps:spPr>
                        <wps:bodyPr wrap="square" lIns="0" tIns="0" rIns="0" bIns="0" rtlCol="0">
                          <a:prstTxWarp prst="textNoShape">
                            <a:avLst/>
                          </a:prstTxWarp>
                          <a:noAutofit/>
                        </wps:bodyPr>
                      </wps:wsp>
                      <wps:wsp>
                        <wps:cNvPr id="640" name="Graphic 640"/>
                        <wps:cNvSpPr/>
                        <wps:spPr>
                          <a:xfrm>
                            <a:off x="2403126" y="376709"/>
                            <a:ext cx="6985" cy="6985"/>
                          </a:xfrm>
                          <a:custGeom>
                            <a:avLst/>
                            <a:gdLst/>
                            <a:ahLst/>
                            <a:cxnLst/>
                            <a:rect l="l" t="t" r="r" b="b"/>
                            <a:pathLst>
                              <a:path w="6985" h="6985">
                                <a:moveTo>
                                  <a:pt x="0" y="3466"/>
                                </a:moveTo>
                                <a:lnTo>
                                  <a:pt x="994" y="1015"/>
                                </a:lnTo>
                                <a:lnTo>
                                  <a:pt x="3394" y="0"/>
                                </a:lnTo>
                                <a:lnTo>
                                  <a:pt x="5794" y="1015"/>
                                </a:lnTo>
                                <a:lnTo>
                                  <a:pt x="6788" y="3466"/>
                                </a:lnTo>
                                <a:lnTo>
                                  <a:pt x="5794" y="5916"/>
                                </a:lnTo>
                                <a:lnTo>
                                  <a:pt x="3394" y="6932"/>
                                </a:lnTo>
                                <a:lnTo>
                                  <a:pt x="994" y="5916"/>
                                </a:lnTo>
                                <a:lnTo>
                                  <a:pt x="0" y="3466"/>
                                </a:lnTo>
                                <a:close/>
                              </a:path>
                            </a:pathLst>
                          </a:custGeom>
                          <a:solidFill>
                            <a:srgbClr val="585858"/>
                          </a:solidFill>
                        </wps:spPr>
                        <wps:bodyPr wrap="square" lIns="0" tIns="0" rIns="0" bIns="0" rtlCol="0">
                          <a:prstTxWarp prst="textNoShape">
                            <a:avLst/>
                          </a:prstTxWarp>
                          <a:noAutofit/>
                        </wps:bodyPr>
                      </wps:wsp>
                      <wps:wsp>
                        <wps:cNvPr id="641" name="Graphic 641"/>
                        <wps:cNvSpPr/>
                        <wps:spPr>
                          <a:xfrm>
                            <a:off x="375693" y="89026"/>
                            <a:ext cx="2217420" cy="2222500"/>
                          </a:xfrm>
                          <a:custGeom>
                            <a:avLst/>
                            <a:gdLst/>
                            <a:ahLst/>
                            <a:cxnLst/>
                            <a:rect l="l" t="t" r="r" b="b"/>
                            <a:pathLst>
                              <a:path w="2217420" h="2222500">
                                <a:moveTo>
                                  <a:pt x="4" y="1800368"/>
                                </a:moveTo>
                                <a:lnTo>
                                  <a:pt x="4" y="0"/>
                                </a:lnTo>
                              </a:path>
                              <a:path w="2217420" h="2222500">
                                <a:moveTo>
                                  <a:pt x="0" y="1800368"/>
                                </a:moveTo>
                                <a:lnTo>
                                  <a:pt x="2217036" y="1800368"/>
                                </a:lnTo>
                              </a:path>
                              <a:path w="2217420" h="2222500">
                                <a:moveTo>
                                  <a:pt x="0" y="1800368"/>
                                </a:moveTo>
                                <a:lnTo>
                                  <a:pt x="0" y="1913287"/>
                                </a:lnTo>
                              </a:path>
                              <a:path w="2217420" h="2222500">
                                <a:moveTo>
                                  <a:pt x="372407" y="1800368"/>
                                </a:moveTo>
                                <a:lnTo>
                                  <a:pt x="372407" y="1913287"/>
                                </a:lnTo>
                              </a:path>
                              <a:path w="2217420" h="2222500">
                                <a:moveTo>
                                  <a:pt x="739005" y="1800368"/>
                                </a:moveTo>
                                <a:lnTo>
                                  <a:pt x="739005" y="1913287"/>
                                </a:lnTo>
                              </a:path>
                              <a:path w="2217420" h="2222500">
                                <a:moveTo>
                                  <a:pt x="1111423" y="1800368"/>
                                </a:moveTo>
                                <a:lnTo>
                                  <a:pt x="1111423" y="1913287"/>
                                </a:lnTo>
                              </a:path>
                              <a:path w="2217420" h="2222500">
                                <a:moveTo>
                                  <a:pt x="1478021" y="1800368"/>
                                </a:moveTo>
                                <a:lnTo>
                                  <a:pt x="1478021" y="1913287"/>
                                </a:lnTo>
                              </a:path>
                              <a:path w="2217420" h="2222500">
                                <a:moveTo>
                                  <a:pt x="1850438" y="1800368"/>
                                </a:moveTo>
                                <a:lnTo>
                                  <a:pt x="1850438" y="1913287"/>
                                </a:lnTo>
                              </a:path>
                              <a:path w="2217420" h="2222500">
                                <a:moveTo>
                                  <a:pt x="2217036" y="1800368"/>
                                </a:moveTo>
                                <a:lnTo>
                                  <a:pt x="2217036" y="1913287"/>
                                </a:lnTo>
                              </a:path>
                              <a:path w="2217420" h="2222500">
                                <a:moveTo>
                                  <a:pt x="0" y="1913287"/>
                                </a:moveTo>
                                <a:lnTo>
                                  <a:pt x="0" y="2222261"/>
                                </a:lnTo>
                              </a:path>
                              <a:path w="2217420" h="2222500">
                                <a:moveTo>
                                  <a:pt x="372407" y="1913287"/>
                                </a:moveTo>
                                <a:lnTo>
                                  <a:pt x="372407" y="2222261"/>
                                </a:lnTo>
                              </a:path>
                              <a:path w="2217420" h="2222500">
                                <a:moveTo>
                                  <a:pt x="739005" y="1913287"/>
                                </a:moveTo>
                                <a:lnTo>
                                  <a:pt x="739005" y="2222261"/>
                                </a:lnTo>
                              </a:path>
                              <a:path w="2217420" h="2222500">
                                <a:moveTo>
                                  <a:pt x="1111423" y="1913287"/>
                                </a:moveTo>
                                <a:lnTo>
                                  <a:pt x="1111423" y="2222261"/>
                                </a:lnTo>
                              </a:path>
                              <a:path w="2217420" h="2222500">
                                <a:moveTo>
                                  <a:pt x="1478021" y="1913287"/>
                                </a:moveTo>
                                <a:lnTo>
                                  <a:pt x="1478021" y="2222261"/>
                                </a:lnTo>
                              </a:path>
                              <a:path w="2217420" h="2222500">
                                <a:moveTo>
                                  <a:pt x="1850438" y="1913287"/>
                                </a:moveTo>
                                <a:lnTo>
                                  <a:pt x="1850438" y="2222261"/>
                                </a:lnTo>
                              </a:path>
                              <a:path w="2217420" h="2222500">
                                <a:moveTo>
                                  <a:pt x="2217036" y="1913287"/>
                                </a:moveTo>
                                <a:lnTo>
                                  <a:pt x="2217036" y="2222261"/>
                                </a:lnTo>
                              </a:path>
                            </a:pathLst>
                          </a:custGeom>
                          <a:ln w="6860">
                            <a:solidFill>
                              <a:srgbClr val="7E7E7E"/>
                            </a:solidFill>
                            <a:prstDash val="solid"/>
                          </a:ln>
                        </wps:spPr>
                        <wps:bodyPr wrap="square" lIns="0" tIns="0" rIns="0" bIns="0" rtlCol="0">
                          <a:prstTxWarp prst="textNoShape">
                            <a:avLst/>
                          </a:prstTxWarp>
                          <a:noAutofit/>
                        </wps:bodyPr>
                      </wps:wsp>
                      <wps:wsp>
                        <wps:cNvPr id="642" name="Graphic 642"/>
                        <wps:cNvSpPr/>
                        <wps:spPr>
                          <a:xfrm>
                            <a:off x="78925" y="5864"/>
                            <a:ext cx="2584450" cy="2436495"/>
                          </a:xfrm>
                          <a:custGeom>
                            <a:avLst/>
                            <a:gdLst/>
                            <a:ahLst/>
                            <a:cxnLst/>
                            <a:rect l="l" t="t" r="r" b="b"/>
                            <a:pathLst>
                              <a:path w="2584450" h="2436495">
                                <a:moveTo>
                                  <a:pt x="2584392" y="0"/>
                                </a:moveTo>
                                <a:lnTo>
                                  <a:pt x="0" y="0"/>
                                </a:lnTo>
                                <a:lnTo>
                                  <a:pt x="0" y="2436141"/>
                                </a:lnTo>
                                <a:lnTo>
                                  <a:pt x="2584392" y="2436141"/>
                                </a:lnTo>
                              </a:path>
                            </a:pathLst>
                          </a:custGeom>
                          <a:ln w="6864">
                            <a:solidFill>
                              <a:srgbClr val="D9D9D9"/>
                            </a:solidFill>
                            <a:prstDash val="solid"/>
                          </a:ln>
                        </wps:spPr>
                        <wps:bodyPr wrap="square" lIns="0" tIns="0" rIns="0" bIns="0" rtlCol="0">
                          <a:prstTxWarp prst="textNoShape">
                            <a:avLst/>
                          </a:prstTxWarp>
                          <a:noAutofit/>
                        </wps:bodyPr>
                      </wps:wsp>
                      <wps:wsp>
                        <wps:cNvPr id="643" name="Textbox 643"/>
                        <wps:cNvSpPr txBox="1"/>
                        <wps:spPr>
                          <a:xfrm>
                            <a:off x="127744" y="57188"/>
                            <a:ext cx="185420" cy="77470"/>
                          </a:xfrm>
                          <a:prstGeom prst="rect">
                            <a:avLst/>
                          </a:prstGeom>
                        </wps:spPr>
                        <wps:txbx>
                          <w:txbxContent>
                            <w:p>
                              <w:pPr>
                                <w:spacing w:line="122" w:lineRule="exact" w:before="0"/>
                                <w:ind w:left="0" w:right="0" w:firstLine="0"/>
                                <w:jc w:val="left"/>
                                <w:rPr>
                                  <w:rFonts w:ascii="Calibri"/>
                                  <w:b/>
                                  <w:sz w:val="12"/>
                                </w:rPr>
                              </w:pPr>
                              <w:r>
                                <w:rPr>
                                  <w:rFonts w:ascii="Calibri"/>
                                  <w:b/>
                                  <w:color w:val="252525"/>
                                  <w:spacing w:val="-2"/>
                                  <w:sz w:val="12"/>
                                </w:rPr>
                                <w:t>2,500</w:t>
                              </w:r>
                            </w:p>
                          </w:txbxContent>
                        </wps:txbx>
                        <wps:bodyPr wrap="square" lIns="0" tIns="0" rIns="0" bIns="0" rtlCol="0">
                          <a:noAutofit/>
                        </wps:bodyPr>
                      </wps:wsp>
                      <wps:wsp>
                        <wps:cNvPr id="644" name="Textbox 644"/>
                        <wps:cNvSpPr txBox="1"/>
                        <wps:spPr>
                          <a:xfrm>
                            <a:off x="2322678" y="265152"/>
                            <a:ext cx="185420" cy="77470"/>
                          </a:xfrm>
                          <a:prstGeom prst="rect">
                            <a:avLst/>
                          </a:prstGeom>
                        </wps:spPr>
                        <wps:txbx>
                          <w:txbxContent>
                            <w:p>
                              <w:pPr>
                                <w:spacing w:line="122" w:lineRule="exact" w:before="0"/>
                                <w:ind w:left="0" w:right="0" w:firstLine="0"/>
                                <w:jc w:val="left"/>
                                <w:rPr>
                                  <w:rFonts w:ascii="Calibri"/>
                                  <w:b/>
                                  <w:sz w:val="12"/>
                                </w:rPr>
                              </w:pPr>
                              <w:r>
                                <w:rPr>
                                  <w:rFonts w:ascii="Calibri"/>
                                  <w:b/>
                                  <w:color w:val="252525"/>
                                  <w:spacing w:val="-2"/>
                                  <w:sz w:val="12"/>
                                </w:rPr>
                                <w:t>2,098</w:t>
                              </w:r>
                            </w:p>
                          </w:txbxContent>
                        </wps:txbx>
                        <wps:bodyPr wrap="square" lIns="0" tIns="0" rIns="0" bIns="0" rtlCol="0">
                          <a:noAutofit/>
                        </wps:bodyPr>
                      </wps:wsp>
                      <wps:wsp>
                        <wps:cNvPr id="645" name="Textbox 645"/>
                        <wps:cNvSpPr txBox="1"/>
                        <wps:spPr>
                          <a:xfrm>
                            <a:off x="127744" y="413697"/>
                            <a:ext cx="185420" cy="77470"/>
                          </a:xfrm>
                          <a:prstGeom prst="rect">
                            <a:avLst/>
                          </a:prstGeom>
                        </wps:spPr>
                        <wps:txbx>
                          <w:txbxContent>
                            <w:p>
                              <w:pPr>
                                <w:spacing w:line="122" w:lineRule="exact" w:before="0"/>
                                <w:ind w:left="0" w:right="0" w:firstLine="0"/>
                                <w:jc w:val="left"/>
                                <w:rPr>
                                  <w:rFonts w:ascii="Calibri"/>
                                  <w:b/>
                                  <w:sz w:val="12"/>
                                </w:rPr>
                              </w:pPr>
                              <w:r>
                                <w:rPr>
                                  <w:rFonts w:ascii="Calibri"/>
                                  <w:b/>
                                  <w:color w:val="252525"/>
                                  <w:spacing w:val="-2"/>
                                  <w:sz w:val="12"/>
                                </w:rPr>
                                <w:t>2,000</w:t>
                              </w:r>
                            </w:p>
                          </w:txbxContent>
                        </wps:txbx>
                        <wps:bodyPr wrap="square" lIns="0" tIns="0" rIns="0" bIns="0" rtlCol="0">
                          <a:noAutofit/>
                        </wps:bodyPr>
                      </wps:wsp>
                      <wps:wsp>
                        <wps:cNvPr id="646" name="Textbox 646"/>
                        <wps:cNvSpPr txBox="1"/>
                        <wps:spPr>
                          <a:xfrm>
                            <a:off x="127744" y="777335"/>
                            <a:ext cx="185420" cy="77470"/>
                          </a:xfrm>
                          <a:prstGeom prst="rect">
                            <a:avLst/>
                          </a:prstGeom>
                        </wps:spPr>
                        <wps:txbx>
                          <w:txbxContent>
                            <w:p>
                              <w:pPr>
                                <w:spacing w:line="122" w:lineRule="exact" w:before="0"/>
                                <w:ind w:left="0" w:right="0" w:firstLine="0"/>
                                <w:jc w:val="left"/>
                                <w:rPr>
                                  <w:rFonts w:ascii="Calibri"/>
                                  <w:b/>
                                  <w:sz w:val="12"/>
                                </w:rPr>
                              </w:pPr>
                              <w:r>
                                <w:rPr>
                                  <w:rFonts w:ascii="Calibri"/>
                                  <w:b/>
                                  <w:color w:val="252525"/>
                                  <w:spacing w:val="-2"/>
                                  <w:sz w:val="12"/>
                                </w:rPr>
                                <w:t>1,500</w:t>
                              </w:r>
                            </w:p>
                          </w:txbxContent>
                        </wps:txbx>
                        <wps:bodyPr wrap="square" lIns="0" tIns="0" rIns="0" bIns="0" rtlCol="0">
                          <a:noAutofit/>
                        </wps:bodyPr>
                      </wps:wsp>
                      <wps:wsp>
                        <wps:cNvPr id="647" name="Textbox 647"/>
                        <wps:cNvSpPr txBox="1"/>
                        <wps:spPr>
                          <a:xfrm>
                            <a:off x="127744" y="1140974"/>
                            <a:ext cx="185420" cy="77470"/>
                          </a:xfrm>
                          <a:prstGeom prst="rect">
                            <a:avLst/>
                          </a:prstGeom>
                        </wps:spPr>
                        <wps:txbx>
                          <w:txbxContent>
                            <w:p>
                              <w:pPr>
                                <w:spacing w:line="122" w:lineRule="exact" w:before="0"/>
                                <w:ind w:left="0" w:right="0" w:firstLine="0"/>
                                <w:jc w:val="left"/>
                                <w:rPr>
                                  <w:rFonts w:ascii="Calibri"/>
                                  <w:b/>
                                  <w:sz w:val="12"/>
                                </w:rPr>
                              </w:pPr>
                              <w:r>
                                <w:rPr>
                                  <w:rFonts w:ascii="Calibri"/>
                                  <w:b/>
                                  <w:color w:val="252525"/>
                                  <w:spacing w:val="-2"/>
                                  <w:sz w:val="12"/>
                                </w:rPr>
                                <w:t>1,000</w:t>
                              </w:r>
                            </w:p>
                          </w:txbxContent>
                        </wps:txbx>
                        <wps:bodyPr wrap="square" lIns="0" tIns="0" rIns="0" bIns="0" rtlCol="0">
                          <a:noAutofit/>
                        </wps:bodyPr>
                      </wps:wsp>
                      <wps:wsp>
                        <wps:cNvPr id="648" name="Textbox 648"/>
                        <wps:cNvSpPr txBox="1"/>
                        <wps:spPr>
                          <a:xfrm>
                            <a:off x="1612758" y="1188509"/>
                            <a:ext cx="127000" cy="77470"/>
                          </a:xfrm>
                          <a:prstGeom prst="rect">
                            <a:avLst/>
                          </a:prstGeom>
                        </wps:spPr>
                        <wps:txbx>
                          <w:txbxContent>
                            <w:p>
                              <w:pPr>
                                <w:spacing w:line="122" w:lineRule="exact" w:before="0"/>
                                <w:ind w:left="0" w:right="0" w:firstLine="0"/>
                                <w:jc w:val="left"/>
                                <w:rPr>
                                  <w:rFonts w:ascii="Calibri"/>
                                  <w:b/>
                                  <w:sz w:val="12"/>
                                </w:rPr>
                              </w:pPr>
                              <w:r>
                                <w:rPr>
                                  <w:rFonts w:ascii="Calibri"/>
                                  <w:b/>
                                  <w:color w:val="252525"/>
                                  <w:spacing w:val="-5"/>
                                  <w:sz w:val="12"/>
                                </w:rPr>
                                <w:t>819</w:t>
                              </w:r>
                            </w:p>
                          </w:txbxContent>
                        </wps:txbx>
                        <wps:bodyPr wrap="square" lIns="0" tIns="0" rIns="0" bIns="0" rtlCol="0">
                          <a:noAutofit/>
                        </wps:bodyPr>
                      </wps:wsp>
                      <wps:wsp>
                        <wps:cNvPr id="649" name="Textbox 649"/>
                        <wps:cNvSpPr txBox="1"/>
                        <wps:spPr>
                          <a:xfrm>
                            <a:off x="872579" y="1247927"/>
                            <a:ext cx="129539" cy="77470"/>
                          </a:xfrm>
                          <a:prstGeom prst="rect">
                            <a:avLst/>
                          </a:prstGeom>
                        </wps:spPr>
                        <wps:txbx>
                          <w:txbxContent>
                            <w:p>
                              <w:pPr>
                                <w:spacing w:line="122" w:lineRule="exact" w:before="0"/>
                                <w:ind w:left="0" w:right="0" w:firstLine="0"/>
                                <w:jc w:val="left"/>
                                <w:rPr>
                                  <w:rFonts w:ascii="Calibri"/>
                                  <w:b/>
                                  <w:sz w:val="12"/>
                                </w:rPr>
                              </w:pPr>
                              <w:r>
                                <w:rPr>
                                  <w:rFonts w:ascii="Calibri"/>
                                  <w:b/>
                                  <w:color w:val="252525"/>
                                  <w:spacing w:val="-5"/>
                                  <w:sz w:val="12"/>
                                </w:rPr>
                                <w:t>737</w:t>
                              </w:r>
                            </w:p>
                          </w:txbxContent>
                        </wps:txbx>
                        <wps:bodyPr wrap="square" lIns="0" tIns="0" rIns="0" bIns="0" rtlCol="0">
                          <a:noAutofit/>
                        </wps:bodyPr>
                      </wps:wsp>
                      <wps:wsp>
                        <wps:cNvPr id="650" name="Textbox 650"/>
                        <wps:cNvSpPr txBox="1"/>
                        <wps:spPr>
                          <a:xfrm>
                            <a:off x="1982848" y="1414298"/>
                            <a:ext cx="127000" cy="77470"/>
                          </a:xfrm>
                          <a:prstGeom prst="rect">
                            <a:avLst/>
                          </a:prstGeom>
                        </wps:spPr>
                        <wps:txbx>
                          <w:txbxContent>
                            <w:p>
                              <w:pPr>
                                <w:spacing w:line="122" w:lineRule="exact" w:before="0"/>
                                <w:ind w:left="0" w:right="0" w:firstLine="0"/>
                                <w:jc w:val="left"/>
                                <w:rPr>
                                  <w:rFonts w:ascii="Calibri"/>
                                  <w:b/>
                                  <w:sz w:val="12"/>
                                </w:rPr>
                              </w:pPr>
                              <w:r>
                                <w:rPr>
                                  <w:rFonts w:ascii="Calibri"/>
                                  <w:b/>
                                  <w:color w:val="252525"/>
                                  <w:spacing w:val="-5"/>
                                  <w:sz w:val="12"/>
                                </w:rPr>
                                <w:t>510</w:t>
                              </w:r>
                            </w:p>
                          </w:txbxContent>
                        </wps:txbx>
                        <wps:bodyPr wrap="square" lIns="0" tIns="0" rIns="0" bIns="0" rtlCol="0">
                          <a:noAutofit/>
                        </wps:bodyPr>
                      </wps:wsp>
                      <wps:wsp>
                        <wps:cNvPr id="651" name="Textbox 651"/>
                        <wps:cNvSpPr txBox="1"/>
                        <wps:spPr>
                          <a:xfrm>
                            <a:off x="187098" y="1497483"/>
                            <a:ext cx="127000" cy="77470"/>
                          </a:xfrm>
                          <a:prstGeom prst="rect">
                            <a:avLst/>
                          </a:prstGeom>
                        </wps:spPr>
                        <wps:txbx>
                          <w:txbxContent>
                            <w:p>
                              <w:pPr>
                                <w:spacing w:line="122" w:lineRule="exact" w:before="0"/>
                                <w:ind w:left="0" w:right="0" w:firstLine="0"/>
                                <w:jc w:val="left"/>
                                <w:rPr>
                                  <w:rFonts w:ascii="Calibri"/>
                                  <w:b/>
                                  <w:sz w:val="12"/>
                                </w:rPr>
                              </w:pPr>
                              <w:r>
                                <w:rPr>
                                  <w:rFonts w:ascii="Calibri"/>
                                  <w:b/>
                                  <w:color w:val="252525"/>
                                  <w:spacing w:val="-5"/>
                                  <w:sz w:val="12"/>
                                </w:rPr>
                                <w:t>500</w:t>
                              </w:r>
                            </w:p>
                          </w:txbxContent>
                        </wps:txbx>
                        <wps:bodyPr wrap="square" lIns="0" tIns="0" rIns="0" bIns="0" rtlCol="0">
                          <a:noAutofit/>
                        </wps:bodyPr>
                      </wps:wsp>
                      <wps:wsp>
                        <wps:cNvPr id="652" name="Textbox 652"/>
                        <wps:cNvSpPr txBox="1"/>
                        <wps:spPr>
                          <a:xfrm>
                            <a:off x="503653" y="1692671"/>
                            <a:ext cx="127635" cy="78740"/>
                          </a:xfrm>
                          <a:prstGeom prst="rect">
                            <a:avLst/>
                          </a:prstGeom>
                        </wps:spPr>
                        <wps:txbx>
                          <w:txbxContent>
                            <w:p>
                              <w:pPr>
                                <w:spacing w:line="124" w:lineRule="exact" w:before="0"/>
                                <w:ind w:left="0" w:right="0" w:firstLine="0"/>
                                <w:jc w:val="left"/>
                                <w:rPr>
                                  <w:rFonts w:ascii="Calibri"/>
                                  <w:b/>
                                  <w:sz w:val="12"/>
                                </w:rPr>
                              </w:pPr>
                              <w:r>
                                <w:rPr>
                                  <w:rFonts w:ascii="Calibri"/>
                                  <w:b/>
                                  <w:color w:val="252525"/>
                                  <w:spacing w:val="-5"/>
                                  <w:sz w:val="12"/>
                                </w:rPr>
                                <w:t>121</w:t>
                              </w:r>
                            </w:p>
                          </w:txbxContent>
                        </wps:txbx>
                        <wps:bodyPr wrap="square" lIns="0" tIns="0" rIns="0" bIns="0" rtlCol="0">
                          <a:noAutofit/>
                        </wps:bodyPr>
                      </wps:wsp>
                      <wps:wsp>
                        <wps:cNvPr id="653" name="Textbox 653"/>
                        <wps:cNvSpPr txBox="1"/>
                        <wps:spPr>
                          <a:xfrm>
                            <a:off x="1242668" y="1674846"/>
                            <a:ext cx="127635" cy="78740"/>
                          </a:xfrm>
                          <a:prstGeom prst="rect">
                            <a:avLst/>
                          </a:prstGeom>
                        </wps:spPr>
                        <wps:txbx>
                          <w:txbxContent>
                            <w:p>
                              <w:pPr>
                                <w:spacing w:line="124" w:lineRule="exact" w:before="0"/>
                                <w:ind w:left="0" w:right="0" w:firstLine="0"/>
                                <w:jc w:val="left"/>
                                <w:rPr>
                                  <w:rFonts w:ascii="Calibri"/>
                                  <w:b/>
                                  <w:sz w:val="12"/>
                                </w:rPr>
                              </w:pPr>
                              <w:r>
                                <w:rPr>
                                  <w:rFonts w:ascii="Calibri"/>
                                  <w:b/>
                                  <w:color w:val="252525"/>
                                  <w:spacing w:val="-5"/>
                                  <w:sz w:val="12"/>
                                </w:rPr>
                                <w:t>140</w:t>
                              </w:r>
                            </w:p>
                          </w:txbxContent>
                        </wps:txbx>
                        <wps:bodyPr wrap="square" lIns="0" tIns="0" rIns="0" bIns="0" rtlCol="0">
                          <a:noAutofit/>
                        </wps:bodyPr>
                      </wps:wsp>
                      <wps:wsp>
                        <wps:cNvPr id="654" name="Textbox 654"/>
                        <wps:cNvSpPr txBox="1"/>
                        <wps:spPr>
                          <a:xfrm>
                            <a:off x="266237" y="1861121"/>
                            <a:ext cx="51435" cy="77470"/>
                          </a:xfrm>
                          <a:prstGeom prst="rect">
                            <a:avLst/>
                          </a:prstGeom>
                        </wps:spPr>
                        <wps:txbx>
                          <w:txbxContent>
                            <w:p>
                              <w:pPr>
                                <w:spacing w:line="122" w:lineRule="exact" w:before="0"/>
                                <w:ind w:left="0" w:right="0" w:firstLine="0"/>
                                <w:jc w:val="left"/>
                                <w:rPr>
                                  <w:rFonts w:ascii="Calibri"/>
                                  <w:b/>
                                  <w:sz w:val="12"/>
                                </w:rPr>
                              </w:pPr>
                              <w:r>
                                <w:rPr>
                                  <w:rFonts w:ascii="Calibri"/>
                                  <w:b/>
                                  <w:color w:val="252525"/>
                                  <w:spacing w:val="-10"/>
                                  <w:sz w:val="12"/>
                                </w:rPr>
                                <w:t>0</w:t>
                              </w:r>
                            </w:p>
                          </w:txbxContent>
                        </wps:txbx>
                        <wps:bodyPr wrap="square" lIns="0" tIns="0" rIns="0" bIns="0" rtlCol="0">
                          <a:noAutofit/>
                        </wps:bodyPr>
                      </wps:wsp>
                      <wps:wsp>
                        <wps:cNvPr id="655" name="Textbox 655"/>
                        <wps:cNvSpPr txBox="1"/>
                        <wps:spPr>
                          <a:xfrm>
                            <a:off x="418695" y="1944322"/>
                            <a:ext cx="2171065" cy="297180"/>
                          </a:xfrm>
                          <a:prstGeom prst="rect">
                            <a:avLst/>
                          </a:prstGeom>
                        </wps:spPr>
                        <wps:txbx>
                          <w:txbxContent>
                            <w:p>
                              <w:pPr>
                                <w:tabs>
                                  <w:tab w:pos="716" w:val="left" w:leader="none"/>
                                  <w:tab w:pos="1163" w:val="left" w:leader="none"/>
                                  <w:tab w:pos="2431" w:val="left" w:leader="none"/>
                                  <w:tab w:pos="3014" w:val="left" w:leader="none"/>
                                </w:tabs>
                                <w:spacing w:line="85" w:lineRule="exact" w:before="0"/>
                                <w:ind w:left="133" w:right="0" w:firstLine="0"/>
                                <w:jc w:val="left"/>
                                <w:rPr>
                                  <w:rFonts w:ascii="Calibri" w:hAnsi="Calibri"/>
                                  <w:b/>
                                  <w:sz w:val="8"/>
                                </w:rPr>
                              </w:pPr>
                              <w:r>
                                <w:rPr>
                                  <w:rFonts w:ascii="Calibri" w:hAnsi="Calibri"/>
                                  <w:b/>
                                  <w:color w:val="252525"/>
                                  <w:spacing w:val="-4"/>
                                  <w:w w:val="105"/>
                                  <w:sz w:val="8"/>
                                </w:rPr>
                                <w:t>Zωήç</w:t>
                              </w:r>
                              <w:r>
                                <w:rPr>
                                  <w:rFonts w:ascii="Calibri" w:hAnsi="Calibri"/>
                                  <w:b/>
                                  <w:color w:val="252525"/>
                                  <w:sz w:val="8"/>
                                </w:rPr>
                                <w:tab/>
                              </w:r>
                              <w:r>
                                <w:rPr>
                                  <w:rFonts w:ascii="Calibri" w:hAnsi="Calibri"/>
                                  <w:b/>
                                  <w:color w:val="252525"/>
                                  <w:spacing w:val="-4"/>
                                  <w:w w:val="105"/>
                                  <w:sz w:val="8"/>
                                </w:rPr>
                                <w:t>Zωήç</w:t>
                              </w:r>
                              <w:r>
                                <w:rPr>
                                  <w:rFonts w:ascii="Calibri" w:hAnsi="Calibri"/>
                                  <w:b/>
                                  <w:color w:val="252525"/>
                                  <w:sz w:val="8"/>
                                </w:rPr>
                                <w:tab/>
                              </w:r>
                              <w:r>
                                <w:rPr>
                                  <w:rFonts w:ascii="Calibri" w:hAnsi="Calibri"/>
                                  <w:b/>
                                  <w:color w:val="252525"/>
                                  <w:w w:val="105"/>
                                  <w:sz w:val="8"/>
                                </w:rPr>
                                <w:t>Κaτá</w:t>
                              </w:r>
                              <w:r>
                                <w:rPr>
                                  <w:rFonts w:ascii="Calibri" w:hAnsi="Calibri"/>
                                  <w:b/>
                                  <w:color w:val="252525"/>
                                  <w:spacing w:val="23"/>
                                  <w:w w:val="105"/>
                                  <w:sz w:val="8"/>
                                </w:rPr>
                                <w:t> </w:t>
                              </w:r>
                              <w:r>
                                <w:rPr>
                                  <w:rFonts w:ascii="Calibri" w:hAnsi="Calibri"/>
                                  <w:b/>
                                  <w:color w:val="252525"/>
                                  <w:w w:val="105"/>
                                  <w:sz w:val="8"/>
                                </w:rPr>
                                <w:t>ηµtώv</w:t>
                              </w:r>
                              <w:r>
                                <w:rPr>
                                  <w:rFonts w:ascii="Calibri" w:hAnsi="Calibri"/>
                                  <w:b/>
                                  <w:color w:val="252525"/>
                                  <w:spacing w:val="60"/>
                                  <w:w w:val="105"/>
                                  <w:sz w:val="8"/>
                                </w:rPr>
                                <w:t>  </w:t>
                              </w:r>
                              <w:r>
                                <w:rPr>
                                  <w:rFonts w:ascii="Calibri" w:hAnsi="Calibri"/>
                                  <w:b/>
                                  <w:color w:val="252525"/>
                                  <w:w w:val="105"/>
                                  <w:sz w:val="8"/>
                                </w:rPr>
                                <w:t>Κaτá</w:t>
                              </w:r>
                              <w:r>
                                <w:rPr>
                                  <w:rFonts w:ascii="Calibri" w:hAnsi="Calibri"/>
                                  <w:b/>
                                  <w:color w:val="252525"/>
                                  <w:spacing w:val="27"/>
                                  <w:w w:val="105"/>
                                  <w:sz w:val="8"/>
                                </w:rPr>
                                <w:t> </w:t>
                              </w:r>
                              <w:r>
                                <w:rPr>
                                  <w:rFonts w:ascii="Calibri" w:hAnsi="Calibri"/>
                                  <w:b/>
                                  <w:color w:val="252525"/>
                                  <w:spacing w:val="-2"/>
                                  <w:w w:val="105"/>
                                  <w:sz w:val="8"/>
                                </w:rPr>
                                <w:t>ηµtώv</w:t>
                              </w:r>
                              <w:r>
                                <w:rPr>
                                  <w:rFonts w:ascii="Calibri" w:hAnsi="Calibri"/>
                                  <w:b/>
                                  <w:color w:val="252525"/>
                                  <w:sz w:val="8"/>
                                </w:rPr>
                                <w:tab/>
                              </w:r>
                              <w:r>
                                <w:rPr>
                                  <w:rFonts w:ascii="Calibri" w:hAnsi="Calibri"/>
                                  <w:b/>
                                  <w:color w:val="252525"/>
                                  <w:spacing w:val="-2"/>
                                  <w:w w:val="105"/>
                                  <w:sz w:val="8"/>
                                </w:rPr>
                                <w:t>Mt</w:t>
                              </w:r>
                              <w:r>
                                <w:rPr>
                                  <w:rFonts w:ascii="Calibri" w:hAnsi="Calibri"/>
                                  <w:b/>
                                  <w:smallCaps/>
                                  <w:color w:val="252525"/>
                                  <w:spacing w:val="-2"/>
                                  <w:w w:val="105"/>
                                  <w:sz w:val="8"/>
                                </w:rPr>
                                <w:t>k</w:t>
                              </w:r>
                              <w:r>
                                <w:rPr>
                                  <w:rFonts w:ascii="Calibri" w:hAnsi="Calibri"/>
                                  <w:b/>
                                  <w:smallCaps w:val="0"/>
                                  <w:color w:val="252525"/>
                                  <w:spacing w:val="-2"/>
                                  <w:w w:val="105"/>
                                  <w:sz w:val="8"/>
                                </w:rPr>
                                <w:t>τćç</w:t>
                              </w:r>
                              <w:r>
                                <w:rPr>
                                  <w:rFonts w:ascii="Calibri" w:hAnsi="Calibri"/>
                                  <w:b/>
                                  <w:smallCaps w:val="0"/>
                                  <w:color w:val="252525"/>
                                  <w:sz w:val="8"/>
                                </w:rPr>
                                <w:tab/>
                              </w:r>
                              <w:r>
                                <w:rPr>
                                  <w:rFonts w:ascii="Calibri" w:hAnsi="Calibri"/>
                                  <w:b/>
                                  <w:smallCaps w:val="0"/>
                                  <w:color w:val="252525"/>
                                  <w:spacing w:val="-2"/>
                                  <w:w w:val="105"/>
                                  <w:sz w:val="8"/>
                                </w:rPr>
                                <w:t>Mt</w:t>
                              </w:r>
                              <w:r>
                                <w:rPr>
                                  <w:rFonts w:ascii="Calibri" w:hAnsi="Calibri"/>
                                  <w:b/>
                                  <w:smallCaps/>
                                  <w:color w:val="252525"/>
                                  <w:spacing w:val="-2"/>
                                  <w:w w:val="105"/>
                                  <w:sz w:val="8"/>
                                </w:rPr>
                                <w:t>k</w:t>
                              </w:r>
                              <w:r>
                                <w:rPr>
                                  <w:rFonts w:ascii="Calibri" w:hAnsi="Calibri"/>
                                  <w:b/>
                                  <w:smallCaps w:val="0"/>
                                  <w:color w:val="252525"/>
                                  <w:spacing w:val="-2"/>
                                  <w:w w:val="105"/>
                                  <w:sz w:val="8"/>
                                </w:rPr>
                                <w:t>τćç</w:t>
                              </w:r>
                            </w:p>
                            <w:p>
                              <w:pPr>
                                <w:spacing w:line="264" w:lineRule="auto" w:before="61"/>
                                <w:ind w:left="0" w:right="18" w:firstLine="64"/>
                                <w:jc w:val="right"/>
                                <w:rPr>
                                  <w:rFonts w:ascii="Calibri" w:hAnsi="Calibri" w:cs="Calibri" w:eastAsia="Calibri"/>
                                  <w:b/>
                                  <w:bCs/>
                                  <w:sz w:val="8"/>
                                  <w:szCs w:val="8"/>
                                </w:rPr>
                              </w:pPr>
                              <w:r>
                                <w:rPr>
                                  <w:rFonts w:ascii="Calibri" w:hAnsi="Calibri" w:cs="Calibri" w:eastAsia="Calibri"/>
                                  <w:b/>
                                  <w:bCs/>
                                  <w:color w:val="252525"/>
                                  <w:w w:val="105"/>
                                  <w:sz w:val="8"/>
                                  <w:szCs w:val="8"/>
                                </w:rPr>
                                <w:t>E</w:t>
                              </w:r>
                              <w:r>
                                <w:rPr>
                                  <w:rFonts w:ascii="Calibri" w:hAnsi="Calibri" w:cs="Calibri" w:eastAsia="Calibri"/>
                                  <w:b/>
                                  <w:bCs/>
                                  <w:color w:val="252525"/>
                                  <w:spacing w:val="21"/>
                                  <w:w w:val="105"/>
                                  <w:sz w:val="8"/>
                                  <w:szCs w:val="8"/>
                                </w:rPr>
                                <w:t> </w:t>
                              </w:r>
                              <w:r>
                                <w:rPr>
                                  <w:rFonts w:ascii="Calibri" w:hAnsi="Calibri" w:cs="Calibri" w:eastAsia="Calibri"/>
                                  <w:b/>
                                  <w:bCs/>
                                  <w:color w:val="252525"/>
                                  <w:w w:val="105"/>
                                  <w:sz w:val="8"/>
                                  <w:szCs w:val="8"/>
                                </w:rPr>
                                <w:t>áχtơτη</w:t>
                              </w:r>
                              <w:r>
                                <w:rPr>
                                  <w:rFonts w:ascii="Calibri" w:hAnsi="Calibri" w:cs="Calibri" w:eastAsia="Calibri"/>
                                  <w:b/>
                                  <w:bCs/>
                                  <w:color w:val="252525"/>
                                  <w:spacing w:val="60"/>
                                  <w:w w:val="105"/>
                                  <w:sz w:val="8"/>
                                  <w:szCs w:val="8"/>
                                </w:rPr>
                                <w:t>  </w:t>
                              </w:r>
                              <w:r>
                                <w:rPr>
                                  <w:rFonts w:ascii="Calibri" w:hAnsi="Calibri" w:cs="Calibri" w:eastAsia="Calibri"/>
                                  <w:b/>
                                  <w:bCs/>
                                  <w:color w:val="252525"/>
                                  <w:w w:val="105"/>
                                  <w:sz w:val="8"/>
                                  <w:szCs w:val="8"/>
                                </w:rPr>
                                <w:t>Eut</w:t>
                              </w:r>
                              <w:r>
                                <w:rPr>
                                  <w:rFonts w:ascii="Calibri" w:hAnsi="Calibri" w:cs="Calibri" w:eastAsia="Calibri"/>
                                  <w:b/>
                                  <w:bCs/>
                                  <w:color w:val="252525"/>
                                  <w:spacing w:val="22"/>
                                  <w:w w:val="105"/>
                                  <w:sz w:val="8"/>
                                  <w:szCs w:val="8"/>
                                </w:rPr>
                                <w:t> </w:t>
                              </w:r>
                              <w:r>
                                <w:rPr>
                                  <w:rFonts w:ascii="Calibri" w:hAnsi="Calibri" w:cs="Calibri" w:eastAsia="Calibri"/>
                                  <w:b/>
                                  <w:bCs/>
                                  <w:color w:val="252525"/>
                                  <w:w w:val="105"/>
                                  <w:sz w:val="8"/>
                                  <w:szCs w:val="8"/>
                                </w:rPr>
                                <w:t>ćÇtµa</w:t>
                              </w:r>
                              <w:r>
                                <w:rPr>
                                  <w:rFonts w:ascii="Calibri" w:hAnsi="Calibri" w:cs="Calibri" w:eastAsia="Calibri"/>
                                  <w:b/>
                                  <w:bCs/>
                                  <w:color w:val="252525"/>
                                  <w:spacing w:val="-5"/>
                                  <w:w w:val="105"/>
                                  <w:sz w:val="8"/>
                                  <w:szCs w:val="8"/>
                                </w:rPr>
                                <w:t> </w:t>
                              </w:r>
                              <w:r>
                                <w:rPr>
                                  <w:rFonts w:ascii="Calibri" w:hAnsi="Calibri" w:cs="Calibri" w:eastAsia="Calibri"/>
                                  <w:b/>
                                  <w:bCs/>
                                  <w:color w:val="252525"/>
                                  <w:w w:val="105"/>
                                  <w:sz w:val="8"/>
                                  <w:szCs w:val="8"/>
                                </w:rPr>
                                <w:t>Įδta</w:t>
                              </w:r>
                              <w:r>
                                <w:rPr>
                                  <w:rFonts w:ascii="Calibri" w:hAnsi="Calibri" w:cs="Calibri" w:eastAsia="Calibri"/>
                                  <w:b/>
                                  <w:bCs/>
                                  <w:color w:val="252525"/>
                                  <w:spacing w:val="64"/>
                                  <w:w w:val="105"/>
                                  <w:sz w:val="8"/>
                                  <w:szCs w:val="8"/>
                                </w:rPr>
                                <w:t>  </w:t>
                              </w:r>
                              <w:r>
                                <w:rPr>
                                  <w:rFonts w:ascii="Calibri" w:hAnsi="Calibri" w:cs="Calibri" w:eastAsia="Calibri"/>
                                  <w:b/>
                                  <w:bCs/>
                                  <w:color w:val="252525"/>
                                  <w:w w:val="105"/>
                                  <w:sz w:val="8"/>
                                  <w:szCs w:val="8"/>
                                </w:rPr>
                                <w:t>E</w:t>
                              </w:r>
                              <w:r>
                                <w:rPr>
                                  <w:rFonts w:ascii="Calibri" w:hAnsi="Calibri" w:cs="Calibri" w:eastAsia="Calibri"/>
                                  <w:b/>
                                  <w:bCs/>
                                  <w:color w:val="252525"/>
                                  <w:spacing w:val="22"/>
                                  <w:w w:val="105"/>
                                  <w:sz w:val="8"/>
                                  <w:szCs w:val="8"/>
                                </w:rPr>
                                <w:t> </w:t>
                              </w:r>
                              <w:r>
                                <w:rPr>
                                  <w:rFonts w:ascii="Calibri" w:hAnsi="Calibri" w:cs="Calibri" w:eastAsia="Calibri"/>
                                  <w:b/>
                                  <w:bCs/>
                                  <w:color w:val="252525"/>
                                  <w:w w:val="105"/>
                                  <w:sz w:val="8"/>
                                  <w:szCs w:val="8"/>
                                </w:rPr>
                                <w:t>áχtơτη</w:t>
                              </w:r>
                              <w:r>
                                <w:rPr>
                                  <w:rFonts w:ascii="Calibri" w:hAnsi="Calibri" w:cs="Calibri" w:eastAsia="Calibri"/>
                                  <w:b/>
                                  <w:bCs/>
                                  <w:color w:val="252525"/>
                                  <w:spacing w:val="60"/>
                                  <w:w w:val="105"/>
                                  <w:sz w:val="8"/>
                                  <w:szCs w:val="8"/>
                                </w:rPr>
                                <w:t>  </w:t>
                              </w:r>
                              <w:r>
                                <w:rPr>
                                  <w:rFonts w:ascii="Calibri" w:hAnsi="Calibri" w:cs="Calibri" w:eastAsia="Calibri"/>
                                  <w:b/>
                                  <w:bCs/>
                                  <w:color w:val="252525"/>
                                  <w:w w:val="105"/>
                                  <w:sz w:val="8"/>
                                  <w:szCs w:val="8"/>
                                </w:rPr>
                                <w:t>Eut</w:t>
                              </w:r>
                              <w:r>
                                <w:rPr>
                                  <w:rFonts w:ascii="Calibri" w:hAnsi="Calibri" w:cs="Calibri" w:eastAsia="Calibri"/>
                                  <w:b/>
                                  <w:bCs/>
                                  <w:color w:val="252525"/>
                                  <w:spacing w:val="22"/>
                                  <w:w w:val="105"/>
                                  <w:sz w:val="8"/>
                                  <w:szCs w:val="8"/>
                                </w:rPr>
                                <w:t> </w:t>
                              </w:r>
                              <w:r>
                                <w:rPr>
                                  <w:rFonts w:ascii="Calibri" w:hAnsi="Calibri" w:cs="Calibri" w:eastAsia="Calibri"/>
                                  <w:b/>
                                  <w:bCs/>
                                  <w:color w:val="252525"/>
                                  <w:w w:val="105"/>
                                  <w:sz w:val="8"/>
                                  <w:szCs w:val="8"/>
                                </w:rPr>
                                <w:t>ćÇtµa</w:t>
                              </w:r>
                              <w:r>
                                <w:rPr>
                                  <w:rFonts w:ascii="Calibri" w:hAnsi="Calibri" w:cs="Calibri" w:eastAsia="Calibri"/>
                                  <w:b/>
                                  <w:bCs/>
                                  <w:color w:val="252525"/>
                                  <w:spacing w:val="-5"/>
                                  <w:w w:val="105"/>
                                  <w:sz w:val="8"/>
                                  <w:szCs w:val="8"/>
                                </w:rPr>
                                <w:t> </w:t>
                              </w:r>
                              <w:r>
                                <w:rPr>
                                  <w:rFonts w:ascii="Calibri" w:hAnsi="Calibri" w:cs="Calibri" w:eastAsia="Calibri"/>
                                  <w:b/>
                                  <w:bCs/>
                                  <w:color w:val="252525"/>
                                  <w:w w:val="105"/>
                                  <w:sz w:val="8"/>
                                  <w:szCs w:val="8"/>
                                </w:rPr>
                                <w:t>Įδta</w:t>
                              </w:r>
                              <w:r>
                                <w:rPr>
                                  <w:rFonts w:ascii="Calibri" w:hAnsi="Calibri" w:cs="Calibri" w:eastAsia="Calibri"/>
                                  <w:b/>
                                  <w:bCs/>
                                  <w:color w:val="252525"/>
                                  <w:spacing w:val="63"/>
                                  <w:w w:val="105"/>
                                  <w:sz w:val="8"/>
                                  <w:szCs w:val="8"/>
                                </w:rPr>
                                <w:t>  </w:t>
                              </w:r>
                              <w:r>
                                <w:rPr>
                                  <w:rFonts w:ascii="Calibri" w:hAnsi="Calibri" w:cs="Calibri" w:eastAsia="Calibri"/>
                                  <w:b/>
                                  <w:bCs/>
                                  <w:color w:val="252525"/>
                                  <w:w w:val="105"/>
                                  <w:sz w:val="8"/>
                                  <w:szCs w:val="8"/>
                                </w:rPr>
                                <w:t>E</w:t>
                              </w:r>
                              <w:r>
                                <w:rPr>
                                  <w:rFonts w:ascii="Calibri" w:hAnsi="Calibri" w:cs="Calibri" w:eastAsia="Calibri"/>
                                  <w:b/>
                                  <w:bCs/>
                                  <w:color w:val="252525"/>
                                  <w:spacing w:val="22"/>
                                  <w:w w:val="105"/>
                                  <w:sz w:val="8"/>
                                  <w:szCs w:val="8"/>
                                </w:rPr>
                                <w:t> </w:t>
                              </w:r>
                              <w:r>
                                <w:rPr>
                                  <w:rFonts w:ascii="Calibri" w:hAnsi="Calibri" w:cs="Calibri" w:eastAsia="Calibri"/>
                                  <w:b/>
                                  <w:bCs/>
                                  <w:color w:val="252525"/>
                                  <w:w w:val="105"/>
                                  <w:sz w:val="8"/>
                                  <w:szCs w:val="8"/>
                                </w:rPr>
                                <w:t>áχtơτη</w:t>
                              </w:r>
                              <w:r>
                                <w:rPr>
                                  <w:rFonts w:ascii="Calibri" w:hAnsi="Calibri" w:cs="Calibri" w:eastAsia="Calibri"/>
                                  <w:b/>
                                  <w:bCs/>
                                  <w:color w:val="252525"/>
                                  <w:spacing w:val="60"/>
                                  <w:w w:val="105"/>
                                  <w:sz w:val="8"/>
                                  <w:szCs w:val="8"/>
                                </w:rPr>
                                <w:t>  </w:t>
                              </w:r>
                              <w:r>
                                <w:rPr>
                                  <w:rFonts w:ascii="Calibri" w:hAnsi="Calibri" w:cs="Calibri" w:eastAsia="Calibri"/>
                                  <w:b/>
                                  <w:bCs/>
                                  <w:color w:val="252525"/>
                                  <w:w w:val="105"/>
                                  <w:sz w:val="8"/>
                                  <w:szCs w:val="8"/>
                                </w:rPr>
                                <w:t>Eut</w:t>
                              </w:r>
                              <w:r>
                                <w:rPr>
                                  <w:rFonts w:ascii="Calibri" w:hAnsi="Calibri" w:cs="Calibri" w:eastAsia="Calibri"/>
                                  <w:b/>
                                  <w:bCs/>
                                  <w:color w:val="252525"/>
                                  <w:spacing w:val="24"/>
                                  <w:w w:val="105"/>
                                  <w:sz w:val="8"/>
                                  <w:szCs w:val="8"/>
                                </w:rPr>
                                <w:t> </w:t>
                              </w:r>
                              <w:r>
                                <w:rPr>
                                  <w:rFonts w:ascii="Calibri" w:hAnsi="Calibri" w:cs="Calibri" w:eastAsia="Calibri"/>
                                  <w:b/>
                                  <w:bCs/>
                                  <w:color w:val="252525"/>
                                  <w:w w:val="105"/>
                                  <w:sz w:val="8"/>
                                  <w:szCs w:val="8"/>
                                </w:rPr>
                                <w:t>ćÇtµa</w:t>
                              </w:r>
                              <w:r>
                                <w:rPr>
                                  <w:rFonts w:ascii="Calibri" w:hAnsi="Calibri" w:cs="Calibri" w:eastAsia="Calibri"/>
                                  <w:b/>
                                  <w:bCs/>
                                  <w:color w:val="252525"/>
                                  <w:spacing w:val="-4"/>
                                  <w:w w:val="105"/>
                                  <w:sz w:val="8"/>
                                  <w:szCs w:val="8"/>
                                </w:rPr>
                                <w:t> </w:t>
                              </w:r>
                              <w:r>
                                <w:rPr>
                                  <w:rFonts w:ascii="Calibri" w:hAnsi="Calibri" w:cs="Calibri" w:eastAsia="Calibri"/>
                                  <w:b/>
                                  <w:bCs/>
                                  <w:color w:val="252525"/>
                                  <w:w w:val="105"/>
                                  <w:sz w:val="8"/>
                                  <w:szCs w:val="8"/>
                                </w:rPr>
                                <w:t>Įδta</w:t>
                              </w:r>
                              <w:r>
                                <w:rPr>
                                  <w:rFonts w:ascii="Calibri" w:hAnsi="Calibri" w:cs="Calibri" w:eastAsia="Calibri"/>
                                  <w:b/>
                                  <w:bCs/>
                                  <w:color w:val="252525"/>
                                  <w:spacing w:val="40"/>
                                  <w:w w:val="105"/>
                                  <w:sz w:val="8"/>
                                  <w:szCs w:val="8"/>
                                </w:rPr>
                                <w:t> </w:t>
                              </w:r>
                              <w:r>
                                <w:rPr>
                                  <w:rFonts w:ascii="Calibri" w:hAnsi="Calibri" w:cs="Calibri" w:eastAsia="Calibri"/>
                                  <w:b/>
                                  <w:bCs/>
                                  <w:color w:val="252525"/>
                                  <w:w w:val="105"/>
                                  <w:sz w:val="8"/>
                                  <w:szCs w:val="8"/>
                                </w:rPr>
                                <w:t>Κεϕa</w:t>
                              </w:r>
                              <w:r>
                                <w:rPr>
                                  <w:rFonts w:ascii="Calibri" w:hAnsi="Calibri" w:cs="Calibri" w:eastAsia="Calibri"/>
                                  <w:b/>
                                  <w:bCs/>
                                  <w:color w:val="252525"/>
                                  <w:spacing w:val="21"/>
                                  <w:w w:val="105"/>
                                  <w:sz w:val="8"/>
                                  <w:szCs w:val="8"/>
                                </w:rPr>
                                <w:t> </w:t>
                              </w:r>
                              <w:r>
                                <w:rPr>
                                  <w:rFonts w:ascii="Calibri" w:hAnsi="Calibri" w:cs="Calibri" w:eastAsia="Calibri"/>
                                  <w:b/>
                                  <w:bCs/>
                                  <w:color w:val="252525"/>
                                  <w:w w:val="105"/>
                                  <w:sz w:val="8"/>
                                  <w:szCs w:val="8"/>
                                </w:rPr>
                                <w:t>ata</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ή</w:t>
                              </w:r>
                              <w:r>
                                <w:rPr>
                                  <w:rFonts w:ascii="Calibri" w:hAnsi="Calibri" w:cs="Calibri" w:eastAsia="Calibri"/>
                                  <w:b/>
                                  <w:bCs/>
                                  <w:smallCaps w:val="0"/>
                                  <w:color w:val="252525"/>
                                  <w:spacing w:val="53"/>
                                  <w:w w:val="105"/>
                                  <w:sz w:val="8"/>
                                  <w:szCs w:val="8"/>
                                </w:rPr>
                                <w:t>  </w:t>
                              </w:r>
                              <w:r>
                                <w:rPr>
                                  <w:rFonts w:ascii="Calibri" w:hAnsi="Calibri" w:cs="Calibri" w:eastAsia="Calibri"/>
                                  <w:b/>
                                  <w:bCs/>
                                  <w:smallCaps w:val="0"/>
                                  <w:color w:val="252525"/>
                                  <w:w w:val="105"/>
                                  <w:sz w:val="8"/>
                                  <w:szCs w:val="8"/>
                                </w:rPr>
                                <w:t>Κεϕá</w:t>
                              </w:r>
                              <w:r>
                                <w:rPr>
                                  <w:rFonts w:ascii="Calibri" w:hAnsi="Calibri" w:cs="Calibri" w:eastAsia="Calibri"/>
                                  <w:b/>
                                  <w:bCs/>
                                  <w:smallCaps w:val="0"/>
                                  <w:color w:val="252525"/>
                                  <w:spacing w:val="21"/>
                                  <w:w w:val="105"/>
                                  <w:sz w:val="8"/>
                                  <w:szCs w:val="8"/>
                                </w:rPr>
                                <w:t> </w:t>
                              </w:r>
                              <w:r>
                                <w:rPr>
                                  <w:rFonts w:ascii="Calibri" w:hAnsi="Calibri" w:cs="Calibri" w:eastAsia="Calibri"/>
                                  <w:b/>
                                  <w:bCs/>
                                  <w:smallCaps w:val="0"/>
                                  <w:color w:val="252525"/>
                                  <w:w w:val="105"/>
                                  <w:sz w:val="8"/>
                                  <w:szCs w:val="8"/>
                                </w:rPr>
                                <w:t>ata</w:t>
                              </w:r>
                              <w:r>
                                <w:rPr>
                                  <w:rFonts w:ascii="Calibri" w:hAnsi="Calibri" w:cs="Calibri" w:eastAsia="Calibri"/>
                                  <w:b/>
                                  <w:bCs/>
                                  <w:smallCaps w:val="0"/>
                                  <w:color w:val="252525"/>
                                  <w:spacing w:val="-3"/>
                                  <w:w w:val="105"/>
                                  <w:sz w:val="8"/>
                                  <w:szCs w:val="8"/>
                                </w:rPr>
                                <w:t> </w:t>
                              </w:r>
                              <w:r>
                                <w:rPr>
                                  <w:rFonts w:ascii="Calibri" w:hAnsi="Calibri" w:cs="Calibri" w:eastAsia="Calibri"/>
                                  <w:b/>
                                  <w:bCs/>
                                  <w:smallCaps w:val="0"/>
                                  <w:color w:val="252525"/>
                                  <w:w w:val="105"/>
                                  <w:sz w:val="8"/>
                                  <w:szCs w:val="8"/>
                                </w:rPr>
                                <w:t>γta</w:t>
                              </w:r>
                              <w:r>
                                <w:rPr>
                                  <w:rFonts w:ascii="Calibri" w:hAnsi="Calibri" w:cs="Calibri" w:eastAsia="Calibri"/>
                                  <w:b/>
                                  <w:bCs/>
                                  <w:smallCaps w:val="0"/>
                                  <w:color w:val="252525"/>
                                  <w:spacing w:val="52"/>
                                  <w:w w:val="105"/>
                                  <w:sz w:val="8"/>
                                  <w:szCs w:val="8"/>
                                </w:rPr>
                                <w:t>  </w:t>
                              </w:r>
                              <w:r>
                                <w:rPr>
                                  <w:rFonts w:ascii="Calibri" w:hAnsi="Calibri" w:cs="Calibri" w:eastAsia="Calibri"/>
                                  <w:b/>
                                  <w:bCs/>
                                  <w:smallCaps w:val="0"/>
                                  <w:color w:val="252525"/>
                                  <w:w w:val="105"/>
                                  <w:sz w:val="8"/>
                                  <w:szCs w:val="8"/>
                                </w:rPr>
                                <w:t>Κεϕa</w:t>
                              </w:r>
                              <w:r>
                                <w:rPr>
                                  <w:rFonts w:ascii="Calibri" w:hAnsi="Calibri" w:cs="Calibri" w:eastAsia="Calibri"/>
                                  <w:b/>
                                  <w:bCs/>
                                  <w:smallCaps w:val="0"/>
                                  <w:color w:val="252525"/>
                                  <w:spacing w:val="21"/>
                                  <w:w w:val="105"/>
                                  <w:sz w:val="8"/>
                                  <w:szCs w:val="8"/>
                                </w:rPr>
                                <w:t> </w:t>
                              </w:r>
                              <w:r>
                                <w:rPr>
                                  <w:rFonts w:ascii="Calibri" w:hAnsi="Calibri" w:cs="Calibri" w:eastAsia="Calibri"/>
                                  <w:b/>
                                  <w:bCs/>
                                  <w:smallCaps w:val="0"/>
                                  <w:color w:val="252525"/>
                                  <w:w w:val="105"/>
                                  <w:sz w:val="8"/>
                                  <w:szCs w:val="8"/>
                                </w:rPr>
                                <w:t>ata</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ή</w:t>
                              </w:r>
                              <w:r>
                                <w:rPr>
                                  <w:rFonts w:ascii="Calibri" w:hAnsi="Calibri" w:cs="Calibri" w:eastAsia="Calibri"/>
                                  <w:b/>
                                  <w:bCs/>
                                  <w:smallCaps w:val="0"/>
                                  <w:color w:val="252525"/>
                                  <w:spacing w:val="53"/>
                                  <w:w w:val="105"/>
                                  <w:sz w:val="8"/>
                                  <w:szCs w:val="8"/>
                                </w:rPr>
                                <w:t>  </w:t>
                              </w:r>
                              <w:r>
                                <w:rPr>
                                  <w:rFonts w:ascii="Calibri" w:hAnsi="Calibri" w:cs="Calibri" w:eastAsia="Calibri"/>
                                  <w:b/>
                                  <w:bCs/>
                                  <w:smallCaps w:val="0"/>
                                  <w:color w:val="252525"/>
                                  <w:w w:val="105"/>
                                  <w:sz w:val="8"/>
                                  <w:szCs w:val="8"/>
                                </w:rPr>
                                <w:t>Κεϕá</w:t>
                              </w:r>
                              <w:r>
                                <w:rPr>
                                  <w:rFonts w:ascii="Calibri" w:hAnsi="Calibri" w:cs="Calibri" w:eastAsia="Calibri"/>
                                  <w:b/>
                                  <w:bCs/>
                                  <w:smallCaps w:val="0"/>
                                  <w:color w:val="252525"/>
                                  <w:spacing w:val="21"/>
                                  <w:w w:val="105"/>
                                  <w:sz w:val="8"/>
                                  <w:szCs w:val="8"/>
                                </w:rPr>
                                <w:t> </w:t>
                              </w:r>
                              <w:r>
                                <w:rPr>
                                  <w:rFonts w:ascii="Calibri" w:hAnsi="Calibri" w:cs="Calibri" w:eastAsia="Calibri"/>
                                  <w:b/>
                                  <w:bCs/>
                                  <w:smallCaps w:val="0"/>
                                  <w:color w:val="252525"/>
                                  <w:w w:val="105"/>
                                  <w:sz w:val="8"/>
                                  <w:szCs w:val="8"/>
                                </w:rPr>
                                <w:t>ata</w:t>
                              </w:r>
                              <w:r>
                                <w:rPr>
                                  <w:rFonts w:ascii="Calibri" w:hAnsi="Calibri" w:cs="Calibri" w:eastAsia="Calibri"/>
                                  <w:b/>
                                  <w:bCs/>
                                  <w:smallCaps w:val="0"/>
                                  <w:color w:val="252525"/>
                                  <w:spacing w:val="-3"/>
                                  <w:w w:val="105"/>
                                  <w:sz w:val="8"/>
                                  <w:szCs w:val="8"/>
                                </w:rPr>
                                <w:t> </w:t>
                              </w:r>
                              <w:r>
                                <w:rPr>
                                  <w:rFonts w:ascii="Calibri" w:hAnsi="Calibri" w:cs="Calibri" w:eastAsia="Calibri"/>
                                  <w:b/>
                                  <w:bCs/>
                                  <w:smallCaps w:val="0"/>
                                  <w:color w:val="252525"/>
                                  <w:w w:val="105"/>
                                  <w:sz w:val="8"/>
                                  <w:szCs w:val="8"/>
                                </w:rPr>
                                <w:t>γta</w:t>
                              </w:r>
                              <w:r>
                                <w:rPr>
                                  <w:rFonts w:ascii="Calibri" w:hAnsi="Calibri" w:cs="Calibri" w:eastAsia="Calibri"/>
                                  <w:b/>
                                  <w:bCs/>
                                  <w:smallCaps w:val="0"/>
                                  <w:color w:val="252525"/>
                                  <w:spacing w:val="51"/>
                                  <w:w w:val="105"/>
                                  <w:sz w:val="8"/>
                                  <w:szCs w:val="8"/>
                                </w:rPr>
                                <w:t>  </w:t>
                              </w:r>
                              <w:r>
                                <w:rPr>
                                  <w:rFonts w:ascii="Calibri" w:hAnsi="Calibri" w:cs="Calibri" w:eastAsia="Calibri"/>
                                  <w:b/>
                                  <w:bCs/>
                                  <w:smallCaps w:val="0"/>
                                  <w:color w:val="252525"/>
                                  <w:w w:val="105"/>
                                  <w:sz w:val="8"/>
                                  <w:szCs w:val="8"/>
                                </w:rPr>
                                <w:t>Κεϕa</w:t>
                              </w:r>
                              <w:r>
                                <w:rPr>
                                  <w:rFonts w:ascii="Calibri" w:hAnsi="Calibri" w:cs="Calibri" w:eastAsia="Calibri"/>
                                  <w:b/>
                                  <w:bCs/>
                                  <w:smallCaps w:val="0"/>
                                  <w:color w:val="252525"/>
                                  <w:spacing w:val="21"/>
                                  <w:w w:val="105"/>
                                  <w:sz w:val="8"/>
                                  <w:szCs w:val="8"/>
                                </w:rPr>
                                <w:t> </w:t>
                              </w:r>
                              <w:r>
                                <w:rPr>
                                  <w:rFonts w:ascii="Calibri" w:hAnsi="Calibri" w:cs="Calibri" w:eastAsia="Calibri"/>
                                  <w:b/>
                                  <w:bCs/>
                                  <w:smallCaps w:val="0"/>
                                  <w:color w:val="252525"/>
                                  <w:w w:val="105"/>
                                  <w:sz w:val="8"/>
                                  <w:szCs w:val="8"/>
                                </w:rPr>
                                <w:t>ata</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ή</w:t>
                              </w:r>
                              <w:r>
                                <w:rPr>
                                  <w:rFonts w:ascii="Calibri" w:hAnsi="Calibri" w:cs="Calibri" w:eastAsia="Calibri"/>
                                  <w:b/>
                                  <w:bCs/>
                                  <w:smallCaps w:val="0"/>
                                  <w:color w:val="252525"/>
                                  <w:spacing w:val="53"/>
                                  <w:w w:val="105"/>
                                  <w:sz w:val="8"/>
                                  <w:szCs w:val="8"/>
                                </w:rPr>
                                <w:t>  </w:t>
                              </w:r>
                              <w:r>
                                <w:rPr>
                                  <w:rFonts w:ascii="Calibri" w:hAnsi="Calibri" w:cs="Calibri" w:eastAsia="Calibri"/>
                                  <w:b/>
                                  <w:bCs/>
                                  <w:smallCaps w:val="0"/>
                                  <w:color w:val="252525"/>
                                  <w:w w:val="105"/>
                                  <w:sz w:val="8"/>
                                  <w:szCs w:val="8"/>
                                </w:rPr>
                                <w:t>Κεϕá</w:t>
                              </w:r>
                              <w:r>
                                <w:rPr>
                                  <w:rFonts w:ascii="Calibri" w:hAnsi="Calibri" w:cs="Calibri" w:eastAsia="Calibri"/>
                                  <w:b/>
                                  <w:bCs/>
                                  <w:smallCaps w:val="0"/>
                                  <w:color w:val="252525"/>
                                  <w:spacing w:val="21"/>
                                  <w:w w:val="105"/>
                                  <w:sz w:val="8"/>
                                  <w:szCs w:val="8"/>
                                </w:rPr>
                                <w:t> </w:t>
                              </w:r>
                              <w:r>
                                <w:rPr>
                                  <w:rFonts w:ascii="Calibri" w:hAnsi="Calibri" w:cs="Calibri" w:eastAsia="Calibri"/>
                                  <w:b/>
                                  <w:bCs/>
                                  <w:smallCaps w:val="0"/>
                                  <w:color w:val="252525"/>
                                  <w:w w:val="105"/>
                                  <w:sz w:val="8"/>
                                  <w:szCs w:val="8"/>
                                </w:rPr>
                                <w:t>ata</w:t>
                              </w:r>
                              <w:r>
                                <w:rPr>
                                  <w:rFonts w:ascii="Calibri" w:hAnsi="Calibri" w:cs="Calibri" w:eastAsia="Calibri"/>
                                  <w:b/>
                                  <w:bCs/>
                                  <w:smallCaps w:val="0"/>
                                  <w:color w:val="252525"/>
                                  <w:spacing w:val="-3"/>
                                  <w:w w:val="105"/>
                                  <w:sz w:val="8"/>
                                  <w:szCs w:val="8"/>
                                </w:rPr>
                                <w:t> </w:t>
                              </w:r>
                              <w:r>
                                <w:rPr>
                                  <w:rFonts w:ascii="Calibri" w:hAnsi="Calibri" w:cs="Calibri" w:eastAsia="Calibri"/>
                                  <w:b/>
                                  <w:bCs/>
                                  <w:smallCaps w:val="0"/>
                                  <w:color w:val="252525"/>
                                  <w:w w:val="105"/>
                                  <w:sz w:val="8"/>
                                  <w:szCs w:val="8"/>
                                </w:rPr>
                                <w:t>γta</w:t>
                              </w:r>
                              <w:r>
                                <w:rPr>
                                  <w:rFonts w:ascii="Calibri" w:hAnsi="Calibri" w:cs="Calibri" w:eastAsia="Calibri"/>
                                  <w:b/>
                                  <w:bCs/>
                                  <w:smallCaps w:val="0"/>
                                  <w:color w:val="252525"/>
                                  <w:spacing w:val="40"/>
                                  <w:w w:val="105"/>
                                  <w:sz w:val="8"/>
                                  <w:szCs w:val="8"/>
                                </w:rPr>
                                <w:t> </w:t>
                              </w:r>
                              <w:r>
                                <w:rPr>
                                  <w:rFonts w:ascii="Calibri" w:hAnsi="Calibri" w:cs="Calibri" w:eastAsia="Calibri"/>
                                  <w:b/>
                                  <w:bCs/>
                                  <w:smallCaps w:val="0"/>
                                  <w:color w:val="252525"/>
                                  <w:w w:val="105"/>
                                  <w:sz w:val="8"/>
                                  <w:szCs w:val="8"/>
                                </w:rPr>
                                <w:t>Auaíτηơη</w:t>
                              </w:r>
                              <w:r>
                                <w:rPr>
                                  <w:rFonts w:ascii="Calibri" w:hAnsi="Calibri" w:cs="Calibri" w:eastAsia="Calibri"/>
                                  <w:b/>
                                  <w:bCs/>
                                  <w:smallCaps w:val="0"/>
                                  <w:color w:val="252525"/>
                                  <w:spacing w:val="40"/>
                                  <w:w w:val="105"/>
                                  <w:sz w:val="8"/>
                                  <w:szCs w:val="8"/>
                                </w:rPr>
                                <w:t>  </w:t>
                              </w:r>
                              <w:r>
                                <w:rPr>
                                  <w:rFonts w:ascii="Calibri" w:hAnsi="Calibri" w:cs="Calibri" w:eastAsia="Calibri"/>
                                  <w:b/>
                                  <w:bCs/>
                                  <w:smallCaps w:val="0"/>
                                  <w:color w:val="252525"/>
                                  <w:w w:val="105"/>
                                  <w:sz w:val="8"/>
                                  <w:szCs w:val="8"/>
                                </w:rPr>
                                <w:t>τηv</w:t>
                              </w:r>
                              <w:r>
                                <w:rPr>
                                  <w:rFonts w:ascii="Calibri" w:hAnsi="Calibri" w:cs="Calibri" w:eastAsia="Calibri"/>
                                  <w:b/>
                                  <w:bCs/>
                                  <w:smallCaps w:val="0"/>
                                  <w:color w:val="252525"/>
                                  <w:spacing w:val="7"/>
                                  <w:w w:val="105"/>
                                  <w:sz w:val="8"/>
                                  <w:szCs w:val="8"/>
                                </w:rPr>
                                <w:t> </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á</w:t>
                              </w:r>
                              <w:r>
                                <w:rPr>
                                  <w:rFonts w:ascii="Calibri" w:hAnsi="Calibri" w:cs="Calibri" w:eastAsia="Calibri"/>
                                  <w:b/>
                                  <w:bCs/>
                                  <w:smallCaps w:val="0"/>
                                  <w:color w:val="252525"/>
                                  <w:spacing w:val="18"/>
                                  <w:w w:val="105"/>
                                  <w:sz w:val="8"/>
                                  <w:szCs w:val="8"/>
                                </w:rPr>
                                <w:t> </w:t>
                              </w:r>
                              <w:r>
                                <w:rPr>
                                  <w:rFonts w:ascii="Calibri" w:hAnsi="Calibri" w:cs="Calibri" w:eastAsia="Calibri"/>
                                  <w:b/>
                                  <w:bCs/>
                                  <w:smallCaps w:val="0"/>
                                  <w:color w:val="252525"/>
                                  <w:w w:val="105"/>
                                  <w:sz w:val="8"/>
                                  <w:szCs w:val="8"/>
                                </w:rPr>
                                <w:t>uψη τou</w:t>
                              </w:r>
                              <w:r>
                                <w:rPr>
                                  <w:rFonts w:ascii="Calibri" w:hAnsi="Calibri" w:cs="Calibri" w:eastAsia="Calibri"/>
                                  <w:b/>
                                  <w:bCs/>
                                  <w:smallCaps w:val="0"/>
                                  <w:color w:val="252525"/>
                                  <w:spacing w:val="55"/>
                                  <w:w w:val="105"/>
                                  <w:sz w:val="8"/>
                                  <w:szCs w:val="8"/>
                                </w:rPr>
                                <w:t>  </w:t>
                              </w:r>
                              <w:r>
                                <w:rPr>
                                  <w:rFonts w:ascii="Calibri" w:hAnsi="Calibri" w:cs="Calibri" w:eastAsia="Calibri"/>
                                  <w:b/>
                                  <w:bCs/>
                                  <w:smallCaps w:val="0"/>
                                  <w:color w:val="252525"/>
                                  <w:w w:val="105"/>
                                  <w:sz w:val="8"/>
                                  <w:szCs w:val="8"/>
                                </w:rPr>
                                <w:t>Auaíτηơη</w:t>
                              </w:r>
                              <w:r>
                                <w:rPr>
                                  <w:rFonts w:ascii="Calibri" w:hAnsi="Calibri" w:cs="Calibri" w:eastAsia="Calibri"/>
                                  <w:b/>
                                  <w:bCs/>
                                  <w:smallCaps w:val="0"/>
                                  <w:color w:val="252525"/>
                                  <w:spacing w:val="80"/>
                                  <w:w w:val="150"/>
                                  <w:sz w:val="8"/>
                                  <w:szCs w:val="8"/>
                                </w:rPr>
                                <w:t> </w:t>
                              </w:r>
                              <w:r>
                                <w:rPr>
                                  <w:rFonts w:ascii="Calibri" w:hAnsi="Calibri" w:cs="Calibri" w:eastAsia="Calibri"/>
                                  <w:b/>
                                  <w:bCs/>
                                  <w:smallCaps w:val="0"/>
                                  <w:color w:val="252525"/>
                                  <w:w w:val="105"/>
                                  <w:sz w:val="8"/>
                                  <w:szCs w:val="8"/>
                                </w:rPr>
                                <w:t>τηv</w:t>
                              </w:r>
                              <w:r>
                                <w:rPr>
                                  <w:rFonts w:ascii="Calibri" w:hAnsi="Calibri" w:cs="Calibri" w:eastAsia="Calibri"/>
                                  <w:b/>
                                  <w:bCs/>
                                  <w:smallCaps w:val="0"/>
                                  <w:color w:val="252525"/>
                                  <w:spacing w:val="8"/>
                                  <w:w w:val="105"/>
                                  <w:sz w:val="8"/>
                                  <w:szCs w:val="8"/>
                                </w:rPr>
                                <w:t> </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á</w:t>
                              </w:r>
                              <w:r>
                                <w:rPr>
                                  <w:rFonts w:ascii="Calibri" w:hAnsi="Calibri" w:cs="Calibri" w:eastAsia="Calibri"/>
                                  <w:b/>
                                  <w:bCs/>
                                  <w:smallCaps w:val="0"/>
                                  <w:color w:val="252525"/>
                                  <w:spacing w:val="17"/>
                                  <w:w w:val="105"/>
                                  <w:sz w:val="8"/>
                                  <w:szCs w:val="8"/>
                                </w:rPr>
                                <w:t> </w:t>
                              </w:r>
                              <w:r>
                                <w:rPr>
                                  <w:rFonts w:ascii="Calibri" w:hAnsi="Calibri" w:cs="Calibri" w:eastAsia="Calibri"/>
                                  <w:b/>
                                  <w:bCs/>
                                  <w:smallCaps w:val="0"/>
                                  <w:color w:val="252525"/>
                                  <w:w w:val="105"/>
                                  <w:sz w:val="8"/>
                                  <w:szCs w:val="8"/>
                                </w:rPr>
                                <w:t>uψη τou</w:t>
                              </w:r>
                              <w:r>
                                <w:rPr>
                                  <w:rFonts w:ascii="Calibri" w:hAnsi="Calibri" w:cs="Calibri" w:eastAsia="Calibri"/>
                                  <w:b/>
                                  <w:bCs/>
                                  <w:smallCaps w:val="0"/>
                                  <w:color w:val="252525"/>
                                  <w:spacing w:val="56"/>
                                  <w:w w:val="105"/>
                                  <w:sz w:val="8"/>
                                  <w:szCs w:val="8"/>
                                </w:rPr>
                                <w:t>  </w:t>
                              </w:r>
                              <w:r>
                                <w:rPr>
                                  <w:rFonts w:ascii="Calibri" w:hAnsi="Calibri" w:cs="Calibri" w:eastAsia="Calibri"/>
                                  <w:b/>
                                  <w:bCs/>
                                  <w:smallCaps w:val="0"/>
                                  <w:color w:val="252525"/>
                                  <w:w w:val="105"/>
                                  <w:sz w:val="8"/>
                                  <w:szCs w:val="8"/>
                                </w:rPr>
                                <w:t>Auaíτηơη</w:t>
                              </w:r>
                              <w:r>
                                <w:rPr>
                                  <w:rFonts w:ascii="Calibri" w:hAnsi="Calibri" w:cs="Calibri" w:eastAsia="Calibri"/>
                                  <w:b/>
                                  <w:bCs/>
                                  <w:smallCaps w:val="0"/>
                                  <w:color w:val="252525"/>
                                  <w:spacing w:val="40"/>
                                  <w:w w:val="105"/>
                                  <w:sz w:val="8"/>
                                  <w:szCs w:val="8"/>
                                </w:rPr>
                                <w:t>  </w:t>
                              </w:r>
                              <w:r>
                                <w:rPr>
                                  <w:rFonts w:ascii="Calibri" w:hAnsi="Calibri" w:cs="Calibri" w:eastAsia="Calibri"/>
                                  <w:b/>
                                  <w:bCs/>
                                  <w:smallCaps w:val="0"/>
                                  <w:color w:val="252525"/>
                                  <w:w w:val="105"/>
                                  <w:sz w:val="8"/>
                                  <w:szCs w:val="8"/>
                                </w:rPr>
                                <w:t>τηv</w:t>
                              </w:r>
                              <w:r>
                                <w:rPr>
                                  <w:rFonts w:ascii="Calibri" w:hAnsi="Calibri" w:cs="Calibri" w:eastAsia="Calibri"/>
                                  <w:b/>
                                  <w:bCs/>
                                  <w:smallCaps w:val="0"/>
                                  <w:color w:val="252525"/>
                                  <w:spacing w:val="7"/>
                                  <w:w w:val="105"/>
                                  <w:sz w:val="8"/>
                                  <w:szCs w:val="8"/>
                                </w:rPr>
                                <w:t> </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á</w:t>
                              </w:r>
                              <w:r>
                                <w:rPr>
                                  <w:rFonts w:ascii="Calibri" w:hAnsi="Calibri" w:cs="Calibri" w:eastAsia="Calibri"/>
                                  <w:b/>
                                  <w:bCs/>
                                  <w:smallCaps w:val="0"/>
                                  <w:color w:val="252525"/>
                                  <w:spacing w:val="18"/>
                                  <w:w w:val="105"/>
                                  <w:sz w:val="8"/>
                                  <w:szCs w:val="8"/>
                                </w:rPr>
                                <w:t> </w:t>
                              </w:r>
                              <w:r>
                                <w:rPr>
                                  <w:rFonts w:ascii="Calibri" w:hAnsi="Calibri" w:cs="Calibri" w:eastAsia="Calibri"/>
                                  <w:b/>
                                  <w:bCs/>
                                  <w:smallCaps w:val="0"/>
                                  <w:color w:val="252525"/>
                                  <w:w w:val="105"/>
                                  <w:sz w:val="8"/>
                                  <w:szCs w:val="8"/>
                                </w:rPr>
                                <w:t>uψη τou</w:t>
                              </w:r>
                            </w:p>
                          </w:txbxContent>
                        </wps:txbx>
                        <wps:bodyPr wrap="square" lIns="0" tIns="0" rIns="0" bIns="0" rtlCol="0">
                          <a:noAutofit/>
                        </wps:bodyPr>
                      </wps:wsp>
                      <wps:wsp>
                        <wps:cNvPr id="656" name="Textbox 656"/>
                        <wps:cNvSpPr txBox="1"/>
                        <wps:spPr>
                          <a:xfrm>
                            <a:off x="492015" y="2253296"/>
                            <a:ext cx="149225" cy="53975"/>
                          </a:xfrm>
                          <a:prstGeom prst="rect">
                            <a:avLst/>
                          </a:prstGeom>
                        </wps:spPr>
                        <wps:txbx>
                          <w:txbxContent>
                            <w:p>
                              <w:pPr>
                                <w:spacing w:line="84" w:lineRule="exact" w:before="0"/>
                                <w:ind w:left="0" w:right="0" w:firstLine="0"/>
                                <w:jc w:val="left"/>
                                <w:rPr>
                                  <w:rFonts w:ascii="Calibri"/>
                                  <w:b/>
                                  <w:sz w:val="8"/>
                                </w:rPr>
                              </w:pPr>
                              <w:r>
                                <w:rPr>
                                  <w:rFonts w:ascii="Calibri"/>
                                  <w:b/>
                                  <w:color w:val="252525"/>
                                  <w:spacing w:val="-2"/>
                                  <w:w w:val="105"/>
                                  <w:sz w:val="8"/>
                                </w:rPr>
                                <w:t>(MCR)</w:t>
                              </w:r>
                            </w:p>
                          </w:txbxContent>
                        </wps:txbx>
                        <wps:bodyPr wrap="square" lIns="0" tIns="0" rIns="0" bIns="0" rtlCol="0">
                          <a:noAutofit/>
                        </wps:bodyPr>
                      </wps:wsp>
                      <wps:wsp>
                        <wps:cNvPr id="657" name="Textbox 657"/>
                        <wps:cNvSpPr txBox="1"/>
                        <wps:spPr>
                          <a:xfrm>
                            <a:off x="878398" y="2253296"/>
                            <a:ext cx="118110" cy="53975"/>
                          </a:xfrm>
                          <a:prstGeom prst="rect">
                            <a:avLst/>
                          </a:prstGeom>
                        </wps:spPr>
                        <wps:txbx>
                          <w:txbxContent>
                            <w:p>
                              <w:pPr>
                                <w:spacing w:line="84" w:lineRule="exact" w:before="0"/>
                                <w:ind w:left="0" w:right="0" w:firstLine="0"/>
                                <w:jc w:val="left"/>
                                <w:rPr>
                                  <w:rFonts w:ascii="Calibri"/>
                                  <w:b/>
                                  <w:sz w:val="8"/>
                                </w:rPr>
                              </w:pPr>
                              <w:r>
                                <w:rPr>
                                  <w:rFonts w:ascii="Calibri"/>
                                  <w:b/>
                                  <w:color w:val="252525"/>
                                  <w:spacing w:val="-5"/>
                                  <w:w w:val="105"/>
                                  <w:sz w:val="8"/>
                                </w:rPr>
                                <w:t>MCR</w:t>
                              </w:r>
                            </w:p>
                          </w:txbxContent>
                        </wps:txbx>
                        <wps:bodyPr wrap="square" lIns="0" tIns="0" rIns="0" bIns="0" rtlCol="0">
                          <a:noAutofit/>
                        </wps:bodyPr>
                      </wps:wsp>
                      <wps:wsp>
                        <wps:cNvPr id="658" name="Textbox 658"/>
                        <wps:cNvSpPr txBox="1"/>
                        <wps:spPr>
                          <a:xfrm>
                            <a:off x="1231030" y="2253296"/>
                            <a:ext cx="150495" cy="53975"/>
                          </a:xfrm>
                          <a:prstGeom prst="rect">
                            <a:avLst/>
                          </a:prstGeom>
                        </wps:spPr>
                        <wps:txbx>
                          <w:txbxContent>
                            <w:p>
                              <w:pPr>
                                <w:spacing w:line="84" w:lineRule="exact" w:before="0"/>
                                <w:ind w:left="0" w:right="0" w:firstLine="0"/>
                                <w:jc w:val="left"/>
                                <w:rPr>
                                  <w:rFonts w:ascii="Calibri"/>
                                  <w:b/>
                                  <w:sz w:val="8"/>
                                </w:rPr>
                              </w:pPr>
                              <w:r>
                                <w:rPr>
                                  <w:rFonts w:ascii="Calibri"/>
                                  <w:b/>
                                  <w:color w:val="252525"/>
                                  <w:spacing w:val="-2"/>
                                  <w:w w:val="105"/>
                                  <w:sz w:val="8"/>
                                </w:rPr>
                                <w:t>(MCR)</w:t>
                              </w:r>
                            </w:p>
                          </w:txbxContent>
                        </wps:txbx>
                        <wps:bodyPr wrap="square" lIns="0" tIns="0" rIns="0" bIns="0" rtlCol="0">
                          <a:noAutofit/>
                        </wps:bodyPr>
                      </wps:wsp>
                      <wps:wsp>
                        <wps:cNvPr id="659" name="Textbox 659"/>
                        <wps:cNvSpPr txBox="1"/>
                        <wps:spPr>
                          <a:xfrm>
                            <a:off x="1618577" y="2253296"/>
                            <a:ext cx="118110" cy="53975"/>
                          </a:xfrm>
                          <a:prstGeom prst="rect">
                            <a:avLst/>
                          </a:prstGeom>
                        </wps:spPr>
                        <wps:txbx>
                          <w:txbxContent>
                            <w:p>
                              <w:pPr>
                                <w:spacing w:line="84" w:lineRule="exact" w:before="0"/>
                                <w:ind w:left="0" w:right="0" w:firstLine="0"/>
                                <w:jc w:val="left"/>
                                <w:rPr>
                                  <w:rFonts w:ascii="Calibri"/>
                                  <w:b/>
                                  <w:sz w:val="8"/>
                                </w:rPr>
                              </w:pPr>
                              <w:r>
                                <w:rPr>
                                  <w:rFonts w:ascii="Calibri"/>
                                  <w:b/>
                                  <w:color w:val="252525"/>
                                  <w:spacing w:val="-5"/>
                                  <w:w w:val="105"/>
                                  <w:sz w:val="8"/>
                                </w:rPr>
                                <w:t>MCR</w:t>
                              </w:r>
                            </w:p>
                          </w:txbxContent>
                        </wps:txbx>
                        <wps:bodyPr wrap="square" lIns="0" tIns="0" rIns="0" bIns="0" rtlCol="0">
                          <a:noAutofit/>
                        </wps:bodyPr>
                      </wps:wsp>
                      <wps:wsp>
                        <wps:cNvPr id="660" name="Textbox 660"/>
                        <wps:cNvSpPr txBox="1"/>
                        <wps:spPr>
                          <a:xfrm>
                            <a:off x="1971210" y="2253296"/>
                            <a:ext cx="149225" cy="53975"/>
                          </a:xfrm>
                          <a:prstGeom prst="rect">
                            <a:avLst/>
                          </a:prstGeom>
                        </wps:spPr>
                        <wps:txbx>
                          <w:txbxContent>
                            <w:p>
                              <w:pPr>
                                <w:spacing w:line="84" w:lineRule="exact" w:before="0"/>
                                <w:ind w:left="0" w:right="0" w:firstLine="0"/>
                                <w:jc w:val="left"/>
                                <w:rPr>
                                  <w:rFonts w:ascii="Calibri"/>
                                  <w:b/>
                                  <w:sz w:val="8"/>
                                </w:rPr>
                              </w:pPr>
                              <w:r>
                                <w:rPr>
                                  <w:rFonts w:ascii="Calibri"/>
                                  <w:b/>
                                  <w:color w:val="252525"/>
                                  <w:spacing w:val="-2"/>
                                  <w:w w:val="105"/>
                                  <w:sz w:val="8"/>
                                </w:rPr>
                                <w:t>(MCR)</w:t>
                              </w:r>
                            </w:p>
                          </w:txbxContent>
                        </wps:txbx>
                        <wps:bodyPr wrap="square" lIns="0" tIns="0" rIns="0" bIns="0" rtlCol="0">
                          <a:noAutofit/>
                        </wps:bodyPr>
                      </wps:wsp>
                      <wps:wsp>
                        <wps:cNvPr id="661" name="Textbox 661"/>
                        <wps:cNvSpPr txBox="1"/>
                        <wps:spPr>
                          <a:xfrm>
                            <a:off x="2357593" y="2253296"/>
                            <a:ext cx="118110" cy="53975"/>
                          </a:xfrm>
                          <a:prstGeom prst="rect">
                            <a:avLst/>
                          </a:prstGeom>
                        </wps:spPr>
                        <wps:txbx>
                          <w:txbxContent>
                            <w:p>
                              <w:pPr>
                                <w:spacing w:line="84" w:lineRule="exact" w:before="0"/>
                                <w:ind w:left="0" w:right="0" w:firstLine="0"/>
                                <w:jc w:val="left"/>
                                <w:rPr>
                                  <w:rFonts w:ascii="Calibri"/>
                                  <w:b/>
                                  <w:sz w:val="8"/>
                                </w:rPr>
                              </w:pPr>
                              <w:r>
                                <w:rPr>
                                  <w:rFonts w:ascii="Calibri"/>
                                  <w:b/>
                                  <w:color w:val="252525"/>
                                  <w:spacing w:val="-5"/>
                                  <w:w w:val="105"/>
                                  <w:sz w:val="8"/>
                                </w:rPr>
                                <w:t>MCR</w:t>
                              </w:r>
                            </w:p>
                          </w:txbxContent>
                        </wps:txbx>
                        <wps:bodyPr wrap="square" lIns="0" tIns="0" rIns="0" bIns="0" rtlCol="0">
                          <a:noAutofit/>
                        </wps:bodyPr>
                      </wps:wsp>
                      <wps:wsp>
                        <wps:cNvPr id="662" name="Textbox 662"/>
                        <wps:cNvSpPr txBox="1"/>
                        <wps:spPr>
                          <a:xfrm>
                            <a:off x="71627" y="2501195"/>
                            <a:ext cx="1506855" cy="140335"/>
                          </a:xfrm>
                          <a:prstGeom prst="rect">
                            <a:avLst/>
                          </a:prstGeom>
                        </wps:spPr>
                        <wps:txbx>
                          <w:txbxContent>
                            <w:p>
                              <w:pPr>
                                <w:spacing w:line="221" w:lineRule="exact" w:before="0"/>
                                <w:ind w:left="0" w:right="0" w:firstLine="0"/>
                                <w:jc w:val="left"/>
                                <w:rPr>
                                  <w:sz w:val="20"/>
                                </w:rPr>
                              </w:pPr>
                              <w:r>
                                <w:rPr>
                                  <w:sz w:val="20"/>
                                </w:rPr>
                                <w:t>Πηγή:</w:t>
                              </w:r>
                              <w:r>
                                <w:rPr>
                                  <w:spacing w:val="-7"/>
                                  <w:sz w:val="20"/>
                                </w:rPr>
                                <w:t> </w:t>
                              </w:r>
                              <w:r>
                                <w:rPr>
                                  <w:sz w:val="20"/>
                                </w:rPr>
                                <w:t>Τράπεζα</w:t>
                              </w:r>
                              <w:r>
                                <w:rPr>
                                  <w:spacing w:val="-5"/>
                                  <w:sz w:val="20"/>
                                </w:rPr>
                                <w:t> </w:t>
                              </w:r>
                              <w:r>
                                <w:rPr>
                                  <w:sz w:val="20"/>
                                </w:rPr>
                                <w:t>της</w:t>
                              </w:r>
                              <w:r>
                                <w:rPr>
                                  <w:spacing w:val="-5"/>
                                  <w:sz w:val="20"/>
                                </w:rPr>
                                <w:t> </w:t>
                              </w:r>
                              <w:r>
                                <w:rPr>
                                  <w:spacing w:val="-2"/>
                                  <w:sz w:val="20"/>
                                </w:rPr>
                                <w:t>Ελλάδος.</w:t>
                              </w:r>
                            </w:p>
                          </w:txbxContent>
                        </wps:txbx>
                        <wps:bodyPr wrap="square" lIns="0" tIns="0" rIns="0" bIns="0" rtlCol="0">
                          <a:noAutofit/>
                        </wps:bodyPr>
                      </wps:wsp>
                    </wpg:wgp>
                  </a:graphicData>
                </a:graphic>
              </wp:inline>
            </w:drawing>
          </mc:Choice>
          <mc:Fallback>
            <w:pict>
              <v:group style="width:210pt;height:211pt;mso-position-horizontal-relative:char;mso-position-vertical-relative:line" id="docshapegroup589" coordorigin="0,0" coordsize="4200,4220">
                <v:shape style="position:absolute;left:0;top:0;width:4197;height:4220" id="docshape590" coordorigin="0,0" coordsize="4197,4220" path="m4196,3869l0,3869,0,4220,4196,4220,4196,3869xm4196,0l0,0,0,3869,4196,3869,4196,0xe" filled="true" fillcolor="#d9d9d9" stroked="false">
                  <v:path arrowok="t"/>
                  <v:fill type="solid"/>
                </v:shape>
                <v:shape style="position:absolute;left:591;top:710;width:3492;height:1703" id="docshape591" coordorigin="592,711" coordsize="3492,1703" path="m592,2414l1320,2414m1613,2414l2484,2414m2777,2414l3070,2414m3355,2414l3648,2414m3941,2414l4083,2414m592,1843l3648,1843m3941,1843l4083,1843m592,1272l3648,1272m3941,1272l4083,1272m592,711l3648,711m3941,711l4083,711e" filled="false" stroked="true" strokeweight=".545858pt" strokecolor="#ffffff">
                  <v:path arrowok="t"/>
                  <v:stroke dashstyle="solid"/>
                </v:shape>
                <v:line style="position:absolute" from="592,140" to="4083,140" stroked="true" strokeweight=".545835pt" strokecolor="#ffffff">
                  <v:stroke dashstyle="solid"/>
                </v:line>
                <v:shape style="position:absolute;left:742;top:2137;width:871;height:843" id="docshape592" coordorigin="743,2138" coordsize="871,843" path="m1027,2840l743,2840,743,2980,1027,2980,1027,2840xm1613,2138l1320,2138,1320,2980,1613,2980,1613,2138xe" filled="true" fillcolor="#b8cde4" stroked="false">
                  <v:path arrowok="t"/>
                  <v:fill type="solid"/>
                </v:shape>
                <v:shape style="position:absolute;left:1906;top:2044;width:871;height:936" id="docshape593" coordorigin="1907,2044" coordsize="871,936" path="m2191,2821l1907,2821,1907,2980,2191,2980,2191,2821xm2777,2044l2484,2044,2484,2980,2777,2980,2777,2044xe" filled="true" fillcolor="#8eb4e2" stroked="false">
                  <v:path arrowok="t"/>
                  <v:fill type="solid"/>
                </v:shape>
                <v:shape style="position:absolute;left:3070;top:594;width:871;height:2387" id="docshape594" coordorigin="3070,594" coordsize="871,2387" path="m3355,2400l3070,2400,3070,2980,3355,2980,3355,2400xm3941,594l3648,594,3648,2980,3941,2980,3941,594xe" filled="true" fillcolor="#4f81bc" stroked="false">
                  <v:path arrowok="t"/>
                  <v:fill type="solid"/>
                </v:shape>
                <v:shape style="position:absolute;left:879;top:2838;width:11;height:11" id="docshape595" coordorigin="880,2839" coordsize="11,11" path="m880,2844l881,2841,885,2839,889,2841,890,2844,889,2848,885,2850,881,2848,880,2844xe" filled="true" fillcolor="#585858" stroked="false">
                  <v:path arrowok="t"/>
                  <v:fill type="solid"/>
                </v:shape>
                <v:shape style="position:absolute;left:884;top:2142;width:587;height:702" id="docshape596" coordorigin="885,2143" coordsize="587,702" path="m885,2844l885,2835m1471,2143l1471,2152e" filled="false" stroked="true" strokeweight=".540196pt" strokecolor="#585858">
                  <v:path arrowok="t"/>
                  <v:stroke dashstyle="solid"/>
                </v:shape>
                <v:shape style="position:absolute;left:1466;top:2137;width:11;height:11" id="docshape597" coordorigin="1466,2137" coordsize="11,11" path="m1466,2143l1468,2139,1471,2137,1475,2139,1477,2143,1475,2146,1471,2148,1468,2146,1466,2143xe" filled="true" fillcolor="#585858" stroked="false">
                  <v:path arrowok="t"/>
                  <v:fill type="solid"/>
                </v:shape>
                <v:line style="position:absolute" from="2049,2816" to="2049,2826" stroked="true" strokeweight=".534556pt" strokecolor="#585858">
                  <v:stroke dashstyle="solid"/>
                </v:line>
                <v:shape style="position:absolute;left:2043;top:2810;width:11;height:11" id="docshape598" coordorigin="2043,2811" coordsize="11,11" path="m2043,2816l2045,2812,2049,2811,2052,2812,2054,2816,2052,2820,2049,2822,2045,2820,2043,2816xe" filled="true" fillcolor="#585858" stroked="false">
                  <v:path arrowok="t"/>
                  <v:fill type="solid"/>
                </v:shape>
                <v:line style="position:absolute" from="2626,2049" to="2626,2058" stroked="true" strokeweight=".534556pt" strokecolor="#585858">
                  <v:stroke dashstyle="solid"/>
                </v:line>
                <v:shape style="position:absolute;left:2620;top:2043;width:11;height:11" id="docshape599" coordorigin="2621,2044" coordsize="11,11" path="m2621,2049l2622,2045,2626,2044,2630,2045,2631,2049,2630,2053,2626,2055,2622,2053,2621,2049xe" filled="true" fillcolor="#585858" stroked="false">
                  <v:path arrowok="t"/>
                  <v:fill type="solid"/>
                </v:shape>
                <v:line style="position:absolute" from="3212,2395" to="3212,2405" stroked="true" strokeweight=".534556pt" strokecolor="#585858">
                  <v:stroke dashstyle="solid"/>
                </v:line>
                <v:shape style="position:absolute;left:3207;top:2389;width:11;height:11" id="docshape600" coordorigin="3207,2390" coordsize="11,11" path="m3207,2395l3209,2391,3212,2390,3216,2391,3218,2395,3216,2399,3212,2401,3209,2399,3207,2395xe" filled="true" fillcolor="#585858" stroked="false">
                  <v:path arrowok="t"/>
                  <v:fill type="solid"/>
                </v:shape>
                <v:line style="position:absolute" from="3790,599" to="3790,608" stroked="true" strokeweight=".534556pt" strokecolor="#585858">
                  <v:stroke dashstyle="solid"/>
                </v:line>
                <v:shape style="position:absolute;left:3784;top:593;width:11;height:11" id="docshape601" coordorigin="3784,593" coordsize="11,11" path="m3784,599l3786,595,3790,593,3794,595,3795,599,3794,603,3790,604,3786,603,3784,599xe" filled="true" fillcolor="#585858" stroked="false">
                  <v:path arrowok="t"/>
                  <v:fill type="solid"/>
                </v:shape>
                <v:shape style="position:absolute;left:591;top:140;width:3492;height:3500" id="docshape602" coordorigin="592,140" coordsize="3492,3500" path="m592,2975l592,140m592,2975l4083,2975m592,2975l592,3153m1178,2975l1178,3153m1755,2975l1755,3153m2342,2975l2342,3153m2919,2975l2919,3153m3506,2975l3506,3153m4083,2975l4083,3153m592,3153l592,3640m1178,3153l1178,3640m1755,3153l1755,3640m2342,3153l2342,3640m2919,3153l2919,3640m3506,3153l3506,3640m4083,3153l4083,3640e" filled="false" stroked="true" strokeweight=".540196pt" strokecolor="#7e7e7e">
                  <v:path arrowok="t"/>
                  <v:stroke dashstyle="solid"/>
                </v:shape>
                <v:shape style="position:absolute;left:124;top:9;width:4070;height:3837" id="docshape603" coordorigin="124,9" coordsize="4070,3837" path="m4194,9l124,9,124,3846,4194,3846e" filled="false" stroked="true" strokeweight=".540528pt" strokecolor="#d9d9d9">
                  <v:path arrowok="t"/>
                  <v:stroke dashstyle="solid"/>
                </v:shape>
                <v:shape style="position:absolute;left:201;top:90;width:292;height:122" type="#_x0000_t202" id="docshape604" filled="false" stroked="false">
                  <v:textbox inset="0,0,0,0">
                    <w:txbxContent>
                      <w:p>
                        <w:pPr>
                          <w:spacing w:line="122" w:lineRule="exact" w:before="0"/>
                          <w:ind w:left="0" w:right="0" w:firstLine="0"/>
                          <w:jc w:val="left"/>
                          <w:rPr>
                            <w:rFonts w:ascii="Calibri"/>
                            <w:b/>
                            <w:sz w:val="12"/>
                          </w:rPr>
                        </w:pPr>
                        <w:r>
                          <w:rPr>
                            <w:rFonts w:ascii="Calibri"/>
                            <w:b/>
                            <w:color w:val="252525"/>
                            <w:spacing w:val="-2"/>
                            <w:sz w:val="12"/>
                          </w:rPr>
                          <w:t>2,500</w:t>
                        </w:r>
                      </w:p>
                    </w:txbxContent>
                  </v:textbox>
                  <w10:wrap type="none"/>
                </v:shape>
                <v:shape style="position:absolute;left:3657;top:417;width:292;height:122" type="#_x0000_t202" id="docshape605" filled="false" stroked="false">
                  <v:textbox inset="0,0,0,0">
                    <w:txbxContent>
                      <w:p>
                        <w:pPr>
                          <w:spacing w:line="122" w:lineRule="exact" w:before="0"/>
                          <w:ind w:left="0" w:right="0" w:firstLine="0"/>
                          <w:jc w:val="left"/>
                          <w:rPr>
                            <w:rFonts w:ascii="Calibri"/>
                            <w:b/>
                            <w:sz w:val="12"/>
                          </w:rPr>
                        </w:pPr>
                        <w:r>
                          <w:rPr>
                            <w:rFonts w:ascii="Calibri"/>
                            <w:b/>
                            <w:color w:val="252525"/>
                            <w:spacing w:val="-2"/>
                            <w:sz w:val="12"/>
                          </w:rPr>
                          <w:t>2,098</w:t>
                        </w:r>
                      </w:p>
                    </w:txbxContent>
                  </v:textbox>
                  <w10:wrap type="none"/>
                </v:shape>
                <v:shape style="position:absolute;left:201;top:651;width:292;height:122" type="#_x0000_t202" id="docshape606" filled="false" stroked="false">
                  <v:textbox inset="0,0,0,0">
                    <w:txbxContent>
                      <w:p>
                        <w:pPr>
                          <w:spacing w:line="122" w:lineRule="exact" w:before="0"/>
                          <w:ind w:left="0" w:right="0" w:firstLine="0"/>
                          <w:jc w:val="left"/>
                          <w:rPr>
                            <w:rFonts w:ascii="Calibri"/>
                            <w:b/>
                            <w:sz w:val="12"/>
                          </w:rPr>
                        </w:pPr>
                        <w:r>
                          <w:rPr>
                            <w:rFonts w:ascii="Calibri"/>
                            <w:b/>
                            <w:color w:val="252525"/>
                            <w:spacing w:val="-2"/>
                            <w:sz w:val="12"/>
                          </w:rPr>
                          <w:t>2,000</w:t>
                        </w:r>
                      </w:p>
                    </w:txbxContent>
                  </v:textbox>
                  <w10:wrap type="none"/>
                </v:shape>
                <v:shape style="position:absolute;left:201;top:1224;width:292;height:122" type="#_x0000_t202" id="docshape607" filled="false" stroked="false">
                  <v:textbox inset="0,0,0,0">
                    <w:txbxContent>
                      <w:p>
                        <w:pPr>
                          <w:spacing w:line="122" w:lineRule="exact" w:before="0"/>
                          <w:ind w:left="0" w:right="0" w:firstLine="0"/>
                          <w:jc w:val="left"/>
                          <w:rPr>
                            <w:rFonts w:ascii="Calibri"/>
                            <w:b/>
                            <w:sz w:val="12"/>
                          </w:rPr>
                        </w:pPr>
                        <w:r>
                          <w:rPr>
                            <w:rFonts w:ascii="Calibri"/>
                            <w:b/>
                            <w:color w:val="252525"/>
                            <w:spacing w:val="-2"/>
                            <w:sz w:val="12"/>
                          </w:rPr>
                          <w:t>1,500</w:t>
                        </w:r>
                      </w:p>
                    </w:txbxContent>
                  </v:textbox>
                  <w10:wrap type="none"/>
                </v:shape>
                <v:shape style="position:absolute;left:201;top:1796;width:292;height:122" type="#_x0000_t202" id="docshape608" filled="false" stroked="false">
                  <v:textbox inset="0,0,0,0">
                    <w:txbxContent>
                      <w:p>
                        <w:pPr>
                          <w:spacing w:line="122" w:lineRule="exact" w:before="0"/>
                          <w:ind w:left="0" w:right="0" w:firstLine="0"/>
                          <w:jc w:val="left"/>
                          <w:rPr>
                            <w:rFonts w:ascii="Calibri"/>
                            <w:b/>
                            <w:sz w:val="12"/>
                          </w:rPr>
                        </w:pPr>
                        <w:r>
                          <w:rPr>
                            <w:rFonts w:ascii="Calibri"/>
                            <w:b/>
                            <w:color w:val="252525"/>
                            <w:spacing w:val="-2"/>
                            <w:sz w:val="12"/>
                          </w:rPr>
                          <w:t>1,000</w:t>
                        </w:r>
                      </w:p>
                    </w:txbxContent>
                  </v:textbox>
                  <w10:wrap type="none"/>
                </v:shape>
                <v:shape style="position:absolute;left:2539;top:1871;width:200;height:122" type="#_x0000_t202" id="docshape609" filled="false" stroked="false">
                  <v:textbox inset="0,0,0,0">
                    <w:txbxContent>
                      <w:p>
                        <w:pPr>
                          <w:spacing w:line="122" w:lineRule="exact" w:before="0"/>
                          <w:ind w:left="0" w:right="0" w:firstLine="0"/>
                          <w:jc w:val="left"/>
                          <w:rPr>
                            <w:rFonts w:ascii="Calibri"/>
                            <w:b/>
                            <w:sz w:val="12"/>
                          </w:rPr>
                        </w:pPr>
                        <w:r>
                          <w:rPr>
                            <w:rFonts w:ascii="Calibri"/>
                            <w:b/>
                            <w:color w:val="252525"/>
                            <w:spacing w:val="-5"/>
                            <w:sz w:val="12"/>
                          </w:rPr>
                          <w:t>819</w:t>
                        </w:r>
                      </w:p>
                    </w:txbxContent>
                  </v:textbox>
                  <w10:wrap type="none"/>
                </v:shape>
                <v:shape style="position:absolute;left:1374;top:1965;width:204;height:122" type="#_x0000_t202" id="docshape610" filled="false" stroked="false">
                  <v:textbox inset="0,0,0,0">
                    <w:txbxContent>
                      <w:p>
                        <w:pPr>
                          <w:spacing w:line="122" w:lineRule="exact" w:before="0"/>
                          <w:ind w:left="0" w:right="0" w:firstLine="0"/>
                          <w:jc w:val="left"/>
                          <w:rPr>
                            <w:rFonts w:ascii="Calibri"/>
                            <w:b/>
                            <w:sz w:val="12"/>
                          </w:rPr>
                        </w:pPr>
                        <w:r>
                          <w:rPr>
                            <w:rFonts w:ascii="Calibri"/>
                            <w:b/>
                            <w:color w:val="252525"/>
                            <w:spacing w:val="-5"/>
                            <w:sz w:val="12"/>
                          </w:rPr>
                          <w:t>737</w:t>
                        </w:r>
                      </w:p>
                    </w:txbxContent>
                  </v:textbox>
                  <w10:wrap type="none"/>
                </v:shape>
                <v:shape style="position:absolute;left:3122;top:2227;width:200;height:122" type="#_x0000_t202" id="docshape611" filled="false" stroked="false">
                  <v:textbox inset="0,0,0,0">
                    <w:txbxContent>
                      <w:p>
                        <w:pPr>
                          <w:spacing w:line="122" w:lineRule="exact" w:before="0"/>
                          <w:ind w:left="0" w:right="0" w:firstLine="0"/>
                          <w:jc w:val="left"/>
                          <w:rPr>
                            <w:rFonts w:ascii="Calibri"/>
                            <w:b/>
                            <w:sz w:val="12"/>
                          </w:rPr>
                        </w:pPr>
                        <w:r>
                          <w:rPr>
                            <w:rFonts w:ascii="Calibri"/>
                            <w:b/>
                            <w:color w:val="252525"/>
                            <w:spacing w:val="-5"/>
                            <w:sz w:val="12"/>
                          </w:rPr>
                          <w:t>510</w:t>
                        </w:r>
                      </w:p>
                    </w:txbxContent>
                  </v:textbox>
                  <w10:wrap type="none"/>
                </v:shape>
                <v:shape style="position:absolute;left:294;top:2358;width:200;height:122" type="#_x0000_t202" id="docshape612" filled="false" stroked="false">
                  <v:textbox inset="0,0,0,0">
                    <w:txbxContent>
                      <w:p>
                        <w:pPr>
                          <w:spacing w:line="122" w:lineRule="exact" w:before="0"/>
                          <w:ind w:left="0" w:right="0" w:firstLine="0"/>
                          <w:jc w:val="left"/>
                          <w:rPr>
                            <w:rFonts w:ascii="Calibri"/>
                            <w:b/>
                            <w:sz w:val="12"/>
                          </w:rPr>
                        </w:pPr>
                        <w:r>
                          <w:rPr>
                            <w:rFonts w:ascii="Calibri"/>
                            <w:b/>
                            <w:color w:val="252525"/>
                            <w:spacing w:val="-5"/>
                            <w:sz w:val="12"/>
                          </w:rPr>
                          <w:t>500</w:t>
                        </w:r>
                      </w:p>
                    </w:txbxContent>
                  </v:textbox>
                  <w10:wrap type="none"/>
                </v:shape>
                <v:shape style="position:absolute;left:793;top:2665;width:201;height:124" type="#_x0000_t202" id="docshape613" filled="false" stroked="false">
                  <v:textbox inset="0,0,0,0">
                    <w:txbxContent>
                      <w:p>
                        <w:pPr>
                          <w:spacing w:line="124" w:lineRule="exact" w:before="0"/>
                          <w:ind w:left="0" w:right="0" w:firstLine="0"/>
                          <w:jc w:val="left"/>
                          <w:rPr>
                            <w:rFonts w:ascii="Calibri"/>
                            <w:b/>
                            <w:sz w:val="12"/>
                          </w:rPr>
                        </w:pPr>
                        <w:r>
                          <w:rPr>
                            <w:rFonts w:ascii="Calibri"/>
                            <w:b/>
                            <w:color w:val="252525"/>
                            <w:spacing w:val="-5"/>
                            <w:sz w:val="12"/>
                          </w:rPr>
                          <w:t>121</w:t>
                        </w:r>
                      </w:p>
                    </w:txbxContent>
                  </v:textbox>
                  <w10:wrap type="none"/>
                </v:shape>
                <v:shape style="position:absolute;left:1956;top:2637;width:201;height:124" type="#_x0000_t202" id="docshape614" filled="false" stroked="false">
                  <v:textbox inset="0,0,0,0">
                    <w:txbxContent>
                      <w:p>
                        <w:pPr>
                          <w:spacing w:line="124" w:lineRule="exact" w:before="0"/>
                          <w:ind w:left="0" w:right="0" w:firstLine="0"/>
                          <w:jc w:val="left"/>
                          <w:rPr>
                            <w:rFonts w:ascii="Calibri"/>
                            <w:b/>
                            <w:sz w:val="12"/>
                          </w:rPr>
                        </w:pPr>
                        <w:r>
                          <w:rPr>
                            <w:rFonts w:ascii="Calibri"/>
                            <w:b/>
                            <w:color w:val="252525"/>
                            <w:spacing w:val="-5"/>
                            <w:sz w:val="12"/>
                          </w:rPr>
                          <w:t>140</w:t>
                        </w:r>
                      </w:p>
                    </w:txbxContent>
                  </v:textbox>
                  <w10:wrap type="none"/>
                </v:shape>
                <v:shape style="position:absolute;left:419;top:2930;width:81;height:122" type="#_x0000_t202" id="docshape615" filled="false" stroked="false">
                  <v:textbox inset="0,0,0,0">
                    <w:txbxContent>
                      <w:p>
                        <w:pPr>
                          <w:spacing w:line="122" w:lineRule="exact" w:before="0"/>
                          <w:ind w:left="0" w:right="0" w:firstLine="0"/>
                          <w:jc w:val="left"/>
                          <w:rPr>
                            <w:rFonts w:ascii="Calibri"/>
                            <w:b/>
                            <w:sz w:val="12"/>
                          </w:rPr>
                        </w:pPr>
                        <w:r>
                          <w:rPr>
                            <w:rFonts w:ascii="Calibri"/>
                            <w:b/>
                            <w:color w:val="252525"/>
                            <w:spacing w:val="-10"/>
                            <w:sz w:val="12"/>
                          </w:rPr>
                          <w:t>0</w:t>
                        </w:r>
                      </w:p>
                    </w:txbxContent>
                  </v:textbox>
                  <w10:wrap type="none"/>
                </v:shape>
                <v:shape style="position:absolute;left:659;top:3061;width:3419;height:468" type="#_x0000_t202" id="docshape616" filled="false" stroked="false">
                  <v:textbox inset="0,0,0,0">
                    <w:txbxContent>
                      <w:p>
                        <w:pPr>
                          <w:tabs>
                            <w:tab w:pos="716" w:val="left" w:leader="none"/>
                            <w:tab w:pos="1163" w:val="left" w:leader="none"/>
                            <w:tab w:pos="2431" w:val="left" w:leader="none"/>
                            <w:tab w:pos="3014" w:val="left" w:leader="none"/>
                          </w:tabs>
                          <w:spacing w:line="85" w:lineRule="exact" w:before="0"/>
                          <w:ind w:left="133" w:right="0" w:firstLine="0"/>
                          <w:jc w:val="left"/>
                          <w:rPr>
                            <w:rFonts w:ascii="Calibri" w:hAnsi="Calibri"/>
                            <w:b/>
                            <w:sz w:val="8"/>
                          </w:rPr>
                        </w:pPr>
                        <w:r>
                          <w:rPr>
                            <w:rFonts w:ascii="Calibri" w:hAnsi="Calibri"/>
                            <w:b/>
                            <w:color w:val="252525"/>
                            <w:spacing w:val="-4"/>
                            <w:w w:val="105"/>
                            <w:sz w:val="8"/>
                          </w:rPr>
                          <w:t>Zωήç</w:t>
                        </w:r>
                        <w:r>
                          <w:rPr>
                            <w:rFonts w:ascii="Calibri" w:hAnsi="Calibri"/>
                            <w:b/>
                            <w:color w:val="252525"/>
                            <w:sz w:val="8"/>
                          </w:rPr>
                          <w:tab/>
                        </w:r>
                        <w:r>
                          <w:rPr>
                            <w:rFonts w:ascii="Calibri" w:hAnsi="Calibri"/>
                            <w:b/>
                            <w:color w:val="252525"/>
                            <w:spacing w:val="-4"/>
                            <w:w w:val="105"/>
                            <w:sz w:val="8"/>
                          </w:rPr>
                          <w:t>Zωήç</w:t>
                        </w:r>
                        <w:r>
                          <w:rPr>
                            <w:rFonts w:ascii="Calibri" w:hAnsi="Calibri"/>
                            <w:b/>
                            <w:color w:val="252525"/>
                            <w:sz w:val="8"/>
                          </w:rPr>
                          <w:tab/>
                        </w:r>
                        <w:r>
                          <w:rPr>
                            <w:rFonts w:ascii="Calibri" w:hAnsi="Calibri"/>
                            <w:b/>
                            <w:color w:val="252525"/>
                            <w:w w:val="105"/>
                            <w:sz w:val="8"/>
                          </w:rPr>
                          <w:t>Κaτá</w:t>
                        </w:r>
                        <w:r>
                          <w:rPr>
                            <w:rFonts w:ascii="Calibri" w:hAnsi="Calibri"/>
                            <w:b/>
                            <w:color w:val="252525"/>
                            <w:spacing w:val="23"/>
                            <w:w w:val="105"/>
                            <w:sz w:val="8"/>
                          </w:rPr>
                          <w:t> </w:t>
                        </w:r>
                        <w:r>
                          <w:rPr>
                            <w:rFonts w:ascii="Calibri" w:hAnsi="Calibri"/>
                            <w:b/>
                            <w:color w:val="252525"/>
                            <w:w w:val="105"/>
                            <w:sz w:val="8"/>
                          </w:rPr>
                          <w:t>ηµtώv</w:t>
                        </w:r>
                        <w:r>
                          <w:rPr>
                            <w:rFonts w:ascii="Calibri" w:hAnsi="Calibri"/>
                            <w:b/>
                            <w:color w:val="252525"/>
                            <w:spacing w:val="60"/>
                            <w:w w:val="105"/>
                            <w:sz w:val="8"/>
                          </w:rPr>
                          <w:t>  </w:t>
                        </w:r>
                        <w:r>
                          <w:rPr>
                            <w:rFonts w:ascii="Calibri" w:hAnsi="Calibri"/>
                            <w:b/>
                            <w:color w:val="252525"/>
                            <w:w w:val="105"/>
                            <w:sz w:val="8"/>
                          </w:rPr>
                          <w:t>Κaτá</w:t>
                        </w:r>
                        <w:r>
                          <w:rPr>
                            <w:rFonts w:ascii="Calibri" w:hAnsi="Calibri"/>
                            <w:b/>
                            <w:color w:val="252525"/>
                            <w:spacing w:val="27"/>
                            <w:w w:val="105"/>
                            <w:sz w:val="8"/>
                          </w:rPr>
                          <w:t> </w:t>
                        </w:r>
                        <w:r>
                          <w:rPr>
                            <w:rFonts w:ascii="Calibri" w:hAnsi="Calibri"/>
                            <w:b/>
                            <w:color w:val="252525"/>
                            <w:spacing w:val="-2"/>
                            <w:w w:val="105"/>
                            <w:sz w:val="8"/>
                          </w:rPr>
                          <w:t>ηµtώv</w:t>
                        </w:r>
                        <w:r>
                          <w:rPr>
                            <w:rFonts w:ascii="Calibri" w:hAnsi="Calibri"/>
                            <w:b/>
                            <w:color w:val="252525"/>
                            <w:sz w:val="8"/>
                          </w:rPr>
                          <w:tab/>
                        </w:r>
                        <w:r>
                          <w:rPr>
                            <w:rFonts w:ascii="Calibri" w:hAnsi="Calibri"/>
                            <w:b/>
                            <w:color w:val="252525"/>
                            <w:spacing w:val="-2"/>
                            <w:w w:val="105"/>
                            <w:sz w:val="8"/>
                          </w:rPr>
                          <w:t>Mt</w:t>
                        </w:r>
                        <w:r>
                          <w:rPr>
                            <w:rFonts w:ascii="Calibri" w:hAnsi="Calibri"/>
                            <w:b/>
                            <w:smallCaps/>
                            <w:color w:val="252525"/>
                            <w:spacing w:val="-2"/>
                            <w:w w:val="105"/>
                            <w:sz w:val="8"/>
                          </w:rPr>
                          <w:t>k</w:t>
                        </w:r>
                        <w:r>
                          <w:rPr>
                            <w:rFonts w:ascii="Calibri" w:hAnsi="Calibri"/>
                            <w:b/>
                            <w:smallCaps w:val="0"/>
                            <w:color w:val="252525"/>
                            <w:spacing w:val="-2"/>
                            <w:w w:val="105"/>
                            <w:sz w:val="8"/>
                          </w:rPr>
                          <w:t>τćç</w:t>
                        </w:r>
                        <w:r>
                          <w:rPr>
                            <w:rFonts w:ascii="Calibri" w:hAnsi="Calibri"/>
                            <w:b/>
                            <w:smallCaps w:val="0"/>
                            <w:color w:val="252525"/>
                            <w:sz w:val="8"/>
                          </w:rPr>
                          <w:tab/>
                        </w:r>
                        <w:r>
                          <w:rPr>
                            <w:rFonts w:ascii="Calibri" w:hAnsi="Calibri"/>
                            <w:b/>
                            <w:smallCaps w:val="0"/>
                            <w:color w:val="252525"/>
                            <w:spacing w:val="-2"/>
                            <w:w w:val="105"/>
                            <w:sz w:val="8"/>
                          </w:rPr>
                          <w:t>Mt</w:t>
                        </w:r>
                        <w:r>
                          <w:rPr>
                            <w:rFonts w:ascii="Calibri" w:hAnsi="Calibri"/>
                            <w:b/>
                            <w:smallCaps/>
                            <w:color w:val="252525"/>
                            <w:spacing w:val="-2"/>
                            <w:w w:val="105"/>
                            <w:sz w:val="8"/>
                          </w:rPr>
                          <w:t>k</w:t>
                        </w:r>
                        <w:r>
                          <w:rPr>
                            <w:rFonts w:ascii="Calibri" w:hAnsi="Calibri"/>
                            <w:b/>
                            <w:smallCaps w:val="0"/>
                            <w:color w:val="252525"/>
                            <w:spacing w:val="-2"/>
                            <w:w w:val="105"/>
                            <w:sz w:val="8"/>
                          </w:rPr>
                          <w:t>τćç</w:t>
                        </w:r>
                      </w:p>
                      <w:p>
                        <w:pPr>
                          <w:spacing w:line="264" w:lineRule="auto" w:before="61"/>
                          <w:ind w:left="0" w:right="18" w:firstLine="64"/>
                          <w:jc w:val="right"/>
                          <w:rPr>
                            <w:rFonts w:ascii="Calibri" w:hAnsi="Calibri" w:cs="Calibri" w:eastAsia="Calibri"/>
                            <w:b/>
                            <w:bCs/>
                            <w:sz w:val="8"/>
                            <w:szCs w:val="8"/>
                          </w:rPr>
                        </w:pPr>
                        <w:r>
                          <w:rPr>
                            <w:rFonts w:ascii="Calibri" w:hAnsi="Calibri" w:cs="Calibri" w:eastAsia="Calibri"/>
                            <w:b/>
                            <w:bCs/>
                            <w:color w:val="252525"/>
                            <w:w w:val="105"/>
                            <w:sz w:val="8"/>
                            <w:szCs w:val="8"/>
                          </w:rPr>
                          <w:t>E</w:t>
                        </w:r>
                        <w:r>
                          <w:rPr>
                            <w:rFonts w:ascii="Calibri" w:hAnsi="Calibri" w:cs="Calibri" w:eastAsia="Calibri"/>
                            <w:b/>
                            <w:bCs/>
                            <w:color w:val="252525"/>
                            <w:spacing w:val="21"/>
                            <w:w w:val="105"/>
                            <w:sz w:val="8"/>
                            <w:szCs w:val="8"/>
                          </w:rPr>
                          <w:t> </w:t>
                        </w:r>
                        <w:r>
                          <w:rPr>
                            <w:rFonts w:ascii="Calibri" w:hAnsi="Calibri" w:cs="Calibri" w:eastAsia="Calibri"/>
                            <w:b/>
                            <w:bCs/>
                            <w:color w:val="252525"/>
                            <w:w w:val="105"/>
                            <w:sz w:val="8"/>
                            <w:szCs w:val="8"/>
                          </w:rPr>
                          <w:t>áχtơτη</w:t>
                        </w:r>
                        <w:r>
                          <w:rPr>
                            <w:rFonts w:ascii="Calibri" w:hAnsi="Calibri" w:cs="Calibri" w:eastAsia="Calibri"/>
                            <w:b/>
                            <w:bCs/>
                            <w:color w:val="252525"/>
                            <w:spacing w:val="60"/>
                            <w:w w:val="105"/>
                            <w:sz w:val="8"/>
                            <w:szCs w:val="8"/>
                          </w:rPr>
                          <w:t>  </w:t>
                        </w:r>
                        <w:r>
                          <w:rPr>
                            <w:rFonts w:ascii="Calibri" w:hAnsi="Calibri" w:cs="Calibri" w:eastAsia="Calibri"/>
                            <w:b/>
                            <w:bCs/>
                            <w:color w:val="252525"/>
                            <w:w w:val="105"/>
                            <w:sz w:val="8"/>
                            <w:szCs w:val="8"/>
                          </w:rPr>
                          <w:t>Eut</w:t>
                        </w:r>
                        <w:r>
                          <w:rPr>
                            <w:rFonts w:ascii="Calibri" w:hAnsi="Calibri" w:cs="Calibri" w:eastAsia="Calibri"/>
                            <w:b/>
                            <w:bCs/>
                            <w:color w:val="252525"/>
                            <w:spacing w:val="22"/>
                            <w:w w:val="105"/>
                            <w:sz w:val="8"/>
                            <w:szCs w:val="8"/>
                          </w:rPr>
                          <w:t> </w:t>
                        </w:r>
                        <w:r>
                          <w:rPr>
                            <w:rFonts w:ascii="Calibri" w:hAnsi="Calibri" w:cs="Calibri" w:eastAsia="Calibri"/>
                            <w:b/>
                            <w:bCs/>
                            <w:color w:val="252525"/>
                            <w:w w:val="105"/>
                            <w:sz w:val="8"/>
                            <w:szCs w:val="8"/>
                          </w:rPr>
                          <w:t>ćÇtµa</w:t>
                        </w:r>
                        <w:r>
                          <w:rPr>
                            <w:rFonts w:ascii="Calibri" w:hAnsi="Calibri" w:cs="Calibri" w:eastAsia="Calibri"/>
                            <w:b/>
                            <w:bCs/>
                            <w:color w:val="252525"/>
                            <w:spacing w:val="-5"/>
                            <w:w w:val="105"/>
                            <w:sz w:val="8"/>
                            <w:szCs w:val="8"/>
                          </w:rPr>
                          <w:t> </w:t>
                        </w:r>
                        <w:r>
                          <w:rPr>
                            <w:rFonts w:ascii="Calibri" w:hAnsi="Calibri" w:cs="Calibri" w:eastAsia="Calibri"/>
                            <w:b/>
                            <w:bCs/>
                            <w:color w:val="252525"/>
                            <w:w w:val="105"/>
                            <w:sz w:val="8"/>
                            <w:szCs w:val="8"/>
                          </w:rPr>
                          <w:t>Įδta</w:t>
                        </w:r>
                        <w:r>
                          <w:rPr>
                            <w:rFonts w:ascii="Calibri" w:hAnsi="Calibri" w:cs="Calibri" w:eastAsia="Calibri"/>
                            <w:b/>
                            <w:bCs/>
                            <w:color w:val="252525"/>
                            <w:spacing w:val="64"/>
                            <w:w w:val="105"/>
                            <w:sz w:val="8"/>
                            <w:szCs w:val="8"/>
                          </w:rPr>
                          <w:t>  </w:t>
                        </w:r>
                        <w:r>
                          <w:rPr>
                            <w:rFonts w:ascii="Calibri" w:hAnsi="Calibri" w:cs="Calibri" w:eastAsia="Calibri"/>
                            <w:b/>
                            <w:bCs/>
                            <w:color w:val="252525"/>
                            <w:w w:val="105"/>
                            <w:sz w:val="8"/>
                            <w:szCs w:val="8"/>
                          </w:rPr>
                          <w:t>E</w:t>
                        </w:r>
                        <w:r>
                          <w:rPr>
                            <w:rFonts w:ascii="Calibri" w:hAnsi="Calibri" w:cs="Calibri" w:eastAsia="Calibri"/>
                            <w:b/>
                            <w:bCs/>
                            <w:color w:val="252525"/>
                            <w:spacing w:val="22"/>
                            <w:w w:val="105"/>
                            <w:sz w:val="8"/>
                            <w:szCs w:val="8"/>
                          </w:rPr>
                          <w:t> </w:t>
                        </w:r>
                        <w:r>
                          <w:rPr>
                            <w:rFonts w:ascii="Calibri" w:hAnsi="Calibri" w:cs="Calibri" w:eastAsia="Calibri"/>
                            <w:b/>
                            <w:bCs/>
                            <w:color w:val="252525"/>
                            <w:w w:val="105"/>
                            <w:sz w:val="8"/>
                            <w:szCs w:val="8"/>
                          </w:rPr>
                          <w:t>áχtơτη</w:t>
                        </w:r>
                        <w:r>
                          <w:rPr>
                            <w:rFonts w:ascii="Calibri" w:hAnsi="Calibri" w:cs="Calibri" w:eastAsia="Calibri"/>
                            <w:b/>
                            <w:bCs/>
                            <w:color w:val="252525"/>
                            <w:spacing w:val="60"/>
                            <w:w w:val="105"/>
                            <w:sz w:val="8"/>
                            <w:szCs w:val="8"/>
                          </w:rPr>
                          <w:t>  </w:t>
                        </w:r>
                        <w:r>
                          <w:rPr>
                            <w:rFonts w:ascii="Calibri" w:hAnsi="Calibri" w:cs="Calibri" w:eastAsia="Calibri"/>
                            <w:b/>
                            <w:bCs/>
                            <w:color w:val="252525"/>
                            <w:w w:val="105"/>
                            <w:sz w:val="8"/>
                            <w:szCs w:val="8"/>
                          </w:rPr>
                          <w:t>Eut</w:t>
                        </w:r>
                        <w:r>
                          <w:rPr>
                            <w:rFonts w:ascii="Calibri" w:hAnsi="Calibri" w:cs="Calibri" w:eastAsia="Calibri"/>
                            <w:b/>
                            <w:bCs/>
                            <w:color w:val="252525"/>
                            <w:spacing w:val="22"/>
                            <w:w w:val="105"/>
                            <w:sz w:val="8"/>
                            <w:szCs w:val="8"/>
                          </w:rPr>
                          <w:t> </w:t>
                        </w:r>
                        <w:r>
                          <w:rPr>
                            <w:rFonts w:ascii="Calibri" w:hAnsi="Calibri" w:cs="Calibri" w:eastAsia="Calibri"/>
                            <w:b/>
                            <w:bCs/>
                            <w:color w:val="252525"/>
                            <w:w w:val="105"/>
                            <w:sz w:val="8"/>
                            <w:szCs w:val="8"/>
                          </w:rPr>
                          <w:t>ćÇtµa</w:t>
                        </w:r>
                        <w:r>
                          <w:rPr>
                            <w:rFonts w:ascii="Calibri" w:hAnsi="Calibri" w:cs="Calibri" w:eastAsia="Calibri"/>
                            <w:b/>
                            <w:bCs/>
                            <w:color w:val="252525"/>
                            <w:spacing w:val="-5"/>
                            <w:w w:val="105"/>
                            <w:sz w:val="8"/>
                            <w:szCs w:val="8"/>
                          </w:rPr>
                          <w:t> </w:t>
                        </w:r>
                        <w:r>
                          <w:rPr>
                            <w:rFonts w:ascii="Calibri" w:hAnsi="Calibri" w:cs="Calibri" w:eastAsia="Calibri"/>
                            <w:b/>
                            <w:bCs/>
                            <w:color w:val="252525"/>
                            <w:w w:val="105"/>
                            <w:sz w:val="8"/>
                            <w:szCs w:val="8"/>
                          </w:rPr>
                          <w:t>Įδta</w:t>
                        </w:r>
                        <w:r>
                          <w:rPr>
                            <w:rFonts w:ascii="Calibri" w:hAnsi="Calibri" w:cs="Calibri" w:eastAsia="Calibri"/>
                            <w:b/>
                            <w:bCs/>
                            <w:color w:val="252525"/>
                            <w:spacing w:val="63"/>
                            <w:w w:val="105"/>
                            <w:sz w:val="8"/>
                            <w:szCs w:val="8"/>
                          </w:rPr>
                          <w:t>  </w:t>
                        </w:r>
                        <w:r>
                          <w:rPr>
                            <w:rFonts w:ascii="Calibri" w:hAnsi="Calibri" w:cs="Calibri" w:eastAsia="Calibri"/>
                            <w:b/>
                            <w:bCs/>
                            <w:color w:val="252525"/>
                            <w:w w:val="105"/>
                            <w:sz w:val="8"/>
                            <w:szCs w:val="8"/>
                          </w:rPr>
                          <w:t>E</w:t>
                        </w:r>
                        <w:r>
                          <w:rPr>
                            <w:rFonts w:ascii="Calibri" w:hAnsi="Calibri" w:cs="Calibri" w:eastAsia="Calibri"/>
                            <w:b/>
                            <w:bCs/>
                            <w:color w:val="252525"/>
                            <w:spacing w:val="22"/>
                            <w:w w:val="105"/>
                            <w:sz w:val="8"/>
                            <w:szCs w:val="8"/>
                          </w:rPr>
                          <w:t> </w:t>
                        </w:r>
                        <w:r>
                          <w:rPr>
                            <w:rFonts w:ascii="Calibri" w:hAnsi="Calibri" w:cs="Calibri" w:eastAsia="Calibri"/>
                            <w:b/>
                            <w:bCs/>
                            <w:color w:val="252525"/>
                            <w:w w:val="105"/>
                            <w:sz w:val="8"/>
                            <w:szCs w:val="8"/>
                          </w:rPr>
                          <w:t>áχtơτη</w:t>
                        </w:r>
                        <w:r>
                          <w:rPr>
                            <w:rFonts w:ascii="Calibri" w:hAnsi="Calibri" w:cs="Calibri" w:eastAsia="Calibri"/>
                            <w:b/>
                            <w:bCs/>
                            <w:color w:val="252525"/>
                            <w:spacing w:val="60"/>
                            <w:w w:val="105"/>
                            <w:sz w:val="8"/>
                            <w:szCs w:val="8"/>
                          </w:rPr>
                          <w:t>  </w:t>
                        </w:r>
                        <w:r>
                          <w:rPr>
                            <w:rFonts w:ascii="Calibri" w:hAnsi="Calibri" w:cs="Calibri" w:eastAsia="Calibri"/>
                            <w:b/>
                            <w:bCs/>
                            <w:color w:val="252525"/>
                            <w:w w:val="105"/>
                            <w:sz w:val="8"/>
                            <w:szCs w:val="8"/>
                          </w:rPr>
                          <w:t>Eut</w:t>
                        </w:r>
                        <w:r>
                          <w:rPr>
                            <w:rFonts w:ascii="Calibri" w:hAnsi="Calibri" w:cs="Calibri" w:eastAsia="Calibri"/>
                            <w:b/>
                            <w:bCs/>
                            <w:color w:val="252525"/>
                            <w:spacing w:val="24"/>
                            <w:w w:val="105"/>
                            <w:sz w:val="8"/>
                            <w:szCs w:val="8"/>
                          </w:rPr>
                          <w:t> </w:t>
                        </w:r>
                        <w:r>
                          <w:rPr>
                            <w:rFonts w:ascii="Calibri" w:hAnsi="Calibri" w:cs="Calibri" w:eastAsia="Calibri"/>
                            <w:b/>
                            <w:bCs/>
                            <w:color w:val="252525"/>
                            <w:w w:val="105"/>
                            <w:sz w:val="8"/>
                            <w:szCs w:val="8"/>
                          </w:rPr>
                          <w:t>ćÇtµa</w:t>
                        </w:r>
                        <w:r>
                          <w:rPr>
                            <w:rFonts w:ascii="Calibri" w:hAnsi="Calibri" w:cs="Calibri" w:eastAsia="Calibri"/>
                            <w:b/>
                            <w:bCs/>
                            <w:color w:val="252525"/>
                            <w:spacing w:val="-4"/>
                            <w:w w:val="105"/>
                            <w:sz w:val="8"/>
                            <w:szCs w:val="8"/>
                          </w:rPr>
                          <w:t> </w:t>
                        </w:r>
                        <w:r>
                          <w:rPr>
                            <w:rFonts w:ascii="Calibri" w:hAnsi="Calibri" w:cs="Calibri" w:eastAsia="Calibri"/>
                            <w:b/>
                            <w:bCs/>
                            <w:color w:val="252525"/>
                            <w:w w:val="105"/>
                            <w:sz w:val="8"/>
                            <w:szCs w:val="8"/>
                          </w:rPr>
                          <w:t>Įδta</w:t>
                        </w:r>
                        <w:r>
                          <w:rPr>
                            <w:rFonts w:ascii="Calibri" w:hAnsi="Calibri" w:cs="Calibri" w:eastAsia="Calibri"/>
                            <w:b/>
                            <w:bCs/>
                            <w:color w:val="252525"/>
                            <w:spacing w:val="40"/>
                            <w:w w:val="105"/>
                            <w:sz w:val="8"/>
                            <w:szCs w:val="8"/>
                          </w:rPr>
                          <w:t> </w:t>
                        </w:r>
                        <w:r>
                          <w:rPr>
                            <w:rFonts w:ascii="Calibri" w:hAnsi="Calibri" w:cs="Calibri" w:eastAsia="Calibri"/>
                            <w:b/>
                            <w:bCs/>
                            <w:color w:val="252525"/>
                            <w:w w:val="105"/>
                            <w:sz w:val="8"/>
                            <w:szCs w:val="8"/>
                          </w:rPr>
                          <w:t>Κεϕa</w:t>
                        </w:r>
                        <w:r>
                          <w:rPr>
                            <w:rFonts w:ascii="Calibri" w:hAnsi="Calibri" w:cs="Calibri" w:eastAsia="Calibri"/>
                            <w:b/>
                            <w:bCs/>
                            <w:color w:val="252525"/>
                            <w:spacing w:val="21"/>
                            <w:w w:val="105"/>
                            <w:sz w:val="8"/>
                            <w:szCs w:val="8"/>
                          </w:rPr>
                          <w:t> </w:t>
                        </w:r>
                        <w:r>
                          <w:rPr>
                            <w:rFonts w:ascii="Calibri" w:hAnsi="Calibri" w:cs="Calibri" w:eastAsia="Calibri"/>
                            <w:b/>
                            <w:bCs/>
                            <w:color w:val="252525"/>
                            <w:w w:val="105"/>
                            <w:sz w:val="8"/>
                            <w:szCs w:val="8"/>
                          </w:rPr>
                          <w:t>ata</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ή</w:t>
                        </w:r>
                        <w:r>
                          <w:rPr>
                            <w:rFonts w:ascii="Calibri" w:hAnsi="Calibri" w:cs="Calibri" w:eastAsia="Calibri"/>
                            <w:b/>
                            <w:bCs/>
                            <w:smallCaps w:val="0"/>
                            <w:color w:val="252525"/>
                            <w:spacing w:val="53"/>
                            <w:w w:val="105"/>
                            <w:sz w:val="8"/>
                            <w:szCs w:val="8"/>
                          </w:rPr>
                          <w:t>  </w:t>
                        </w:r>
                        <w:r>
                          <w:rPr>
                            <w:rFonts w:ascii="Calibri" w:hAnsi="Calibri" w:cs="Calibri" w:eastAsia="Calibri"/>
                            <w:b/>
                            <w:bCs/>
                            <w:smallCaps w:val="0"/>
                            <w:color w:val="252525"/>
                            <w:w w:val="105"/>
                            <w:sz w:val="8"/>
                            <w:szCs w:val="8"/>
                          </w:rPr>
                          <w:t>Κεϕá</w:t>
                        </w:r>
                        <w:r>
                          <w:rPr>
                            <w:rFonts w:ascii="Calibri" w:hAnsi="Calibri" w:cs="Calibri" w:eastAsia="Calibri"/>
                            <w:b/>
                            <w:bCs/>
                            <w:smallCaps w:val="0"/>
                            <w:color w:val="252525"/>
                            <w:spacing w:val="21"/>
                            <w:w w:val="105"/>
                            <w:sz w:val="8"/>
                            <w:szCs w:val="8"/>
                          </w:rPr>
                          <w:t> </w:t>
                        </w:r>
                        <w:r>
                          <w:rPr>
                            <w:rFonts w:ascii="Calibri" w:hAnsi="Calibri" w:cs="Calibri" w:eastAsia="Calibri"/>
                            <w:b/>
                            <w:bCs/>
                            <w:smallCaps w:val="0"/>
                            <w:color w:val="252525"/>
                            <w:w w:val="105"/>
                            <w:sz w:val="8"/>
                            <w:szCs w:val="8"/>
                          </w:rPr>
                          <w:t>ata</w:t>
                        </w:r>
                        <w:r>
                          <w:rPr>
                            <w:rFonts w:ascii="Calibri" w:hAnsi="Calibri" w:cs="Calibri" w:eastAsia="Calibri"/>
                            <w:b/>
                            <w:bCs/>
                            <w:smallCaps w:val="0"/>
                            <w:color w:val="252525"/>
                            <w:spacing w:val="-3"/>
                            <w:w w:val="105"/>
                            <w:sz w:val="8"/>
                            <w:szCs w:val="8"/>
                          </w:rPr>
                          <w:t> </w:t>
                        </w:r>
                        <w:r>
                          <w:rPr>
                            <w:rFonts w:ascii="Calibri" w:hAnsi="Calibri" w:cs="Calibri" w:eastAsia="Calibri"/>
                            <w:b/>
                            <w:bCs/>
                            <w:smallCaps w:val="0"/>
                            <w:color w:val="252525"/>
                            <w:w w:val="105"/>
                            <w:sz w:val="8"/>
                            <w:szCs w:val="8"/>
                          </w:rPr>
                          <w:t>γta</w:t>
                        </w:r>
                        <w:r>
                          <w:rPr>
                            <w:rFonts w:ascii="Calibri" w:hAnsi="Calibri" w:cs="Calibri" w:eastAsia="Calibri"/>
                            <w:b/>
                            <w:bCs/>
                            <w:smallCaps w:val="0"/>
                            <w:color w:val="252525"/>
                            <w:spacing w:val="52"/>
                            <w:w w:val="105"/>
                            <w:sz w:val="8"/>
                            <w:szCs w:val="8"/>
                          </w:rPr>
                          <w:t>  </w:t>
                        </w:r>
                        <w:r>
                          <w:rPr>
                            <w:rFonts w:ascii="Calibri" w:hAnsi="Calibri" w:cs="Calibri" w:eastAsia="Calibri"/>
                            <w:b/>
                            <w:bCs/>
                            <w:smallCaps w:val="0"/>
                            <w:color w:val="252525"/>
                            <w:w w:val="105"/>
                            <w:sz w:val="8"/>
                            <w:szCs w:val="8"/>
                          </w:rPr>
                          <w:t>Κεϕa</w:t>
                        </w:r>
                        <w:r>
                          <w:rPr>
                            <w:rFonts w:ascii="Calibri" w:hAnsi="Calibri" w:cs="Calibri" w:eastAsia="Calibri"/>
                            <w:b/>
                            <w:bCs/>
                            <w:smallCaps w:val="0"/>
                            <w:color w:val="252525"/>
                            <w:spacing w:val="21"/>
                            <w:w w:val="105"/>
                            <w:sz w:val="8"/>
                            <w:szCs w:val="8"/>
                          </w:rPr>
                          <w:t> </w:t>
                        </w:r>
                        <w:r>
                          <w:rPr>
                            <w:rFonts w:ascii="Calibri" w:hAnsi="Calibri" w:cs="Calibri" w:eastAsia="Calibri"/>
                            <w:b/>
                            <w:bCs/>
                            <w:smallCaps w:val="0"/>
                            <w:color w:val="252525"/>
                            <w:w w:val="105"/>
                            <w:sz w:val="8"/>
                            <w:szCs w:val="8"/>
                          </w:rPr>
                          <w:t>ata</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ή</w:t>
                        </w:r>
                        <w:r>
                          <w:rPr>
                            <w:rFonts w:ascii="Calibri" w:hAnsi="Calibri" w:cs="Calibri" w:eastAsia="Calibri"/>
                            <w:b/>
                            <w:bCs/>
                            <w:smallCaps w:val="0"/>
                            <w:color w:val="252525"/>
                            <w:spacing w:val="53"/>
                            <w:w w:val="105"/>
                            <w:sz w:val="8"/>
                            <w:szCs w:val="8"/>
                          </w:rPr>
                          <w:t>  </w:t>
                        </w:r>
                        <w:r>
                          <w:rPr>
                            <w:rFonts w:ascii="Calibri" w:hAnsi="Calibri" w:cs="Calibri" w:eastAsia="Calibri"/>
                            <w:b/>
                            <w:bCs/>
                            <w:smallCaps w:val="0"/>
                            <w:color w:val="252525"/>
                            <w:w w:val="105"/>
                            <w:sz w:val="8"/>
                            <w:szCs w:val="8"/>
                          </w:rPr>
                          <w:t>Κεϕá</w:t>
                        </w:r>
                        <w:r>
                          <w:rPr>
                            <w:rFonts w:ascii="Calibri" w:hAnsi="Calibri" w:cs="Calibri" w:eastAsia="Calibri"/>
                            <w:b/>
                            <w:bCs/>
                            <w:smallCaps w:val="0"/>
                            <w:color w:val="252525"/>
                            <w:spacing w:val="21"/>
                            <w:w w:val="105"/>
                            <w:sz w:val="8"/>
                            <w:szCs w:val="8"/>
                          </w:rPr>
                          <w:t> </w:t>
                        </w:r>
                        <w:r>
                          <w:rPr>
                            <w:rFonts w:ascii="Calibri" w:hAnsi="Calibri" w:cs="Calibri" w:eastAsia="Calibri"/>
                            <w:b/>
                            <w:bCs/>
                            <w:smallCaps w:val="0"/>
                            <w:color w:val="252525"/>
                            <w:w w:val="105"/>
                            <w:sz w:val="8"/>
                            <w:szCs w:val="8"/>
                          </w:rPr>
                          <w:t>ata</w:t>
                        </w:r>
                        <w:r>
                          <w:rPr>
                            <w:rFonts w:ascii="Calibri" w:hAnsi="Calibri" w:cs="Calibri" w:eastAsia="Calibri"/>
                            <w:b/>
                            <w:bCs/>
                            <w:smallCaps w:val="0"/>
                            <w:color w:val="252525"/>
                            <w:spacing w:val="-3"/>
                            <w:w w:val="105"/>
                            <w:sz w:val="8"/>
                            <w:szCs w:val="8"/>
                          </w:rPr>
                          <w:t> </w:t>
                        </w:r>
                        <w:r>
                          <w:rPr>
                            <w:rFonts w:ascii="Calibri" w:hAnsi="Calibri" w:cs="Calibri" w:eastAsia="Calibri"/>
                            <w:b/>
                            <w:bCs/>
                            <w:smallCaps w:val="0"/>
                            <w:color w:val="252525"/>
                            <w:w w:val="105"/>
                            <w:sz w:val="8"/>
                            <w:szCs w:val="8"/>
                          </w:rPr>
                          <w:t>γta</w:t>
                        </w:r>
                        <w:r>
                          <w:rPr>
                            <w:rFonts w:ascii="Calibri" w:hAnsi="Calibri" w:cs="Calibri" w:eastAsia="Calibri"/>
                            <w:b/>
                            <w:bCs/>
                            <w:smallCaps w:val="0"/>
                            <w:color w:val="252525"/>
                            <w:spacing w:val="51"/>
                            <w:w w:val="105"/>
                            <w:sz w:val="8"/>
                            <w:szCs w:val="8"/>
                          </w:rPr>
                          <w:t>  </w:t>
                        </w:r>
                        <w:r>
                          <w:rPr>
                            <w:rFonts w:ascii="Calibri" w:hAnsi="Calibri" w:cs="Calibri" w:eastAsia="Calibri"/>
                            <w:b/>
                            <w:bCs/>
                            <w:smallCaps w:val="0"/>
                            <w:color w:val="252525"/>
                            <w:w w:val="105"/>
                            <w:sz w:val="8"/>
                            <w:szCs w:val="8"/>
                          </w:rPr>
                          <w:t>Κεϕa</w:t>
                        </w:r>
                        <w:r>
                          <w:rPr>
                            <w:rFonts w:ascii="Calibri" w:hAnsi="Calibri" w:cs="Calibri" w:eastAsia="Calibri"/>
                            <w:b/>
                            <w:bCs/>
                            <w:smallCaps w:val="0"/>
                            <w:color w:val="252525"/>
                            <w:spacing w:val="21"/>
                            <w:w w:val="105"/>
                            <w:sz w:val="8"/>
                            <w:szCs w:val="8"/>
                          </w:rPr>
                          <w:t> </w:t>
                        </w:r>
                        <w:r>
                          <w:rPr>
                            <w:rFonts w:ascii="Calibri" w:hAnsi="Calibri" w:cs="Calibri" w:eastAsia="Calibri"/>
                            <w:b/>
                            <w:bCs/>
                            <w:smallCaps w:val="0"/>
                            <w:color w:val="252525"/>
                            <w:w w:val="105"/>
                            <w:sz w:val="8"/>
                            <w:szCs w:val="8"/>
                          </w:rPr>
                          <w:t>ata</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ή</w:t>
                        </w:r>
                        <w:r>
                          <w:rPr>
                            <w:rFonts w:ascii="Calibri" w:hAnsi="Calibri" w:cs="Calibri" w:eastAsia="Calibri"/>
                            <w:b/>
                            <w:bCs/>
                            <w:smallCaps w:val="0"/>
                            <w:color w:val="252525"/>
                            <w:spacing w:val="53"/>
                            <w:w w:val="105"/>
                            <w:sz w:val="8"/>
                            <w:szCs w:val="8"/>
                          </w:rPr>
                          <w:t>  </w:t>
                        </w:r>
                        <w:r>
                          <w:rPr>
                            <w:rFonts w:ascii="Calibri" w:hAnsi="Calibri" w:cs="Calibri" w:eastAsia="Calibri"/>
                            <w:b/>
                            <w:bCs/>
                            <w:smallCaps w:val="0"/>
                            <w:color w:val="252525"/>
                            <w:w w:val="105"/>
                            <w:sz w:val="8"/>
                            <w:szCs w:val="8"/>
                          </w:rPr>
                          <w:t>Κεϕá</w:t>
                        </w:r>
                        <w:r>
                          <w:rPr>
                            <w:rFonts w:ascii="Calibri" w:hAnsi="Calibri" w:cs="Calibri" w:eastAsia="Calibri"/>
                            <w:b/>
                            <w:bCs/>
                            <w:smallCaps w:val="0"/>
                            <w:color w:val="252525"/>
                            <w:spacing w:val="21"/>
                            <w:w w:val="105"/>
                            <w:sz w:val="8"/>
                            <w:szCs w:val="8"/>
                          </w:rPr>
                          <w:t> </w:t>
                        </w:r>
                        <w:r>
                          <w:rPr>
                            <w:rFonts w:ascii="Calibri" w:hAnsi="Calibri" w:cs="Calibri" w:eastAsia="Calibri"/>
                            <w:b/>
                            <w:bCs/>
                            <w:smallCaps w:val="0"/>
                            <w:color w:val="252525"/>
                            <w:w w:val="105"/>
                            <w:sz w:val="8"/>
                            <w:szCs w:val="8"/>
                          </w:rPr>
                          <w:t>ata</w:t>
                        </w:r>
                        <w:r>
                          <w:rPr>
                            <w:rFonts w:ascii="Calibri" w:hAnsi="Calibri" w:cs="Calibri" w:eastAsia="Calibri"/>
                            <w:b/>
                            <w:bCs/>
                            <w:smallCaps w:val="0"/>
                            <w:color w:val="252525"/>
                            <w:spacing w:val="-3"/>
                            <w:w w:val="105"/>
                            <w:sz w:val="8"/>
                            <w:szCs w:val="8"/>
                          </w:rPr>
                          <w:t> </w:t>
                        </w:r>
                        <w:r>
                          <w:rPr>
                            <w:rFonts w:ascii="Calibri" w:hAnsi="Calibri" w:cs="Calibri" w:eastAsia="Calibri"/>
                            <w:b/>
                            <w:bCs/>
                            <w:smallCaps w:val="0"/>
                            <w:color w:val="252525"/>
                            <w:w w:val="105"/>
                            <w:sz w:val="8"/>
                            <w:szCs w:val="8"/>
                          </w:rPr>
                          <w:t>γta</w:t>
                        </w:r>
                        <w:r>
                          <w:rPr>
                            <w:rFonts w:ascii="Calibri" w:hAnsi="Calibri" w:cs="Calibri" w:eastAsia="Calibri"/>
                            <w:b/>
                            <w:bCs/>
                            <w:smallCaps w:val="0"/>
                            <w:color w:val="252525"/>
                            <w:spacing w:val="40"/>
                            <w:w w:val="105"/>
                            <w:sz w:val="8"/>
                            <w:szCs w:val="8"/>
                          </w:rPr>
                          <w:t> </w:t>
                        </w:r>
                        <w:r>
                          <w:rPr>
                            <w:rFonts w:ascii="Calibri" w:hAnsi="Calibri" w:cs="Calibri" w:eastAsia="Calibri"/>
                            <w:b/>
                            <w:bCs/>
                            <w:smallCaps w:val="0"/>
                            <w:color w:val="252525"/>
                            <w:w w:val="105"/>
                            <w:sz w:val="8"/>
                            <w:szCs w:val="8"/>
                          </w:rPr>
                          <w:t>Auaíτηơη</w:t>
                        </w:r>
                        <w:r>
                          <w:rPr>
                            <w:rFonts w:ascii="Calibri" w:hAnsi="Calibri" w:cs="Calibri" w:eastAsia="Calibri"/>
                            <w:b/>
                            <w:bCs/>
                            <w:smallCaps w:val="0"/>
                            <w:color w:val="252525"/>
                            <w:spacing w:val="40"/>
                            <w:w w:val="105"/>
                            <w:sz w:val="8"/>
                            <w:szCs w:val="8"/>
                          </w:rPr>
                          <w:t>  </w:t>
                        </w:r>
                        <w:r>
                          <w:rPr>
                            <w:rFonts w:ascii="Calibri" w:hAnsi="Calibri" w:cs="Calibri" w:eastAsia="Calibri"/>
                            <w:b/>
                            <w:bCs/>
                            <w:smallCaps w:val="0"/>
                            <w:color w:val="252525"/>
                            <w:w w:val="105"/>
                            <w:sz w:val="8"/>
                            <w:szCs w:val="8"/>
                          </w:rPr>
                          <w:t>τηv</w:t>
                        </w:r>
                        <w:r>
                          <w:rPr>
                            <w:rFonts w:ascii="Calibri" w:hAnsi="Calibri" w:cs="Calibri" w:eastAsia="Calibri"/>
                            <w:b/>
                            <w:bCs/>
                            <w:smallCaps w:val="0"/>
                            <w:color w:val="252525"/>
                            <w:spacing w:val="7"/>
                            <w:w w:val="105"/>
                            <w:sz w:val="8"/>
                            <w:szCs w:val="8"/>
                          </w:rPr>
                          <w:t> </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á</w:t>
                        </w:r>
                        <w:r>
                          <w:rPr>
                            <w:rFonts w:ascii="Calibri" w:hAnsi="Calibri" w:cs="Calibri" w:eastAsia="Calibri"/>
                            <w:b/>
                            <w:bCs/>
                            <w:smallCaps w:val="0"/>
                            <w:color w:val="252525"/>
                            <w:spacing w:val="18"/>
                            <w:w w:val="105"/>
                            <w:sz w:val="8"/>
                            <w:szCs w:val="8"/>
                          </w:rPr>
                          <w:t> </w:t>
                        </w:r>
                        <w:r>
                          <w:rPr>
                            <w:rFonts w:ascii="Calibri" w:hAnsi="Calibri" w:cs="Calibri" w:eastAsia="Calibri"/>
                            <w:b/>
                            <w:bCs/>
                            <w:smallCaps w:val="0"/>
                            <w:color w:val="252525"/>
                            <w:w w:val="105"/>
                            <w:sz w:val="8"/>
                            <w:szCs w:val="8"/>
                          </w:rPr>
                          <w:t>uψη τou</w:t>
                        </w:r>
                        <w:r>
                          <w:rPr>
                            <w:rFonts w:ascii="Calibri" w:hAnsi="Calibri" w:cs="Calibri" w:eastAsia="Calibri"/>
                            <w:b/>
                            <w:bCs/>
                            <w:smallCaps w:val="0"/>
                            <w:color w:val="252525"/>
                            <w:spacing w:val="55"/>
                            <w:w w:val="105"/>
                            <w:sz w:val="8"/>
                            <w:szCs w:val="8"/>
                          </w:rPr>
                          <w:t>  </w:t>
                        </w:r>
                        <w:r>
                          <w:rPr>
                            <w:rFonts w:ascii="Calibri" w:hAnsi="Calibri" w:cs="Calibri" w:eastAsia="Calibri"/>
                            <w:b/>
                            <w:bCs/>
                            <w:smallCaps w:val="0"/>
                            <w:color w:val="252525"/>
                            <w:w w:val="105"/>
                            <w:sz w:val="8"/>
                            <w:szCs w:val="8"/>
                          </w:rPr>
                          <w:t>Auaíτηơη</w:t>
                        </w:r>
                        <w:r>
                          <w:rPr>
                            <w:rFonts w:ascii="Calibri" w:hAnsi="Calibri" w:cs="Calibri" w:eastAsia="Calibri"/>
                            <w:b/>
                            <w:bCs/>
                            <w:smallCaps w:val="0"/>
                            <w:color w:val="252525"/>
                            <w:spacing w:val="80"/>
                            <w:w w:val="150"/>
                            <w:sz w:val="8"/>
                            <w:szCs w:val="8"/>
                          </w:rPr>
                          <w:t> </w:t>
                        </w:r>
                        <w:r>
                          <w:rPr>
                            <w:rFonts w:ascii="Calibri" w:hAnsi="Calibri" w:cs="Calibri" w:eastAsia="Calibri"/>
                            <w:b/>
                            <w:bCs/>
                            <w:smallCaps w:val="0"/>
                            <w:color w:val="252525"/>
                            <w:w w:val="105"/>
                            <w:sz w:val="8"/>
                            <w:szCs w:val="8"/>
                          </w:rPr>
                          <w:t>τηv</w:t>
                        </w:r>
                        <w:r>
                          <w:rPr>
                            <w:rFonts w:ascii="Calibri" w:hAnsi="Calibri" w:cs="Calibri" w:eastAsia="Calibri"/>
                            <w:b/>
                            <w:bCs/>
                            <w:smallCaps w:val="0"/>
                            <w:color w:val="252525"/>
                            <w:spacing w:val="8"/>
                            <w:w w:val="105"/>
                            <w:sz w:val="8"/>
                            <w:szCs w:val="8"/>
                          </w:rPr>
                          <w:t> </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á</w:t>
                        </w:r>
                        <w:r>
                          <w:rPr>
                            <w:rFonts w:ascii="Calibri" w:hAnsi="Calibri" w:cs="Calibri" w:eastAsia="Calibri"/>
                            <w:b/>
                            <w:bCs/>
                            <w:smallCaps w:val="0"/>
                            <w:color w:val="252525"/>
                            <w:spacing w:val="17"/>
                            <w:w w:val="105"/>
                            <w:sz w:val="8"/>
                            <w:szCs w:val="8"/>
                          </w:rPr>
                          <w:t> </w:t>
                        </w:r>
                        <w:r>
                          <w:rPr>
                            <w:rFonts w:ascii="Calibri" w:hAnsi="Calibri" w:cs="Calibri" w:eastAsia="Calibri"/>
                            <w:b/>
                            <w:bCs/>
                            <w:smallCaps w:val="0"/>
                            <w:color w:val="252525"/>
                            <w:w w:val="105"/>
                            <w:sz w:val="8"/>
                            <w:szCs w:val="8"/>
                          </w:rPr>
                          <w:t>uψη τou</w:t>
                        </w:r>
                        <w:r>
                          <w:rPr>
                            <w:rFonts w:ascii="Calibri" w:hAnsi="Calibri" w:cs="Calibri" w:eastAsia="Calibri"/>
                            <w:b/>
                            <w:bCs/>
                            <w:smallCaps w:val="0"/>
                            <w:color w:val="252525"/>
                            <w:spacing w:val="56"/>
                            <w:w w:val="105"/>
                            <w:sz w:val="8"/>
                            <w:szCs w:val="8"/>
                          </w:rPr>
                          <w:t>  </w:t>
                        </w:r>
                        <w:r>
                          <w:rPr>
                            <w:rFonts w:ascii="Calibri" w:hAnsi="Calibri" w:cs="Calibri" w:eastAsia="Calibri"/>
                            <w:b/>
                            <w:bCs/>
                            <w:smallCaps w:val="0"/>
                            <w:color w:val="252525"/>
                            <w:w w:val="105"/>
                            <w:sz w:val="8"/>
                            <w:szCs w:val="8"/>
                          </w:rPr>
                          <w:t>Auaíτηơη</w:t>
                        </w:r>
                        <w:r>
                          <w:rPr>
                            <w:rFonts w:ascii="Calibri" w:hAnsi="Calibri" w:cs="Calibri" w:eastAsia="Calibri"/>
                            <w:b/>
                            <w:bCs/>
                            <w:smallCaps w:val="0"/>
                            <w:color w:val="252525"/>
                            <w:spacing w:val="40"/>
                            <w:w w:val="105"/>
                            <w:sz w:val="8"/>
                            <w:szCs w:val="8"/>
                          </w:rPr>
                          <w:t>  </w:t>
                        </w:r>
                        <w:r>
                          <w:rPr>
                            <w:rFonts w:ascii="Calibri" w:hAnsi="Calibri" w:cs="Calibri" w:eastAsia="Calibri"/>
                            <w:b/>
                            <w:bCs/>
                            <w:smallCaps w:val="0"/>
                            <w:color w:val="252525"/>
                            <w:w w:val="105"/>
                            <w:sz w:val="8"/>
                            <w:szCs w:val="8"/>
                          </w:rPr>
                          <w:t>τηv</w:t>
                        </w:r>
                        <w:r>
                          <w:rPr>
                            <w:rFonts w:ascii="Calibri" w:hAnsi="Calibri" w:cs="Calibri" w:eastAsia="Calibri"/>
                            <w:b/>
                            <w:bCs/>
                            <w:smallCaps w:val="0"/>
                            <w:color w:val="252525"/>
                            <w:spacing w:val="7"/>
                            <w:w w:val="105"/>
                            <w:sz w:val="8"/>
                            <w:szCs w:val="8"/>
                          </w:rPr>
                          <w:t> </w:t>
                        </w:r>
                        <w:r>
                          <w:rPr>
                            <w:rFonts w:ascii="Calibri" w:hAnsi="Calibri" w:cs="Calibri" w:eastAsia="Calibri"/>
                            <w:b/>
                            <w:bCs/>
                            <w:smallCaps/>
                            <w:color w:val="252525"/>
                            <w:w w:val="105"/>
                            <w:sz w:val="8"/>
                            <w:szCs w:val="8"/>
                          </w:rPr>
                          <w:t>k</w:t>
                        </w:r>
                        <w:r>
                          <w:rPr>
                            <w:rFonts w:ascii="Calibri" w:hAnsi="Calibri" w:cs="Calibri" w:eastAsia="Calibri"/>
                            <w:b/>
                            <w:bCs/>
                            <w:smallCaps w:val="0"/>
                            <w:color w:val="252525"/>
                            <w:w w:val="105"/>
                            <w:sz w:val="8"/>
                            <w:szCs w:val="8"/>
                          </w:rPr>
                          <w:t>á</w:t>
                        </w:r>
                        <w:r>
                          <w:rPr>
                            <w:rFonts w:ascii="Calibri" w:hAnsi="Calibri" w:cs="Calibri" w:eastAsia="Calibri"/>
                            <w:b/>
                            <w:bCs/>
                            <w:smallCaps w:val="0"/>
                            <w:color w:val="252525"/>
                            <w:spacing w:val="18"/>
                            <w:w w:val="105"/>
                            <w:sz w:val="8"/>
                            <w:szCs w:val="8"/>
                          </w:rPr>
                          <w:t> </w:t>
                        </w:r>
                        <w:r>
                          <w:rPr>
                            <w:rFonts w:ascii="Calibri" w:hAnsi="Calibri" w:cs="Calibri" w:eastAsia="Calibri"/>
                            <w:b/>
                            <w:bCs/>
                            <w:smallCaps w:val="0"/>
                            <w:color w:val="252525"/>
                            <w:w w:val="105"/>
                            <w:sz w:val="8"/>
                            <w:szCs w:val="8"/>
                          </w:rPr>
                          <w:t>uψη τou</w:t>
                        </w:r>
                      </w:p>
                    </w:txbxContent>
                  </v:textbox>
                  <w10:wrap type="none"/>
                </v:shape>
                <v:shape style="position:absolute;left:774;top:3548;width:235;height:85" type="#_x0000_t202" id="docshape617" filled="false" stroked="false">
                  <v:textbox inset="0,0,0,0">
                    <w:txbxContent>
                      <w:p>
                        <w:pPr>
                          <w:spacing w:line="84" w:lineRule="exact" w:before="0"/>
                          <w:ind w:left="0" w:right="0" w:firstLine="0"/>
                          <w:jc w:val="left"/>
                          <w:rPr>
                            <w:rFonts w:ascii="Calibri"/>
                            <w:b/>
                            <w:sz w:val="8"/>
                          </w:rPr>
                        </w:pPr>
                        <w:r>
                          <w:rPr>
                            <w:rFonts w:ascii="Calibri"/>
                            <w:b/>
                            <w:color w:val="252525"/>
                            <w:spacing w:val="-2"/>
                            <w:w w:val="105"/>
                            <w:sz w:val="8"/>
                          </w:rPr>
                          <w:t>(MCR)</w:t>
                        </w:r>
                      </w:p>
                    </w:txbxContent>
                  </v:textbox>
                  <w10:wrap type="none"/>
                </v:shape>
                <v:shape style="position:absolute;left:1383;top:3548;width:186;height:85" type="#_x0000_t202" id="docshape618" filled="false" stroked="false">
                  <v:textbox inset="0,0,0,0">
                    <w:txbxContent>
                      <w:p>
                        <w:pPr>
                          <w:spacing w:line="84" w:lineRule="exact" w:before="0"/>
                          <w:ind w:left="0" w:right="0" w:firstLine="0"/>
                          <w:jc w:val="left"/>
                          <w:rPr>
                            <w:rFonts w:ascii="Calibri"/>
                            <w:b/>
                            <w:sz w:val="8"/>
                          </w:rPr>
                        </w:pPr>
                        <w:r>
                          <w:rPr>
                            <w:rFonts w:ascii="Calibri"/>
                            <w:b/>
                            <w:color w:val="252525"/>
                            <w:spacing w:val="-5"/>
                            <w:w w:val="105"/>
                            <w:sz w:val="8"/>
                          </w:rPr>
                          <w:t>MCR</w:t>
                        </w:r>
                      </w:p>
                    </w:txbxContent>
                  </v:textbox>
                  <w10:wrap type="none"/>
                </v:shape>
                <v:shape style="position:absolute;left:1938;top:3548;width:237;height:85" type="#_x0000_t202" id="docshape619" filled="false" stroked="false">
                  <v:textbox inset="0,0,0,0">
                    <w:txbxContent>
                      <w:p>
                        <w:pPr>
                          <w:spacing w:line="84" w:lineRule="exact" w:before="0"/>
                          <w:ind w:left="0" w:right="0" w:firstLine="0"/>
                          <w:jc w:val="left"/>
                          <w:rPr>
                            <w:rFonts w:ascii="Calibri"/>
                            <w:b/>
                            <w:sz w:val="8"/>
                          </w:rPr>
                        </w:pPr>
                        <w:r>
                          <w:rPr>
                            <w:rFonts w:ascii="Calibri"/>
                            <w:b/>
                            <w:color w:val="252525"/>
                            <w:spacing w:val="-2"/>
                            <w:w w:val="105"/>
                            <w:sz w:val="8"/>
                          </w:rPr>
                          <w:t>(MCR)</w:t>
                        </w:r>
                      </w:p>
                    </w:txbxContent>
                  </v:textbox>
                  <w10:wrap type="none"/>
                </v:shape>
                <v:shape style="position:absolute;left:2548;top:3548;width:186;height:85" type="#_x0000_t202" id="docshape620" filled="false" stroked="false">
                  <v:textbox inset="0,0,0,0">
                    <w:txbxContent>
                      <w:p>
                        <w:pPr>
                          <w:spacing w:line="84" w:lineRule="exact" w:before="0"/>
                          <w:ind w:left="0" w:right="0" w:firstLine="0"/>
                          <w:jc w:val="left"/>
                          <w:rPr>
                            <w:rFonts w:ascii="Calibri"/>
                            <w:b/>
                            <w:sz w:val="8"/>
                          </w:rPr>
                        </w:pPr>
                        <w:r>
                          <w:rPr>
                            <w:rFonts w:ascii="Calibri"/>
                            <w:b/>
                            <w:color w:val="252525"/>
                            <w:spacing w:val="-5"/>
                            <w:w w:val="105"/>
                            <w:sz w:val="8"/>
                          </w:rPr>
                          <w:t>MCR</w:t>
                        </w:r>
                      </w:p>
                    </w:txbxContent>
                  </v:textbox>
                  <w10:wrap type="none"/>
                </v:shape>
                <v:shape style="position:absolute;left:3104;top:3548;width:235;height:85" type="#_x0000_t202" id="docshape621" filled="false" stroked="false">
                  <v:textbox inset="0,0,0,0">
                    <w:txbxContent>
                      <w:p>
                        <w:pPr>
                          <w:spacing w:line="84" w:lineRule="exact" w:before="0"/>
                          <w:ind w:left="0" w:right="0" w:firstLine="0"/>
                          <w:jc w:val="left"/>
                          <w:rPr>
                            <w:rFonts w:ascii="Calibri"/>
                            <w:b/>
                            <w:sz w:val="8"/>
                          </w:rPr>
                        </w:pPr>
                        <w:r>
                          <w:rPr>
                            <w:rFonts w:ascii="Calibri"/>
                            <w:b/>
                            <w:color w:val="252525"/>
                            <w:spacing w:val="-2"/>
                            <w:w w:val="105"/>
                            <w:sz w:val="8"/>
                          </w:rPr>
                          <w:t>(MCR)</w:t>
                        </w:r>
                      </w:p>
                    </w:txbxContent>
                  </v:textbox>
                  <w10:wrap type="none"/>
                </v:shape>
                <v:shape style="position:absolute;left:3712;top:3548;width:186;height:85" type="#_x0000_t202" id="docshape622" filled="false" stroked="false">
                  <v:textbox inset="0,0,0,0">
                    <w:txbxContent>
                      <w:p>
                        <w:pPr>
                          <w:spacing w:line="84" w:lineRule="exact" w:before="0"/>
                          <w:ind w:left="0" w:right="0" w:firstLine="0"/>
                          <w:jc w:val="left"/>
                          <w:rPr>
                            <w:rFonts w:ascii="Calibri"/>
                            <w:b/>
                            <w:sz w:val="8"/>
                          </w:rPr>
                        </w:pPr>
                        <w:r>
                          <w:rPr>
                            <w:rFonts w:ascii="Calibri"/>
                            <w:b/>
                            <w:color w:val="252525"/>
                            <w:spacing w:val="-5"/>
                            <w:w w:val="105"/>
                            <w:sz w:val="8"/>
                          </w:rPr>
                          <w:t>MCR</w:t>
                        </w:r>
                      </w:p>
                    </w:txbxContent>
                  </v:textbox>
                  <w10:wrap type="none"/>
                </v:shape>
                <v:shape style="position:absolute;left:112;top:3938;width:2373;height:221" type="#_x0000_t202" id="docshape623" filled="false" stroked="false">
                  <v:textbox inset="0,0,0,0">
                    <w:txbxContent>
                      <w:p>
                        <w:pPr>
                          <w:spacing w:line="221" w:lineRule="exact" w:before="0"/>
                          <w:ind w:left="0" w:right="0" w:firstLine="0"/>
                          <w:jc w:val="left"/>
                          <w:rPr>
                            <w:sz w:val="20"/>
                          </w:rPr>
                        </w:pPr>
                        <w:r>
                          <w:rPr>
                            <w:sz w:val="20"/>
                          </w:rPr>
                          <w:t>Πηγή:</w:t>
                        </w:r>
                        <w:r>
                          <w:rPr>
                            <w:spacing w:val="-7"/>
                            <w:sz w:val="20"/>
                          </w:rPr>
                          <w:t> </w:t>
                        </w:r>
                        <w:r>
                          <w:rPr>
                            <w:sz w:val="20"/>
                          </w:rPr>
                          <w:t>Τράπεζα</w:t>
                        </w:r>
                        <w:r>
                          <w:rPr>
                            <w:spacing w:val="-5"/>
                            <w:sz w:val="20"/>
                          </w:rPr>
                          <w:t> </w:t>
                        </w:r>
                        <w:r>
                          <w:rPr>
                            <w:sz w:val="20"/>
                          </w:rPr>
                          <w:t>της</w:t>
                        </w:r>
                        <w:r>
                          <w:rPr>
                            <w:spacing w:val="-5"/>
                            <w:sz w:val="20"/>
                          </w:rPr>
                          <w:t> </w:t>
                        </w:r>
                        <w:r>
                          <w:rPr>
                            <w:spacing w:val="-2"/>
                            <w:sz w:val="20"/>
                          </w:rPr>
                          <w:t>Ελλάδος.</w:t>
                        </w:r>
                      </w:p>
                    </w:txbxContent>
                  </v:textbox>
                  <w10:wrap type="none"/>
                </v:shape>
              </v:group>
            </w:pict>
          </mc:Fallback>
        </mc:AlternateContent>
      </w:r>
      <w:r>
        <w:rPr>
          <w:spacing w:val="49"/>
          <w:sz w:val="20"/>
        </w:rPr>
      </w:r>
    </w:p>
    <w:p>
      <w:pPr>
        <w:pStyle w:val="BodyText"/>
        <w:spacing w:before="167"/>
      </w:pPr>
    </w:p>
    <w:p>
      <w:pPr>
        <w:pStyle w:val="BodyText"/>
        <w:spacing w:line="285" w:lineRule="auto"/>
        <w:ind w:left="172" w:right="5463"/>
        <w:jc w:val="both"/>
      </w:pPr>
      <w:r>
        <w:rPr/>
        <mc:AlternateContent>
          <mc:Choice Requires="wps">
            <w:drawing>
              <wp:anchor distT="0" distB="0" distL="0" distR="0" allowOverlap="1" layoutInCell="1" locked="0" behindDoc="0" simplePos="0" relativeHeight="15791616">
                <wp:simplePos x="0" y="0"/>
                <wp:positionH relativeFrom="page">
                  <wp:posOffset>3662807</wp:posOffset>
                </wp:positionH>
                <wp:positionV relativeFrom="paragraph">
                  <wp:posOffset>-546</wp:posOffset>
                </wp:positionV>
                <wp:extent cx="2738120" cy="2110105"/>
                <wp:effectExtent l="0" t="0" r="0" b="0"/>
                <wp:wrapNone/>
                <wp:docPr id="663" name="Group 663"/>
                <wp:cNvGraphicFramePr>
                  <a:graphicFrameLocks/>
                </wp:cNvGraphicFramePr>
                <a:graphic>
                  <a:graphicData uri="http://schemas.microsoft.com/office/word/2010/wordprocessingGroup">
                    <wpg:wgp>
                      <wpg:cNvPr id="663" name="Group 663"/>
                      <wpg:cNvGrpSpPr/>
                      <wpg:grpSpPr>
                        <a:xfrm>
                          <a:off x="0" y="0"/>
                          <a:ext cx="2738120" cy="2110105"/>
                          <a:chExt cx="2738120" cy="2110105"/>
                        </a:xfrm>
                      </wpg:grpSpPr>
                      <wps:wsp>
                        <wps:cNvPr id="664" name="Graphic 664"/>
                        <wps:cNvSpPr/>
                        <wps:spPr>
                          <a:xfrm>
                            <a:off x="0" y="208864"/>
                            <a:ext cx="2738120" cy="1901189"/>
                          </a:xfrm>
                          <a:custGeom>
                            <a:avLst/>
                            <a:gdLst/>
                            <a:ahLst/>
                            <a:cxnLst/>
                            <a:rect l="l" t="t" r="r" b="b"/>
                            <a:pathLst>
                              <a:path w="2738120" h="1901189">
                                <a:moveTo>
                                  <a:pt x="2737739" y="0"/>
                                </a:moveTo>
                                <a:lnTo>
                                  <a:pt x="0" y="0"/>
                                </a:lnTo>
                                <a:lnTo>
                                  <a:pt x="0" y="1684274"/>
                                </a:lnTo>
                                <a:lnTo>
                                  <a:pt x="0" y="1900682"/>
                                </a:lnTo>
                                <a:lnTo>
                                  <a:pt x="2737739" y="1900682"/>
                                </a:lnTo>
                                <a:lnTo>
                                  <a:pt x="2737739" y="1684274"/>
                                </a:lnTo>
                                <a:lnTo>
                                  <a:pt x="2737739" y="0"/>
                                </a:lnTo>
                                <a:close/>
                              </a:path>
                            </a:pathLst>
                          </a:custGeom>
                          <a:solidFill>
                            <a:srgbClr val="D9D9D9"/>
                          </a:solidFill>
                        </wps:spPr>
                        <wps:bodyPr wrap="square" lIns="0" tIns="0" rIns="0" bIns="0" rtlCol="0">
                          <a:prstTxWarp prst="textNoShape">
                            <a:avLst/>
                          </a:prstTxWarp>
                          <a:noAutofit/>
                        </wps:bodyPr>
                      </wps:wsp>
                      <pic:pic>
                        <pic:nvPicPr>
                          <pic:cNvPr id="665" name="Image 665"/>
                          <pic:cNvPicPr/>
                        </pic:nvPicPr>
                        <pic:blipFill>
                          <a:blip r:embed="rId106" cstate="print"/>
                          <a:stretch>
                            <a:fillRect/>
                          </a:stretch>
                        </pic:blipFill>
                        <pic:spPr>
                          <a:xfrm>
                            <a:off x="1143" y="207873"/>
                            <a:ext cx="2663444" cy="1683639"/>
                          </a:xfrm>
                          <a:prstGeom prst="rect">
                            <a:avLst/>
                          </a:prstGeom>
                        </pic:spPr>
                      </pic:pic>
                      <wps:wsp>
                        <wps:cNvPr id="666" name="Textbox 666"/>
                        <wps:cNvSpPr txBox="1"/>
                        <wps:spPr>
                          <a:xfrm>
                            <a:off x="71627" y="1972866"/>
                            <a:ext cx="1057910" cy="98425"/>
                          </a:xfrm>
                          <a:prstGeom prst="rect">
                            <a:avLst/>
                          </a:prstGeom>
                        </wps:spPr>
                        <wps:txbx>
                          <w:txbxContent>
                            <w:p>
                              <w:pPr>
                                <w:spacing w:line="154" w:lineRule="exact" w:before="0"/>
                                <w:ind w:left="0" w:right="0" w:firstLine="0"/>
                                <w:jc w:val="left"/>
                                <w:rPr>
                                  <w:sz w:val="14"/>
                                </w:rPr>
                              </w:pPr>
                              <w:r>
                                <w:rPr>
                                  <w:sz w:val="14"/>
                                </w:rPr>
                                <w:t>Πηγή:</w:t>
                              </w:r>
                              <w:r>
                                <w:rPr>
                                  <w:spacing w:val="-4"/>
                                  <w:sz w:val="14"/>
                                </w:rPr>
                                <w:t> </w:t>
                              </w:r>
                              <w:r>
                                <w:rPr>
                                  <w:sz w:val="14"/>
                                </w:rPr>
                                <w:t>Τράπεζα</w:t>
                              </w:r>
                              <w:r>
                                <w:rPr>
                                  <w:spacing w:val="-3"/>
                                  <w:sz w:val="14"/>
                                </w:rPr>
                                <w:t> </w:t>
                              </w:r>
                              <w:r>
                                <w:rPr>
                                  <w:sz w:val="14"/>
                                </w:rPr>
                                <w:t>της</w:t>
                              </w:r>
                              <w:r>
                                <w:rPr>
                                  <w:spacing w:val="-2"/>
                                  <w:sz w:val="14"/>
                                </w:rPr>
                                <w:t> Ελλάδος.</w:t>
                              </w:r>
                            </w:p>
                          </w:txbxContent>
                        </wps:txbx>
                        <wps:bodyPr wrap="square" lIns="0" tIns="0" rIns="0" bIns="0" rtlCol="0">
                          <a:noAutofit/>
                        </wps:bodyPr>
                      </wps:wsp>
                      <wps:wsp>
                        <wps:cNvPr id="667" name="Textbox 667"/>
                        <wps:cNvSpPr txBox="1"/>
                        <wps:spPr>
                          <a:xfrm>
                            <a:off x="0" y="0"/>
                            <a:ext cx="2738120" cy="208915"/>
                          </a:xfrm>
                          <a:prstGeom prst="rect">
                            <a:avLst/>
                          </a:prstGeom>
                          <a:solidFill>
                            <a:srgbClr val="1F487C"/>
                          </a:solidFill>
                        </wps:spPr>
                        <wps:txbx>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1"/>
                                  <w:sz w:val="18"/>
                                </w:rPr>
                                <w:t> </w:t>
                              </w:r>
                              <w:r>
                                <w:rPr>
                                  <w:b/>
                                  <w:smallCaps w:val="0"/>
                                  <w:color w:val="FFFFFF"/>
                                  <w:sz w:val="18"/>
                                </w:rPr>
                                <w:t>V.7</w:t>
                              </w:r>
                              <w:r>
                                <w:rPr>
                                  <w:b/>
                                  <w:smallCaps w:val="0"/>
                                  <w:color w:val="FFFFFF"/>
                                  <w:spacing w:val="-1"/>
                                  <w:sz w:val="18"/>
                                </w:rPr>
                                <w:t> </w:t>
                              </w:r>
                              <w:r>
                                <w:rPr>
                                  <w:b/>
                                  <w:smallCaps w:val="0"/>
                                  <w:color w:val="FFFFFF"/>
                                  <w:sz w:val="18"/>
                                </w:rPr>
                                <w:t>Ποσοστό</w:t>
                              </w:r>
                              <w:r>
                                <w:rPr>
                                  <w:b/>
                                  <w:smallCaps w:val="0"/>
                                  <w:color w:val="FFFFFF"/>
                                  <w:spacing w:val="-3"/>
                                  <w:sz w:val="18"/>
                                </w:rPr>
                                <w:t> </w:t>
                              </w:r>
                              <w:r>
                                <w:rPr>
                                  <w:b/>
                                  <w:smallCaps w:val="0"/>
                                  <w:color w:val="FFFFFF"/>
                                  <w:sz w:val="18"/>
                                </w:rPr>
                                <w:t>κάλυψης</w:t>
                              </w:r>
                              <w:r>
                                <w:rPr>
                                  <w:b/>
                                  <w:smallCaps w:val="0"/>
                                  <w:color w:val="FFFFFF"/>
                                  <w:spacing w:val="-1"/>
                                  <w:sz w:val="18"/>
                                </w:rPr>
                                <w:t> </w:t>
                              </w:r>
                              <w:r>
                                <w:rPr>
                                  <w:b/>
                                  <w:smallCaps w:val="0"/>
                                  <w:color w:val="FFFFFF"/>
                                  <w:sz w:val="18"/>
                                </w:rPr>
                                <w:t>SCR</w:t>
                              </w:r>
                              <w:r>
                                <w:rPr>
                                  <w:b/>
                                  <w:smallCaps w:val="0"/>
                                  <w:color w:val="FFFFFF"/>
                                  <w:spacing w:val="-4"/>
                                  <w:sz w:val="18"/>
                                </w:rPr>
                                <w:t> </w:t>
                              </w:r>
                              <w:r>
                                <w:rPr>
                                  <w:b/>
                                  <w:smallCaps w:val="0"/>
                                  <w:color w:val="FFFFFF"/>
                                  <w:spacing w:val="-2"/>
                                  <w:sz w:val="18"/>
                                </w:rPr>
                                <w:t>2025/2024</w:t>
                              </w:r>
                            </w:p>
                          </w:txbxContent>
                        </wps:txbx>
                        <wps:bodyPr wrap="square" lIns="0" tIns="0" rIns="0" bIns="0" rtlCol="0">
                          <a:noAutofit/>
                        </wps:bodyPr>
                      </wps:wsp>
                    </wpg:wgp>
                  </a:graphicData>
                </a:graphic>
              </wp:anchor>
            </w:drawing>
          </mc:Choice>
          <mc:Fallback>
            <w:pict>
              <v:group style="position:absolute;margin-left:288.410004pt;margin-top:-.043067pt;width:215.6pt;height:166.15pt;mso-position-horizontal-relative:page;mso-position-vertical-relative:paragraph;z-index:15791616" id="docshapegroup624" coordorigin="5768,-1" coordsize="4312,3323">
                <v:shape style="position:absolute;left:5768;top:328;width:4312;height:2994" id="docshape625" coordorigin="5768,328" coordsize="4312,2994" path="m10080,328l5768,328,5768,2980,5768,3321,10080,3321,10080,2980,10080,328xe" filled="true" fillcolor="#d9d9d9" stroked="false">
                  <v:path arrowok="t"/>
                  <v:fill type="solid"/>
                </v:shape>
                <v:shape style="position:absolute;left:5770;top:326;width:4195;height:2652" type="#_x0000_t75" id="docshape626" stroked="false">
                  <v:imagedata r:id="rId106" o:title=""/>
                </v:shape>
                <v:shape style="position:absolute;left:5881;top:3106;width:1666;height:155" type="#_x0000_t202" id="docshape627" filled="false" stroked="false">
                  <v:textbox inset="0,0,0,0">
                    <w:txbxContent>
                      <w:p>
                        <w:pPr>
                          <w:spacing w:line="154" w:lineRule="exact" w:before="0"/>
                          <w:ind w:left="0" w:right="0" w:firstLine="0"/>
                          <w:jc w:val="left"/>
                          <w:rPr>
                            <w:sz w:val="14"/>
                          </w:rPr>
                        </w:pPr>
                        <w:r>
                          <w:rPr>
                            <w:sz w:val="14"/>
                          </w:rPr>
                          <w:t>Πηγή:</w:t>
                        </w:r>
                        <w:r>
                          <w:rPr>
                            <w:spacing w:val="-4"/>
                            <w:sz w:val="14"/>
                          </w:rPr>
                          <w:t> </w:t>
                        </w:r>
                        <w:r>
                          <w:rPr>
                            <w:sz w:val="14"/>
                          </w:rPr>
                          <w:t>Τράπεζα</w:t>
                        </w:r>
                        <w:r>
                          <w:rPr>
                            <w:spacing w:val="-3"/>
                            <w:sz w:val="14"/>
                          </w:rPr>
                          <w:t> </w:t>
                        </w:r>
                        <w:r>
                          <w:rPr>
                            <w:sz w:val="14"/>
                          </w:rPr>
                          <w:t>της</w:t>
                        </w:r>
                        <w:r>
                          <w:rPr>
                            <w:spacing w:val="-2"/>
                            <w:sz w:val="14"/>
                          </w:rPr>
                          <w:t> Ελλάδος.</w:t>
                        </w:r>
                      </w:p>
                    </w:txbxContent>
                  </v:textbox>
                  <w10:wrap type="none"/>
                </v:shape>
                <v:shape style="position:absolute;left:5768;top:-1;width:4312;height:329" type="#_x0000_t202" id="docshape628" filled="true" fillcolor="#1f487c" stroked="false">
                  <v:textbox inset="0,0,0,0">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1"/>
                            <w:sz w:val="18"/>
                          </w:rPr>
                          <w:t> </w:t>
                        </w:r>
                        <w:r>
                          <w:rPr>
                            <w:b/>
                            <w:smallCaps w:val="0"/>
                            <w:color w:val="FFFFFF"/>
                            <w:sz w:val="18"/>
                          </w:rPr>
                          <w:t>V.7</w:t>
                        </w:r>
                        <w:r>
                          <w:rPr>
                            <w:b/>
                            <w:smallCaps w:val="0"/>
                            <w:color w:val="FFFFFF"/>
                            <w:spacing w:val="-1"/>
                            <w:sz w:val="18"/>
                          </w:rPr>
                          <w:t> </w:t>
                        </w:r>
                        <w:r>
                          <w:rPr>
                            <w:b/>
                            <w:smallCaps w:val="0"/>
                            <w:color w:val="FFFFFF"/>
                            <w:sz w:val="18"/>
                          </w:rPr>
                          <w:t>Ποσοστό</w:t>
                        </w:r>
                        <w:r>
                          <w:rPr>
                            <w:b/>
                            <w:smallCaps w:val="0"/>
                            <w:color w:val="FFFFFF"/>
                            <w:spacing w:val="-3"/>
                            <w:sz w:val="18"/>
                          </w:rPr>
                          <w:t> </w:t>
                        </w:r>
                        <w:r>
                          <w:rPr>
                            <w:b/>
                            <w:smallCaps w:val="0"/>
                            <w:color w:val="FFFFFF"/>
                            <w:sz w:val="18"/>
                          </w:rPr>
                          <w:t>κάλυψης</w:t>
                        </w:r>
                        <w:r>
                          <w:rPr>
                            <w:b/>
                            <w:smallCaps w:val="0"/>
                            <w:color w:val="FFFFFF"/>
                            <w:spacing w:val="-1"/>
                            <w:sz w:val="18"/>
                          </w:rPr>
                          <w:t> </w:t>
                        </w:r>
                        <w:r>
                          <w:rPr>
                            <w:b/>
                            <w:smallCaps w:val="0"/>
                            <w:color w:val="FFFFFF"/>
                            <w:sz w:val="18"/>
                          </w:rPr>
                          <w:t>SCR</w:t>
                        </w:r>
                        <w:r>
                          <w:rPr>
                            <w:b/>
                            <w:smallCaps w:val="0"/>
                            <w:color w:val="FFFFFF"/>
                            <w:spacing w:val="-4"/>
                            <w:sz w:val="18"/>
                          </w:rPr>
                          <w:t> </w:t>
                        </w:r>
                        <w:r>
                          <w:rPr>
                            <w:b/>
                            <w:smallCaps w:val="0"/>
                            <w:color w:val="FFFFFF"/>
                            <w:spacing w:val="-2"/>
                            <w:sz w:val="18"/>
                          </w:rPr>
                          <w:t>2025/2024</w:t>
                        </w:r>
                      </w:p>
                    </w:txbxContent>
                  </v:textbox>
                  <v:fill type="solid"/>
                  <w10:wrap type="none"/>
                </v:shape>
                <w10:wrap type="none"/>
              </v:group>
            </w:pict>
          </mc:Fallback>
        </mc:AlternateContent>
      </w:r>
      <w:r>
        <w:rPr/>
        <w:t>Οι ασφαλιστικές επιχειρήσεις παρουσίασαν μεταβολές στο ποσοστό κάλυψης του SCR κατά το 2025, ωστόσο όλες παραμένουν φε-ρέγγυες</w:t>
      </w:r>
      <w:r>
        <w:rPr>
          <w:spacing w:val="-14"/>
        </w:rPr>
        <w:t> </w:t>
      </w:r>
      <w:r>
        <w:rPr/>
        <w:t>(βλ.</w:t>
      </w:r>
      <w:r>
        <w:rPr>
          <w:spacing w:val="-14"/>
        </w:rPr>
        <w:t> </w:t>
      </w:r>
      <w:r>
        <w:rPr/>
        <w:t>Διάγραμμα</w:t>
      </w:r>
      <w:r>
        <w:rPr>
          <w:spacing w:val="-14"/>
        </w:rPr>
        <w:t> </w:t>
      </w:r>
      <w:r>
        <w:rPr/>
        <w:t>V.7).</w:t>
      </w:r>
      <w:r>
        <w:rPr>
          <w:spacing w:val="-13"/>
        </w:rPr>
        <w:t> </w:t>
      </w:r>
      <w:r>
        <w:rPr/>
        <w:t>Οι</w:t>
      </w:r>
      <w:r>
        <w:rPr>
          <w:spacing w:val="-14"/>
        </w:rPr>
        <w:t> </w:t>
      </w:r>
      <w:r>
        <w:rPr/>
        <w:t>επιχειρήσεις που εμφανίζονται πάνω από την κόκκινη ευ-θεία παρουσιάζουν βελτίωση του ποσοστού κάλυψης</w:t>
      </w:r>
      <w:r>
        <w:rPr>
          <w:spacing w:val="-2"/>
        </w:rPr>
        <w:t> </w:t>
      </w:r>
      <w:r>
        <w:rPr/>
        <w:t>του SCR</w:t>
      </w:r>
      <w:r>
        <w:rPr>
          <w:spacing w:val="-2"/>
        </w:rPr>
        <w:t> </w:t>
      </w:r>
      <w:r>
        <w:rPr/>
        <w:t>κατά</w:t>
      </w:r>
      <w:r>
        <w:rPr>
          <w:spacing w:val="-2"/>
        </w:rPr>
        <w:t> </w:t>
      </w:r>
      <w:r>
        <w:rPr/>
        <w:t>το</w:t>
      </w:r>
      <w:r>
        <w:rPr>
          <w:spacing w:val="-3"/>
        </w:rPr>
        <w:t> </w:t>
      </w:r>
      <w:r>
        <w:rPr/>
        <w:t>2025</w:t>
      </w:r>
      <w:r>
        <w:rPr>
          <w:spacing w:val="-1"/>
        </w:rPr>
        <w:t> </w:t>
      </w:r>
      <w:r>
        <w:rPr/>
        <w:t>σε σχέση</w:t>
      </w:r>
      <w:r>
        <w:rPr>
          <w:spacing w:val="-1"/>
        </w:rPr>
        <w:t> </w:t>
      </w:r>
      <w:r>
        <w:rPr/>
        <w:t>με το προηγούμενο έτος</w:t>
      </w:r>
      <w:r>
        <w:rPr>
          <w:spacing w:val="-1"/>
        </w:rPr>
        <w:t> </w:t>
      </w:r>
      <w:r>
        <w:rPr/>
        <w:t>(45%</w:t>
      </w:r>
      <w:r>
        <w:rPr>
          <w:spacing w:val="-1"/>
        </w:rPr>
        <w:t> </w:t>
      </w:r>
      <w:r>
        <w:rPr/>
        <w:t>του συνόλου των ασφαλιστικών επιχειρήσεων), ενώ οι επιχει-ρήσεις</w:t>
      </w:r>
      <w:r>
        <w:rPr>
          <w:spacing w:val="-2"/>
        </w:rPr>
        <w:t> </w:t>
      </w:r>
      <w:r>
        <w:rPr/>
        <w:t>που</w:t>
      </w:r>
      <w:r>
        <w:rPr>
          <w:spacing w:val="-1"/>
        </w:rPr>
        <w:t> </w:t>
      </w:r>
      <w:r>
        <w:rPr/>
        <w:t>βρίσκονται</w:t>
      </w:r>
      <w:r>
        <w:rPr>
          <w:spacing w:val="-2"/>
        </w:rPr>
        <w:t> </w:t>
      </w:r>
      <w:r>
        <w:rPr/>
        <w:t>κάτω</w:t>
      </w:r>
      <w:r>
        <w:rPr>
          <w:spacing w:val="-1"/>
        </w:rPr>
        <w:t> </w:t>
      </w:r>
      <w:r>
        <w:rPr/>
        <w:t>εμφανίζουν</w:t>
      </w:r>
      <w:r>
        <w:rPr>
          <w:spacing w:val="-1"/>
        </w:rPr>
        <w:t> </w:t>
      </w:r>
      <w:r>
        <w:rPr/>
        <w:t>χει-</w:t>
      </w:r>
      <w:r>
        <w:rPr>
          <w:spacing w:val="-2"/>
        </w:rPr>
        <w:t>ροτέρευση.</w:t>
      </w:r>
    </w:p>
    <w:p>
      <w:pPr>
        <w:pStyle w:val="BodyText"/>
        <w:spacing w:after="0" w:line="285" w:lineRule="auto"/>
        <w:jc w:val="both"/>
        <w:sectPr>
          <w:pgSz w:w="11910" w:h="16850"/>
          <w:pgMar w:header="0" w:footer="1108" w:top="1860" w:bottom="1300" w:left="1417" w:right="850"/>
        </w:sectPr>
      </w:pPr>
    </w:p>
    <w:p>
      <w:pPr>
        <w:pStyle w:val="BodyText"/>
        <w:spacing w:before="99"/>
      </w:pPr>
    </w:p>
    <w:p>
      <w:pPr>
        <w:pStyle w:val="Heading3"/>
        <w:numPr>
          <w:ilvl w:val="2"/>
          <w:numId w:val="2"/>
        </w:numPr>
        <w:tabs>
          <w:tab w:pos="738" w:val="left" w:leader="none"/>
        </w:tabs>
        <w:spacing w:line="240" w:lineRule="auto" w:before="0" w:after="0"/>
        <w:ind w:left="738" w:right="0" w:hanging="566"/>
        <w:jc w:val="left"/>
        <w:rPr>
          <w:color w:val="1F487C"/>
        </w:rPr>
      </w:pPr>
      <w:bookmarkStart w:name="_bookmark120" w:id="121"/>
      <w:bookmarkEnd w:id="121"/>
      <w:r>
        <w:rPr>
          <w:b w:val="0"/>
        </w:rPr>
      </w:r>
      <w:r>
        <w:rPr>
          <w:color w:val="1F487C"/>
        </w:rPr>
        <w:t>ΒΑΣΙΚΑ</w:t>
      </w:r>
      <w:r>
        <w:rPr>
          <w:color w:val="1F487C"/>
          <w:spacing w:val="-8"/>
        </w:rPr>
        <w:t> </w:t>
      </w:r>
      <w:r>
        <w:rPr>
          <w:color w:val="1F487C"/>
        </w:rPr>
        <w:t>ΜΕΓΕΘΗ</w:t>
      </w:r>
      <w:r>
        <w:rPr>
          <w:color w:val="1F487C"/>
          <w:spacing w:val="-5"/>
        </w:rPr>
        <w:t> </w:t>
      </w:r>
      <w:r>
        <w:rPr>
          <w:color w:val="1F487C"/>
        </w:rPr>
        <w:t>ΤΗΣ</w:t>
      </w:r>
      <w:r>
        <w:rPr>
          <w:color w:val="1F487C"/>
          <w:spacing w:val="-8"/>
        </w:rPr>
        <w:t> </w:t>
      </w:r>
      <w:r>
        <w:rPr>
          <w:color w:val="1F487C"/>
        </w:rPr>
        <w:t>ΕΠΑΓΓΕΛΜΑΤΙΚΗΣ</w:t>
      </w:r>
      <w:r>
        <w:rPr>
          <w:color w:val="1F487C"/>
          <w:spacing w:val="-5"/>
        </w:rPr>
        <w:t> </w:t>
      </w:r>
      <w:r>
        <w:rPr>
          <w:color w:val="1F487C"/>
          <w:spacing w:val="-2"/>
        </w:rPr>
        <w:t>ΑΣΦΑΛΙΣΗΣ</w:t>
      </w:r>
    </w:p>
    <w:p>
      <w:pPr>
        <w:pStyle w:val="BodyText"/>
        <w:spacing w:line="285" w:lineRule="auto" w:before="93"/>
        <w:ind w:left="172" w:right="961"/>
        <w:jc w:val="both"/>
      </w:pPr>
      <w:r>
        <w:rPr/>
        <w:t>Στις 31.12.2025 δραστηριοποιούνταν στην Ελλάδα 27 Ταμεία Επαγγελματικής Ασφάλισης (ΤΕΑ) από τον δημόσιο τομέα, τη ναυτιλία, τον τραπεζικό κλάδο και άλλους επαγγελματικούς κλάδους (όπως των οικονομολόγων, γεωτεχνικών, αστυνομικών, πυροσβεστών και λιμενικών).</w:t>
      </w:r>
    </w:p>
    <w:p>
      <w:pPr>
        <w:pStyle w:val="BodyText"/>
        <w:spacing w:line="285" w:lineRule="auto" w:before="57"/>
        <w:ind w:left="172" w:right="958"/>
        <w:jc w:val="both"/>
      </w:pPr>
      <w:r>
        <w:rPr/>
        <w:t>Το</w:t>
      </w:r>
      <w:r>
        <w:rPr>
          <w:spacing w:val="-3"/>
        </w:rPr>
        <w:t> </w:t>
      </w:r>
      <w:r>
        <w:rPr/>
        <w:t>σύνολο</w:t>
      </w:r>
      <w:r>
        <w:rPr>
          <w:spacing w:val="-6"/>
        </w:rPr>
        <w:t> </w:t>
      </w:r>
      <w:r>
        <w:rPr/>
        <w:t>του</w:t>
      </w:r>
      <w:r>
        <w:rPr>
          <w:spacing w:val="-5"/>
        </w:rPr>
        <w:t> </w:t>
      </w:r>
      <w:r>
        <w:rPr/>
        <w:t>ενεργητικού</w:t>
      </w:r>
      <w:r>
        <w:rPr>
          <w:spacing w:val="-5"/>
        </w:rPr>
        <w:t> </w:t>
      </w:r>
      <w:r>
        <w:rPr/>
        <w:t>των</w:t>
      </w:r>
      <w:r>
        <w:rPr>
          <w:spacing w:val="-2"/>
        </w:rPr>
        <w:t> </w:t>
      </w:r>
      <w:r>
        <w:rPr/>
        <w:t>εποπτευόμενων</w:t>
      </w:r>
      <w:r>
        <w:rPr>
          <w:spacing w:val="-2"/>
        </w:rPr>
        <w:t> </w:t>
      </w:r>
      <w:r>
        <w:rPr/>
        <w:t>από</w:t>
      </w:r>
      <w:r>
        <w:rPr>
          <w:spacing w:val="-3"/>
        </w:rPr>
        <w:t> </w:t>
      </w:r>
      <w:r>
        <w:rPr/>
        <w:t>την</w:t>
      </w:r>
      <w:r>
        <w:rPr>
          <w:spacing w:val="-3"/>
        </w:rPr>
        <w:t> </w:t>
      </w:r>
      <w:r>
        <w:rPr/>
        <w:t>Τράπεζα</w:t>
      </w:r>
      <w:r>
        <w:rPr>
          <w:spacing w:val="-6"/>
        </w:rPr>
        <w:t> </w:t>
      </w:r>
      <w:r>
        <w:rPr/>
        <w:t>της</w:t>
      </w:r>
      <w:r>
        <w:rPr>
          <w:spacing w:val="-5"/>
        </w:rPr>
        <w:t> </w:t>
      </w:r>
      <w:r>
        <w:rPr/>
        <w:t>Ελλάδος</w:t>
      </w:r>
      <w:r>
        <w:rPr>
          <w:spacing w:val="-4"/>
        </w:rPr>
        <w:t> </w:t>
      </w:r>
      <w:r>
        <w:rPr/>
        <w:t>ΤΕΑ</w:t>
      </w:r>
      <w:r>
        <w:rPr>
          <w:spacing w:val="-5"/>
        </w:rPr>
        <w:t> </w:t>
      </w:r>
      <w:r>
        <w:rPr/>
        <w:t>διαμορφώ-θηκε σε 620,4 εκατ. ευρώ, αυξημένο κατά 22,5% σε σχέση με τον Δεκέμβριο του 2024. Από το σύνολο</w:t>
      </w:r>
      <w:r>
        <w:rPr>
          <w:spacing w:val="-16"/>
        </w:rPr>
        <w:t> </w:t>
      </w:r>
      <w:r>
        <w:rPr/>
        <w:t>του</w:t>
      </w:r>
      <w:r>
        <w:rPr>
          <w:spacing w:val="-14"/>
        </w:rPr>
        <w:t> </w:t>
      </w:r>
      <w:r>
        <w:rPr/>
        <w:t>ενεργητικού,</w:t>
      </w:r>
      <w:r>
        <w:rPr>
          <w:spacing w:val="-14"/>
        </w:rPr>
        <w:t> </w:t>
      </w:r>
      <w:r>
        <w:rPr/>
        <w:t>102,1</w:t>
      </w:r>
      <w:r>
        <w:rPr>
          <w:spacing w:val="-13"/>
        </w:rPr>
        <w:t> </w:t>
      </w:r>
      <w:r>
        <w:rPr/>
        <w:t>εκατ.</w:t>
      </w:r>
      <w:r>
        <w:rPr>
          <w:spacing w:val="-14"/>
        </w:rPr>
        <w:t> </w:t>
      </w:r>
      <w:r>
        <w:rPr/>
        <w:t>ευρώ</w:t>
      </w:r>
      <w:r>
        <w:rPr>
          <w:spacing w:val="-14"/>
        </w:rPr>
        <w:t> </w:t>
      </w:r>
      <w:r>
        <w:rPr/>
        <w:t>(16,5%)</w:t>
      </w:r>
      <w:r>
        <w:rPr>
          <w:spacing w:val="-14"/>
        </w:rPr>
        <w:t> </w:t>
      </w:r>
      <w:r>
        <w:rPr/>
        <w:t>ήταν</w:t>
      </w:r>
      <w:r>
        <w:rPr>
          <w:spacing w:val="-13"/>
        </w:rPr>
        <w:t> </w:t>
      </w:r>
      <w:r>
        <w:rPr/>
        <w:t>τοποθετημένα</w:t>
      </w:r>
      <w:r>
        <w:rPr>
          <w:spacing w:val="-14"/>
        </w:rPr>
        <w:t> </w:t>
      </w:r>
      <w:r>
        <w:rPr/>
        <w:t>σε</w:t>
      </w:r>
      <w:r>
        <w:rPr>
          <w:spacing w:val="-14"/>
        </w:rPr>
        <w:t> </w:t>
      </w:r>
      <w:r>
        <w:rPr/>
        <w:t>ομόλογα</w:t>
      </w:r>
      <w:r>
        <w:rPr>
          <w:spacing w:val="-14"/>
        </w:rPr>
        <w:t> </w:t>
      </w:r>
      <w:r>
        <w:rPr/>
        <w:t>(έναντι</w:t>
      </w:r>
      <w:r>
        <w:rPr>
          <w:spacing w:val="-13"/>
        </w:rPr>
        <w:t> </w:t>
      </w:r>
      <w:r>
        <w:rPr/>
        <w:t>131,5 εκατ. ευρώ στις 31.12.2024), εκ των οποίων 83,7 εκατ.</w:t>
      </w:r>
      <w:r>
        <w:rPr>
          <w:spacing w:val="-1"/>
        </w:rPr>
        <w:t> </w:t>
      </w:r>
      <w:r>
        <w:rPr/>
        <w:t>ευρώ σε κρατικά ομόλογα</w:t>
      </w:r>
      <w:r>
        <w:rPr>
          <w:spacing w:val="-1"/>
        </w:rPr>
        <w:t> </w:t>
      </w:r>
      <w:r>
        <w:rPr/>
        <w:t>(έναντι 112,4 εκατ. ευρώ στις 31.12.2024) και 18,4 εκατ. ευρώ σε εταιρικά ομόλογα (έναντι 19,1 εκατ. ευρώ στις</w:t>
      </w:r>
      <w:r>
        <w:rPr>
          <w:spacing w:val="-4"/>
        </w:rPr>
        <w:t> </w:t>
      </w:r>
      <w:r>
        <w:rPr/>
        <w:t>31.12.2024).</w:t>
      </w:r>
      <w:r>
        <w:rPr>
          <w:spacing w:val="-4"/>
        </w:rPr>
        <w:t> </w:t>
      </w:r>
      <w:r>
        <w:rPr/>
        <w:t>Επίσης,</w:t>
      </w:r>
      <w:r>
        <w:rPr>
          <w:spacing w:val="-4"/>
        </w:rPr>
        <w:t> </w:t>
      </w:r>
      <w:r>
        <w:rPr/>
        <w:t>467,4</w:t>
      </w:r>
      <w:r>
        <w:rPr>
          <w:spacing w:val="-4"/>
        </w:rPr>
        <w:t> </w:t>
      </w:r>
      <w:r>
        <w:rPr/>
        <w:t>εκατ.</w:t>
      </w:r>
      <w:r>
        <w:rPr>
          <w:spacing w:val="-6"/>
        </w:rPr>
        <w:t> </w:t>
      </w:r>
      <w:r>
        <w:rPr/>
        <w:t>ευρώ</w:t>
      </w:r>
      <w:r>
        <w:rPr>
          <w:spacing w:val="-3"/>
        </w:rPr>
        <w:t> </w:t>
      </w:r>
      <w:r>
        <w:rPr/>
        <w:t>(75%)</w:t>
      </w:r>
      <w:r>
        <w:rPr>
          <w:spacing w:val="-4"/>
        </w:rPr>
        <w:t> </w:t>
      </w:r>
      <w:r>
        <w:rPr/>
        <w:t>ήταν</w:t>
      </w:r>
      <w:r>
        <w:rPr>
          <w:spacing w:val="-3"/>
        </w:rPr>
        <w:t> </w:t>
      </w:r>
      <w:r>
        <w:rPr/>
        <w:t>τοποθετημένα</w:t>
      </w:r>
      <w:r>
        <w:rPr>
          <w:spacing w:val="-4"/>
        </w:rPr>
        <w:t> </w:t>
      </w:r>
      <w:r>
        <w:rPr/>
        <w:t>σε</w:t>
      </w:r>
      <w:r>
        <w:rPr>
          <w:spacing w:val="-4"/>
        </w:rPr>
        <w:t> </w:t>
      </w:r>
      <w:r>
        <w:rPr/>
        <w:t>οργανισμούς</w:t>
      </w:r>
      <w:r>
        <w:rPr>
          <w:spacing w:val="-5"/>
        </w:rPr>
        <w:t> </w:t>
      </w:r>
      <w:r>
        <w:rPr/>
        <w:t>συλλογι-κών επενδύσεων (έναντι 331,9 εκατ. ευρώ στις 31.12.2024). Το σύνολο του παθητικού διαμορ-φώθηκε</w:t>
      </w:r>
      <w:r>
        <w:rPr>
          <w:spacing w:val="-1"/>
        </w:rPr>
        <w:t> </w:t>
      </w:r>
      <w:r>
        <w:rPr/>
        <w:t>σε</w:t>
      </w:r>
      <w:r>
        <w:rPr>
          <w:spacing w:val="-1"/>
        </w:rPr>
        <w:t> </w:t>
      </w:r>
      <w:r>
        <w:rPr/>
        <w:t>600,7</w:t>
      </w:r>
      <w:r>
        <w:rPr>
          <w:spacing w:val="-1"/>
        </w:rPr>
        <w:t> </w:t>
      </w:r>
      <w:r>
        <w:rPr/>
        <w:t>εκατ.</w:t>
      </w:r>
      <w:r>
        <w:rPr>
          <w:spacing w:val="-1"/>
        </w:rPr>
        <w:t> </w:t>
      </w:r>
      <w:r>
        <w:rPr/>
        <w:t>ευρώ</w:t>
      </w:r>
      <w:r>
        <w:rPr>
          <w:spacing w:val="-1"/>
        </w:rPr>
        <w:t> </w:t>
      </w:r>
      <w:r>
        <w:rPr/>
        <w:t>(έναντι</w:t>
      </w:r>
      <w:r>
        <w:rPr>
          <w:spacing w:val="-1"/>
        </w:rPr>
        <w:t> </w:t>
      </w:r>
      <w:r>
        <w:rPr/>
        <w:t>489,9</w:t>
      </w:r>
      <w:r>
        <w:rPr>
          <w:spacing w:val="-1"/>
        </w:rPr>
        <w:t> </w:t>
      </w:r>
      <w:r>
        <w:rPr/>
        <w:t>εκατ.</w:t>
      </w:r>
      <w:r>
        <w:rPr>
          <w:spacing w:val="-1"/>
        </w:rPr>
        <w:t> </w:t>
      </w:r>
      <w:r>
        <w:rPr/>
        <w:t>ευρώ</w:t>
      </w:r>
      <w:r>
        <w:rPr>
          <w:spacing w:val="-3"/>
        </w:rPr>
        <w:t> </w:t>
      </w:r>
      <w:r>
        <w:rPr/>
        <w:t>στις</w:t>
      </w:r>
      <w:r>
        <w:rPr>
          <w:spacing w:val="-1"/>
        </w:rPr>
        <w:t> </w:t>
      </w:r>
      <w:r>
        <w:rPr/>
        <w:t>31.12.2024),</w:t>
      </w:r>
      <w:r>
        <w:rPr>
          <w:spacing w:val="-1"/>
        </w:rPr>
        <w:t> </w:t>
      </w:r>
      <w:r>
        <w:rPr/>
        <w:t>με</w:t>
      </w:r>
      <w:r>
        <w:rPr>
          <w:spacing w:val="-1"/>
        </w:rPr>
        <w:t> </w:t>
      </w:r>
      <w:r>
        <w:rPr/>
        <w:t>τις</w:t>
      </w:r>
      <w:r>
        <w:rPr>
          <w:spacing w:val="-1"/>
        </w:rPr>
        <w:t> </w:t>
      </w:r>
      <w:r>
        <w:rPr/>
        <w:t>τεχνικές</w:t>
      </w:r>
      <w:r>
        <w:rPr>
          <w:spacing w:val="-2"/>
        </w:rPr>
        <w:t> </w:t>
      </w:r>
      <w:r>
        <w:rPr/>
        <w:t>προβλέ-ψεις να ανέρχονται σε 590,4 εκατ. ευρώ (έναντι 471,1 εκατ. ευρώ στις 31.12.2024), ήτοι 98,3% του συνόλου του παθητικού.</w:t>
      </w:r>
    </w:p>
    <w:p>
      <w:pPr>
        <w:pStyle w:val="BodyText"/>
        <w:spacing w:after="0" w:line="285" w:lineRule="auto"/>
        <w:jc w:val="both"/>
        <w:sectPr>
          <w:pgSz w:w="11910" w:h="16850"/>
          <w:pgMar w:header="0" w:footer="1108" w:top="1940" w:bottom="1300" w:left="1417" w:right="850"/>
        </w:sectPr>
      </w:pPr>
    </w:p>
    <w:p>
      <w:pPr>
        <w:pStyle w:val="Heading2"/>
        <w:numPr>
          <w:ilvl w:val="1"/>
          <w:numId w:val="2"/>
        </w:numPr>
        <w:tabs>
          <w:tab w:pos="568" w:val="left" w:leader="none"/>
        </w:tabs>
        <w:spacing w:line="240" w:lineRule="auto" w:before="70" w:after="0"/>
        <w:ind w:left="568" w:right="0" w:hanging="396"/>
        <w:jc w:val="left"/>
        <w:rPr>
          <w:color w:val="1F487C"/>
        </w:rPr>
      </w:pPr>
      <w:bookmarkStart w:name="_bookmark121" w:id="122"/>
      <w:bookmarkEnd w:id="122"/>
      <w:r>
        <w:rPr>
          <w:b w:val="0"/>
        </w:rPr>
      </w:r>
      <w:r>
        <w:rPr>
          <w:color w:val="1F487C"/>
        </w:rPr>
        <w:t>ΛΟΙΠΕΣ</w:t>
      </w:r>
      <w:r>
        <w:rPr>
          <w:color w:val="1F487C"/>
          <w:spacing w:val="1"/>
        </w:rPr>
        <w:t> </w:t>
      </w:r>
      <w:r>
        <w:rPr>
          <w:color w:val="1F487C"/>
          <w:spacing w:val="-2"/>
        </w:rPr>
        <w:t>ΕΠΙΧΕΙΡΗΣΕΙΣ</w:t>
      </w:r>
    </w:p>
    <w:p>
      <w:pPr>
        <w:pStyle w:val="Heading3"/>
        <w:numPr>
          <w:ilvl w:val="2"/>
          <w:numId w:val="2"/>
        </w:numPr>
        <w:tabs>
          <w:tab w:pos="738" w:val="left" w:leader="none"/>
        </w:tabs>
        <w:spacing w:line="240" w:lineRule="auto" w:before="120" w:after="0"/>
        <w:ind w:left="738" w:right="1206" w:hanging="567"/>
        <w:jc w:val="left"/>
        <w:rPr>
          <w:color w:val="1F487C"/>
        </w:rPr>
      </w:pPr>
      <w:bookmarkStart w:name="_bookmark122" w:id="123"/>
      <w:bookmarkEnd w:id="123"/>
      <w:r>
        <w:rPr>
          <w:b w:val="0"/>
        </w:rPr>
      </w:r>
      <w:r>
        <w:rPr>
          <w:color w:val="1F487C"/>
        </w:rPr>
        <w:t>ΕΤΑΙΡΙΕΣ</w:t>
      </w:r>
      <w:r>
        <w:rPr>
          <w:color w:val="1F487C"/>
          <w:spacing w:val="-6"/>
        </w:rPr>
        <w:t> </w:t>
      </w:r>
      <w:r>
        <w:rPr>
          <w:color w:val="1F487C"/>
        </w:rPr>
        <w:t>ΧΡΗΜΑΤΟΔΟΤΙΚΗΣ</w:t>
      </w:r>
      <w:r>
        <w:rPr>
          <w:color w:val="1F487C"/>
          <w:spacing w:val="-8"/>
        </w:rPr>
        <w:t> </w:t>
      </w:r>
      <w:r>
        <w:rPr>
          <w:color w:val="1F487C"/>
        </w:rPr>
        <w:t>ΜΙΣΘΩΣΗΣ,</w:t>
      </w:r>
      <w:r>
        <w:rPr>
          <w:color w:val="1F487C"/>
          <w:spacing w:val="-8"/>
        </w:rPr>
        <w:t> </w:t>
      </w:r>
      <w:r>
        <w:rPr>
          <w:color w:val="1F487C"/>
        </w:rPr>
        <w:t>ΕΤΑΙΡΙΕΣ</w:t>
      </w:r>
      <w:r>
        <w:rPr>
          <w:color w:val="1F487C"/>
          <w:spacing w:val="-6"/>
        </w:rPr>
        <w:t> </w:t>
      </w:r>
      <w:r>
        <w:rPr>
          <w:color w:val="1F487C"/>
        </w:rPr>
        <w:t>ΠΡΑΚΤΟΡΕΙΑΣ</w:t>
      </w:r>
      <w:r>
        <w:rPr>
          <w:color w:val="1F487C"/>
          <w:spacing w:val="-5"/>
        </w:rPr>
        <w:t> </w:t>
      </w:r>
      <w:r>
        <w:rPr>
          <w:color w:val="1F487C"/>
        </w:rPr>
        <w:t>Ε-ΠΙΧΕΙΡΗΜΑΤΙΚΩΝ ΑΠΑΙΤΗΣΕΩΝ, ΙΔΡΥΜΑΤΑ ΜΙΚΡΟΧΡΗΜΑΤΟΔΟΤΗ-</w:t>
      </w:r>
      <w:r>
        <w:rPr>
          <w:color w:val="1F487C"/>
          <w:spacing w:val="-4"/>
        </w:rPr>
        <w:t>ΣΕΩΝ</w:t>
      </w:r>
    </w:p>
    <w:p>
      <w:pPr>
        <w:pStyle w:val="BodyText"/>
        <w:spacing w:line="285" w:lineRule="auto" w:before="115"/>
        <w:ind w:left="172" w:right="5351"/>
        <w:jc w:val="both"/>
      </w:pPr>
      <w:r>
        <w:rPr/>
        <mc:AlternateContent>
          <mc:Choice Requires="wps">
            <w:drawing>
              <wp:anchor distT="0" distB="0" distL="0" distR="0" allowOverlap="1" layoutInCell="1" locked="0" behindDoc="0" simplePos="0" relativeHeight="15793664">
                <wp:simplePos x="0" y="0"/>
                <wp:positionH relativeFrom="page">
                  <wp:posOffset>3735959</wp:posOffset>
                </wp:positionH>
                <wp:positionV relativeFrom="paragraph">
                  <wp:posOffset>220146</wp:posOffset>
                </wp:positionV>
                <wp:extent cx="2665095" cy="338455"/>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2665095" cy="338455"/>
                        </a:xfrm>
                        <a:prstGeom prst="rect">
                          <a:avLst/>
                        </a:prstGeom>
                        <a:solidFill>
                          <a:srgbClr val="1F487C"/>
                        </a:solidFill>
                      </wps:spPr>
                      <wps:txbx>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V.8</w:t>
                            </w:r>
                            <w:r>
                              <w:rPr>
                                <w:b/>
                                <w:smallCaps w:val="0"/>
                                <w:color w:val="FFFFFF"/>
                                <w:spacing w:val="-6"/>
                                <w:sz w:val="18"/>
                              </w:rPr>
                              <w:t> </w:t>
                            </w:r>
                            <w:r>
                              <w:rPr>
                                <w:b/>
                                <w:smallCaps w:val="0"/>
                                <w:color w:val="FFFFFF"/>
                                <w:sz w:val="18"/>
                              </w:rPr>
                              <w:t>Ενεργητ</w:t>
                            </w:r>
                            <w:r>
                              <w:rPr>
                                <w:b/>
                                <w:smallCaps/>
                                <w:color w:val="FFFFFF"/>
                                <w:sz w:val="18"/>
                              </w:rPr>
                              <w:t>ι</w:t>
                            </w:r>
                            <w:r>
                              <w:rPr>
                                <w:b/>
                                <w:smallCaps w:val="0"/>
                                <w:color w:val="FFFFFF"/>
                                <w:sz w:val="18"/>
                              </w:rPr>
                              <w:t>κό</w:t>
                            </w:r>
                            <w:r>
                              <w:rPr>
                                <w:b/>
                                <w:smallCaps w:val="0"/>
                                <w:color w:val="FFFFFF"/>
                                <w:spacing w:val="-6"/>
                                <w:sz w:val="18"/>
                              </w:rPr>
                              <w:t> </w:t>
                            </w:r>
                            <w:r>
                              <w:rPr>
                                <w:b/>
                                <w:smallCaps w:val="0"/>
                                <w:color w:val="FFFFFF"/>
                                <w:sz w:val="18"/>
                              </w:rPr>
                              <w:t>λο</w:t>
                            </w:r>
                            <w:r>
                              <w:rPr>
                                <w:b/>
                                <w:smallCaps/>
                                <w:color w:val="FFFFFF"/>
                                <w:sz w:val="18"/>
                              </w:rPr>
                              <w:t>ι</w:t>
                            </w:r>
                            <w:r>
                              <w:rPr>
                                <w:b/>
                                <w:smallCaps w:val="0"/>
                                <w:color w:val="FFFFFF"/>
                                <w:sz w:val="18"/>
                              </w:rPr>
                              <w:t>πών</w:t>
                            </w:r>
                            <w:r>
                              <w:rPr>
                                <w:b/>
                                <w:smallCaps w:val="0"/>
                                <w:color w:val="FFFFFF"/>
                                <w:spacing w:val="-6"/>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w:t>
                            </w:r>
                            <w:r>
                              <w:rPr>
                                <w:b/>
                                <w:smallCaps w:val="0"/>
                                <w:color w:val="FFFFFF"/>
                                <w:spacing w:val="-6"/>
                                <w:sz w:val="18"/>
                              </w:rPr>
                              <w:t> </w:t>
                            </w:r>
                            <w:r>
                              <w:rPr>
                                <w:b/>
                                <w:smallCaps w:val="0"/>
                                <w:color w:val="FFFFFF"/>
                                <w:sz w:val="18"/>
                              </w:rPr>
                              <w:t>του 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κού τομέα</w:t>
                            </w:r>
                          </w:p>
                        </w:txbxContent>
                      </wps:txbx>
                      <wps:bodyPr wrap="square" lIns="0" tIns="0" rIns="0" bIns="0" rtlCol="0">
                        <a:noAutofit/>
                      </wps:bodyPr>
                    </wps:wsp>
                  </a:graphicData>
                </a:graphic>
              </wp:anchor>
            </w:drawing>
          </mc:Choice>
          <mc:Fallback>
            <w:pict>
              <v:shape style="position:absolute;margin-left:294.170013pt;margin-top:17.334394pt;width:209.85pt;height:26.65pt;mso-position-horizontal-relative:page;mso-position-vertical-relative:paragraph;z-index:15793664" type="#_x0000_t202" id="docshape629" filled="true" fillcolor="#1f487c" stroked="false">
                <v:textbox inset="0,0,0,0">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V.8</w:t>
                      </w:r>
                      <w:r>
                        <w:rPr>
                          <w:b/>
                          <w:smallCaps w:val="0"/>
                          <w:color w:val="FFFFFF"/>
                          <w:spacing w:val="-6"/>
                          <w:sz w:val="18"/>
                        </w:rPr>
                        <w:t> </w:t>
                      </w:r>
                      <w:r>
                        <w:rPr>
                          <w:b/>
                          <w:smallCaps w:val="0"/>
                          <w:color w:val="FFFFFF"/>
                          <w:sz w:val="18"/>
                        </w:rPr>
                        <w:t>Ενεργητ</w:t>
                      </w:r>
                      <w:r>
                        <w:rPr>
                          <w:b/>
                          <w:smallCaps/>
                          <w:color w:val="FFFFFF"/>
                          <w:sz w:val="18"/>
                        </w:rPr>
                        <w:t>ι</w:t>
                      </w:r>
                      <w:r>
                        <w:rPr>
                          <w:b/>
                          <w:smallCaps w:val="0"/>
                          <w:color w:val="FFFFFF"/>
                          <w:sz w:val="18"/>
                        </w:rPr>
                        <w:t>κό</w:t>
                      </w:r>
                      <w:r>
                        <w:rPr>
                          <w:b/>
                          <w:smallCaps w:val="0"/>
                          <w:color w:val="FFFFFF"/>
                          <w:spacing w:val="-6"/>
                          <w:sz w:val="18"/>
                        </w:rPr>
                        <w:t> </w:t>
                      </w:r>
                      <w:r>
                        <w:rPr>
                          <w:b/>
                          <w:smallCaps w:val="0"/>
                          <w:color w:val="FFFFFF"/>
                          <w:sz w:val="18"/>
                        </w:rPr>
                        <w:t>λο</w:t>
                      </w:r>
                      <w:r>
                        <w:rPr>
                          <w:b/>
                          <w:smallCaps/>
                          <w:color w:val="FFFFFF"/>
                          <w:sz w:val="18"/>
                        </w:rPr>
                        <w:t>ι</w:t>
                      </w:r>
                      <w:r>
                        <w:rPr>
                          <w:b/>
                          <w:smallCaps w:val="0"/>
                          <w:color w:val="FFFFFF"/>
                          <w:sz w:val="18"/>
                        </w:rPr>
                        <w:t>πών</w:t>
                      </w:r>
                      <w:r>
                        <w:rPr>
                          <w:b/>
                          <w:smallCaps w:val="0"/>
                          <w:color w:val="FFFFFF"/>
                          <w:spacing w:val="-6"/>
                          <w:sz w:val="18"/>
                        </w:rPr>
                        <w:t> </w:t>
                      </w:r>
                      <w:r>
                        <w:rPr>
                          <w:b/>
                          <w:smallCaps w:val="0"/>
                          <w:color w:val="FFFFFF"/>
                          <w:sz w:val="18"/>
                        </w:rPr>
                        <w:t>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w:t>
                      </w:r>
                      <w:r>
                        <w:rPr>
                          <w:b/>
                          <w:smallCaps w:val="0"/>
                          <w:color w:val="FFFFFF"/>
                          <w:spacing w:val="-6"/>
                          <w:sz w:val="18"/>
                        </w:rPr>
                        <w:t> </w:t>
                      </w:r>
                      <w:r>
                        <w:rPr>
                          <w:b/>
                          <w:smallCaps w:val="0"/>
                          <w:color w:val="FFFFFF"/>
                          <w:sz w:val="18"/>
                        </w:rPr>
                        <w:t>του 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κού τομέα</w:t>
                      </w:r>
                    </w:p>
                  </w:txbxContent>
                </v:textbox>
                <v:fill type="solid"/>
                <w10:wrap type="none"/>
              </v:shape>
            </w:pict>
          </mc:Fallback>
        </mc:AlternateContent>
      </w:r>
      <w:r>
        <w:rPr/>
        <w:t>Το</w:t>
      </w:r>
      <w:r>
        <w:rPr>
          <w:spacing w:val="-10"/>
        </w:rPr>
        <w:t> </w:t>
      </w:r>
      <w:r>
        <w:rPr/>
        <w:t>2025</w:t>
      </w:r>
      <w:r>
        <w:rPr>
          <w:spacing w:val="-10"/>
        </w:rPr>
        <w:t> </w:t>
      </w:r>
      <w:r>
        <w:rPr/>
        <w:t>ενισχύθηκαν</w:t>
      </w:r>
      <w:r>
        <w:rPr>
          <w:spacing w:val="-10"/>
        </w:rPr>
        <w:t> </w:t>
      </w:r>
      <w:r>
        <w:rPr/>
        <w:t>τα</w:t>
      </w:r>
      <w:r>
        <w:rPr>
          <w:spacing w:val="-10"/>
        </w:rPr>
        <w:t> </w:t>
      </w:r>
      <w:r>
        <w:rPr/>
        <w:t>μεγέθη</w:t>
      </w:r>
      <w:r>
        <w:rPr>
          <w:spacing w:val="-10"/>
        </w:rPr>
        <w:t> </w:t>
      </w:r>
      <w:r>
        <w:rPr/>
        <w:t>των</w:t>
      </w:r>
      <w:r>
        <w:rPr>
          <w:spacing w:val="-9"/>
        </w:rPr>
        <w:t> </w:t>
      </w:r>
      <w:r>
        <w:rPr/>
        <w:t>λοιπών</w:t>
      </w:r>
      <w:r>
        <w:rPr>
          <w:spacing w:val="-10"/>
        </w:rPr>
        <w:t> </w:t>
      </w:r>
      <w:r>
        <w:rPr/>
        <w:t>ε-πιχειρήσεων του χρηματοπιστωτικού τομέα. Αναλυτικότερα,</w:t>
      </w:r>
      <w:r>
        <w:rPr>
          <w:spacing w:val="45"/>
        </w:rPr>
        <w:t> </w:t>
      </w:r>
      <w:r>
        <w:rPr/>
        <w:t>το</w:t>
      </w:r>
      <w:r>
        <w:rPr>
          <w:spacing w:val="43"/>
        </w:rPr>
        <w:t> </w:t>
      </w:r>
      <w:r>
        <w:rPr/>
        <w:t>ενεργητικό</w:t>
      </w:r>
      <w:r>
        <w:rPr>
          <w:spacing w:val="45"/>
        </w:rPr>
        <w:t> </w:t>
      </w:r>
      <w:r>
        <w:rPr/>
        <w:t>των</w:t>
      </w:r>
      <w:r>
        <w:rPr>
          <w:spacing w:val="44"/>
        </w:rPr>
        <w:t> </w:t>
      </w:r>
      <w:r>
        <w:rPr>
          <w:spacing w:val="-2"/>
        </w:rPr>
        <w:t>εταιριών</w:t>
      </w:r>
    </w:p>
    <w:p>
      <w:pPr>
        <w:pStyle w:val="BodyText"/>
        <w:spacing w:after="0" w:line="285" w:lineRule="auto"/>
        <w:jc w:val="both"/>
        <w:sectPr>
          <w:pgSz w:w="11910" w:h="16850"/>
          <w:pgMar w:header="0" w:footer="1108" w:top="1800" w:bottom="1300" w:left="1417" w:right="850"/>
        </w:sectPr>
      </w:pPr>
    </w:p>
    <w:p>
      <w:pPr>
        <w:pStyle w:val="BodyText"/>
        <w:spacing w:line="285" w:lineRule="auto" w:before="35"/>
        <w:ind w:left="172"/>
        <w:jc w:val="both"/>
      </w:pPr>
      <w:r>
        <w:rPr/>
        <w:t>χρηματοδοτικής μίσθωσης (leasing) παρουσί-ασε</w:t>
      </w:r>
      <w:r>
        <w:rPr>
          <w:spacing w:val="-14"/>
        </w:rPr>
        <w:t> </w:t>
      </w:r>
      <w:r>
        <w:rPr/>
        <w:t>αύξηση</w:t>
      </w:r>
      <w:r>
        <w:rPr>
          <w:spacing w:val="-14"/>
        </w:rPr>
        <w:t> </w:t>
      </w:r>
      <w:r>
        <w:rPr/>
        <w:t>κατά</w:t>
      </w:r>
      <w:r>
        <w:rPr>
          <w:spacing w:val="-14"/>
        </w:rPr>
        <w:t> </w:t>
      </w:r>
      <w:r>
        <w:rPr/>
        <w:t>3,8%</w:t>
      </w:r>
      <w:r>
        <w:rPr>
          <w:spacing w:val="-13"/>
        </w:rPr>
        <w:t> </w:t>
      </w:r>
      <w:r>
        <w:rPr/>
        <w:t>σε</w:t>
      </w:r>
      <w:r>
        <w:rPr>
          <w:spacing w:val="-14"/>
        </w:rPr>
        <w:t> </w:t>
      </w:r>
      <w:r>
        <w:rPr/>
        <w:t>σχέση</w:t>
      </w:r>
      <w:r>
        <w:rPr>
          <w:spacing w:val="-14"/>
        </w:rPr>
        <w:t> </w:t>
      </w:r>
      <w:r>
        <w:rPr/>
        <w:t>με</w:t>
      </w:r>
      <w:r>
        <w:rPr>
          <w:spacing w:val="-14"/>
        </w:rPr>
        <w:t> </w:t>
      </w:r>
      <w:r>
        <w:rPr/>
        <w:t>τον</w:t>
      </w:r>
      <w:r>
        <w:rPr>
          <w:spacing w:val="-13"/>
        </w:rPr>
        <w:t> </w:t>
      </w:r>
      <w:r>
        <w:rPr/>
        <w:t>Δεκέμ-βριο</w:t>
      </w:r>
      <w:r>
        <w:rPr>
          <w:spacing w:val="-10"/>
        </w:rPr>
        <w:t> </w:t>
      </w:r>
      <w:r>
        <w:rPr/>
        <w:t>του</w:t>
      </w:r>
      <w:r>
        <w:rPr>
          <w:spacing w:val="-10"/>
        </w:rPr>
        <w:t> </w:t>
      </w:r>
      <w:r>
        <w:rPr/>
        <w:t>2024</w:t>
      </w:r>
      <w:r>
        <w:rPr>
          <w:spacing w:val="-10"/>
        </w:rPr>
        <w:t> </w:t>
      </w:r>
      <w:r>
        <w:rPr/>
        <w:t>και</w:t>
      </w:r>
      <w:r>
        <w:rPr>
          <w:spacing w:val="-10"/>
        </w:rPr>
        <w:t> </w:t>
      </w:r>
      <w:r>
        <w:rPr/>
        <w:t>διαμορφώθηκε</w:t>
      </w:r>
      <w:r>
        <w:rPr>
          <w:spacing w:val="-12"/>
        </w:rPr>
        <w:t> </w:t>
      </w:r>
      <w:r>
        <w:rPr/>
        <w:t>σε</w:t>
      </w:r>
      <w:r>
        <w:rPr>
          <w:spacing w:val="-9"/>
        </w:rPr>
        <w:t> </w:t>
      </w:r>
      <w:r>
        <w:rPr/>
        <w:t>3,0</w:t>
      </w:r>
      <w:r>
        <w:rPr>
          <w:spacing w:val="-10"/>
        </w:rPr>
        <w:t> </w:t>
      </w:r>
      <w:r>
        <w:rPr/>
        <w:t>δισεκ. ευρώ.</w:t>
      </w:r>
      <w:r>
        <w:rPr>
          <w:spacing w:val="-13"/>
        </w:rPr>
        <w:t> </w:t>
      </w:r>
      <w:r>
        <w:rPr/>
        <w:t>Αυξημένο</w:t>
      </w:r>
      <w:r>
        <w:rPr>
          <w:spacing w:val="-12"/>
        </w:rPr>
        <w:t> </w:t>
      </w:r>
      <w:r>
        <w:rPr/>
        <w:t>κατά</w:t>
      </w:r>
      <w:r>
        <w:rPr>
          <w:spacing w:val="-13"/>
        </w:rPr>
        <w:t> </w:t>
      </w:r>
      <w:r>
        <w:rPr/>
        <w:t>10,1%</w:t>
      </w:r>
      <w:r>
        <w:rPr>
          <w:spacing w:val="-12"/>
        </w:rPr>
        <w:t> </w:t>
      </w:r>
      <w:r>
        <w:rPr/>
        <w:t>ήταν</w:t>
      </w:r>
      <w:r>
        <w:rPr>
          <w:spacing w:val="-14"/>
        </w:rPr>
        <w:t> </w:t>
      </w:r>
      <w:r>
        <w:rPr/>
        <w:t>και</w:t>
      </w:r>
      <w:r>
        <w:rPr>
          <w:spacing w:val="-12"/>
        </w:rPr>
        <w:t> </w:t>
      </w:r>
      <w:r>
        <w:rPr/>
        <w:t>το</w:t>
      </w:r>
      <w:r>
        <w:rPr>
          <w:spacing w:val="-14"/>
        </w:rPr>
        <w:t> </w:t>
      </w:r>
      <w:r>
        <w:rPr/>
        <w:t>ενερ-γητικό των εταιριών πρακτορείας επιχειρημα-τικών απαιτήσεων (factoring), το οποίο δια-μορφώθηκε</w:t>
      </w:r>
      <w:r>
        <w:rPr>
          <w:spacing w:val="-9"/>
        </w:rPr>
        <w:t> </w:t>
      </w:r>
      <w:r>
        <w:rPr/>
        <w:t>σε</w:t>
      </w:r>
      <w:r>
        <w:rPr>
          <w:spacing w:val="-7"/>
        </w:rPr>
        <w:t> </w:t>
      </w:r>
      <w:r>
        <w:rPr/>
        <w:t>4,3</w:t>
      </w:r>
      <w:r>
        <w:rPr>
          <w:spacing w:val="-6"/>
        </w:rPr>
        <w:t> </w:t>
      </w:r>
      <w:r>
        <w:rPr/>
        <w:t>δισεκ.</w:t>
      </w:r>
      <w:r>
        <w:rPr>
          <w:spacing w:val="-9"/>
        </w:rPr>
        <w:t> </w:t>
      </w:r>
      <w:r>
        <w:rPr/>
        <w:t>ευρώ.</w:t>
      </w:r>
      <w:r>
        <w:rPr>
          <w:spacing w:val="-6"/>
        </w:rPr>
        <w:t> </w:t>
      </w:r>
      <w:r>
        <w:rPr/>
        <w:t>Το</w:t>
      </w:r>
      <w:r>
        <w:rPr>
          <w:spacing w:val="-9"/>
        </w:rPr>
        <w:t> </w:t>
      </w:r>
      <w:r>
        <w:rPr/>
        <w:t>ενεργητικό των ιδρυμάτων μικροχρηματοδοτήσεων (microfinance</w:t>
      </w:r>
      <w:r>
        <w:rPr>
          <w:spacing w:val="-14"/>
        </w:rPr>
        <w:t> </w:t>
      </w:r>
      <w:r>
        <w:rPr/>
        <w:t>institutions)</w:t>
      </w:r>
      <w:r>
        <w:rPr>
          <w:spacing w:val="-14"/>
        </w:rPr>
        <w:t> </w:t>
      </w:r>
      <w:r>
        <w:rPr/>
        <w:t>υπερδιπλασιάστηκε σε</w:t>
      </w:r>
      <w:r>
        <w:rPr>
          <w:spacing w:val="-11"/>
        </w:rPr>
        <w:t> </w:t>
      </w:r>
      <w:r>
        <w:rPr/>
        <w:t>σχέση</w:t>
      </w:r>
      <w:r>
        <w:rPr>
          <w:spacing w:val="-9"/>
        </w:rPr>
        <w:t> </w:t>
      </w:r>
      <w:r>
        <w:rPr/>
        <w:t>με</w:t>
      </w:r>
      <w:r>
        <w:rPr>
          <w:spacing w:val="-8"/>
        </w:rPr>
        <w:t> </w:t>
      </w:r>
      <w:r>
        <w:rPr/>
        <w:t>το</w:t>
      </w:r>
      <w:r>
        <w:rPr>
          <w:spacing w:val="-9"/>
        </w:rPr>
        <w:t> </w:t>
      </w:r>
      <w:r>
        <w:rPr/>
        <w:t>2024,</w:t>
      </w:r>
      <w:r>
        <w:rPr>
          <w:spacing w:val="-12"/>
        </w:rPr>
        <w:t> </w:t>
      </w:r>
      <w:r>
        <w:rPr/>
        <w:t>λόγω</w:t>
      </w:r>
      <w:r>
        <w:rPr>
          <w:spacing w:val="-10"/>
        </w:rPr>
        <w:t> </w:t>
      </w:r>
      <w:r>
        <w:rPr/>
        <w:t>αύξησης</w:t>
      </w:r>
      <w:r>
        <w:rPr>
          <w:spacing w:val="-10"/>
        </w:rPr>
        <w:t> </w:t>
      </w:r>
      <w:r>
        <w:rPr/>
        <w:t>των</w:t>
      </w:r>
      <w:r>
        <w:rPr>
          <w:spacing w:val="-8"/>
        </w:rPr>
        <w:t> </w:t>
      </w:r>
      <w:r>
        <w:rPr/>
        <w:t>χορη-γήσεων</w:t>
      </w:r>
      <w:r>
        <w:rPr>
          <w:spacing w:val="-3"/>
        </w:rPr>
        <w:t> </w:t>
      </w:r>
      <w:r>
        <w:rPr/>
        <w:t>καθώς</w:t>
      </w:r>
      <w:r>
        <w:rPr>
          <w:spacing w:val="-5"/>
        </w:rPr>
        <w:t> </w:t>
      </w:r>
      <w:r>
        <w:rPr/>
        <w:t>και</w:t>
      </w:r>
      <w:r>
        <w:rPr>
          <w:spacing w:val="-3"/>
        </w:rPr>
        <w:t> </w:t>
      </w:r>
      <w:r>
        <w:rPr/>
        <w:t>της</w:t>
      </w:r>
      <w:r>
        <w:rPr>
          <w:spacing w:val="-5"/>
        </w:rPr>
        <w:t> </w:t>
      </w:r>
      <w:r>
        <w:rPr/>
        <w:t>αδειοδότησης</w:t>
      </w:r>
      <w:r>
        <w:rPr>
          <w:spacing w:val="-6"/>
        </w:rPr>
        <w:t> </w:t>
      </w:r>
      <w:r>
        <w:rPr/>
        <w:t>δύο</w:t>
      </w:r>
      <w:r>
        <w:rPr>
          <w:spacing w:val="-6"/>
        </w:rPr>
        <w:t> </w:t>
      </w:r>
      <w:r>
        <w:rPr>
          <w:spacing w:val="-4"/>
        </w:rPr>
        <w:t>νέων</w:t>
      </w:r>
    </w:p>
    <w:p>
      <w:pPr>
        <w:spacing w:line="141" w:lineRule="exact" w:before="0"/>
        <w:ind w:left="172" w:right="0" w:firstLine="0"/>
        <w:jc w:val="left"/>
        <w:rPr>
          <w:sz w:val="14"/>
        </w:rPr>
      </w:pPr>
      <w:r>
        <w:rPr/>
        <w:br w:type="column"/>
      </w:r>
      <w:r>
        <w:rPr>
          <w:color w:val="1F487C"/>
          <w:sz w:val="14"/>
        </w:rPr>
        <w:t>(εκατ.</w:t>
      </w:r>
      <w:r>
        <w:rPr>
          <w:color w:val="1F487C"/>
          <w:spacing w:val="-5"/>
          <w:sz w:val="14"/>
        </w:rPr>
        <w:t> </w:t>
      </w:r>
      <w:r>
        <w:rPr>
          <w:color w:val="1F487C"/>
          <w:spacing w:val="-2"/>
          <w:sz w:val="14"/>
        </w:rPr>
        <w:t>ευρώ)</w:t>
      </w:r>
    </w:p>
    <w:p>
      <w:pPr>
        <w:pStyle w:val="BodyText"/>
        <w:spacing w:before="3"/>
        <w:rPr>
          <w:sz w:val="5"/>
        </w:rPr>
      </w:pPr>
    </w:p>
    <w:p>
      <w:pPr>
        <w:spacing w:line="240" w:lineRule="auto"/>
        <w:ind w:left="113" w:right="0" w:firstLine="0"/>
        <w:rPr>
          <w:sz w:val="20"/>
        </w:rPr>
      </w:pPr>
      <w:r>
        <w:rPr>
          <w:sz w:val="20"/>
        </w:rPr>
        <mc:AlternateContent>
          <mc:Choice Requires="wps">
            <w:drawing>
              <wp:inline distT="0" distB="0" distL="0" distR="0">
                <wp:extent cx="2665730" cy="1951355"/>
                <wp:effectExtent l="0" t="0" r="0" b="1269"/>
                <wp:docPr id="669" name="Group 669"/>
                <wp:cNvGraphicFramePr>
                  <a:graphicFrameLocks/>
                </wp:cNvGraphicFramePr>
                <a:graphic>
                  <a:graphicData uri="http://schemas.microsoft.com/office/word/2010/wordprocessingGroup">
                    <wpg:wgp>
                      <wpg:cNvPr id="669" name="Group 669"/>
                      <wpg:cNvGrpSpPr/>
                      <wpg:grpSpPr>
                        <a:xfrm>
                          <a:off x="0" y="0"/>
                          <a:ext cx="2665730" cy="1951355"/>
                          <a:chExt cx="2665730" cy="1951355"/>
                        </a:xfrm>
                      </wpg:grpSpPr>
                      <wps:wsp>
                        <wps:cNvPr id="670" name="Graphic 670"/>
                        <wps:cNvSpPr/>
                        <wps:spPr>
                          <a:xfrm>
                            <a:off x="635" y="0"/>
                            <a:ext cx="2665095" cy="1951355"/>
                          </a:xfrm>
                          <a:custGeom>
                            <a:avLst/>
                            <a:gdLst/>
                            <a:ahLst/>
                            <a:cxnLst/>
                            <a:rect l="l" t="t" r="r" b="b"/>
                            <a:pathLst>
                              <a:path w="2665095" h="1951355">
                                <a:moveTo>
                                  <a:pt x="2664587" y="0"/>
                                </a:moveTo>
                                <a:lnTo>
                                  <a:pt x="0" y="0"/>
                                </a:lnTo>
                                <a:lnTo>
                                  <a:pt x="0" y="1734566"/>
                                </a:lnTo>
                                <a:lnTo>
                                  <a:pt x="0" y="1950974"/>
                                </a:lnTo>
                                <a:lnTo>
                                  <a:pt x="2664587" y="1950974"/>
                                </a:lnTo>
                                <a:lnTo>
                                  <a:pt x="2664587" y="1734566"/>
                                </a:lnTo>
                                <a:lnTo>
                                  <a:pt x="2664587" y="0"/>
                                </a:lnTo>
                                <a:close/>
                              </a:path>
                            </a:pathLst>
                          </a:custGeom>
                          <a:solidFill>
                            <a:srgbClr val="D9D9D9"/>
                          </a:solidFill>
                        </wps:spPr>
                        <wps:bodyPr wrap="square" lIns="0" tIns="0" rIns="0" bIns="0" rtlCol="0">
                          <a:prstTxWarp prst="textNoShape">
                            <a:avLst/>
                          </a:prstTxWarp>
                          <a:noAutofit/>
                        </wps:bodyPr>
                      </wps:wsp>
                      <pic:pic>
                        <pic:nvPicPr>
                          <pic:cNvPr id="671" name="Image 671"/>
                          <pic:cNvPicPr/>
                        </pic:nvPicPr>
                        <pic:blipFill>
                          <a:blip r:embed="rId107" cstate="print"/>
                          <a:stretch>
                            <a:fillRect/>
                          </a:stretch>
                        </pic:blipFill>
                        <pic:spPr>
                          <a:xfrm>
                            <a:off x="0" y="37846"/>
                            <a:ext cx="2615438" cy="1689735"/>
                          </a:xfrm>
                          <a:prstGeom prst="rect">
                            <a:avLst/>
                          </a:prstGeom>
                        </pic:spPr>
                      </pic:pic>
                      <wps:wsp>
                        <wps:cNvPr id="672" name="Textbox 672"/>
                        <wps:cNvSpPr txBox="1"/>
                        <wps:spPr>
                          <a:xfrm>
                            <a:off x="635" y="0"/>
                            <a:ext cx="2665095" cy="195135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13"/>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09.9pt;height:153.65pt;mso-position-horizontal-relative:char;mso-position-vertical-relative:line" id="docshapegroup630" coordorigin="0,0" coordsize="4198,3073">
                <v:shape style="position:absolute;left:1;top:0;width:4197;height:3073" id="docshape631" coordorigin="1,0" coordsize="4197,3073" path="m4197,0l1,0,1,2732,1,3072,4197,3072,4197,2732,4197,0xe" filled="true" fillcolor="#d9d9d9" stroked="false">
                  <v:path arrowok="t"/>
                  <v:fill type="solid"/>
                </v:shape>
                <v:shape style="position:absolute;left:0;top:59;width:4119;height:2661" type="#_x0000_t75" id="docshape632" stroked="false">
                  <v:imagedata r:id="rId107" o:title=""/>
                </v:shape>
                <v:shape style="position:absolute;left:1;top:0;width:4197;height:3073" type="#_x0000_t202" id="docshape633"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13"/>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289" w:space="63"/>
            <w:col w:w="5291"/>
          </w:cols>
        </w:sectPr>
      </w:pPr>
    </w:p>
    <w:p>
      <w:pPr>
        <w:pStyle w:val="BodyText"/>
        <w:spacing w:line="285" w:lineRule="auto"/>
        <w:ind w:left="172" w:right="957"/>
        <w:jc w:val="both"/>
      </w:pPr>
      <w:r>
        <w:rPr/>
        <w:t>ιδρυμάτων το</w:t>
      </w:r>
      <w:r>
        <w:rPr>
          <w:spacing w:val="-1"/>
        </w:rPr>
        <w:t> </w:t>
      </w:r>
      <w:r>
        <w:rPr/>
        <w:t>2025,</w:t>
      </w:r>
      <w:r>
        <w:rPr>
          <w:spacing w:val="-2"/>
        </w:rPr>
        <w:t> </w:t>
      </w:r>
      <w:r>
        <w:rPr/>
        <w:t>αν</w:t>
      </w:r>
      <w:r>
        <w:rPr>
          <w:spacing w:val="-1"/>
        </w:rPr>
        <w:t> </w:t>
      </w:r>
      <w:r>
        <w:rPr/>
        <w:t>και</w:t>
      </w:r>
      <w:r>
        <w:rPr>
          <w:spacing w:val="-1"/>
        </w:rPr>
        <w:t> </w:t>
      </w:r>
      <w:r>
        <w:rPr/>
        <w:t>παραμένει</w:t>
      </w:r>
      <w:r>
        <w:rPr>
          <w:spacing w:val="-1"/>
        </w:rPr>
        <w:t> </w:t>
      </w:r>
      <w:r>
        <w:rPr/>
        <w:t>σε</w:t>
      </w:r>
      <w:r>
        <w:rPr>
          <w:spacing w:val="-1"/>
        </w:rPr>
        <w:t> </w:t>
      </w:r>
      <w:r>
        <w:rPr/>
        <w:t>πολύ χαμηλό</w:t>
      </w:r>
      <w:r>
        <w:rPr>
          <w:spacing w:val="-3"/>
        </w:rPr>
        <w:t> </w:t>
      </w:r>
      <w:r>
        <w:rPr/>
        <w:t>επίπεδο</w:t>
      </w:r>
      <w:r>
        <w:rPr>
          <w:spacing w:val="-1"/>
        </w:rPr>
        <w:t> </w:t>
      </w:r>
      <w:r>
        <w:rPr/>
        <w:t>(22,8</w:t>
      </w:r>
      <w:r>
        <w:rPr>
          <w:spacing w:val="-1"/>
        </w:rPr>
        <w:t> </w:t>
      </w:r>
      <w:r>
        <w:rPr/>
        <w:t>εκατ.</w:t>
      </w:r>
      <w:r>
        <w:rPr>
          <w:spacing w:val="-2"/>
        </w:rPr>
        <w:t> </w:t>
      </w:r>
      <w:r>
        <w:rPr/>
        <w:t>ευρώ, από 10,3</w:t>
      </w:r>
      <w:r>
        <w:rPr>
          <w:spacing w:val="-1"/>
        </w:rPr>
        <w:t> </w:t>
      </w:r>
      <w:r>
        <w:rPr/>
        <w:t>εκατ. ευρώ το 2024, βλ. Διάγραμμα V.8).</w:t>
      </w:r>
    </w:p>
    <w:p>
      <w:pPr>
        <w:pStyle w:val="BodyText"/>
        <w:spacing w:line="285" w:lineRule="auto" w:before="49"/>
        <w:ind w:left="172" w:right="958"/>
        <w:jc w:val="both"/>
      </w:pPr>
      <w:r>
        <w:rPr/>
        <w:t>Η διασύνδεση των λοιπών επιχειρήσεων του χρηματοπιστωτικού τομέα με τα πιστωτικά ιδρύ-ματα</w:t>
      </w:r>
      <w:r>
        <w:rPr>
          <w:spacing w:val="-4"/>
        </w:rPr>
        <w:t> </w:t>
      </w:r>
      <w:r>
        <w:rPr/>
        <w:t>είναι</w:t>
      </w:r>
      <w:r>
        <w:rPr>
          <w:spacing w:val="-3"/>
        </w:rPr>
        <w:t> </w:t>
      </w:r>
      <w:r>
        <w:rPr/>
        <w:t>μεγάλη,</w:t>
      </w:r>
      <w:r>
        <w:rPr>
          <w:spacing w:val="-3"/>
        </w:rPr>
        <w:t> </w:t>
      </w:r>
      <w:r>
        <w:rPr/>
        <w:t>δεδομένου ότι</w:t>
      </w:r>
      <w:r>
        <w:rPr>
          <w:spacing w:val="-3"/>
        </w:rPr>
        <w:t> </w:t>
      </w:r>
      <w:r>
        <w:rPr/>
        <w:t>το</w:t>
      </w:r>
      <w:r>
        <w:rPr>
          <w:spacing w:val="-3"/>
        </w:rPr>
        <w:t> </w:t>
      </w:r>
      <w:r>
        <w:rPr/>
        <w:t>ενεργητικό</w:t>
      </w:r>
      <w:r>
        <w:rPr>
          <w:spacing w:val="-3"/>
        </w:rPr>
        <w:t> </w:t>
      </w:r>
      <w:r>
        <w:rPr/>
        <w:t>των</w:t>
      </w:r>
      <w:r>
        <w:rPr>
          <w:spacing w:val="-2"/>
        </w:rPr>
        <w:t> </w:t>
      </w:r>
      <w:r>
        <w:rPr/>
        <w:t>επιχειρήσεων</w:t>
      </w:r>
      <w:r>
        <w:rPr>
          <w:spacing w:val="-2"/>
        </w:rPr>
        <w:t> </w:t>
      </w:r>
      <w:r>
        <w:rPr/>
        <w:t>που</w:t>
      </w:r>
      <w:r>
        <w:rPr>
          <w:spacing w:val="-2"/>
        </w:rPr>
        <w:t> </w:t>
      </w:r>
      <w:r>
        <w:rPr/>
        <w:t>ανήκουν</w:t>
      </w:r>
      <w:r>
        <w:rPr>
          <w:spacing w:val="-5"/>
        </w:rPr>
        <w:t> </w:t>
      </w:r>
      <w:r>
        <w:rPr/>
        <w:t>σε</w:t>
      </w:r>
      <w:r>
        <w:rPr>
          <w:spacing w:val="-3"/>
        </w:rPr>
        <w:t> </w:t>
      </w:r>
      <w:r>
        <w:rPr/>
        <w:t>τραπεζικούς ομίλους αποτελεί το 97,2% του συνολικού ενεργητικού του τομέα. Επιπρόσθετα, ο δανεισμός από</w:t>
      </w:r>
      <w:r>
        <w:rPr>
          <w:spacing w:val="-2"/>
        </w:rPr>
        <w:t> </w:t>
      </w:r>
      <w:r>
        <w:rPr/>
        <w:t>τους</w:t>
      </w:r>
      <w:r>
        <w:rPr>
          <w:spacing w:val="-3"/>
        </w:rPr>
        <w:t> </w:t>
      </w:r>
      <w:r>
        <w:rPr/>
        <w:t>μητρικούς</w:t>
      </w:r>
      <w:r>
        <w:rPr>
          <w:spacing w:val="-3"/>
        </w:rPr>
        <w:t> </w:t>
      </w:r>
      <w:r>
        <w:rPr/>
        <w:t>τραπεζικούς</w:t>
      </w:r>
      <w:r>
        <w:rPr>
          <w:spacing w:val="-3"/>
        </w:rPr>
        <w:t> </w:t>
      </w:r>
      <w:r>
        <w:rPr/>
        <w:t>ομίλους</w:t>
      </w:r>
      <w:r>
        <w:rPr>
          <w:spacing w:val="-1"/>
        </w:rPr>
        <w:t> </w:t>
      </w:r>
      <w:r>
        <w:rPr/>
        <w:t>τον</w:t>
      </w:r>
      <w:r>
        <w:rPr>
          <w:spacing w:val="-1"/>
        </w:rPr>
        <w:t> </w:t>
      </w:r>
      <w:r>
        <w:rPr/>
        <w:t>Δεκέμβριο</w:t>
      </w:r>
      <w:r>
        <w:rPr>
          <w:spacing w:val="-2"/>
        </w:rPr>
        <w:t> </w:t>
      </w:r>
      <w:r>
        <w:rPr/>
        <w:t>του 2025</w:t>
      </w:r>
      <w:r>
        <w:rPr>
          <w:spacing w:val="-2"/>
        </w:rPr>
        <w:t> </w:t>
      </w:r>
      <w:r>
        <w:rPr/>
        <w:t>διαμορφώθηκε</w:t>
      </w:r>
      <w:r>
        <w:rPr>
          <w:spacing w:val="-4"/>
        </w:rPr>
        <w:t> </w:t>
      </w:r>
      <w:r>
        <w:rPr/>
        <w:t>σε</w:t>
      </w:r>
      <w:r>
        <w:rPr>
          <w:spacing w:val="-2"/>
        </w:rPr>
        <w:t> </w:t>
      </w:r>
      <w:r>
        <w:rPr/>
        <w:t>14,1%</w:t>
      </w:r>
      <w:r>
        <w:rPr>
          <w:spacing w:val="-2"/>
        </w:rPr>
        <w:t> </w:t>
      </w:r>
      <w:r>
        <w:rPr/>
        <w:t>των υποχρεώσεών τους, έναντι 15,4% τον Δεκέμβριο του 2024.</w:t>
      </w:r>
    </w:p>
    <w:p>
      <w:pPr>
        <w:pStyle w:val="BodyText"/>
        <w:spacing w:line="285" w:lineRule="auto" w:before="55"/>
        <w:ind w:left="172" w:right="957"/>
        <w:jc w:val="both"/>
      </w:pPr>
      <w:r>
        <w:rPr/>
        <mc:AlternateContent>
          <mc:Choice Requires="wps">
            <w:drawing>
              <wp:anchor distT="0" distB="0" distL="0" distR="0" allowOverlap="1" layoutInCell="1" locked="0" behindDoc="0" simplePos="0" relativeHeight="15793152">
                <wp:simplePos x="0" y="0"/>
                <wp:positionH relativeFrom="page">
                  <wp:posOffset>3828922</wp:posOffset>
                </wp:positionH>
                <wp:positionV relativeFrom="paragraph">
                  <wp:posOffset>211553</wp:posOffset>
                </wp:positionV>
                <wp:extent cx="2571750" cy="34036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2571750" cy="340360"/>
                        </a:xfrm>
                        <a:prstGeom prst="rect">
                          <a:avLst/>
                        </a:prstGeom>
                        <a:solidFill>
                          <a:srgbClr val="1F487C"/>
                        </a:solidFill>
                      </wps:spPr>
                      <wps:txbx>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V.9</w:t>
                            </w:r>
                            <w:r>
                              <w:rPr>
                                <w:b/>
                                <w:smallCaps w:val="0"/>
                                <w:color w:val="FFFFFF"/>
                                <w:spacing w:val="-6"/>
                                <w:sz w:val="18"/>
                              </w:rPr>
                              <w:t> </w:t>
                            </w:r>
                            <w:r>
                              <w:rPr>
                                <w:b/>
                                <w:smallCaps w:val="0"/>
                                <w:color w:val="FFFFFF"/>
                                <w:sz w:val="18"/>
                              </w:rPr>
                              <w:t>Αποτελέσματα</w:t>
                            </w:r>
                            <w:r>
                              <w:rPr>
                                <w:b/>
                                <w:smallCaps w:val="0"/>
                                <w:color w:val="FFFFFF"/>
                                <w:spacing w:val="-9"/>
                                <w:sz w:val="18"/>
                              </w:rPr>
                              <w:t> </w:t>
                            </w:r>
                            <w:r>
                              <w:rPr>
                                <w:b/>
                                <w:smallCaps w:val="0"/>
                                <w:color w:val="FFFFFF"/>
                                <w:sz w:val="18"/>
                              </w:rPr>
                              <w:t>προ</w:t>
                            </w:r>
                            <w:r>
                              <w:rPr>
                                <w:b/>
                                <w:smallCaps w:val="0"/>
                                <w:color w:val="FFFFFF"/>
                                <w:spacing w:val="-7"/>
                                <w:sz w:val="18"/>
                              </w:rPr>
                              <w:t> </w:t>
                            </w:r>
                            <w:r>
                              <w:rPr>
                                <w:b/>
                                <w:smallCaps w:val="0"/>
                                <w:color w:val="FFFFFF"/>
                                <w:sz w:val="18"/>
                              </w:rPr>
                              <w:t>φόρων</w:t>
                            </w:r>
                            <w:r>
                              <w:rPr>
                                <w:b/>
                                <w:smallCaps w:val="0"/>
                                <w:color w:val="FFFFFF"/>
                                <w:spacing w:val="-6"/>
                                <w:sz w:val="18"/>
                              </w:rPr>
                              <w:t> </w:t>
                            </w:r>
                            <w:r>
                              <w:rPr>
                                <w:b/>
                                <w:smallCaps w:val="0"/>
                                <w:color w:val="FFFFFF"/>
                                <w:sz w:val="18"/>
                              </w:rPr>
                              <w:t>λο</w:t>
                            </w:r>
                            <w:r>
                              <w:rPr>
                                <w:b/>
                                <w:smallCaps/>
                                <w:color w:val="FFFFFF"/>
                                <w:sz w:val="18"/>
                              </w:rPr>
                              <w:t>ι</w:t>
                            </w:r>
                            <w:r>
                              <w:rPr>
                                <w:b/>
                                <w:smallCaps w:val="0"/>
                                <w:color w:val="FFFFFF"/>
                                <w:sz w:val="18"/>
                              </w:rPr>
                              <w:t>πών 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 του 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κού τομέα</w:t>
                            </w:r>
                          </w:p>
                        </w:txbxContent>
                      </wps:txbx>
                      <wps:bodyPr wrap="square" lIns="0" tIns="0" rIns="0" bIns="0" rtlCol="0">
                        <a:noAutofit/>
                      </wps:bodyPr>
                    </wps:wsp>
                  </a:graphicData>
                </a:graphic>
              </wp:anchor>
            </w:drawing>
          </mc:Choice>
          <mc:Fallback>
            <w:pict>
              <v:shape style="position:absolute;margin-left:301.489990pt;margin-top:16.65774pt;width:202.5pt;height:26.8pt;mso-position-horizontal-relative:page;mso-position-vertical-relative:paragraph;z-index:15793152" type="#_x0000_t202" id="docshape634" filled="true" fillcolor="#1f487c" stroked="false">
                <v:textbox inset="0,0,0,0">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V.9</w:t>
                      </w:r>
                      <w:r>
                        <w:rPr>
                          <w:b/>
                          <w:smallCaps w:val="0"/>
                          <w:color w:val="FFFFFF"/>
                          <w:spacing w:val="-6"/>
                          <w:sz w:val="18"/>
                        </w:rPr>
                        <w:t> </w:t>
                      </w:r>
                      <w:r>
                        <w:rPr>
                          <w:b/>
                          <w:smallCaps w:val="0"/>
                          <w:color w:val="FFFFFF"/>
                          <w:sz w:val="18"/>
                        </w:rPr>
                        <w:t>Αποτελέσματα</w:t>
                      </w:r>
                      <w:r>
                        <w:rPr>
                          <w:b/>
                          <w:smallCaps w:val="0"/>
                          <w:color w:val="FFFFFF"/>
                          <w:spacing w:val="-9"/>
                          <w:sz w:val="18"/>
                        </w:rPr>
                        <w:t> </w:t>
                      </w:r>
                      <w:r>
                        <w:rPr>
                          <w:b/>
                          <w:smallCaps w:val="0"/>
                          <w:color w:val="FFFFFF"/>
                          <w:sz w:val="18"/>
                        </w:rPr>
                        <w:t>προ</w:t>
                      </w:r>
                      <w:r>
                        <w:rPr>
                          <w:b/>
                          <w:smallCaps w:val="0"/>
                          <w:color w:val="FFFFFF"/>
                          <w:spacing w:val="-7"/>
                          <w:sz w:val="18"/>
                        </w:rPr>
                        <w:t> </w:t>
                      </w:r>
                      <w:r>
                        <w:rPr>
                          <w:b/>
                          <w:smallCaps w:val="0"/>
                          <w:color w:val="FFFFFF"/>
                          <w:sz w:val="18"/>
                        </w:rPr>
                        <w:t>φόρων</w:t>
                      </w:r>
                      <w:r>
                        <w:rPr>
                          <w:b/>
                          <w:smallCaps w:val="0"/>
                          <w:color w:val="FFFFFF"/>
                          <w:spacing w:val="-6"/>
                          <w:sz w:val="18"/>
                        </w:rPr>
                        <w:t> </w:t>
                      </w:r>
                      <w:r>
                        <w:rPr>
                          <w:b/>
                          <w:smallCaps w:val="0"/>
                          <w:color w:val="FFFFFF"/>
                          <w:sz w:val="18"/>
                        </w:rPr>
                        <w:t>λο</w:t>
                      </w:r>
                      <w:r>
                        <w:rPr>
                          <w:b/>
                          <w:smallCaps/>
                          <w:color w:val="FFFFFF"/>
                          <w:sz w:val="18"/>
                        </w:rPr>
                        <w:t>ι</w:t>
                      </w:r>
                      <w:r>
                        <w:rPr>
                          <w:b/>
                          <w:smallCaps w:val="0"/>
                          <w:color w:val="FFFFFF"/>
                          <w:sz w:val="18"/>
                        </w:rPr>
                        <w:t>πών επ</w:t>
                      </w:r>
                      <w:r>
                        <w:rPr>
                          <w:b/>
                          <w:smallCaps/>
                          <w:color w:val="FFFFFF"/>
                          <w:sz w:val="18"/>
                        </w:rPr>
                        <w:t>ι</w:t>
                      </w:r>
                      <w:r>
                        <w:rPr>
                          <w:b/>
                          <w:smallCaps w:val="0"/>
                          <w:color w:val="FFFFFF"/>
                          <w:sz w:val="18"/>
                        </w:rPr>
                        <w:t>χε</w:t>
                      </w:r>
                      <w:r>
                        <w:rPr>
                          <w:b/>
                          <w:smallCaps/>
                          <w:color w:val="FFFFFF"/>
                          <w:sz w:val="18"/>
                        </w:rPr>
                        <w:t>ι</w:t>
                      </w:r>
                      <w:r>
                        <w:rPr>
                          <w:b/>
                          <w:smallCaps w:val="0"/>
                          <w:color w:val="FFFFFF"/>
                          <w:sz w:val="18"/>
                        </w:rPr>
                        <w:t>ρήσεων του χρηματοπ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κού τομέα</w:t>
                      </w:r>
                    </w:p>
                  </w:txbxContent>
                </v:textbox>
                <v:fill type="solid"/>
                <w10:wrap type="none"/>
              </v:shape>
            </w:pict>
          </mc:Fallback>
        </mc:AlternateContent>
      </w:r>
      <w:r>
        <w:rPr/>
        <w:t>Το 2025 η κερδοφορία των εταιριών χρηματοδοτικής μίσθωσης ενισχύθηκε σημαντικά, καθώς κατέγραψαν κέρδη προ φόρων ύψους 8,4 εκατ.</w:t>
      </w:r>
    </w:p>
    <w:p>
      <w:pPr>
        <w:pStyle w:val="BodyText"/>
        <w:spacing w:line="251" w:lineRule="exact"/>
        <w:ind w:left="172"/>
        <w:jc w:val="both"/>
      </w:pPr>
      <w:r>
        <w:rPr/>
        <w:t>ευρώ,</w:t>
      </w:r>
      <w:r>
        <w:rPr>
          <w:spacing w:val="12"/>
        </w:rPr>
        <w:t> </w:t>
      </w:r>
      <w:r>
        <w:rPr/>
        <w:t>έναντι</w:t>
      </w:r>
      <w:r>
        <w:rPr>
          <w:spacing w:val="14"/>
        </w:rPr>
        <w:t> </w:t>
      </w:r>
      <w:r>
        <w:rPr/>
        <w:t>1,2</w:t>
      </w:r>
      <w:r>
        <w:rPr>
          <w:spacing w:val="10"/>
        </w:rPr>
        <w:t> </w:t>
      </w:r>
      <w:r>
        <w:rPr/>
        <w:t>εκατ.</w:t>
      </w:r>
      <w:r>
        <w:rPr>
          <w:spacing w:val="12"/>
        </w:rPr>
        <w:t> </w:t>
      </w:r>
      <w:r>
        <w:rPr/>
        <w:t>ευρώ</w:t>
      </w:r>
      <w:r>
        <w:rPr>
          <w:spacing w:val="13"/>
        </w:rPr>
        <w:t> </w:t>
      </w:r>
      <w:r>
        <w:rPr/>
        <w:t>το</w:t>
      </w:r>
      <w:r>
        <w:rPr>
          <w:spacing w:val="12"/>
        </w:rPr>
        <w:t> </w:t>
      </w:r>
      <w:r>
        <w:rPr/>
        <w:t>2024.</w:t>
      </w:r>
      <w:r>
        <w:rPr>
          <w:spacing w:val="14"/>
        </w:rPr>
        <w:t> </w:t>
      </w:r>
      <w:r>
        <w:rPr/>
        <w:t>Η</w:t>
      </w:r>
      <w:r>
        <w:rPr>
          <w:spacing w:val="12"/>
        </w:rPr>
        <w:t> </w:t>
      </w:r>
      <w:r>
        <w:rPr>
          <w:spacing w:val="-2"/>
        </w:rPr>
        <w:t>συμπί-</w:t>
      </w:r>
    </w:p>
    <w:p>
      <w:pPr>
        <w:pStyle w:val="BodyText"/>
        <w:spacing w:after="0" w:line="251" w:lineRule="exact"/>
        <w:jc w:val="both"/>
        <w:sectPr>
          <w:type w:val="continuous"/>
          <w:pgSz w:w="11910" w:h="16850"/>
          <w:pgMar w:header="0" w:footer="1108" w:top="1320" w:bottom="280" w:left="1417" w:right="850"/>
        </w:sectPr>
      </w:pPr>
    </w:p>
    <w:p>
      <w:pPr>
        <w:pStyle w:val="BodyText"/>
        <w:spacing w:line="285" w:lineRule="auto" w:before="46"/>
        <w:ind w:left="172"/>
        <w:jc w:val="both"/>
      </w:pPr>
      <w:r>
        <w:rPr/>
        <w:t>εση των διεταιρικών περιθωρίων σε ορισμένες θυγατρικές τραπεζικών ομίλων, η αυξημένη δραστηριότητα σε λειτουργικές μισθώσεις, κυ-ρίως του τομέα οχημάτων αστικών συγκοινω-νιών,</w:t>
      </w:r>
      <w:r>
        <w:rPr>
          <w:spacing w:val="-10"/>
        </w:rPr>
        <w:t> </w:t>
      </w:r>
      <w:r>
        <w:rPr/>
        <w:t>καθώς</w:t>
      </w:r>
      <w:r>
        <w:rPr>
          <w:spacing w:val="-9"/>
        </w:rPr>
        <w:t> </w:t>
      </w:r>
      <w:r>
        <w:rPr/>
        <w:t>και</w:t>
      </w:r>
      <w:r>
        <w:rPr>
          <w:spacing w:val="-10"/>
        </w:rPr>
        <w:t> </w:t>
      </w:r>
      <w:r>
        <w:rPr/>
        <w:t>η</w:t>
      </w:r>
      <w:r>
        <w:rPr>
          <w:spacing w:val="-10"/>
        </w:rPr>
        <w:t> </w:t>
      </w:r>
      <w:r>
        <w:rPr/>
        <w:t>ολοκλήρωση</w:t>
      </w:r>
      <w:r>
        <w:rPr>
          <w:spacing w:val="-10"/>
        </w:rPr>
        <w:t> </w:t>
      </w:r>
      <w:r>
        <w:rPr/>
        <w:t>συναλλαγής</w:t>
      </w:r>
      <w:r>
        <w:rPr>
          <w:spacing w:val="-9"/>
        </w:rPr>
        <w:t> </w:t>
      </w:r>
      <w:r>
        <w:rPr/>
        <w:t>τιτ-λοποίησης</w:t>
      </w:r>
      <w:r>
        <w:rPr>
          <w:spacing w:val="-11"/>
        </w:rPr>
        <w:t> </w:t>
      </w:r>
      <w:r>
        <w:rPr/>
        <w:t>απαιτήσεων</w:t>
      </w:r>
      <w:r>
        <w:rPr>
          <w:spacing w:val="-9"/>
        </w:rPr>
        <w:t> </w:t>
      </w:r>
      <w:r>
        <w:rPr/>
        <w:t>από</w:t>
      </w:r>
      <w:r>
        <w:rPr>
          <w:spacing w:val="-10"/>
        </w:rPr>
        <w:t> </w:t>
      </w:r>
      <w:r>
        <w:rPr/>
        <w:t>μια</w:t>
      </w:r>
      <w:r>
        <w:rPr>
          <w:spacing w:val="-11"/>
        </w:rPr>
        <w:t> </w:t>
      </w:r>
      <w:r>
        <w:rPr/>
        <w:t>εταιρία</w:t>
      </w:r>
      <w:r>
        <w:rPr>
          <w:spacing w:val="-11"/>
        </w:rPr>
        <w:t> </w:t>
      </w:r>
      <w:r>
        <w:rPr/>
        <w:t>το</w:t>
      </w:r>
      <w:r>
        <w:rPr>
          <w:spacing w:val="-10"/>
        </w:rPr>
        <w:t> </w:t>
      </w:r>
      <w:r>
        <w:rPr/>
        <w:t>2024, συνέβαλαν σε βελτίωση των καθαρών εσόδων από</w:t>
      </w:r>
      <w:r>
        <w:rPr>
          <w:spacing w:val="-14"/>
        </w:rPr>
        <w:t> </w:t>
      </w:r>
      <w:r>
        <w:rPr/>
        <w:t>τόκους</w:t>
      </w:r>
      <w:r>
        <w:rPr>
          <w:spacing w:val="-14"/>
        </w:rPr>
        <w:t> </w:t>
      </w:r>
      <w:r>
        <w:rPr/>
        <w:t>το</w:t>
      </w:r>
      <w:r>
        <w:rPr>
          <w:spacing w:val="-11"/>
        </w:rPr>
        <w:t> </w:t>
      </w:r>
      <w:r>
        <w:rPr/>
        <w:t>2025.</w:t>
      </w:r>
      <w:r>
        <w:rPr>
          <w:spacing w:val="-12"/>
        </w:rPr>
        <w:t> </w:t>
      </w:r>
      <w:r>
        <w:rPr/>
        <w:t>Αντίθετα,</w:t>
      </w:r>
      <w:r>
        <w:rPr>
          <w:spacing w:val="-13"/>
        </w:rPr>
        <w:t> </w:t>
      </w:r>
      <w:r>
        <w:rPr/>
        <w:t>τα</w:t>
      </w:r>
      <w:r>
        <w:rPr>
          <w:spacing w:val="-13"/>
        </w:rPr>
        <w:t> </w:t>
      </w:r>
      <w:r>
        <w:rPr/>
        <w:t>κέρδη</w:t>
      </w:r>
      <w:r>
        <w:rPr>
          <w:spacing w:val="-13"/>
        </w:rPr>
        <w:t> </w:t>
      </w:r>
      <w:r>
        <w:rPr/>
        <w:t>προ</w:t>
      </w:r>
      <w:r>
        <w:rPr>
          <w:spacing w:val="-14"/>
        </w:rPr>
        <w:t> </w:t>
      </w:r>
      <w:r>
        <w:rPr/>
        <w:t>φό-ρων</w:t>
      </w:r>
      <w:r>
        <w:rPr>
          <w:spacing w:val="-8"/>
        </w:rPr>
        <w:t> </w:t>
      </w:r>
      <w:r>
        <w:rPr/>
        <w:t>των</w:t>
      </w:r>
      <w:r>
        <w:rPr>
          <w:spacing w:val="-8"/>
        </w:rPr>
        <w:t> </w:t>
      </w:r>
      <w:r>
        <w:rPr/>
        <w:t>εταιριών</w:t>
      </w:r>
      <w:r>
        <w:rPr>
          <w:spacing w:val="-8"/>
        </w:rPr>
        <w:t> </w:t>
      </w:r>
      <w:r>
        <w:rPr/>
        <w:t>πρακτορείας</w:t>
      </w:r>
      <w:r>
        <w:rPr>
          <w:spacing w:val="-10"/>
        </w:rPr>
        <w:t> </w:t>
      </w:r>
      <w:r>
        <w:rPr/>
        <w:t>επιχειρηματικών απαιτήσεων υποχώρησαν σε 58,3</w:t>
      </w:r>
      <w:r>
        <w:rPr>
          <w:spacing w:val="-2"/>
        </w:rPr>
        <w:t> </w:t>
      </w:r>
      <w:r>
        <w:rPr/>
        <w:t>εκατ.</w:t>
      </w:r>
      <w:r>
        <w:rPr>
          <w:spacing w:val="-1"/>
        </w:rPr>
        <w:t> </w:t>
      </w:r>
      <w:r>
        <w:rPr/>
        <w:t>ευρώ</w:t>
      </w:r>
      <w:r>
        <w:rPr>
          <w:spacing w:val="-1"/>
        </w:rPr>
        <w:t> </w:t>
      </w:r>
      <w:r>
        <w:rPr>
          <w:spacing w:val="-5"/>
        </w:rPr>
        <w:t>το</w:t>
      </w:r>
    </w:p>
    <w:p>
      <w:pPr>
        <w:spacing w:before="79"/>
        <w:ind w:left="172" w:right="0" w:firstLine="0"/>
        <w:jc w:val="left"/>
        <w:rPr>
          <w:sz w:val="14"/>
        </w:rPr>
      </w:pPr>
      <w:r>
        <w:rPr/>
        <w:br w:type="column"/>
      </w:r>
      <w:r>
        <w:rPr>
          <w:color w:val="1F487C"/>
          <w:sz w:val="14"/>
        </w:rPr>
        <w:t>(εκατ.</w:t>
      </w:r>
      <w:r>
        <w:rPr>
          <w:color w:val="1F487C"/>
          <w:spacing w:val="-5"/>
          <w:sz w:val="14"/>
        </w:rPr>
        <w:t> </w:t>
      </w:r>
      <w:r>
        <w:rPr>
          <w:color w:val="1F487C"/>
          <w:spacing w:val="-2"/>
          <w:sz w:val="14"/>
        </w:rPr>
        <w:t>ευρώ)</w:t>
      </w:r>
    </w:p>
    <w:p>
      <w:pPr>
        <w:pStyle w:val="BodyText"/>
        <w:spacing w:before="2"/>
        <w:rPr>
          <w:sz w:val="5"/>
        </w:rPr>
      </w:pPr>
    </w:p>
    <w:p>
      <w:pPr>
        <w:spacing w:line="240" w:lineRule="auto"/>
        <w:ind w:left="113" w:right="0" w:firstLine="0"/>
        <w:rPr>
          <w:sz w:val="20"/>
        </w:rPr>
      </w:pPr>
      <w:r>
        <w:rPr>
          <w:sz w:val="20"/>
        </w:rPr>
        <mc:AlternateContent>
          <mc:Choice Requires="wps">
            <w:drawing>
              <wp:inline distT="0" distB="0" distL="0" distR="0">
                <wp:extent cx="2572385" cy="1633855"/>
                <wp:effectExtent l="0" t="0" r="0" b="4444"/>
                <wp:docPr id="674" name="Group 674"/>
                <wp:cNvGraphicFramePr>
                  <a:graphicFrameLocks/>
                </wp:cNvGraphicFramePr>
                <a:graphic>
                  <a:graphicData uri="http://schemas.microsoft.com/office/word/2010/wordprocessingGroup">
                    <wpg:wgp>
                      <wpg:cNvPr id="674" name="Group 674"/>
                      <wpg:cNvGrpSpPr/>
                      <wpg:grpSpPr>
                        <a:xfrm>
                          <a:off x="0" y="0"/>
                          <a:ext cx="2572385" cy="1633855"/>
                          <a:chExt cx="2572385" cy="1633855"/>
                        </a:xfrm>
                      </wpg:grpSpPr>
                      <wps:wsp>
                        <wps:cNvPr id="675" name="Graphic 675"/>
                        <wps:cNvSpPr/>
                        <wps:spPr>
                          <a:xfrm>
                            <a:off x="635" y="1015"/>
                            <a:ext cx="2571750" cy="1632585"/>
                          </a:xfrm>
                          <a:custGeom>
                            <a:avLst/>
                            <a:gdLst/>
                            <a:ahLst/>
                            <a:cxnLst/>
                            <a:rect l="l" t="t" r="r" b="b"/>
                            <a:pathLst>
                              <a:path w="2571750" h="1632585">
                                <a:moveTo>
                                  <a:pt x="2571623" y="1416062"/>
                                </a:moveTo>
                                <a:lnTo>
                                  <a:pt x="0" y="1416062"/>
                                </a:lnTo>
                                <a:lnTo>
                                  <a:pt x="0" y="1632458"/>
                                </a:lnTo>
                                <a:lnTo>
                                  <a:pt x="2571623" y="1632458"/>
                                </a:lnTo>
                                <a:lnTo>
                                  <a:pt x="2571623" y="1416062"/>
                                </a:lnTo>
                                <a:close/>
                              </a:path>
                              <a:path w="2571750" h="1632585">
                                <a:moveTo>
                                  <a:pt x="2571623" y="0"/>
                                </a:moveTo>
                                <a:lnTo>
                                  <a:pt x="0" y="0"/>
                                </a:lnTo>
                                <a:lnTo>
                                  <a:pt x="0" y="1416050"/>
                                </a:lnTo>
                                <a:lnTo>
                                  <a:pt x="2571623" y="1416050"/>
                                </a:lnTo>
                                <a:lnTo>
                                  <a:pt x="2571623" y="0"/>
                                </a:lnTo>
                                <a:close/>
                              </a:path>
                            </a:pathLst>
                          </a:custGeom>
                          <a:solidFill>
                            <a:srgbClr val="D9D9D9"/>
                          </a:solidFill>
                        </wps:spPr>
                        <wps:bodyPr wrap="square" lIns="0" tIns="0" rIns="0" bIns="0" rtlCol="0">
                          <a:prstTxWarp prst="textNoShape">
                            <a:avLst/>
                          </a:prstTxWarp>
                          <a:noAutofit/>
                        </wps:bodyPr>
                      </wps:wsp>
                      <pic:pic>
                        <pic:nvPicPr>
                          <pic:cNvPr id="676" name="Image 676"/>
                          <pic:cNvPicPr/>
                        </pic:nvPicPr>
                        <pic:blipFill>
                          <a:blip r:embed="rId108" cstate="print"/>
                          <a:stretch>
                            <a:fillRect/>
                          </a:stretch>
                        </pic:blipFill>
                        <pic:spPr>
                          <a:xfrm>
                            <a:off x="0" y="0"/>
                            <a:ext cx="2570606" cy="1415414"/>
                          </a:xfrm>
                          <a:prstGeom prst="rect">
                            <a:avLst/>
                          </a:prstGeom>
                        </pic:spPr>
                      </pic:pic>
                      <wps:wsp>
                        <wps:cNvPr id="677" name="Textbox 677"/>
                        <wps:cNvSpPr txBox="1"/>
                        <wps:spPr>
                          <a:xfrm>
                            <a:off x="635" y="1015"/>
                            <a:ext cx="2571750" cy="163258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5"/>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02.55pt;height:128.65pt;mso-position-horizontal-relative:char;mso-position-vertical-relative:line" id="docshapegroup635" coordorigin="0,0" coordsize="4051,2573">
                <v:shape style="position:absolute;left:1;top:1;width:4050;height:2571" id="docshape636" coordorigin="1,2" coordsize="4050,2571" path="m4051,2232l1,2232,1,2572,4051,2572,4051,2232xm4051,2l1,2,1,2232,4051,2232,4051,2xe" filled="true" fillcolor="#d9d9d9" stroked="false">
                  <v:path arrowok="t"/>
                  <v:fill type="solid"/>
                </v:shape>
                <v:shape style="position:absolute;left:0;top:0;width:4049;height:2229" type="#_x0000_t75" id="docshape637" stroked="false">
                  <v:imagedata r:id="rId108" o:title=""/>
                </v:shape>
                <v:shape style="position:absolute;left:1;top:1;width:4050;height:2571" type="#_x0000_t202" id="docshape638"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5"/>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436" w:space="62"/>
            <w:col w:w="5145"/>
          </w:cols>
        </w:sectPr>
      </w:pPr>
    </w:p>
    <w:p>
      <w:pPr>
        <w:pStyle w:val="BodyText"/>
        <w:spacing w:line="285" w:lineRule="auto"/>
        <w:ind w:left="172" w:right="956"/>
        <w:jc w:val="both"/>
      </w:pPr>
      <w:r>
        <w:rPr/>
        <w:t>2025,</w:t>
      </w:r>
      <w:r>
        <w:rPr>
          <w:spacing w:val="-7"/>
        </w:rPr>
        <w:t> </w:t>
      </w:r>
      <w:r>
        <w:rPr/>
        <w:t>έναντι</w:t>
      </w:r>
      <w:r>
        <w:rPr>
          <w:spacing w:val="-6"/>
        </w:rPr>
        <w:t> </w:t>
      </w:r>
      <w:r>
        <w:rPr/>
        <w:t>60,4</w:t>
      </w:r>
      <w:r>
        <w:rPr>
          <w:spacing w:val="-10"/>
        </w:rPr>
        <w:t> </w:t>
      </w:r>
      <w:r>
        <w:rPr/>
        <w:t>εκατ.</w:t>
      </w:r>
      <w:r>
        <w:rPr>
          <w:spacing w:val="-8"/>
        </w:rPr>
        <w:t> </w:t>
      </w:r>
      <w:r>
        <w:rPr/>
        <w:t>ευρώ</w:t>
      </w:r>
      <w:r>
        <w:rPr>
          <w:spacing w:val="-6"/>
        </w:rPr>
        <w:t> </w:t>
      </w:r>
      <w:r>
        <w:rPr/>
        <w:t>το</w:t>
      </w:r>
      <w:r>
        <w:rPr>
          <w:spacing w:val="-7"/>
        </w:rPr>
        <w:t> </w:t>
      </w:r>
      <w:r>
        <w:rPr/>
        <w:t>2024,</w:t>
      </w:r>
      <w:r>
        <w:rPr>
          <w:spacing w:val="-7"/>
        </w:rPr>
        <w:t> </w:t>
      </w:r>
      <w:r>
        <w:rPr/>
        <w:t>κυρίως</w:t>
      </w:r>
      <w:r>
        <w:rPr>
          <w:spacing w:val="-8"/>
        </w:rPr>
        <w:t> </w:t>
      </w:r>
      <w:r>
        <w:rPr/>
        <w:t>λόγω</w:t>
      </w:r>
      <w:r>
        <w:rPr>
          <w:spacing w:val="-6"/>
        </w:rPr>
        <w:t> </w:t>
      </w:r>
      <w:r>
        <w:rPr/>
        <w:t>μειωμένων</w:t>
      </w:r>
      <w:r>
        <w:rPr>
          <w:spacing w:val="-6"/>
        </w:rPr>
        <w:t> </w:t>
      </w:r>
      <w:r>
        <w:rPr/>
        <w:t>εσόδων</w:t>
      </w:r>
      <w:r>
        <w:rPr>
          <w:spacing w:val="-3"/>
        </w:rPr>
        <w:t> </w:t>
      </w:r>
      <w:r>
        <w:rPr/>
        <w:t>από</w:t>
      </w:r>
      <w:r>
        <w:rPr>
          <w:spacing w:val="-7"/>
        </w:rPr>
        <w:t> </w:t>
      </w:r>
      <w:r>
        <w:rPr/>
        <w:t>τόκους,</w:t>
      </w:r>
      <w:r>
        <w:rPr>
          <w:spacing w:val="-7"/>
        </w:rPr>
        <w:t> </w:t>
      </w:r>
      <w:r>
        <w:rPr/>
        <w:t>ως</w:t>
      </w:r>
      <w:r>
        <w:rPr>
          <w:spacing w:val="-8"/>
        </w:rPr>
        <w:t> </w:t>
      </w:r>
      <w:r>
        <w:rPr/>
        <w:t>συνέπεια της μείωσης των βασικών επιτοκίων της ΕΚΤ, καθώς και των μειωμένων επιτοκιακών περιθω-ρίων λόγω αύξησης του ανταγωνισμού. Τα ιδρύματα μικροχρηματοδοτήσεων συνέχισαν να εμ-φανίζουν ζημίες προ φόρων, ύψους 1,3 εκατ. ευρώ το 2025, έναντι ζημιών 0,9 εκατ. ευρώ το 2024, κυρίως λόγω των αυξημένων λειτουργικών εξόδων (βλ. Διάγραμμα V.9).</w:t>
      </w:r>
    </w:p>
    <w:p>
      <w:pPr>
        <w:pStyle w:val="BodyText"/>
        <w:spacing w:after="0" w:line="285" w:lineRule="auto"/>
        <w:jc w:val="both"/>
        <w:sectPr>
          <w:type w:val="continuous"/>
          <w:pgSz w:w="11910" w:h="16850"/>
          <w:pgMar w:header="0" w:footer="1108" w:top="1320" w:bottom="280" w:left="1417" w:right="850"/>
        </w:sectPr>
      </w:pPr>
    </w:p>
    <w:p>
      <w:pPr>
        <w:pStyle w:val="BodyText"/>
        <w:spacing w:line="285" w:lineRule="auto" w:before="66"/>
        <w:ind w:left="172" w:right="956"/>
        <w:jc w:val="both"/>
      </w:pPr>
      <w:r>
        <w:rPr/>
        <w:t>Τα μη εξυπηρετούμενα δάνεια (ΜΕΔ) των λοιπών επιχειρήσεων του χρηματοπιστωτικού τομέα (με</w:t>
      </w:r>
      <w:r>
        <w:rPr>
          <w:spacing w:val="-1"/>
        </w:rPr>
        <w:t> </w:t>
      </w:r>
      <w:r>
        <w:rPr/>
        <w:t>στοιχεία</w:t>
      </w:r>
      <w:r>
        <w:rPr>
          <w:spacing w:val="-2"/>
        </w:rPr>
        <w:t> </w:t>
      </w:r>
      <w:r>
        <w:rPr/>
        <w:t>εντός</w:t>
      </w:r>
      <w:r>
        <w:rPr>
          <w:spacing w:val="-1"/>
        </w:rPr>
        <w:t> </w:t>
      </w:r>
      <w:r>
        <w:rPr/>
        <w:t>ισολογισμού)</w:t>
      </w:r>
      <w:r>
        <w:rPr>
          <w:spacing w:val="-1"/>
        </w:rPr>
        <w:t> </w:t>
      </w:r>
      <w:r>
        <w:rPr/>
        <w:t>μειώθηκαν</w:t>
      </w:r>
      <w:r>
        <w:rPr>
          <w:spacing w:val="-2"/>
        </w:rPr>
        <w:t> </w:t>
      </w:r>
      <w:r>
        <w:rPr/>
        <w:t>το</w:t>
      </w:r>
      <w:r>
        <w:rPr>
          <w:spacing w:val="-2"/>
        </w:rPr>
        <w:t> </w:t>
      </w:r>
      <w:r>
        <w:rPr/>
        <w:t>2025</w:t>
      </w:r>
      <w:r>
        <w:rPr>
          <w:spacing w:val="-1"/>
        </w:rPr>
        <w:t> </w:t>
      </w:r>
      <w:r>
        <w:rPr/>
        <w:t>σε</w:t>
      </w:r>
      <w:r>
        <w:rPr>
          <w:spacing w:val="-2"/>
        </w:rPr>
        <w:t> </w:t>
      </w:r>
      <w:r>
        <w:rPr/>
        <w:t>665,5</w:t>
      </w:r>
      <w:r>
        <w:rPr>
          <w:spacing w:val="-1"/>
        </w:rPr>
        <w:t> </w:t>
      </w:r>
      <w:r>
        <w:rPr/>
        <w:t>εκατ.</w:t>
      </w:r>
      <w:r>
        <w:rPr>
          <w:spacing w:val="-2"/>
        </w:rPr>
        <w:t> </w:t>
      </w:r>
      <w:r>
        <w:rPr/>
        <w:t>ευρώ,</w:t>
      </w:r>
      <w:r>
        <w:rPr>
          <w:spacing w:val="-2"/>
        </w:rPr>
        <w:t> </w:t>
      </w:r>
      <w:r>
        <w:rPr/>
        <w:t>από 736,8 εκατ.</w:t>
      </w:r>
      <w:r>
        <w:rPr>
          <w:spacing w:val="-2"/>
        </w:rPr>
        <w:t> </w:t>
      </w:r>
      <w:r>
        <w:rPr/>
        <w:t>ευρώ το 2024. Επισημαίνεται ότι το μεγαλύτερο μέρος των ΜΕΔ αφορά τις εταιρίες χρηματοδοτικής μίσθωσης</w:t>
      </w:r>
      <w:r>
        <w:rPr>
          <w:spacing w:val="-12"/>
        </w:rPr>
        <w:t> </w:t>
      </w:r>
      <w:r>
        <w:rPr/>
        <w:t>(625,9</w:t>
      </w:r>
      <w:r>
        <w:rPr>
          <w:spacing w:val="-11"/>
        </w:rPr>
        <w:t> </w:t>
      </w:r>
      <w:r>
        <w:rPr/>
        <w:t>εκατ.</w:t>
      </w:r>
      <w:r>
        <w:rPr>
          <w:spacing w:val="-11"/>
        </w:rPr>
        <w:t> </w:t>
      </w:r>
      <w:r>
        <w:rPr/>
        <w:t>ευρώ</w:t>
      </w:r>
      <w:r>
        <w:rPr>
          <w:spacing w:val="-10"/>
        </w:rPr>
        <w:t> </w:t>
      </w:r>
      <w:r>
        <w:rPr/>
        <w:t>το</w:t>
      </w:r>
      <w:r>
        <w:rPr>
          <w:spacing w:val="-11"/>
        </w:rPr>
        <w:t> </w:t>
      </w:r>
      <w:r>
        <w:rPr/>
        <w:t>2025,</w:t>
      </w:r>
      <w:r>
        <w:rPr>
          <w:spacing w:val="-11"/>
        </w:rPr>
        <w:t> </w:t>
      </w:r>
      <w:r>
        <w:rPr/>
        <w:t>από</w:t>
      </w:r>
      <w:r>
        <w:rPr>
          <w:spacing w:val="-11"/>
        </w:rPr>
        <w:t> </w:t>
      </w:r>
      <w:r>
        <w:rPr/>
        <w:t>682,7</w:t>
      </w:r>
      <w:r>
        <w:rPr>
          <w:spacing w:val="-11"/>
        </w:rPr>
        <w:t> </w:t>
      </w:r>
      <w:r>
        <w:rPr/>
        <w:t>εκατ.</w:t>
      </w:r>
      <w:r>
        <w:rPr>
          <w:spacing w:val="-14"/>
        </w:rPr>
        <w:t> </w:t>
      </w:r>
      <w:r>
        <w:rPr/>
        <w:t>ευρώ</w:t>
      </w:r>
      <w:r>
        <w:rPr>
          <w:spacing w:val="-9"/>
        </w:rPr>
        <w:t> </w:t>
      </w:r>
      <w:r>
        <w:rPr/>
        <w:t>το</w:t>
      </w:r>
      <w:r>
        <w:rPr>
          <w:spacing w:val="-11"/>
        </w:rPr>
        <w:t> </w:t>
      </w:r>
      <w:r>
        <w:rPr/>
        <w:t>2024),</w:t>
      </w:r>
      <w:r>
        <w:rPr>
          <w:spacing w:val="-11"/>
        </w:rPr>
        <w:t> </w:t>
      </w:r>
      <w:r>
        <w:rPr/>
        <w:t>με</w:t>
      </w:r>
      <w:r>
        <w:rPr>
          <w:spacing w:val="-10"/>
        </w:rPr>
        <w:t> </w:t>
      </w:r>
      <w:r>
        <w:rPr/>
        <w:t>τον</w:t>
      </w:r>
      <w:r>
        <w:rPr>
          <w:spacing w:val="-12"/>
        </w:rPr>
        <w:t> </w:t>
      </w:r>
      <w:r>
        <w:rPr/>
        <w:t>λόγο</w:t>
      </w:r>
      <w:r>
        <w:rPr>
          <w:spacing w:val="-13"/>
        </w:rPr>
        <w:t> </w:t>
      </w:r>
      <w:r>
        <w:rPr/>
        <w:t>των</w:t>
      </w:r>
      <w:r>
        <w:rPr>
          <w:spacing w:val="-12"/>
        </w:rPr>
        <w:t> </w:t>
      </w:r>
      <w:r>
        <w:rPr/>
        <w:t>ΜΕΔ</w:t>
      </w:r>
      <w:r>
        <w:rPr>
          <w:spacing w:val="-11"/>
        </w:rPr>
        <w:t> </w:t>
      </w:r>
      <w:r>
        <w:rPr/>
        <w:t>προς το σύνολο των δανείων για τις εν λόγω εταιρίες να διαμορφώνεται σε 18,8% το 2025, έναντι 22,2%</w:t>
      </w:r>
      <w:r>
        <w:rPr>
          <w:spacing w:val="-4"/>
        </w:rPr>
        <w:t> </w:t>
      </w:r>
      <w:r>
        <w:rPr/>
        <w:t>το</w:t>
      </w:r>
      <w:r>
        <w:rPr>
          <w:spacing w:val="-2"/>
        </w:rPr>
        <w:t> </w:t>
      </w:r>
      <w:r>
        <w:rPr/>
        <w:t>2024.</w:t>
      </w:r>
      <w:r>
        <w:rPr>
          <w:spacing w:val="-2"/>
        </w:rPr>
        <w:t> </w:t>
      </w:r>
      <w:r>
        <w:rPr/>
        <w:t>Το</w:t>
      </w:r>
      <w:r>
        <w:rPr>
          <w:spacing w:val="-5"/>
        </w:rPr>
        <w:t> </w:t>
      </w:r>
      <w:r>
        <w:rPr/>
        <w:t>αυξημένο</w:t>
      </w:r>
      <w:r>
        <w:rPr>
          <w:spacing w:val="-2"/>
        </w:rPr>
        <w:t> </w:t>
      </w:r>
      <w:r>
        <w:rPr/>
        <w:t>ποσοστό</w:t>
      </w:r>
      <w:r>
        <w:rPr>
          <w:spacing w:val="-2"/>
        </w:rPr>
        <w:t> </w:t>
      </w:r>
      <w:r>
        <w:rPr/>
        <w:t>ΜΕΔ</w:t>
      </w:r>
      <w:r>
        <w:rPr>
          <w:spacing w:val="-5"/>
        </w:rPr>
        <w:t> </w:t>
      </w:r>
      <w:r>
        <w:rPr/>
        <w:t>οφείλεται</w:t>
      </w:r>
      <w:r>
        <w:rPr>
          <w:spacing w:val="-2"/>
        </w:rPr>
        <w:t> </w:t>
      </w:r>
      <w:r>
        <w:rPr/>
        <w:t>κυρίως</w:t>
      </w:r>
      <w:r>
        <w:rPr>
          <w:spacing w:val="-6"/>
        </w:rPr>
        <w:t> </w:t>
      </w:r>
      <w:r>
        <w:rPr/>
        <w:t>σε</w:t>
      </w:r>
      <w:r>
        <w:rPr>
          <w:spacing w:val="-4"/>
        </w:rPr>
        <w:t> </w:t>
      </w:r>
      <w:r>
        <w:rPr/>
        <w:t>τρεις</w:t>
      </w:r>
      <w:r>
        <w:rPr>
          <w:spacing w:val="-2"/>
        </w:rPr>
        <w:t> </w:t>
      </w:r>
      <w:r>
        <w:rPr/>
        <w:t>εταιρίες</w:t>
      </w:r>
      <w:r>
        <w:rPr>
          <w:spacing w:val="-6"/>
        </w:rPr>
        <w:t> </w:t>
      </w:r>
      <w:r>
        <w:rPr/>
        <w:t>χρηματοδοτικής μίσθωσης</w:t>
      </w:r>
      <w:hyperlink w:history="true" w:anchor="_bookmark124">
        <w:r>
          <w:rPr/>
          <w:t>,</w:t>
        </w:r>
        <w:r>
          <w:rPr>
            <w:position w:val="6"/>
            <w:sz w:val="10"/>
          </w:rPr>
          <w:t>84</w:t>
        </w:r>
      </w:hyperlink>
      <w:r>
        <w:rPr>
          <w:spacing w:val="4"/>
          <w:position w:val="6"/>
          <w:sz w:val="10"/>
        </w:rPr>
        <w:t> </w:t>
      </w:r>
      <w:r>
        <w:rPr/>
        <w:t>των</w:t>
      </w:r>
      <w:r>
        <w:rPr>
          <w:spacing w:val="-14"/>
        </w:rPr>
        <w:t> </w:t>
      </w:r>
      <w:r>
        <w:rPr/>
        <w:t>οποίων</w:t>
      </w:r>
      <w:r>
        <w:rPr>
          <w:spacing w:val="-14"/>
        </w:rPr>
        <w:t> </w:t>
      </w:r>
      <w:r>
        <w:rPr/>
        <w:t>το</w:t>
      </w:r>
      <w:r>
        <w:rPr>
          <w:spacing w:val="-14"/>
        </w:rPr>
        <w:t> </w:t>
      </w:r>
      <w:r>
        <w:rPr/>
        <w:t>χαρτοφυλάκιο</w:t>
      </w:r>
      <w:r>
        <w:rPr>
          <w:spacing w:val="-13"/>
        </w:rPr>
        <w:t> </w:t>
      </w:r>
      <w:r>
        <w:rPr/>
        <w:t>περιλαμβάνει</w:t>
      </w:r>
      <w:r>
        <w:rPr>
          <w:spacing w:val="-14"/>
        </w:rPr>
        <w:t> </w:t>
      </w:r>
      <w:r>
        <w:rPr/>
        <w:t>ΜΕΔ</w:t>
      </w:r>
      <w:r>
        <w:rPr>
          <w:spacing w:val="-14"/>
        </w:rPr>
        <w:t> </w:t>
      </w:r>
      <w:r>
        <w:rPr/>
        <w:t>από</w:t>
      </w:r>
      <w:r>
        <w:rPr>
          <w:spacing w:val="-14"/>
        </w:rPr>
        <w:t> </w:t>
      </w:r>
      <w:r>
        <w:rPr/>
        <w:t>παλαιότερες</w:t>
      </w:r>
      <w:r>
        <w:rPr>
          <w:spacing w:val="-13"/>
        </w:rPr>
        <w:t> </w:t>
      </w:r>
      <w:r>
        <w:rPr/>
        <w:t>χρηματοδοτήσεις, με τον λόγο των ΜΕΔ προς το σύνολο των δανείων για τις εν λόγω εταιρίες να διαμορφώνεται σε</w:t>
      </w:r>
      <w:r>
        <w:rPr>
          <w:spacing w:val="-16"/>
        </w:rPr>
        <w:t> </w:t>
      </w:r>
      <w:r>
        <w:rPr/>
        <w:t>97,1%</w:t>
      </w:r>
      <w:r>
        <w:rPr>
          <w:spacing w:val="-14"/>
        </w:rPr>
        <w:t> </w:t>
      </w:r>
      <w:r>
        <w:rPr/>
        <w:t>(βλ.</w:t>
      </w:r>
      <w:r>
        <w:rPr>
          <w:spacing w:val="-14"/>
        </w:rPr>
        <w:t> </w:t>
      </w:r>
      <w:r>
        <w:rPr/>
        <w:t>Διάγραμμα</w:t>
      </w:r>
      <w:r>
        <w:rPr>
          <w:spacing w:val="-13"/>
        </w:rPr>
        <w:t> </w:t>
      </w:r>
      <w:r>
        <w:rPr/>
        <w:t>V.10α).</w:t>
      </w:r>
      <w:r>
        <w:rPr>
          <w:spacing w:val="-14"/>
        </w:rPr>
        <w:t> </w:t>
      </w:r>
      <w:r>
        <w:rPr/>
        <w:t>Για</w:t>
      </w:r>
      <w:r>
        <w:rPr>
          <w:spacing w:val="-14"/>
        </w:rPr>
        <w:t> </w:t>
      </w:r>
      <w:r>
        <w:rPr/>
        <w:t>τις</w:t>
      </w:r>
      <w:r>
        <w:rPr>
          <w:spacing w:val="-14"/>
        </w:rPr>
        <w:t> </w:t>
      </w:r>
      <w:r>
        <w:rPr/>
        <w:t>υπόλοιπες</w:t>
      </w:r>
      <w:r>
        <w:rPr>
          <w:spacing w:val="-13"/>
        </w:rPr>
        <w:t> </w:t>
      </w:r>
      <w:r>
        <w:rPr/>
        <w:t>εταιρίες</w:t>
      </w:r>
      <w:r>
        <w:rPr>
          <w:spacing w:val="-14"/>
        </w:rPr>
        <w:t> </w:t>
      </w:r>
      <w:r>
        <w:rPr/>
        <w:t>χρηματοδοτικής</w:t>
      </w:r>
      <w:r>
        <w:rPr>
          <w:spacing w:val="-14"/>
        </w:rPr>
        <w:t> </w:t>
      </w:r>
      <w:r>
        <w:rPr/>
        <w:t>μίσθωσης</w:t>
      </w:r>
      <w:r>
        <w:rPr>
          <w:spacing w:val="-14"/>
        </w:rPr>
        <w:t> </w:t>
      </w:r>
      <w:r>
        <w:rPr/>
        <w:t>ο</w:t>
      </w:r>
      <w:r>
        <w:rPr>
          <w:spacing w:val="-13"/>
        </w:rPr>
        <w:t> </w:t>
      </w:r>
      <w:r>
        <w:rPr/>
        <w:t>δείκτης ΜΕΔ διαμορφώνεται σε 2,3% (βλ. Διάγραμμα V.10β).</w:t>
      </w:r>
    </w:p>
    <w:p>
      <w:pPr>
        <w:pStyle w:val="BodyText"/>
        <w:spacing w:line="285" w:lineRule="auto" w:before="49"/>
        <w:ind w:left="172" w:right="960"/>
        <w:jc w:val="both"/>
      </w:pPr>
      <w:r>
        <w:rPr/>
        <w:t>Ο λόγος των ΜΕΔ προς το σύνολο των δανείων για τις εταιρίες πρακτορείας επιχειρηματικών απαιτήσεων</w:t>
      </w:r>
      <w:r>
        <w:rPr>
          <w:spacing w:val="-5"/>
        </w:rPr>
        <w:t> </w:t>
      </w:r>
      <w:r>
        <w:rPr/>
        <w:t>και</w:t>
      </w:r>
      <w:r>
        <w:rPr>
          <w:spacing w:val="-8"/>
        </w:rPr>
        <w:t> </w:t>
      </w:r>
      <w:r>
        <w:rPr/>
        <w:t>για</w:t>
      </w:r>
      <w:r>
        <w:rPr>
          <w:spacing w:val="-8"/>
        </w:rPr>
        <w:t> </w:t>
      </w:r>
      <w:r>
        <w:rPr/>
        <w:t>τα</w:t>
      </w:r>
      <w:r>
        <w:rPr>
          <w:spacing w:val="-6"/>
        </w:rPr>
        <w:t> </w:t>
      </w:r>
      <w:r>
        <w:rPr/>
        <w:t>ιδρύματα</w:t>
      </w:r>
      <w:r>
        <w:rPr>
          <w:spacing w:val="-7"/>
        </w:rPr>
        <w:t> </w:t>
      </w:r>
      <w:r>
        <w:rPr/>
        <w:t>μικροχρηματοδοτήσεων</w:t>
      </w:r>
      <w:r>
        <w:rPr>
          <w:spacing w:val="-7"/>
        </w:rPr>
        <w:t> </w:t>
      </w:r>
      <w:r>
        <w:rPr/>
        <w:t>διαμορφώθηκε</w:t>
      </w:r>
      <w:r>
        <w:rPr>
          <w:spacing w:val="-7"/>
        </w:rPr>
        <w:t> </w:t>
      </w:r>
      <w:r>
        <w:rPr/>
        <w:t>σε</w:t>
      </w:r>
      <w:r>
        <w:rPr>
          <w:spacing w:val="-5"/>
        </w:rPr>
        <w:t> </w:t>
      </w:r>
      <w:r>
        <w:rPr/>
        <w:t>0,9%</w:t>
      </w:r>
      <w:r>
        <w:rPr>
          <w:spacing w:val="-7"/>
        </w:rPr>
        <w:t> </w:t>
      </w:r>
      <w:r>
        <w:rPr/>
        <w:t>και</w:t>
      </w:r>
      <w:r>
        <w:rPr>
          <w:spacing w:val="-6"/>
        </w:rPr>
        <w:t> </w:t>
      </w:r>
      <w:r>
        <w:rPr/>
        <w:t>4,8%</w:t>
      </w:r>
      <w:r>
        <w:rPr>
          <w:spacing w:val="-7"/>
        </w:rPr>
        <w:t> </w:t>
      </w:r>
      <w:r>
        <w:rPr/>
        <w:t>αντί-στοιχα το 2025.</w:t>
      </w: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2"/>
        <w:gridCol w:w="4253"/>
      </w:tblGrid>
      <w:tr>
        <w:trPr>
          <w:trHeight w:val="948" w:hRule="atLeast"/>
        </w:trPr>
        <w:tc>
          <w:tcPr>
            <w:tcW w:w="4252" w:type="dxa"/>
            <w:tcBorders>
              <w:right w:val="single" w:sz="48" w:space="0" w:color="FFFFFF"/>
            </w:tcBorders>
            <w:shd w:val="clear" w:color="auto" w:fill="1F487C"/>
          </w:tcPr>
          <w:p>
            <w:pPr>
              <w:pStyle w:val="TableParagraph"/>
              <w:spacing w:before="23"/>
              <w:ind w:left="112" w:right="103"/>
              <w:rPr>
                <w:b/>
                <w:sz w:val="18"/>
              </w:rPr>
            </w:pPr>
            <w:r>
              <w:rPr>
                <w:b/>
                <w:color w:val="FFFFFF"/>
                <w:sz w:val="18"/>
              </w:rPr>
              <w:t>Δ</w:t>
            </w:r>
            <w:r>
              <w:rPr>
                <w:b/>
                <w:smallCaps/>
                <w:color w:val="FFFFFF"/>
                <w:sz w:val="18"/>
              </w:rPr>
              <w:t>ι</w:t>
            </w:r>
            <w:r>
              <w:rPr>
                <w:b/>
                <w:smallCaps w:val="0"/>
                <w:color w:val="FFFFFF"/>
                <w:sz w:val="18"/>
              </w:rPr>
              <w:t>άγραμμα V.10α</w:t>
            </w:r>
            <w:r>
              <w:rPr>
                <w:b/>
                <w:smallCaps w:val="0"/>
                <w:color w:val="FFFFFF"/>
                <w:spacing w:val="-3"/>
                <w:sz w:val="18"/>
              </w:rPr>
              <w:t> </w:t>
            </w:r>
            <w:r>
              <w:rPr>
                <w:b/>
                <w:smallCaps w:val="0"/>
                <w:color w:val="FFFFFF"/>
                <w:sz w:val="18"/>
              </w:rPr>
              <w:t>Δ</w:t>
            </w:r>
            <w:r>
              <w:rPr>
                <w:b/>
                <w:smallCaps/>
                <w:color w:val="FFFFFF"/>
                <w:sz w:val="18"/>
              </w:rPr>
              <w:t>ι</w:t>
            </w:r>
            <w:r>
              <w:rPr>
                <w:b/>
                <w:smallCaps w:val="0"/>
                <w:color w:val="FFFFFF"/>
                <w:sz w:val="18"/>
              </w:rPr>
              <w:t>άρθρωση</w:t>
            </w:r>
            <w:r>
              <w:rPr>
                <w:b/>
                <w:smallCaps w:val="0"/>
                <w:color w:val="FFFFFF"/>
                <w:spacing w:val="-3"/>
                <w:sz w:val="18"/>
              </w:rPr>
              <w:t> </w:t>
            </w:r>
            <w:r>
              <w:rPr>
                <w:b/>
                <w:smallCaps w:val="0"/>
                <w:color w:val="FFFFFF"/>
                <w:sz w:val="18"/>
              </w:rPr>
              <w:t>ΜΕΔ</w:t>
            </w:r>
            <w:r>
              <w:rPr>
                <w:b/>
                <w:smallCaps w:val="0"/>
                <w:color w:val="FFFFFF"/>
                <w:spacing w:val="-1"/>
                <w:sz w:val="18"/>
              </w:rPr>
              <w:t> </w:t>
            </w:r>
            <w:r>
              <w:rPr>
                <w:b/>
                <w:smallCaps w:val="0"/>
                <w:color w:val="FFFFFF"/>
                <w:sz w:val="18"/>
              </w:rPr>
              <w:t>γ</w:t>
            </w:r>
            <w:r>
              <w:rPr>
                <w:b/>
                <w:smallCaps/>
                <w:color w:val="FFFFFF"/>
                <w:sz w:val="18"/>
              </w:rPr>
              <w:t>ι</w:t>
            </w:r>
            <w:r>
              <w:rPr>
                <w:b/>
                <w:smallCaps w:val="0"/>
                <w:color w:val="FFFFFF"/>
                <w:sz w:val="18"/>
              </w:rPr>
              <w:t>α</w:t>
            </w:r>
            <w:r>
              <w:rPr>
                <w:b/>
                <w:smallCaps w:val="0"/>
                <w:color w:val="FFFFFF"/>
                <w:spacing w:val="-1"/>
                <w:sz w:val="18"/>
              </w:rPr>
              <w:t> </w:t>
            </w:r>
            <w:r>
              <w:rPr>
                <w:b/>
                <w:smallCaps w:val="0"/>
                <w:color w:val="FFFFFF"/>
                <w:sz w:val="18"/>
              </w:rPr>
              <w:t>τ</w:t>
            </w:r>
            <w:r>
              <w:rPr>
                <w:b/>
                <w:smallCaps/>
                <w:color w:val="FFFFFF"/>
                <w:sz w:val="18"/>
              </w:rPr>
              <w:t>ι</w:t>
            </w:r>
            <w:r>
              <w:rPr>
                <w:b/>
                <w:smallCaps w:val="0"/>
                <w:color w:val="FFFFFF"/>
                <w:sz w:val="18"/>
              </w:rPr>
              <w:t>ς ετα</w:t>
            </w:r>
            <w:r>
              <w:rPr>
                <w:b/>
                <w:smallCaps/>
                <w:color w:val="FFFFFF"/>
                <w:sz w:val="18"/>
              </w:rPr>
              <w:t>ι</w:t>
            </w:r>
            <w:r>
              <w:rPr>
                <w:b/>
                <w:smallCaps w:val="0"/>
                <w:color w:val="FFFFFF"/>
                <w:sz w:val="18"/>
              </w:rPr>
              <w:t>ρίες χρηματοδοτ</w:t>
            </w:r>
            <w:r>
              <w:rPr>
                <w:b/>
                <w:smallCaps/>
                <w:color w:val="FFFFFF"/>
                <w:sz w:val="18"/>
              </w:rPr>
              <w:t>ι</w:t>
            </w:r>
            <w:r>
              <w:rPr>
                <w:b/>
                <w:smallCaps w:val="0"/>
                <w:color w:val="FFFFFF"/>
                <w:sz w:val="18"/>
              </w:rPr>
              <w:t>κής</w:t>
            </w:r>
            <w:r>
              <w:rPr>
                <w:b/>
                <w:smallCaps w:val="0"/>
                <w:color w:val="FFFFFF"/>
                <w:spacing w:val="-8"/>
                <w:sz w:val="18"/>
              </w:rPr>
              <w:t> </w:t>
            </w:r>
            <w:r>
              <w:rPr>
                <w:b/>
                <w:smallCaps w:val="0"/>
                <w:color w:val="FFFFFF"/>
                <w:sz w:val="18"/>
              </w:rPr>
              <w:t>μίσθωσης</w:t>
            </w:r>
            <w:r>
              <w:rPr>
                <w:b/>
                <w:smallCaps w:val="0"/>
                <w:color w:val="FFFFFF"/>
                <w:spacing w:val="-6"/>
                <w:sz w:val="18"/>
              </w:rPr>
              <w:t> </w:t>
            </w:r>
            <w:r>
              <w:rPr>
                <w:b/>
                <w:smallCaps w:val="0"/>
                <w:color w:val="FFFFFF"/>
                <w:sz w:val="18"/>
              </w:rPr>
              <w:t>των</w:t>
            </w:r>
            <w:r>
              <w:rPr>
                <w:b/>
                <w:smallCaps w:val="0"/>
                <w:color w:val="FFFFFF"/>
                <w:spacing w:val="-8"/>
                <w:sz w:val="18"/>
              </w:rPr>
              <w:t> </w:t>
            </w:r>
            <w:r>
              <w:rPr>
                <w:b/>
                <w:smallCaps w:val="0"/>
                <w:color w:val="FFFFFF"/>
                <w:sz w:val="18"/>
              </w:rPr>
              <w:t>οποίων</w:t>
            </w:r>
            <w:r>
              <w:rPr>
                <w:b/>
                <w:smallCaps w:val="0"/>
                <w:color w:val="FFFFFF"/>
                <w:spacing w:val="-8"/>
                <w:sz w:val="18"/>
              </w:rPr>
              <w:t> </w:t>
            </w:r>
            <w:r>
              <w:rPr>
                <w:b/>
                <w:smallCaps w:val="0"/>
                <w:color w:val="FFFFFF"/>
                <w:sz w:val="18"/>
              </w:rPr>
              <w:t>το</w:t>
            </w:r>
            <w:r>
              <w:rPr>
                <w:b/>
                <w:smallCaps w:val="0"/>
                <w:color w:val="FFFFFF"/>
                <w:spacing w:val="-8"/>
                <w:sz w:val="18"/>
              </w:rPr>
              <w:t> </w:t>
            </w:r>
            <w:r>
              <w:rPr>
                <w:b/>
                <w:smallCaps w:val="0"/>
                <w:color w:val="FFFFFF"/>
                <w:sz w:val="18"/>
              </w:rPr>
              <w:t>χαρτοφυ-λάκ</w:t>
            </w:r>
            <w:r>
              <w:rPr>
                <w:b/>
                <w:smallCaps/>
                <w:color w:val="FFFFFF"/>
                <w:sz w:val="18"/>
              </w:rPr>
              <w:t>ιο</w:t>
            </w:r>
            <w:r>
              <w:rPr>
                <w:b/>
                <w:smallCaps w:val="0"/>
                <w:color w:val="FFFFFF"/>
                <w:sz w:val="18"/>
              </w:rPr>
              <w:t> αποτελείτα</w:t>
            </w:r>
            <w:r>
              <w:rPr>
                <w:b/>
                <w:smallCaps/>
                <w:color w:val="FFFFFF"/>
                <w:sz w:val="18"/>
              </w:rPr>
              <w:t>ι</w:t>
            </w:r>
            <w:r>
              <w:rPr>
                <w:b/>
                <w:smallCaps w:val="0"/>
                <w:color w:val="FFFFFF"/>
                <w:sz w:val="18"/>
              </w:rPr>
              <w:t> κυρίως από ΜΕΔ παλα</w:t>
            </w:r>
            <w:r>
              <w:rPr>
                <w:b/>
                <w:smallCaps/>
                <w:color w:val="FFFFFF"/>
                <w:sz w:val="18"/>
              </w:rPr>
              <w:t>ι</w:t>
            </w:r>
            <w:r>
              <w:rPr>
                <w:b/>
                <w:smallCaps w:val="0"/>
                <w:color w:val="FFFFFF"/>
                <w:sz w:val="18"/>
              </w:rPr>
              <w:t>ότερων </w:t>
            </w:r>
            <w:r>
              <w:rPr>
                <w:b/>
                <w:smallCaps w:val="0"/>
                <w:color w:val="FFFFFF"/>
                <w:spacing w:val="-2"/>
                <w:sz w:val="18"/>
              </w:rPr>
              <w:t>χρηματοδοτήσεων</w:t>
            </w:r>
          </w:p>
        </w:tc>
        <w:tc>
          <w:tcPr>
            <w:tcW w:w="4253" w:type="dxa"/>
            <w:tcBorders>
              <w:left w:val="single" w:sz="48" w:space="0" w:color="FFFFFF"/>
            </w:tcBorders>
            <w:shd w:val="clear" w:color="auto" w:fill="1F487C"/>
          </w:tcPr>
          <w:p>
            <w:pPr>
              <w:pStyle w:val="TableParagraph"/>
              <w:spacing w:before="23"/>
              <w:ind w:left="104"/>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V.10β</w:t>
            </w:r>
            <w:r>
              <w:rPr>
                <w:b/>
                <w:smallCaps w:val="0"/>
                <w:color w:val="FFFFFF"/>
                <w:spacing w:val="-5"/>
                <w:sz w:val="18"/>
              </w:rPr>
              <w:t> </w:t>
            </w:r>
            <w:r>
              <w:rPr>
                <w:b/>
                <w:smallCaps w:val="0"/>
                <w:color w:val="FFFFFF"/>
                <w:sz w:val="18"/>
              </w:rPr>
              <w:t>Δ</w:t>
            </w:r>
            <w:r>
              <w:rPr>
                <w:b/>
                <w:smallCaps/>
                <w:color w:val="FFFFFF"/>
                <w:sz w:val="18"/>
              </w:rPr>
              <w:t>ι</w:t>
            </w:r>
            <w:r>
              <w:rPr>
                <w:b/>
                <w:smallCaps w:val="0"/>
                <w:color w:val="FFFFFF"/>
                <w:sz w:val="18"/>
              </w:rPr>
              <w:t>άρθρωση</w:t>
            </w:r>
            <w:r>
              <w:rPr>
                <w:b/>
                <w:smallCaps w:val="0"/>
                <w:color w:val="FFFFFF"/>
                <w:spacing w:val="-8"/>
                <w:sz w:val="18"/>
              </w:rPr>
              <w:t> </w:t>
            </w:r>
            <w:r>
              <w:rPr>
                <w:b/>
                <w:smallCaps w:val="0"/>
                <w:color w:val="FFFFFF"/>
                <w:sz w:val="18"/>
              </w:rPr>
              <w:t>ΜΕΔ</w:t>
            </w:r>
            <w:r>
              <w:rPr>
                <w:b/>
                <w:smallCaps w:val="0"/>
                <w:color w:val="FFFFFF"/>
                <w:spacing w:val="-6"/>
                <w:sz w:val="18"/>
              </w:rPr>
              <w:t> </w:t>
            </w:r>
            <w:r>
              <w:rPr>
                <w:b/>
                <w:smallCaps w:val="0"/>
                <w:color w:val="FFFFFF"/>
                <w:sz w:val="18"/>
              </w:rPr>
              <w:t>λο</w:t>
            </w:r>
            <w:r>
              <w:rPr>
                <w:b/>
                <w:smallCaps/>
                <w:color w:val="FFFFFF"/>
                <w:sz w:val="18"/>
              </w:rPr>
              <w:t>ι</w:t>
            </w:r>
            <w:r>
              <w:rPr>
                <w:b/>
                <w:smallCaps w:val="0"/>
                <w:color w:val="FFFFFF"/>
                <w:sz w:val="18"/>
              </w:rPr>
              <w:t>πών</w:t>
            </w:r>
            <w:r>
              <w:rPr>
                <w:b/>
                <w:smallCaps w:val="0"/>
                <w:color w:val="FFFFFF"/>
                <w:spacing w:val="-7"/>
                <w:sz w:val="18"/>
              </w:rPr>
              <w:t> </w:t>
            </w:r>
            <w:r>
              <w:rPr>
                <w:b/>
                <w:smallCaps w:val="0"/>
                <w:color w:val="FFFFFF"/>
                <w:sz w:val="18"/>
              </w:rPr>
              <w:t>ετα</w:t>
            </w:r>
            <w:r>
              <w:rPr>
                <w:b/>
                <w:smallCaps/>
                <w:color w:val="FFFFFF"/>
                <w:sz w:val="18"/>
              </w:rPr>
              <w:t>ι</w:t>
            </w:r>
            <w:r>
              <w:rPr>
                <w:b/>
                <w:smallCaps w:val="0"/>
                <w:color w:val="FFFFFF"/>
                <w:sz w:val="18"/>
              </w:rPr>
              <w:t>ρ</w:t>
            </w:r>
            <w:r>
              <w:rPr>
                <w:b/>
                <w:smallCaps/>
                <w:color w:val="FFFFFF"/>
                <w:sz w:val="18"/>
              </w:rPr>
              <w:t>ι</w:t>
            </w:r>
            <w:r>
              <w:rPr>
                <w:b/>
                <w:smallCaps w:val="0"/>
                <w:color w:val="FFFFFF"/>
                <w:sz w:val="18"/>
              </w:rPr>
              <w:t>ών χρηματοδοτ</w:t>
            </w:r>
            <w:r>
              <w:rPr>
                <w:b/>
                <w:smallCaps/>
                <w:color w:val="FFFFFF"/>
                <w:sz w:val="18"/>
              </w:rPr>
              <w:t>ι</w:t>
            </w:r>
            <w:r>
              <w:rPr>
                <w:b/>
                <w:smallCaps w:val="0"/>
                <w:color w:val="FFFFFF"/>
                <w:sz w:val="18"/>
              </w:rPr>
              <w:t>κής μίσθωσης</w:t>
            </w:r>
          </w:p>
        </w:tc>
      </w:tr>
      <w:tr>
        <w:trPr>
          <w:trHeight w:val="280" w:hRule="atLeast"/>
        </w:trPr>
        <w:tc>
          <w:tcPr>
            <w:tcW w:w="4252" w:type="dxa"/>
            <w:tcBorders>
              <w:right w:val="single" w:sz="48" w:space="0" w:color="FFFFFF"/>
            </w:tcBorders>
          </w:tcPr>
          <w:p>
            <w:pPr>
              <w:pStyle w:val="TableParagraph"/>
              <w:spacing w:before="22"/>
              <w:ind w:left="57"/>
              <w:rPr>
                <w:sz w:val="14"/>
              </w:rPr>
            </w:pPr>
            <w:r>
              <w:rPr>
                <w:color w:val="1F487C"/>
                <w:sz w:val="14"/>
              </w:rPr>
              <w:t>(εκατ.</w:t>
            </w:r>
            <w:r>
              <w:rPr>
                <w:color w:val="1F487C"/>
                <w:spacing w:val="-5"/>
                <w:sz w:val="14"/>
              </w:rPr>
              <w:t> </w:t>
            </w:r>
            <w:r>
              <w:rPr>
                <w:color w:val="1F487C"/>
                <w:sz w:val="14"/>
              </w:rPr>
              <w:t>ευρώ,</w:t>
            </w:r>
            <w:r>
              <w:rPr>
                <w:color w:val="1F487C"/>
                <w:spacing w:val="-4"/>
                <w:sz w:val="14"/>
              </w:rPr>
              <w:t> </w:t>
            </w:r>
            <w:r>
              <w:rPr>
                <w:color w:val="1F487C"/>
                <w:sz w:val="14"/>
              </w:rPr>
              <w:t>ποσοστά</w:t>
            </w:r>
            <w:r>
              <w:rPr>
                <w:color w:val="1F487C"/>
                <w:spacing w:val="-6"/>
                <w:sz w:val="14"/>
              </w:rPr>
              <w:t> </w:t>
            </w:r>
            <w:r>
              <w:rPr>
                <w:color w:val="1F487C"/>
                <w:spacing w:val="-5"/>
                <w:sz w:val="14"/>
              </w:rPr>
              <w:t>%)</w:t>
            </w:r>
          </w:p>
        </w:tc>
        <w:tc>
          <w:tcPr>
            <w:tcW w:w="4253" w:type="dxa"/>
            <w:tcBorders>
              <w:left w:val="single" w:sz="48" w:space="0" w:color="FFFFFF"/>
            </w:tcBorders>
          </w:tcPr>
          <w:p>
            <w:pPr>
              <w:pStyle w:val="TableParagraph"/>
              <w:spacing w:before="22"/>
              <w:ind w:left="49"/>
              <w:rPr>
                <w:sz w:val="14"/>
              </w:rPr>
            </w:pPr>
            <w:r>
              <w:rPr>
                <w:color w:val="1F487C"/>
                <w:sz w:val="14"/>
              </w:rPr>
              <w:t>(εκατ.</w:t>
            </w:r>
            <w:r>
              <w:rPr>
                <w:color w:val="1F487C"/>
                <w:spacing w:val="-4"/>
                <w:sz w:val="14"/>
              </w:rPr>
              <w:t> </w:t>
            </w:r>
            <w:r>
              <w:rPr>
                <w:color w:val="1F487C"/>
                <w:sz w:val="14"/>
              </w:rPr>
              <w:t>ευρώ,</w:t>
            </w:r>
            <w:r>
              <w:rPr>
                <w:color w:val="1F487C"/>
                <w:spacing w:val="-4"/>
                <w:sz w:val="14"/>
              </w:rPr>
              <w:t> </w:t>
            </w:r>
            <w:r>
              <w:rPr>
                <w:color w:val="1F487C"/>
                <w:sz w:val="14"/>
              </w:rPr>
              <w:t>ποσοστά</w:t>
            </w:r>
            <w:r>
              <w:rPr>
                <w:color w:val="1F487C"/>
                <w:spacing w:val="-6"/>
                <w:sz w:val="14"/>
              </w:rPr>
              <w:t> </w:t>
            </w:r>
            <w:r>
              <w:rPr>
                <w:color w:val="1F487C"/>
                <w:spacing w:val="-5"/>
                <w:sz w:val="14"/>
              </w:rPr>
              <w:t>%)</w:t>
            </w:r>
          </w:p>
        </w:tc>
      </w:tr>
      <w:tr>
        <w:trPr>
          <w:trHeight w:val="2745" w:hRule="atLeast"/>
        </w:trPr>
        <w:tc>
          <w:tcPr>
            <w:tcW w:w="4252" w:type="dxa"/>
            <w:tcBorders>
              <w:right w:val="single" w:sz="48" w:space="0" w:color="FFFFFF"/>
            </w:tcBorders>
            <w:shd w:val="clear" w:color="auto" w:fill="D9D9D9"/>
          </w:tcPr>
          <w:p>
            <w:pPr>
              <w:pStyle w:val="TableParagraph"/>
              <w:ind w:left="-1" w:right="-72"/>
              <w:rPr>
                <w:sz w:val="20"/>
              </w:rPr>
            </w:pPr>
            <w:r>
              <w:rPr>
                <w:sz w:val="20"/>
              </w:rPr>
              <w:drawing>
                <wp:inline distT="0" distB="0" distL="0" distR="0">
                  <wp:extent cx="2682392" cy="1692211"/>
                  <wp:effectExtent l="0" t="0" r="0" b="0"/>
                  <wp:docPr id="678" name="Image 678"/>
                  <wp:cNvGraphicFramePr>
                    <a:graphicFrameLocks/>
                  </wp:cNvGraphicFramePr>
                  <a:graphic>
                    <a:graphicData uri="http://schemas.openxmlformats.org/drawingml/2006/picture">
                      <pic:pic>
                        <pic:nvPicPr>
                          <pic:cNvPr id="678" name="Image 678"/>
                          <pic:cNvPicPr/>
                        </pic:nvPicPr>
                        <pic:blipFill>
                          <a:blip r:embed="rId109" cstate="print"/>
                          <a:stretch>
                            <a:fillRect/>
                          </a:stretch>
                        </pic:blipFill>
                        <pic:spPr>
                          <a:xfrm>
                            <a:off x="0" y="0"/>
                            <a:ext cx="2682392" cy="1692211"/>
                          </a:xfrm>
                          <a:prstGeom prst="rect">
                            <a:avLst/>
                          </a:prstGeom>
                        </pic:spPr>
                      </pic:pic>
                    </a:graphicData>
                  </a:graphic>
                </wp:inline>
              </w:drawing>
            </w:r>
            <w:r>
              <w:rPr>
                <w:sz w:val="20"/>
              </w:rPr>
            </w:r>
          </w:p>
        </w:tc>
        <w:tc>
          <w:tcPr>
            <w:tcW w:w="4253" w:type="dxa"/>
            <w:tcBorders>
              <w:left w:val="single" w:sz="48" w:space="0" w:color="FFFFFF"/>
            </w:tcBorders>
            <w:shd w:val="clear" w:color="auto" w:fill="D9D9D9"/>
          </w:tcPr>
          <w:p>
            <w:pPr>
              <w:pStyle w:val="TableParagraph"/>
              <w:ind w:left="-9" w:right="-15"/>
              <w:rPr>
                <w:sz w:val="20"/>
              </w:rPr>
            </w:pPr>
            <w:r>
              <w:rPr>
                <w:sz w:val="20"/>
              </w:rPr>
              <w:drawing>
                <wp:inline distT="0" distB="0" distL="0" distR="0">
                  <wp:extent cx="2644830" cy="1664207"/>
                  <wp:effectExtent l="0" t="0" r="0" b="0"/>
                  <wp:docPr id="679" name="Image 679"/>
                  <wp:cNvGraphicFramePr>
                    <a:graphicFrameLocks/>
                  </wp:cNvGraphicFramePr>
                  <a:graphic>
                    <a:graphicData uri="http://schemas.openxmlformats.org/drawingml/2006/picture">
                      <pic:pic>
                        <pic:nvPicPr>
                          <pic:cNvPr id="679" name="Image 679"/>
                          <pic:cNvPicPr/>
                        </pic:nvPicPr>
                        <pic:blipFill>
                          <a:blip r:embed="rId110" cstate="print"/>
                          <a:stretch>
                            <a:fillRect/>
                          </a:stretch>
                        </pic:blipFill>
                        <pic:spPr>
                          <a:xfrm>
                            <a:off x="0" y="0"/>
                            <a:ext cx="2644830" cy="1664207"/>
                          </a:xfrm>
                          <a:prstGeom prst="rect">
                            <a:avLst/>
                          </a:prstGeom>
                        </pic:spPr>
                      </pic:pic>
                    </a:graphicData>
                  </a:graphic>
                </wp:inline>
              </w:drawing>
            </w:r>
            <w:r>
              <w:rPr>
                <w:sz w:val="20"/>
              </w:rPr>
            </w:r>
          </w:p>
        </w:tc>
      </w:tr>
      <w:tr>
        <w:trPr>
          <w:trHeight w:val="720" w:hRule="atLeast"/>
        </w:trPr>
        <w:tc>
          <w:tcPr>
            <w:tcW w:w="4252" w:type="dxa"/>
            <w:tcBorders>
              <w:right w:val="single" w:sz="48" w:space="0" w:color="FFFFFF"/>
            </w:tcBorders>
            <w:shd w:val="clear" w:color="auto" w:fill="D9D9D9"/>
          </w:tcPr>
          <w:p>
            <w:pPr>
              <w:pStyle w:val="TableParagraph"/>
              <w:spacing w:before="80"/>
              <w:rPr>
                <w:sz w:val="14"/>
              </w:rPr>
            </w:pPr>
          </w:p>
          <w:p>
            <w:pPr>
              <w:pStyle w:val="TableParagraph"/>
              <w:ind w:left="112"/>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tc>
        <w:tc>
          <w:tcPr>
            <w:tcW w:w="4253" w:type="dxa"/>
            <w:tcBorders>
              <w:left w:val="single" w:sz="48" w:space="0" w:color="FFFFFF"/>
            </w:tcBorders>
            <w:shd w:val="clear" w:color="auto" w:fill="D9D9D9"/>
          </w:tcPr>
          <w:p>
            <w:pPr>
              <w:pStyle w:val="TableParagraph"/>
              <w:spacing w:before="20"/>
              <w:ind w:left="104"/>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p>
            <w:pPr>
              <w:pStyle w:val="TableParagraph"/>
              <w:spacing w:before="120"/>
              <w:ind w:left="104" w:right="33"/>
              <w:rPr>
                <w:sz w:val="14"/>
              </w:rPr>
            </w:pPr>
            <w:r>
              <w:rPr>
                <w:sz w:val="14"/>
              </w:rPr>
              <w:t>Σημείωση:</w:t>
            </w:r>
            <w:r>
              <w:rPr>
                <w:spacing w:val="-4"/>
                <w:sz w:val="14"/>
              </w:rPr>
              <w:t> </w:t>
            </w:r>
            <w:r>
              <w:rPr>
                <w:sz w:val="14"/>
              </w:rPr>
              <w:t>Εξαιρούνται</w:t>
            </w:r>
            <w:r>
              <w:rPr>
                <w:spacing w:val="-5"/>
                <w:sz w:val="14"/>
              </w:rPr>
              <w:t> </w:t>
            </w:r>
            <w:r>
              <w:rPr>
                <w:sz w:val="14"/>
              </w:rPr>
              <w:t>οι</w:t>
            </w:r>
            <w:r>
              <w:rPr>
                <w:spacing w:val="-5"/>
                <w:sz w:val="14"/>
              </w:rPr>
              <w:t> </w:t>
            </w:r>
            <w:r>
              <w:rPr>
                <w:sz w:val="14"/>
              </w:rPr>
              <w:t>εταιρίες</w:t>
            </w:r>
            <w:r>
              <w:rPr>
                <w:spacing w:val="-6"/>
                <w:sz w:val="14"/>
              </w:rPr>
              <w:t> </w:t>
            </w:r>
            <w:r>
              <w:rPr>
                <w:sz w:val="14"/>
              </w:rPr>
              <w:t>των</w:t>
            </w:r>
            <w:r>
              <w:rPr>
                <w:spacing w:val="-6"/>
                <w:sz w:val="14"/>
              </w:rPr>
              <w:t> </w:t>
            </w:r>
            <w:r>
              <w:rPr>
                <w:sz w:val="14"/>
              </w:rPr>
              <w:t>οποίων</w:t>
            </w:r>
            <w:r>
              <w:rPr>
                <w:spacing w:val="-7"/>
                <w:sz w:val="14"/>
              </w:rPr>
              <w:t> </w:t>
            </w:r>
            <w:r>
              <w:rPr>
                <w:sz w:val="14"/>
              </w:rPr>
              <w:t>το</w:t>
            </w:r>
            <w:r>
              <w:rPr>
                <w:spacing w:val="-6"/>
                <w:sz w:val="14"/>
              </w:rPr>
              <w:t> </w:t>
            </w:r>
            <w:r>
              <w:rPr>
                <w:sz w:val="14"/>
              </w:rPr>
              <w:t>χαρτοφυλάκιο</w:t>
            </w:r>
            <w:r>
              <w:rPr>
                <w:spacing w:val="-6"/>
                <w:sz w:val="14"/>
              </w:rPr>
              <w:t> </w:t>
            </w:r>
            <w:r>
              <w:rPr>
                <w:sz w:val="14"/>
              </w:rPr>
              <w:t>αποτε-λείται κυρίως από ΜΕΔ.</w:t>
            </w:r>
          </w:p>
        </w:tc>
      </w:tr>
    </w:tbl>
    <w:p>
      <w:pPr>
        <w:pStyle w:val="BodyText"/>
        <w:spacing w:before="193"/>
      </w:pPr>
    </w:p>
    <w:p>
      <w:pPr>
        <w:pStyle w:val="Heading3"/>
        <w:numPr>
          <w:ilvl w:val="2"/>
          <w:numId w:val="2"/>
        </w:numPr>
        <w:tabs>
          <w:tab w:pos="738" w:val="left" w:leader="none"/>
        </w:tabs>
        <w:spacing w:line="240" w:lineRule="auto" w:before="0" w:after="0"/>
        <w:ind w:left="738" w:right="0" w:hanging="566"/>
        <w:jc w:val="left"/>
        <w:rPr>
          <w:color w:val="1F487C"/>
        </w:rPr>
      </w:pPr>
      <w:bookmarkStart w:name="_bookmark123" w:id="124"/>
      <w:bookmarkEnd w:id="124"/>
      <w:r>
        <w:rPr>
          <w:b w:val="0"/>
        </w:rPr>
      </w:r>
      <w:r>
        <w:rPr>
          <w:color w:val="1F487C"/>
        </w:rPr>
        <w:t>ΔΙΑΧΕΙΡΙΣΤΕΣ</w:t>
      </w:r>
      <w:r>
        <w:rPr>
          <w:color w:val="1F487C"/>
          <w:spacing w:val="-10"/>
        </w:rPr>
        <w:t> </w:t>
      </w:r>
      <w:r>
        <w:rPr>
          <w:color w:val="1F487C"/>
          <w:spacing w:val="-2"/>
        </w:rPr>
        <w:t>ΠΙΣΤΩΣΕΩΝ</w:t>
      </w:r>
    </w:p>
    <w:p>
      <w:pPr>
        <w:pStyle w:val="BodyText"/>
        <w:spacing w:line="285" w:lineRule="auto" w:before="95"/>
        <w:ind w:left="172" w:right="957"/>
        <w:jc w:val="both"/>
      </w:pPr>
      <w:r>
        <w:rPr/>
        <w:t>Στην</w:t>
      </w:r>
      <w:r>
        <w:rPr>
          <w:spacing w:val="-7"/>
        </w:rPr>
        <w:t> </w:t>
      </w:r>
      <w:r>
        <w:rPr/>
        <w:t>ελληνική</w:t>
      </w:r>
      <w:r>
        <w:rPr>
          <w:spacing w:val="-9"/>
        </w:rPr>
        <w:t> </w:t>
      </w:r>
      <w:r>
        <w:rPr/>
        <w:t>αγορά</w:t>
      </w:r>
      <w:r>
        <w:rPr>
          <w:spacing w:val="-6"/>
        </w:rPr>
        <w:t> </w:t>
      </w:r>
      <w:r>
        <w:rPr/>
        <w:t>δραστηριοποιούνται</w:t>
      </w:r>
      <w:r>
        <w:rPr>
          <w:spacing w:val="-7"/>
        </w:rPr>
        <w:t> </w:t>
      </w:r>
      <w:r>
        <w:rPr/>
        <w:t>17</w:t>
      </w:r>
      <w:r>
        <w:rPr>
          <w:spacing w:val="-6"/>
        </w:rPr>
        <w:t> </w:t>
      </w:r>
      <w:r>
        <w:rPr/>
        <w:t>διαχειριστές</w:t>
      </w:r>
      <w:r>
        <w:rPr>
          <w:spacing w:val="-7"/>
        </w:rPr>
        <w:t> </w:t>
      </w:r>
      <w:r>
        <w:rPr/>
        <w:t>πιστώσεων,</w:t>
      </w:r>
      <w:r>
        <w:rPr>
          <w:spacing w:val="-8"/>
        </w:rPr>
        <w:t> </w:t>
      </w:r>
      <w:r>
        <w:rPr/>
        <w:t>χωρίς</w:t>
      </w:r>
      <w:r>
        <w:rPr>
          <w:spacing w:val="-7"/>
        </w:rPr>
        <w:t> </w:t>
      </w:r>
      <w:r>
        <w:rPr/>
        <w:t>κανείς</w:t>
      </w:r>
      <w:r>
        <w:rPr>
          <w:spacing w:val="-6"/>
        </w:rPr>
        <w:t> </w:t>
      </w:r>
      <w:r>
        <w:rPr/>
        <w:t>εξ</w:t>
      </w:r>
      <w:r>
        <w:rPr>
          <w:spacing w:val="-6"/>
        </w:rPr>
        <w:t> </w:t>
      </w:r>
      <w:r>
        <w:rPr/>
        <w:t>αυτών</w:t>
      </w:r>
      <w:r>
        <w:rPr>
          <w:spacing w:val="-7"/>
        </w:rPr>
        <w:t> </w:t>
      </w:r>
      <w:r>
        <w:rPr/>
        <w:t>να έχει</w:t>
      </w:r>
      <w:r>
        <w:rPr>
          <w:spacing w:val="-14"/>
        </w:rPr>
        <w:t> </w:t>
      </w:r>
      <w:r>
        <w:rPr/>
        <w:t>μέχρι</w:t>
      </w:r>
      <w:r>
        <w:rPr>
          <w:spacing w:val="-14"/>
        </w:rPr>
        <w:t> </w:t>
      </w:r>
      <w:r>
        <w:rPr/>
        <w:t>τώρα</w:t>
      </w:r>
      <w:r>
        <w:rPr>
          <w:spacing w:val="-14"/>
        </w:rPr>
        <w:t> </w:t>
      </w:r>
      <w:r>
        <w:rPr/>
        <w:t>αιτηθεί</w:t>
      </w:r>
      <w:r>
        <w:rPr>
          <w:spacing w:val="-13"/>
        </w:rPr>
        <w:t> </w:t>
      </w:r>
      <w:r>
        <w:rPr/>
        <w:t>άδεια</w:t>
      </w:r>
      <w:r>
        <w:rPr>
          <w:spacing w:val="-14"/>
        </w:rPr>
        <w:t> </w:t>
      </w:r>
      <w:r>
        <w:rPr/>
        <w:t>παροχής</w:t>
      </w:r>
      <w:r>
        <w:rPr>
          <w:spacing w:val="-14"/>
        </w:rPr>
        <w:t> </w:t>
      </w:r>
      <w:r>
        <w:rPr/>
        <w:t>υπηρεσιών</w:t>
      </w:r>
      <w:r>
        <w:rPr>
          <w:spacing w:val="-14"/>
        </w:rPr>
        <w:t> </w:t>
      </w:r>
      <w:r>
        <w:rPr/>
        <w:t>αναχρηματοδότησης</w:t>
      </w:r>
      <w:r>
        <w:rPr>
          <w:spacing w:val="-13"/>
        </w:rPr>
        <w:t> </w:t>
      </w:r>
      <w:r>
        <w:rPr/>
        <w:t>απαιτήσεων.</w:t>
      </w:r>
      <w:r>
        <w:rPr>
          <w:spacing w:val="-14"/>
        </w:rPr>
        <w:t> </w:t>
      </w:r>
      <w:r>
        <w:rPr/>
        <w:t>Η</w:t>
      </w:r>
      <w:r>
        <w:rPr>
          <w:spacing w:val="-14"/>
        </w:rPr>
        <w:t> </w:t>
      </w:r>
      <w:r>
        <w:rPr/>
        <w:t>κατανομή των μεριδίων αγοράς, βάσει της αξίας των υπό διαχείριση ανοιγμάτων, παρουσιάζει υψηλή συ-γκέντρωση:</w:t>
      </w:r>
      <w:r>
        <w:rPr>
          <w:spacing w:val="-6"/>
        </w:rPr>
        <w:t> </w:t>
      </w:r>
      <w:r>
        <w:rPr/>
        <w:t>οι</w:t>
      </w:r>
      <w:r>
        <w:rPr>
          <w:spacing w:val="-9"/>
        </w:rPr>
        <w:t> </w:t>
      </w:r>
      <w:r>
        <w:rPr/>
        <w:t>τρεις</w:t>
      </w:r>
      <w:r>
        <w:rPr>
          <w:spacing w:val="-8"/>
        </w:rPr>
        <w:t> </w:t>
      </w:r>
      <w:r>
        <w:rPr/>
        <w:t>μεγαλύτερες</w:t>
      </w:r>
      <w:r>
        <w:rPr>
          <w:spacing w:val="-11"/>
        </w:rPr>
        <w:t> </w:t>
      </w:r>
      <w:r>
        <w:rPr/>
        <w:t>εταιρίες</w:t>
      </w:r>
      <w:r>
        <w:rPr>
          <w:spacing w:val="-11"/>
        </w:rPr>
        <w:t> </w:t>
      </w:r>
      <w:r>
        <w:rPr/>
        <w:t>συγκεντρώνουν</w:t>
      </w:r>
      <w:r>
        <w:rPr>
          <w:spacing w:val="-6"/>
        </w:rPr>
        <w:t> </w:t>
      </w:r>
      <w:r>
        <w:rPr/>
        <w:t>το</w:t>
      </w:r>
      <w:r>
        <w:rPr>
          <w:spacing w:val="-7"/>
        </w:rPr>
        <w:t> </w:t>
      </w:r>
      <w:r>
        <w:rPr/>
        <w:t>84,8%</w:t>
      </w:r>
      <w:r>
        <w:rPr>
          <w:spacing w:val="-6"/>
        </w:rPr>
        <w:t> </w:t>
      </w:r>
      <w:r>
        <w:rPr/>
        <w:t>του</w:t>
      </w:r>
      <w:r>
        <w:rPr>
          <w:spacing w:val="-9"/>
        </w:rPr>
        <w:t> </w:t>
      </w:r>
      <w:r>
        <w:rPr/>
        <w:t>συνόλου,</w:t>
      </w:r>
      <w:r>
        <w:rPr>
          <w:spacing w:val="-7"/>
        </w:rPr>
        <w:t> </w:t>
      </w:r>
      <w:r>
        <w:rPr/>
        <w:t>τρεις</w:t>
      </w:r>
      <w:r>
        <w:rPr>
          <w:spacing w:val="-8"/>
        </w:rPr>
        <w:t> </w:t>
      </w:r>
      <w:r>
        <w:rPr/>
        <w:t>επιπλέον εταιρίες το 12,5%, ενώ έντεκα εταιρίες εμφανίζουν περιορισμένη έως μηδενική δραστηριότητα (με μερίδιο 2,7%). Επιπλέον, ένας διαχειριστής πιστώσεων με έδρα στην Ελλάδα έχει γνωστο-ποιήσει πρόθεση παροχής υπηρεσιών διαχείρισης σε άλλο κράτος-μέλος της ΕΕ, ενώ ένας δια-χειριστής</w:t>
      </w:r>
      <w:r>
        <w:rPr>
          <w:spacing w:val="-14"/>
        </w:rPr>
        <w:t> </w:t>
      </w:r>
      <w:r>
        <w:rPr/>
        <w:t>πιστώσεων</w:t>
      </w:r>
      <w:r>
        <w:rPr>
          <w:spacing w:val="-14"/>
        </w:rPr>
        <w:t> </w:t>
      </w:r>
      <w:r>
        <w:rPr/>
        <w:t>εγκατεστημένος</w:t>
      </w:r>
      <w:r>
        <w:rPr>
          <w:spacing w:val="-14"/>
        </w:rPr>
        <w:t> </w:t>
      </w:r>
      <w:r>
        <w:rPr/>
        <w:t>σε</w:t>
      </w:r>
      <w:r>
        <w:rPr>
          <w:spacing w:val="-13"/>
        </w:rPr>
        <w:t> </w:t>
      </w:r>
      <w:r>
        <w:rPr/>
        <w:t>άλλο</w:t>
      </w:r>
      <w:r>
        <w:rPr>
          <w:spacing w:val="-14"/>
        </w:rPr>
        <w:t> </w:t>
      </w:r>
      <w:r>
        <w:rPr/>
        <w:t>κράτος-μέλος</w:t>
      </w:r>
      <w:r>
        <w:rPr>
          <w:spacing w:val="-14"/>
        </w:rPr>
        <w:t> </w:t>
      </w:r>
      <w:r>
        <w:rPr/>
        <w:t>έχει</w:t>
      </w:r>
      <w:r>
        <w:rPr>
          <w:spacing w:val="-14"/>
        </w:rPr>
        <w:t> </w:t>
      </w:r>
      <w:r>
        <w:rPr/>
        <w:t>γνωστοποιήσει</w:t>
      </w:r>
      <w:r>
        <w:rPr>
          <w:spacing w:val="-13"/>
        </w:rPr>
        <w:t> </w:t>
      </w:r>
      <w:r>
        <w:rPr/>
        <w:t>αντίστοιχα</w:t>
      </w:r>
      <w:r>
        <w:rPr>
          <w:spacing w:val="-14"/>
        </w:rPr>
        <w:t> </w:t>
      </w:r>
      <w:r>
        <w:rPr/>
        <w:t>πρό-θεση δραστηριοποίησης στην Ελλάδα.</w:t>
      </w:r>
    </w:p>
    <w:p>
      <w:pPr>
        <w:pStyle w:val="BodyText"/>
        <w:rPr>
          <w:sz w:val="20"/>
        </w:rPr>
      </w:pPr>
    </w:p>
    <w:p>
      <w:pPr>
        <w:pStyle w:val="BodyText"/>
        <w:rPr>
          <w:sz w:val="20"/>
        </w:rPr>
      </w:pPr>
    </w:p>
    <w:p>
      <w:pPr>
        <w:pStyle w:val="BodyText"/>
        <w:spacing w:before="23"/>
        <w:rPr>
          <w:sz w:val="20"/>
        </w:rPr>
      </w:pPr>
      <w:r>
        <w:rPr>
          <w:sz w:val="20"/>
        </w:rPr>
        <mc:AlternateContent>
          <mc:Choice Requires="wps">
            <w:drawing>
              <wp:anchor distT="0" distB="0" distL="0" distR="0" allowOverlap="1" layoutInCell="1" locked="0" behindDoc="1" simplePos="0" relativeHeight="487653376">
                <wp:simplePos x="0" y="0"/>
                <wp:positionH relativeFrom="page">
                  <wp:posOffset>1009192</wp:posOffset>
                </wp:positionH>
                <wp:positionV relativeFrom="paragraph">
                  <wp:posOffset>175960</wp:posOffset>
                </wp:positionV>
                <wp:extent cx="1829435" cy="7620"/>
                <wp:effectExtent l="0" t="0" r="0" b="0"/>
                <wp:wrapTopAndBottom/>
                <wp:docPr id="680" name="Graphic 680"/>
                <wp:cNvGraphicFramePr>
                  <a:graphicFrameLocks/>
                </wp:cNvGraphicFramePr>
                <a:graphic>
                  <a:graphicData uri="http://schemas.microsoft.com/office/word/2010/wordprocessingShape">
                    <wps:wsp>
                      <wps:cNvPr id="680" name="Graphic 68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3.855185pt;width:144.020pt;height:.60004pt;mso-position-horizontal-relative:page;mso-position-vertical-relative:paragraph;z-index:-15663104;mso-wrap-distance-left:0;mso-wrap-distance-right:0" id="docshape639" filled="true" fillcolor="#000000" stroked="false">
                <v:fill type="solid"/>
                <w10:wrap type="topAndBottom"/>
              </v:rect>
            </w:pict>
          </mc:Fallback>
        </mc:AlternateContent>
      </w:r>
    </w:p>
    <w:p>
      <w:pPr>
        <w:spacing w:before="167"/>
        <w:ind w:left="172" w:right="956" w:firstLine="0"/>
        <w:jc w:val="left"/>
        <w:rPr>
          <w:sz w:val="16"/>
        </w:rPr>
      </w:pPr>
      <w:bookmarkStart w:name="_bookmark124" w:id="125"/>
      <w:bookmarkEnd w:id="125"/>
      <w:r>
        <w:rPr/>
      </w:r>
      <w:r>
        <w:rPr>
          <w:sz w:val="16"/>
          <w:vertAlign w:val="superscript"/>
        </w:rPr>
        <w:t>84</w:t>
      </w:r>
      <w:r>
        <w:rPr>
          <w:spacing w:val="-9"/>
          <w:sz w:val="16"/>
          <w:vertAlign w:val="baseline"/>
        </w:rPr>
        <w:t> </w:t>
      </w:r>
      <w:r>
        <w:rPr>
          <w:sz w:val="16"/>
          <w:vertAlign w:val="baseline"/>
        </w:rPr>
        <w:t>Το</w:t>
      </w:r>
      <w:r>
        <w:rPr>
          <w:spacing w:val="-8"/>
          <w:sz w:val="16"/>
          <w:vertAlign w:val="baseline"/>
        </w:rPr>
        <w:t> </w:t>
      </w:r>
      <w:r>
        <w:rPr>
          <w:sz w:val="16"/>
          <w:vertAlign w:val="baseline"/>
        </w:rPr>
        <w:t>ενεργητικό</w:t>
      </w:r>
      <w:r>
        <w:rPr>
          <w:spacing w:val="-8"/>
          <w:sz w:val="16"/>
          <w:vertAlign w:val="baseline"/>
        </w:rPr>
        <w:t> </w:t>
      </w:r>
      <w:r>
        <w:rPr>
          <w:sz w:val="16"/>
          <w:vertAlign w:val="baseline"/>
        </w:rPr>
        <w:t>των</w:t>
      </w:r>
      <w:r>
        <w:rPr>
          <w:spacing w:val="-10"/>
          <w:sz w:val="16"/>
          <w:vertAlign w:val="baseline"/>
        </w:rPr>
        <w:t> </w:t>
      </w:r>
      <w:r>
        <w:rPr>
          <w:sz w:val="16"/>
          <w:vertAlign w:val="baseline"/>
        </w:rPr>
        <w:t>εν</w:t>
      </w:r>
      <w:r>
        <w:rPr>
          <w:spacing w:val="-10"/>
          <w:sz w:val="16"/>
          <w:vertAlign w:val="baseline"/>
        </w:rPr>
        <w:t> </w:t>
      </w:r>
      <w:r>
        <w:rPr>
          <w:sz w:val="16"/>
          <w:vertAlign w:val="baseline"/>
        </w:rPr>
        <w:t>λόγω</w:t>
      </w:r>
      <w:r>
        <w:rPr>
          <w:spacing w:val="-9"/>
          <w:sz w:val="16"/>
          <w:vertAlign w:val="baseline"/>
        </w:rPr>
        <w:t> </w:t>
      </w:r>
      <w:r>
        <w:rPr>
          <w:sz w:val="16"/>
          <w:vertAlign w:val="baseline"/>
        </w:rPr>
        <w:t>τριών</w:t>
      </w:r>
      <w:r>
        <w:rPr>
          <w:spacing w:val="-10"/>
          <w:sz w:val="16"/>
          <w:vertAlign w:val="baseline"/>
        </w:rPr>
        <w:t> </w:t>
      </w:r>
      <w:r>
        <w:rPr>
          <w:sz w:val="16"/>
          <w:vertAlign w:val="baseline"/>
        </w:rPr>
        <w:t>εταιριών,</w:t>
      </w:r>
      <w:r>
        <w:rPr>
          <w:spacing w:val="-8"/>
          <w:sz w:val="16"/>
          <w:vertAlign w:val="baseline"/>
        </w:rPr>
        <w:t> </w:t>
      </w:r>
      <w:r>
        <w:rPr>
          <w:sz w:val="16"/>
          <w:vertAlign w:val="baseline"/>
        </w:rPr>
        <w:t>των</w:t>
      </w:r>
      <w:r>
        <w:rPr>
          <w:spacing w:val="-10"/>
          <w:sz w:val="16"/>
          <w:vertAlign w:val="baseline"/>
        </w:rPr>
        <w:t> </w:t>
      </w:r>
      <w:r>
        <w:rPr>
          <w:sz w:val="16"/>
          <w:vertAlign w:val="baseline"/>
        </w:rPr>
        <w:t>οποίων</w:t>
      </w:r>
      <w:r>
        <w:rPr>
          <w:spacing w:val="-10"/>
          <w:sz w:val="16"/>
          <w:vertAlign w:val="baseline"/>
        </w:rPr>
        <w:t> </w:t>
      </w:r>
      <w:r>
        <w:rPr>
          <w:sz w:val="16"/>
          <w:vertAlign w:val="baseline"/>
        </w:rPr>
        <w:t>τα</w:t>
      </w:r>
      <w:r>
        <w:rPr>
          <w:spacing w:val="-10"/>
          <w:sz w:val="16"/>
          <w:vertAlign w:val="baseline"/>
        </w:rPr>
        <w:t> </w:t>
      </w:r>
      <w:r>
        <w:rPr>
          <w:sz w:val="16"/>
          <w:vertAlign w:val="baseline"/>
        </w:rPr>
        <w:t>χαρτοφυλάκια</w:t>
      </w:r>
      <w:r>
        <w:rPr>
          <w:spacing w:val="-10"/>
          <w:sz w:val="16"/>
          <w:vertAlign w:val="baseline"/>
        </w:rPr>
        <w:t> </w:t>
      </w:r>
      <w:r>
        <w:rPr>
          <w:sz w:val="16"/>
          <w:vertAlign w:val="baseline"/>
        </w:rPr>
        <w:t>αποτελούνται</w:t>
      </w:r>
      <w:r>
        <w:rPr>
          <w:spacing w:val="-9"/>
          <w:sz w:val="16"/>
          <w:vertAlign w:val="baseline"/>
        </w:rPr>
        <w:t> </w:t>
      </w:r>
      <w:r>
        <w:rPr>
          <w:sz w:val="16"/>
          <w:vertAlign w:val="baseline"/>
        </w:rPr>
        <w:t>κυρίως</w:t>
      </w:r>
      <w:r>
        <w:rPr>
          <w:spacing w:val="-8"/>
          <w:sz w:val="16"/>
          <w:vertAlign w:val="baseline"/>
        </w:rPr>
        <w:t> </w:t>
      </w:r>
      <w:r>
        <w:rPr>
          <w:sz w:val="16"/>
          <w:vertAlign w:val="baseline"/>
        </w:rPr>
        <w:t>από</w:t>
      </w:r>
      <w:r>
        <w:rPr>
          <w:spacing w:val="-10"/>
          <w:sz w:val="16"/>
          <w:vertAlign w:val="baseline"/>
        </w:rPr>
        <w:t> </w:t>
      </w:r>
      <w:r>
        <w:rPr>
          <w:sz w:val="16"/>
          <w:vertAlign w:val="baseline"/>
        </w:rPr>
        <w:t>ΜΕΔ,</w:t>
      </w:r>
      <w:r>
        <w:rPr>
          <w:spacing w:val="-9"/>
          <w:sz w:val="16"/>
          <w:vertAlign w:val="baseline"/>
        </w:rPr>
        <w:t> </w:t>
      </w:r>
      <w:r>
        <w:rPr>
          <w:sz w:val="16"/>
          <w:vertAlign w:val="baseline"/>
        </w:rPr>
        <w:t>αντιπροσωπεύει</w:t>
      </w:r>
      <w:r>
        <w:rPr>
          <w:spacing w:val="-9"/>
          <w:sz w:val="16"/>
          <w:vertAlign w:val="baseline"/>
        </w:rPr>
        <w:t> </w:t>
      </w:r>
      <w:r>
        <w:rPr>
          <w:sz w:val="16"/>
          <w:vertAlign w:val="baseline"/>
        </w:rPr>
        <w:t>το</w:t>
      </w:r>
      <w:r>
        <w:rPr>
          <w:spacing w:val="-4"/>
          <w:sz w:val="16"/>
          <w:vertAlign w:val="baseline"/>
        </w:rPr>
        <w:t> </w:t>
      </w:r>
      <w:r>
        <w:rPr>
          <w:sz w:val="16"/>
          <w:vertAlign w:val="baseline"/>
        </w:rPr>
        <w:t>5,2%</w:t>
      </w:r>
      <w:r>
        <w:rPr>
          <w:spacing w:val="40"/>
          <w:sz w:val="16"/>
          <w:vertAlign w:val="baseline"/>
        </w:rPr>
        <w:t> </w:t>
      </w:r>
      <w:r>
        <w:rPr>
          <w:sz w:val="16"/>
          <w:vertAlign w:val="baseline"/>
        </w:rPr>
        <w:t>του συνολικού ενεργητικού των εταιριών χρηματοδοτικής μίσθωσης.</w:t>
      </w:r>
    </w:p>
    <w:p>
      <w:pPr>
        <w:spacing w:after="0"/>
        <w:jc w:val="left"/>
        <w:rPr>
          <w:sz w:val="16"/>
        </w:rPr>
        <w:sectPr>
          <w:pgSz w:w="11910" w:h="16850"/>
          <w:pgMar w:header="0" w:footer="1108" w:top="1840" w:bottom="1300" w:left="1417" w:right="850"/>
        </w:sectPr>
      </w:pPr>
    </w:p>
    <w:p>
      <w:pPr>
        <w:pStyle w:val="BodyText"/>
        <w:spacing w:line="285" w:lineRule="auto" w:before="66"/>
        <w:ind w:left="172" w:right="957"/>
        <w:jc w:val="both"/>
      </w:pPr>
      <w:r>
        <w:rPr/>
        <w:t>Τον</w:t>
      </w:r>
      <w:r>
        <w:rPr>
          <w:spacing w:val="-14"/>
        </w:rPr>
        <w:t> </w:t>
      </w:r>
      <w:r>
        <w:rPr/>
        <w:t>Ιούλιο</w:t>
      </w:r>
      <w:r>
        <w:rPr>
          <w:spacing w:val="-14"/>
        </w:rPr>
        <w:t> </w:t>
      </w:r>
      <w:r>
        <w:rPr/>
        <w:t>του</w:t>
      </w:r>
      <w:r>
        <w:rPr>
          <w:spacing w:val="-14"/>
        </w:rPr>
        <w:t> </w:t>
      </w:r>
      <w:r>
        <w:rPr/>
        <w:t>2025</w:t>
      </w:r>
      <w:r>
        <w:rPr>
          <w:spacing w:val="-13"/>
        </w:rPr>
        <w:t> </w:t>
      </w:r>
      <w:r>
        <w:rPr/>
        <w:t>τέθηκε</w:t>
      </w:r>
      <w:r>
        <w:rPr>
          <w:spacing w:val="-14"/>
        </w:rPr>
        <w:t> </w:t>
      </w:r>
      <w:r>
        <w:rPr/>
        <w:t>σε</w:t>
      </w:r>
      <w:r>
        <w:rPr>
          <w:spacing w:val="-14"/>
        </w:rPr>
        <w:t> </w:t>
      </w:r>
      <w:r>
        <w:rPr/>
        <w:t>ισχύ</w:t>
      </w:r>
      <w:r>
        <w:rPr>
          <w:spacing w:val="-14"/>
        </w:rPr>
        <w:t> </w:t>
      </w:r>
      <w:r>
        <w:rPr/>
        <w:t>η</w:t>
      </w:r>
      <w:r>
        <w:rPr>
          <w:spacing w:val="-13"/>
        </w:rPr>
        <w:t> </w:t>
      </w:r>
      <w:r>
        <w:rPr/>
        <w:t>Πράξη</w:t>
      </w:r>
      <w:r>
        <w:rPr>
          <w:spacing w:val="-14"/>
        </w:rPr>
        <w:t> </w:t>
      </w:r>
      <w:r>
        <w:rPr/>
        <w:t>Εκτελεστικής</w:t>
      </w:r>
      <w:r>
        <w:rPr>
          <w:spacing w:val="-14"/>
        </w:rPr>
        <w:t> </w:t>
      </w:r>
      <w:r>
        <w:rPr/>
        <w:t>Επιτροπής</w:t>
      </w:r>
      <w:r>
        <w:rPr>
          <w:spacing w:val="-14"/>
        </w:rPr>
        <w:t> </w:t>
      </w:r>
      <w:r>
        <w:rPr/>
        <w:t>της</w:t>
      </w:r>
      <w:r>
        <w:rPr>
          <w:spacing w:val="-13"/>
        </w:rPr>
        <w:t> </w:t>
      </w:r>
      <w:r>
        <w:rPr/>
        <w:t>Τράπεζας</w:t>
      </w:r>
      <w:r>
        <w:rPr>
          <w:spacing w:val="-14"/>
        </w:rPr>
        <w:t> </w:t>
      </w:r>
      <w:r>
        <w:rPr/>
        <w:t>της</w:t>
      </w:r>
      <w:r>
        <w:rPr>
          <w:spacing w:val="-14"/>
        </w:rPr>
        <w:t> </w:t>
      </w:r>
      <w:r>
        <w:rPr/>
        <w:t>Ελλάδος </w:t>
      </w:r>
      <w:hyperlink r:id="rId111">
        <w:r>
          <w:rPr/>
          <w:t>(</w:t>
        </w:r>
        <w:r>
          <w:rPr>
            <w:color w:val="0000FF"/>
            <w:u w:val="single" w:color="0000FF"/>
          </w:rPr>
          <w:t>ΠΕΕ</w:t>
        </w:r>
        <w:r>
          <w:rPr>
            <w:color w:val="0000FF"/>
            <w:spacing w:val="-1"/>
            <w:u w:val="single" w:color="0000FF"/>
          </w:rPr>
          <w:t> </w:t>
        </w:r>
        <w:r>
          <w:rPr>
            <w:color w:val="0000FF"/>
            <w:u w:val="single" w:color="0000FF"/>
          </w:rPr>
          <w:t>244/4/25.07.2025</w:t>
        </w:r>
        <w:r>
          <w:rPr/>
          <w:t>)</w:t>
        </w:r>
      </w:hyperlink>
      <w:r>
        <w:rPr/>
        <w:t> με</w:t>
      </w:r>
      <w:r>
        <w:rPr>
          <w:spacing w:val="-2"/>
        </w:rPr>
        <w:t> </w:t>
      </w:r>
      <w:r>
        <w:rPr/>
        <w:t>την οποία</w:t>
      </w:r>
      <w:r>
        <w:rPr>
          <w:spacing w:val="-2"/>
        </w:rPr>
        <w:t> </w:t>
      </w:r>
      <w:r>
        <w:rPr/>
        <w:t>θεσπίστηκαν</w:t>
      </w:r>
      <w:r>
        <w:rPr>
          <w:spacing w:val="-2"/>
        </w:rPr>
        <w:t> </w:t>
      </w:r>
      <w:r>
        <w:rPr/>
        <w:t>ενισχυμένες</w:t>
      </w:r>
      <w:r>
        <w:rPr>
          <w:spacing w:val="-1"/>
        </w:rPr>
        <w:t> </w:t>
      </w:r>
      <w:r>
        <w:rPr/>
        <w:t>κανονιστικές</w:t>
      </w:r>
      <w:r>
        <w:rPr>
          <w:spacing w:val="-1"/>
        </w:rPr>
        <w:t> </w:t>
      </w:r>
      <w:r>
        <w:rPr/>
        <w:t>απαιτήσεις</w:t>
      </w:r>
      <w:r>
        <w:rPr>
          <w:spacing w:val="-1"/>
        </w:rPr>
        <w:t> </w:t>
      </w:r>
      <w:r>
        <w:rPr/>
        <w:t>για τη λειτουργία των διαχειριστών πιστώσεων και δόθηκε στους διαχειριστές με έδρα στην Ελλάδα προθεσμία μέχρι την 1η Δεκεμβρίου 2025</w:t>
      </w:r>
      <w:hyperlink w:history="true" w:anchor="_bookmark125">
        <w:r>
          <w:rPr>
            <w:position w:val="6"/>
            <w:sz w:val="10"/>
          </w:rPr>
          <w:t>85</w:t>
        </w:r>
      </w:hyperlink>
      <w:r>
        <w:rPr>
          <w:spacing w:val="36"/>
          <w:position w:val="6"/>
          <w:sz w:val="10"/>
        </w:rPr>
        <w:t> </w:t>
      </w:r>
      <w:r>
        <w:rPr/>
        <w:t>προκειμένου να αναμορφώσουν τα υφιστάμενα συ-στήματα</w:t>
      </w:r>
      <w:r>
        <w:rPr>
          <w:spacing w:val="-6"/>
        </w:rPr>
        <w:t> </w:t>
      </w:r>
      <w:r>
        <w:rPr/>
        <w:t>εσωτερικής</w:t>
      </w:r>
      <w:r>
        <w:rPr>
          <w:spacing w:val="-6"/>
        </w:rPr>
        <w:t> </w:t>
      </w:r>
      <w:r>
        <w:rPr/>
        <w:t>διακυβέρνησης.</w:t>
      </w:r>
      <w:r>
        <w:rPr>
          <w:spacing w:val="-5"/>
        </w:rPr>
        <w:t> </w:t>
      </w:r>
      <w:r>
        <w:rPr/>
        <w:t>Το</w:t>
      </w:r>
      <w:r>
        <w:rPr>
          <w:spacing w:val="-8"/>
        </w:rPr>
        <w:t> </w:t>
      </w:r>
      <w:r>
        <w:rPr/>
        <w:t>νέο</w:t>
      </w:r>
      <w:r>
        <w:rPr>
          <w:spacing w:val="-5"/>
        </w:rPr>
        <w:t> </w:t>
      </w:r>
      <w:r>
        <w:rPr/>
        <w:t>πλαίσιο</w:t>
      </w:r>
      <w:r>
        <w:rPr>
          <w:spacing w:val="-5"/>
        </w:rPr>
        <w:t> </w:t>
      </w:r>
      <w:r>
        <w:rPr/>
        <w:t>εισάγει</w:t>
      </w:r>
      <w:r>
        <w:rPr>
          <w:spacing w:val="-4"/>
        </w:rPr>
        <w:t> </w:t>
      </w:r>
      <w:r>
        <w:rPr/>
        <w:t>πρόσθετες</w:t>
      </w:r>
      <w:r>
        <w:rPr>
          <w:spacing w:val="-8"/>
        </w:rPr>
        <w:t> </w:t>
      </w:r>
      <w:r>
        <w:rPr/>
        <w:t>υποχρεώσεις</w:t>
      </w:r>
      <w:r>
        <w:rPr>
          <w:spacing w:val="-5"/>
        </w:rPr>
        <w:t> </w:t>
      </w:r>
      <w:r>
        <w:rPr/>
        <w:t>σχετικά</w:t>
      </w:r>
      <w:r>
        <w:rPr>
          <w:spacing w:val="-6"/>
        </w:rPr>
        <w:t> </w:t>
      </w:r>
      <w:r>
        <w:rPr/>
        <w:t>με τα</w:t>
      </w:r>
      <w:r>
        <w:rPr>
          <w:spacing w:val="-14"/>
        </w:rPr>
        <w:t> </w:t>
      </w:r>
      <w:r>
        <w:rPr/>
        <w:t>συστήματα</w:t>
      </w:r>
      <w:r>
        <w:rPr>
          <w:spacing w:val="-14"/>
        </w:rPr>
        <w:t> </w:t>
      </w:r>
      <w:r>
        <w:rPr/>
        <w:t>εταιρικής</w:t>
      </w:r>
      <w:r>
        <w:rPr>
          <w:spacing w:val="-14"/>
        </w:rPr>
        <w:t> </w:t>
      </w:r>
      <w:r>
        <w:rPr/>
        <w:t>διακυβέρνησης,</w:t>
      </w:r>
      <w:r>
        <w:rPr>
          <w:spacing w:val="-13"/>
        </w:rPr>
        <w:t> </w:t>
      </w:r>
      <w:r>
        <w:rPr/>
        <w:t>τις</w:t>
      </w:r>
      <w:r>
        <w:rPr>
          <w:spacing w:val="-14"/>
        </w:rPr>
        <w:t> </w:t>
      </w:r>
      <w:r>
        <w:rPr/>
        <w:t>λειτουργίες</w:t>
      </w:r>
      <w:r>
        <w:rPr>
          <w:spacing w:val="-14"/>
        </w:rPr>
        <w:t> </w:t>
      </w:r>
      <w:r>
        <w:rPr/>
        <w:t>εσωτερικού</w:t>
      </w:r>
      <w:r>
        <w:rPr>
          <w:spacing w:val="-14"/>
        </w:rPr>
        <w:t> </w:t>
      </w:r>
      <w:r>
        <w:rPr/>
        <w:t>ελέγχου</w:t>
      </w:r>
      <w:r>
        <w:rPr>
          <w:spacing w:val="-13"/>
        </w:rPr>
        <w:t> </w:t>
      </w:r>
      <w:r>
        <w:rPr/>
        <w:t>και</w:t>
      </w:r>
      <w:r>
        <w:rPr>
          <w:spacing w:val="-14"/>
        </w:rPr>
        <w:t> </w:t>
      </w:r>
      <w:r>
        <w:rPr/>
        <w:t>τις</w:t>
      </w:r>
      <w:r>
        <w:rPr>
          <w:spacing w:val="-14"/>
        </w:rPr>
        <w:t> </w:t>
      </w:r>
      <w:r>
        <w:rPr/>
        <w:t>υποχρεώσεις υποβολής</w:t>
      </w:r>
      <w:r>
        <w:rPr>
          <w:spacing w:val="-5"/>
        </w:rPr>
        <w:t> </w:t>
      </w:r>
      <w:r>
        <w:rPr/>
        <w:t>εποπτικών</w:t>
      </w:r>
      <w:r>
        <w:rPr>
          <w:spacing w:val="-2"/>
        </w:rPr>
        <w:t> </w:t>
      </w:r>
      <w:r>
        <w:rPr/>
        <w:t>αναφορών.</w:t>
      </w:r>
      <w:r>
        <w:rPr>
          <w:spacing w:val="-1"/>
        </w:rPr>
        <w:t> </w:t>
      </w:r>
      <w:r>
        <w:rPr/>
        <w:t>Παράλληλα,</w:t>
      </w:r>
      <w:r>
        <w:rPr>
          <w:spacing w:val="-3"/>
        </w:rPr>
        <w:t> </w:t>
      </w:r>
      <w:r>
        <w:rPr/>
        <w:t>εξειδικεύονται</w:t>
      </w:r>
      <w:r>
        <w:rPr>
          <w:spacing w:val="-3"/>
        </w:rPr>
        <w:t> </w:t>
      </w:r>
      <w:r>
        <w:rPr/>
        <w:t>οι</w:t>
      </w:r>
      <w:r>
        <w:rPr>
          <w:spacing w:val="-2"/>
        </w:rPr>
        <w:t> </w:t>
      </w:r>
      <w:r>
        <w:rPr/>
        <w:t>απαιτήσεις</w:t>
      </w:r>
      <w:r>
        <w:rPr>
          <w:spacing w:val="-3"/>
        </w:rPr>
        <w:t> </w:t>
      </w:r>
      <w:r>
        <w:rPr/>
        <w:t>που</w:t>
      </w:r>
      <w:r>
        <w:rPr>
          <w:spacing w:val="-2"/>
        </w:rPr>
        <w:t> </w:t>
      </w:r>
      <w:r>
        <w:rPr/>
        <w:t>αφορούν</w:t>
      </w:r>
      <w:r>
        <w:rPr>
          <w:spacing w:val="-2"/>
        </w:rPr>
        <w:t> </w:t>
      </w:r>
      <w:r>
        <w:rPr/>
        <w:t>διαχει-ριστές</w:t>
      </w:r>
      <w:r>
        <w:rPr>
          <w:spacing w:val="-14"/>
        </w:rPr>
        <w:t> </w:t>
      </w:r>
      <w:r>
        <w:rPr/>
        <w:t>πιστώσεων</w:t>
      </w:r>
      <w:r>
        <w:rPr>
          <w:spacing w:val="-14"/>
        </w:rPr>
        <w:t> </w:t>
      </w:r>
      <w:r>
        <w:rPr/>
        <w:t>εγκατεστημένους</w:t>
      </w:r>
      <w:r>
        <w:rPr>
          <w:spacing w:val="-14"/>
        </w:rPr>
        <w:t> </w:t>
      </w:r>
      <w:r>
        <w:rPr/>
        <w:t>σε</w:t>
      </w:r>
      <w:r>
        <w:rPr>
          <w:spacing w:val="-13"/>
        </w:rPr>
        <w:t> </w:t>
      </w:r>
      <w:r>
        <w:rPr/>
        <w:t>άλλα</w:t>
      </w:r>
      <w:r>
        <w:rPr>
          <w:spacing w:val="-14"/>
        </w:rPr>
        <w:t> </w:t>
      </w:r>
      <w:r>
        <w:rPr/>
        <w:t>κράτη-μέλη</w:t>
      </w:r>
      <w:r>
        <w:rPr>
          <w:spacing w:val="-14"/>
        </w:rPr>
        <w:t> </w:t>
      </w:r>
      <w:r>
        <w:rPr/>
        <w:t>της</w:t>
      </w:r>
      <w:r>
        <w:rPr>
          <w:spacing w:val="-14"/>
        </w:rPr>
        <w:t> </w:t>
      </w:r>
      <w:r>
        <w:rPr/>
        <w:t>ΕΕ</w:t>
      </w:r>
      <w:r>
        <w:rPr>
          <w:spacing w:val="-13"/>
        </w:rPr>
        <w:t> </w:t>
      </w:r>
      <w:r>
        <w:rPr/>
        <w:t>και</w:t>
      </w:r>
      <w:r>
        <w:rPr>
          <w:spacing w:val="-14"/>
        </w:rPr>
        <w:t> </w:t>
      </w:r>
      <w:r>
        <w:rPr/>
        <w:t>δραστηριοποιούμενους</w:t>
      </w:r>
      <w:r>
        <w:rPr>
          <w:spacing w:val="-14"/>
        </w:rPr>
        <w:t> </w:t>
      </w:r>
      <w:r>
        <w:rPr/>
        <w:t>στην Ελλάδα, καθώς και οι υποχρεώσεις ενημέρωσης της Τράπεζας της Ελλάδος από αγοραστές πι-στώσεων.</w:t>
      </w:r>
      <w:r>
        <w:rPr>
          <w:spacing w:val="-10"/>
        </w:rPr>
        <w:t> </w:t>
      </w:r>
      <w:r>
        <w:rPr/>
        <w:t>Η</w:t>
      </w:r>
      <w:r>
        <w:rPr>
          <w:spacing w:val="-11"/>
        </w:rPr>
        <w:t> </w:t>
      </w:r>
      <w:r>
        <w:rPr/>
        <w:t>Τράπεζα</w:t>
      </w:r>
      <w:r>
        <w:rPr>
          <w:spacing w:val="-10"/>
        </w:rPr>
        <w:t> </w:t>
      </w:r>
      <w:r>
        <w:rPr/>
        <w:t>της</w:t>
      </w:r>
      <w:r>
        <w:rPr>
          <w:spacing w:val="-11"/>
        </w:rPr>
        <w:t> </w:t>
      </w:r>
      <w:r>
        <w:rPr/>
        <w:t>Ελλάδος</w:t>
      </w:r>
      <w:r>
        <w:rPr>
          <w:spacing w:val="-11"/>
        </w:rPr>
        <w:t> </w:t>
      </w:r>
      <w:r>
        <w:rPr/>
        <w:t>παρακολουθεί</w:t>
      </w:r>
      <w:r>
        <w:rPr>
          <w:spacing w:val="-6"/>
        </w:rPr>
        <w:t> </w:t>
      </w:r>
      <w:r>
        <w:rPr/>
        <w:t>συστηματικά</w:t>
      </w:r>
      <w:r>
        <w:rPr>
          <w:spacing w:val="-10"/>
        </w:rPr>
        <w:t> </w:t>
      </w:r>
      <w:r>
        <w:rPr/>
        <w:t>την</w:t>
      </w:r>
      <w:r>
        <w:rPr>
          <w:spacing w:val="-9"/>
        </w:rPr>
        <w:t> </w:t>
      </w:r>
      <w:r>
        <w:rPr/>
        <w:t>εφαρμογή</w:t>
      </w:r>
      <w:r>
        <w:rPr>
          <w:spacing w:val="-10"/>
        </w:rPr>
        <w:t> </w:t>
      </w:r>
      <w:r>
        <w:rPr/>
        <w:t>των</w:t>
      </w:r>
      <w:r>
        <w:rPr>
          <w:spacing w:val="-9"/>
        </w:rPr>
        <w:t> </w:t>
      </w:r>
      <w:r>
        <w:rPr/>
        <w:t>ανωτέρω</w:t>
      </w:r>
      <w:r>
        <w:rPr>
          <w:spacing w:val="-9"/>
        </w:rPr>
        <w:t> </w:t>
      </w:r>
      <w:r>
        <w:rPr/>
        <w:t>ρυθ-μίσεων με σκοπό τη διασφάλιση της πλήρους συμμόρφωσης με το ισχύον κανονιστικό πλαίσιο.</w:t>
      </w:r>
    </w:p>
    <w:p>
      <w:pPr>
        <w:pStyle w:val="BodyText"/>
        <w:spacing w:before="156"/>
      </w:pPr>
    </w:p>
    <w:p>
      <w:pPr>
        <w:pStyle w:val="Heading4"/>
      </w:pPr>
      <w:r>
        <w:rPr>
          <w:color w:val="1F487C"/>
          <w:spacing w:val="-2"/>
        </w:rPr>
        <w:t>Συγκεντρωτ</w:t>
      </w:r>
      <w:r>
        <w:rPr>
          <w:smallCaps/>
          <w:color w:val="1F487C"/>
          <w:spacing w:val="-2"/>
        </w:rPr>
        <w:t>ι</w:t>
      </w:r>
      <w:r>
        <w:rPr>
          <w:smallCaps w:val="0"/>
          <w:color w:val="1F487C"/>
          <w:spacing w:val="-2"/>
        </w:rPr>
        <w:t>κά</w:t>
      </w:r>
      <w:r>
        <w:rPr>
          <w:smallCaps w:val="0"/>
          <w:color w:val="1F487C"/>
          <w:spacing w:val="8"/>
        </w:rPr>
        <w:t> </w:t>
      </w:r>
      <w:r>
        <w:rPr>
          <w:smallCaps w:val="0"/>
          <w:color w:val="1F487C"/>
          <w:spacing w:val="-2"/>
        </w:rPr>
        <w:t>στο</w:t>
      </w:r>
      <w:r>
        <w:rPr>
          <w:smallCaps/>
          <w:color w:val="1F487C"/>
          <w:spacing w:val="-2"/>
        </w:rPr>
        <w:t>ι</w:t>
      </w:r>
      <w:r>
        <w:rPr>
          <w:smallCaps w:val="0"/>
          <w:color w:val="1F487C"/>
          <w:spacing w:val="-2"/>
        </w:rPr>
        <w:t>χεία</w:t>
      </w:r>
      <w:r>
        <w:rPr>
          <w:smallCaps w:val="0"/>
          <w:color w:val="1F487C"/>
          <w:spacing w:val="7"/>
        </w:rPr>
        <w:t> </w:t>
      </w:r>
      <w:r>
        <w:rPr>
          <w:smallCaps w:val="0"/>
          <w:color w:val="1F487C"/>
          <w:spacing w:val="-2"/>
        </w:rPr>
        <w:t>δ</w:t>
      </w:r>
      <w:r>
        <w:rPr>
          <w:smallCaps/>
          <w:color w:val="1F487C"/>
          <w:spacing w:val="-2"/>
        </w:rPr>
        <w:t>ι</w:t>
      </w:r>
      <w:r>
        <w:rPr>
          <w:smallCaps w:val="0"/>
          <w:color w:val="1F487C"/>
          <w:spacing w:val="-2"/>
        </w:rPr>
        <w:t>αχε</w:t>
      </w:r>
      <w:r>
        <w:rPr>
          <w:smallCaps/>
          <w:color w:val="1F487C"/>
          <w:spacing w:val="-2"/>
        </w:rPr>
        <w:t>ι</w:t>
      </w:r>
      <w:r>
        <w:rPr>
          <w:smallCaps w:val="0"/>
          <w:color w:val="1F487C"/>
          <w:spacing w:val="-2"/>
        </w:rPr>
        <w:t>ρ</w:t>
      </w:r>
      <w:r>
        <w:rPr>
          <w:smallCaps/>
          <w:color w:val="1F487C"/>
          <w:spacing w:val="-2"/>
        </w:rPr>
        <w:t>ι</w:t>
      </w:r>
      <w:r>
        <w:rPr>
          <w:smallCaps w:val="0"/>
          <w:color w:val="1F487C"/>
          <w:spacing w:val="-2"/>
        </w:rPr>
        <w:t>στών</w:t>
      </w:r>
      <w:r>
        <w:rPr>
          <w:smallCaps w:val="0"/>
          <w:color w:val="1F487C"/>
          <w:spacing w:val="9"/>
        </w:rPr>
        <w:t> </w:t>
      </w:r>
      <w:r>
        <w:rPr>
          <w:smallCaps w:val="0"/>
          <w:color w:val="1F487C"/>
          <w:spacing w:val="-2"/>
        </w:rPr>
        <w:t>π</w:t>
      </w:r>
      <w:r>
        <w:rPr>
          <w:smallCaps/>
          <w:color w:val="1F487C"/>
          <w:spacing w:val="-2"/>
        </w:rPr>
        <w:t>ι</w:t>
      </w:r>
      <w:r>
        <w:rPr>
          <w:smallCaps w:val="0"/>
          <w:color w:val="1F487C"/>
          <w:spacing w:val="-2"/>
        </w:rPr>
        <w:t>στώσεων</w:t>
      </w:r>
    </w:p>
    <w:p>
      <w:pPr>
        <w:pStyle w:val="BodyText"/>
        <w:spacing w:line="285" w:lineRule="auto" w:before="167"/>
        <w:ind w:left="172" w:right="5463"/>
      </w:pPr>
      <w:r>
        <w:rPr/>
        <mc:AlternateContent>
          <mc:Choice Requires="wps">
            <w:drawing>
              <wp:anchor distT="0" distB="0" distL="0" distR="0" allowOverlap="1" layoutInCell="1" locked="0" behindDoc="0" simplePos="0" relativeHeight="15795712">
                <wp:simplePos x="0" y="0"/>
                <wp:positionH relativeFrom="page">
                  <wp:posOffset>3664330</wp:posOffset>
                </wp:positionH>
                <wp:positionV relativeFrom="paragraph">
                  <wp:posOffset>82774</wp:posOffset>
                </wp:positionV>
                <wp:extent cx="2736215" cy="34036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2736215" cy="340360"/>
                        </a:xfrm>
                        <a:prstGeom prst="rect">
                          <a:avLst/>
                        </a:prstGeom>
                        <a:solidFill>
                          <a:srgbClr val="1F487C"/>
                        </a:solidFill>
                      </wps:spPr>
                      <wps:txbx>
                        <w:txbxContent>
                          <w:p>
                            <w:pPr>
                              <w:spacing w:before="60"/>
                              <w:ind w:left="112" w:right="134"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V.11</w:t>
                            </w:r>
                            <w:r>
                              <w:rPr>
                                <w:b/>
                                <w:smallCaps w:val="0"/>
                                <w:color w:val="FFFFFF"/>
                                <w:spacing w:val="-5"/>
                                <w:sz w:val="18"/>
                              </w:rPr>
                              <w:t> </w:t>
                            </w:r>
                            <w:r>
                              <w:rPr>
                                <w:b/>
                                <w:smallCaps w:val="0"/>
                                <w:color w:val="FFFFFF"/>
                                <w:sz w:val="18"/>
                              </w:rPr>
                              <w:t>Δ</w:t>
                            </w:r>
                            <w:r>
                              <w:rPr>
                                <w:b/>
                                <w:smallCaps/>
                                <w:color w:val="FFFFFF"/>
                                <w:sz w:val="18"/>
                              </w:rPr>
                              <w:t>ι</w:t>
                            </w:r>
                            <w:r>
                              <w:rPr>
                                <w:b/>
                                <w:smallCaps w:val="0"/>
                                <w:color w:val="FFFFFF"/>
                                <w:sz w:val="18"/>
                              </w:rPr>
                              <w:t>άρθρωση</w:t>
                            </w:r>
                            <w:r>
                              <w:rPr>
                                <w:b/>
                                <w:smallCaps w:val="0"/>
                                <w:color w:val="FFFFFF"/>
                                <w:spacing w:val="-5"/>
                                <w:sz w:val="18"/>
                              </w:rPr>
                              <w:t> </w:t>
                            </w:r>
                            <w:r>
                              <w:rPr>
                                <w:b/>
                                <w:smallCaps w:val="0"/>
                                <w:color w:val="FFFFFF"/>
                                <w:sz w:val="18"/>
                              </w:rPr>
                              <w:t>του</w:t>
                            </w:r>
                            <w:r>
                              <w:rPr>
                                <w:b/>
                                <w:smallCaps w:val="0"/>
                                <w:color w:val="FFFFFF"/>
                                <w:spacing w:val="-5"/>
                                <w:sz w:val="18"/>
                              </w:rPr>
                              <w:t> </w:t>
                            </w:r>
                            <w:r>
                              <w:rPr>
                                <w:b/>
                                <w:smallCaps w:val="0"/>
                                <w:color w:val="FFFFFF"/>
                                <w:sz w:val="18"/>
                              </w:rPr>
                              <w:t>παθητ</w:t>
                            </w:r>
                            <w:r>
                              <w:rPr>
                                <w:b/>
                                <w:smallCaps/>
                                <w:color w:val="FFFFFF"/>
                                <w:sz w:val="18"/>
                              </w:rPr>
                              <w:t>ι</w:t>
                            </w:r>
                            <w:r>
                              <w:rPr>
                                <w:b/>
                                <w:smallCaps w:val="0"/>
                                <w:color w:val="FFFFFF"/>
                                <w:sz w:val="18"/>
                              </w:rPr>
                              <w:t>κού</w:t>
                            </w:r>
                            <w:r>
                              <w:rPr>
                                <w:b/>
                                <w:smallCaps w:val="0"/>
                                <w:color w:val="FFFFFF"/>
                                <w:spacing w:val="-6"/>
                                <w:sz w:val="18"/>
                              </w:rPr>
                              <w:t> </w:t>
                            </w:r>
                            <w:r>
                              <w:rPr>
                                <w:b/>
                                <w:smallCaps w:val="0"/>
                                <w:color w:val="FFFFFF"/>
                                <w:sz w:val="18"/>
                              </w:rPr>
                              <w:t>των</w:t>
                            </w:r>
                            <w:r>
                              <w:rPr>
                                <w:b/>
                                <w:smallCaps w:val="0"/>
                                <w:color w:val="FFFFFF"/>
                                <w:spacing w:val="-3"/>
                                <w:sz w:val="18"/>
                              </w:rPr>
                              <w:t> </w:t>
                            </w:r>
                            <w:r>
                              <w:rPr>
                                <w:b/>
                                <w:smallCaps w:val="0"/>
                                <w:color w:val="FFFFFF"/>
                                <w:sz w:val="18"/>
                              </w:rPr>
                              <w:t>δ</w:t>
                            </w:r>
                            <w:r>
                              <w:rPr>
                                <w:b/>
                                <w:smallCaps/>
                                <w:color w:val="FFFFFF"/>
                                <w:sz w:val="18"/>
                              </w:rPr>
                              <w:t>ι</w:t>
                            </w:r>
                            <w:r>
                              <w:rPr>
                                <w:b/>
                                <w:smallCaps w:val="0"/>
                                <w:color w:val="FFFFFF"/>
                                <w:sz w:val="18"/>
                              </w:rPr>
                              <w:t>α-χε</w:t>
                            </w:r>
                            <w:r>
                              <w:rPr>
                                <w:b/>
                                <w:smallCaps/>
                                <w:color w:val="FFFFFF"/>
                                <w:sz w:val="18"/>
                              </w:rPr>
                              <w:t>ι</w:t>
                            </w:r>
                            <w:r>
                              <w:rPr>
                                <w:b/>
                                <w:smallCaps w:val="0"/>
                                <w:color w:val="FFFFFF"/>
                                <w:sz w:val="18"/>
                              </w:rPr>
                              <w:t>ρ</w:t>
                            </w:r>
                            <w:r>
                              <w:rPr>
                                <w:b/>
                                <w:smallCaps/>
                                <w:color w:val="FFFFFF"/>
                                <w:sz w:val="18"/>
                              </w:rPr>
                              <w:t>ι</w:t>
                            </w:r>
                            <w:r>
                              <w:rPr>
                                <w:b/>
                                <w:smallCaps w:val="0"/>
                                <w:color w:val="FFFFFF"/>
                                <w:sz w:val="18"/>
                              </w:rPr>
                              <w:t>στών π</w:t>
                            </w:r>
                            <w:r>
                              <w:rPr>
                                <w:b/>
                                <w:smallCaps/>
                                <w:color w:val="FFFFFF"/>
                                <w:sz w:val="18"/>
                              </w:rPr>
                              <w:t>ι</w:t>
                            </w:r>
                            <w:r>
                              <w:rPr>
                                <w:b/>
                                <w:smallCaps w:val="0"/>
                                <w:color w:val="FFFFFF"/>
                                <w:sz w:val="18"/>
                              </w:rPr>
                              <w:t>στώσεων (Δεκέμβρ</w:t>
                            </w:r>
                            <w:r>
                              <w:rPr>
                                <w:b/>
                                <w:smallCaps/>
                                <w:color w:val="FFFFFF"/>
                                <w:sz w:val="18"/>
                              </w:rPr>
                              <w:t>ιο</w:t>
                            </w:r>
                            <w:r>
                              <w:rPr>
                                <w:b/>
                                <w:smallCaps w:val="0"/>
                                <w:color w:val="FFFFFF"/>
                                <w:sz w:val="18"/>
                              </w:rPr>
                              <w:t>ς 2025)</w:t>
                            </w:r>
                          </w:p>
                        </w:txbxContent>
                      </wps:txbx>
                      <wps:bodyPr wrap="square" lIns="0" tIns="0" rIns="0" bIns="0" rtlCol="0">
                        <a:noAutofit/>
                      </wps:bodyPr>
                    </wps:wsp>
                  </a:graphicData>
                </a:graphic>
              </wp:anchor>
            </w:drawing>
          </mc:Choice>
          <mc:Fallback>
            <w:pict>
              <v:shape style="position:absolute;margin-left:288.529999pt;margin-top:6.51771pt;width:215.45pt;height:26.8pt;mso-position-horizontal-relative:page;mso-position-vertical-relative:paragraph;z-index:15795712" type="#_x0000_t202" id="docshape640" filled="true" fillcolor="#1f487c" stroked="false">
                <v:textbox inset="0,0,0,0">
                  <w:txbxContent>
                    <w:p>
                      <w:pPr>
                        <w:spacing w:before="60"/>
                        <w:ind w:left="112" w:right="134"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V.11</w:t>
                      </w:r>
                      <w:r>
                        <w:rPr>
                          <w:b/>
                          <w:smallCaps w:val="0"/>
                          <w:color w:val="FFFFFF"/>
                          <w:spacing w:val="-5"/>
                          <w:sz w:val="18"/>
                        </w:rPr>
                        <w:t> </w:t>
                      </w:r>
                      <w:r>
                        <w:rPr>
                          <w:b/>
                          <w:smallCaps w:val="0"/>
                          <w:color w:val="FFFFFF"/>
                          <w:sz w:val="18"/>
                        </w:rPr>
                        <w:t>Δ</w:t>
                      </w:r>
                      <w:r>
                        <w:rPr>
                          <w:b/>
                          <w:smallCaps/>
                          <w:color w:val="FFFFFF"/>
                          <w:sz w:val="18"/>
                        </w:rPr>
                        <w:t>ι</w:t>
                      </w:r>
                      <w:r>
                        <w:rPr>
                          <w:b/>
                          <w:smallCaps w:val="0"/>
                          <w:color w:val="FFFFFF"/>
                          <w:sz w:val="18"/>
                        </w:rPr>
                        <w:t>άρθρωση</w:t>
                      </w:r>
                      <w:r>
                        <w:rPr>
                          <w:b/>
                          <w:smallCaps w:val="0"/>
                          <w:color w:val="FFFFFF"/>
                          <w:spacing w:val="-5"/>
                          <w:sz w:val="18"/>
                        </w:rPr>
                        <w:t> </w:t>
                      </w:r>
                      <w:r>
                        <w:rPr>
                          <w:b/>
                          <w:smallCaps w:val="0"/>
                          <w:color w:val="FFFFFF"/>
                          <w:sz w:val="18"/>
                        </w:rPr>
                        <w:t>του</w:t>
                      </w:r>
                      <w:r>
                        <w:rPr>
                          <w:b/>
                          <w:smallCaps w:val="0"/>
                          <w:color w:val="FFFFFF"/>
                          <w:spacing w:val="-5"/>
                          <w:sz w:val="18"/>
                        </w:rPr>
                        <w:t> </w:t>
                      </w:r>
                      <w:r>
                        <w:rPr>
                          <w:b/>
                          <w:smallCaps w:val="0"/>
                          <w:color w:val="FFFFFF"/>
                          <w:sz w:val="18"/>
                        </w:rPr>
                        <w:t>παθητ</w:t>
                      </w:r>
                      <w:r>
                        <w:rPr>
                          <w:b/>
                          <w:smallCaps/>
                          <w:color w:val="FFFFFF"/>
                          <w:sz w:val="18"/>
                        </w:rPr>
                        <w:t>ι</w:t>
                      </w:r>
                      <w:r>
                        <w:rPr>
                          <w:b/>
                          <w:smallCaps w:val="0"/>
                          <w:color w:val="FFFFFF"/>
                          <w:sz w:val="18"/>
                        </w:rPr>
                        <w:t>κού</w:t>
                      </w:r>
                      <w:r>
                        <w:rPr>
                          <w:b/>
                          <w:smallCaps w:val="0"/>
                          <w:color w:val="FFFFFF"/>
                          <w:spacing w:val="-6"/>
                          <w:sz w:val="18"/>
                        </w:rPr>
                        <w:t> </w:t>
                      </w:r>
                      <w:r>
                        <w:rPr>
                          <w:b/>
                          <w:smallCaps w:val="0"/>
                          <w:color w:val="FFFFFF"/>
                          <w:sz w:val="18"/>
                        </w:rPr>
                        <w:t>των</w:t>
                      </w:r>
                      <w:r>
                        <w:rPr>
                          <w:b/>
                          <w:smallCaps w:val="0"/>
                          <w:color w:val="FFFFFF"/>
                          <w:spacing w:val="-3"/>
                          <w:sz w:val="18"/>
                        </w:rPr>
                        <w:t> </w:t>
                      </w:r>
                      <w:r>
                        <w:rPr>
                          <w:b/>
                          <w:smallCaps w:val="0"/>
                          <w:color w:val="FFFFFF"/>
                          <w:sz w:val="18"/>
                        </w:rPr>
                        <w:t>δ</w:t>
                      </w:r>
                      <w:r>
                        <w:rPr>
                          <w:b/>
                          <w:smallCaps/>
                          <w:color w:val="FFFFFF"/>
                          <w:sz w:val="18"/>
                        </w:rPr>
                        <w:t>ι</w:t>
                      </w:r>
                      <w:r>
                        <w:rPr>
                          <w:b/>
                          <w:smallCaps w:val="0"/>
                          <w:color w:val="FFFFFF"/>
                          <w:sz w:val="18"/>
                        </w:rPr>
                        <w:t>α-χε</w:t>
                      </w:r>
                      <w:r>
                        <w:rPr>
                          <w:b/>
                          <w:smallCaps/>
                          <w:color w:val="FFFFFF"/>
                          <w:sz w:val="18"/>
                        </w:rPr>
                        <w:t>ι</w:t>
                      </w:r>
                      <w:r>
                        <w:rPr>
                          <w:b/>
                          <w:smallCaps w:val="0"/>
                          <w:color w:val="FFFFFF"/>
                          <w:sz w:val="18"/>
                        </w:rPr>
                        <w:t>ρ</w:t>
                      </w:r>
                      <w:r>
                        <w:rPr>
                          <w:b/>
                          <w:smallCaps/>
                          <w:color w:val="FFFFFF"/>
                          <w:sz w:val="18"/>
                        </w:rPr>
                        <w:t>ι</w:t>
                      </w:r>
                      <w:r>
                        <w:rPr>
                          <w:b/>
                          <w:smallCaps w:val="0"/>
                          <w:color w:val="FFFFFF"/>
                          <w:sz w:val="18"/>
                        </w:rPr>
                        <w:t>στών π</w:t>
                      </w:r>
                      <w:r>
                        <w:rPr>
                          <w:b/>
                          <w:smallCaps/>
                          <w:color w:val="FFFFFF"/>
                          <w:sz w:val="18"/>
                        </w:rPr>
                        <w:t>ι</w:t>
                      </w:r>
                      <w:r>
                        <w:rPr>
                          <w:b/>
                          <w:smallCaps w:val="0"/>
                          <w:color w:val="FFFFFF"/>
                          <w:sz w:val="18"/>
                        </w:rPr>
                        <w:t>στώσεων (Δεκέμβρ</w:t>
                      </w:r>
                      <w:r>
                        <w:rPr>
                          <w:b/>
                          <w:smallCaps/>
                          <w:color w:val="FFFFFF"/>
                          <w:sz w:val="18"/>
                        </w:rPr>
                        <w:t>ιο</w:t>
                      </w:r>
                      <w:r>
                        <w:rPr>
                          <w:b/>
                          <w:smallCaps w:val="0"/>
                          <w:color w:val="FFFFFF"/>
                          <w:sz w:val="18"/>
                        </w:rPr>
                        <w:t>ς 2025)</w:t>
                      </w:r>
                    </w:p>
                  </w:txbxContent>
                </v:textbox>
                <v:fill type="solid"/>
                <w10:wrap type="none"/>
              </v:shape>
            </w:pict>
          </mc:Fallback>
        </mc:AlternateContent>
      </w:r>
      <w:r>
        <w:rPr/>
        <w:t>Τον</w:t>
      </w:r>
      <w:r>
        <w:rPr>
          <w:spacing w:val="-14"/>
        </w:rPr>
        <w:t> </w:t>
      </w:r>
      <w:r>
        <w:rPr/>
        <w:t>Δεκέμβριο</w:t>
      </w:r>
      <w:r>
        <w:rPr>
          <w:spacing w:val="-14"/>
        </w:rPr>
        <w:t> </w:t>
      </w:r>
      <w:r>
        <w:rPr/>
        <w:t>του</w:t>
      </w:r>
      <w:r>
        <w:rPr>
          <w:spacing w:val="-14"/>
        </w:rPr>
        <w:t> </w:t>
      </w:r>
      <w:r>
        <w:rPr/>
        <w:t>2025</w:t>
      </w:r>
      <w:r>
        <w:rPr>
          <w:spacing w:val="-13"/>
        </w:rPr>
        <w:t> </w:t>
      </w:r>
      <w:r>
        <w:rPr/>
        <w:t>το</w:t>
      </w:r>
      <w:r>
        <w:rPr>
          <w:spacing w:val="-15"/>
        </w:rPr>
        <w:t> </w:t>
      </w:r>
      <w:r>
        <w:rPr/>
        <w:t>συνολικό</w:t>
      </w:r>
      <w:r>
        <w:rPr>
          <w:spacing w:val="-14"/>
        </w:rPr>
        <w:t> </w:t>
      </w:r>
      <w:r>
        <w:rPr/>
        <w:t>ενεργη-τικό</w:t>
      </w:r>
      <w:r>
        <w:rPr>
          <w:spacing w:val="4"/>
        </w:rPr>
        <w:t> </w:t>
      </w:r>
      <w:r>
        <w:rPr/>
        <w:t>των</w:t>
      </w:r>
      <w:r>
        <w:rPr>
          <w:spacing w:val="6"/>
        </w:rPr>
        <w:t> </w:t>
      </w:r>
      <w:r>
        <w:rPr/>
        <w:t>διαχειριστών</w:t>
      </w:r>
      <w:r>
        <w:rPr>
          <w:spacing w:val="6"/>
        </w:rPr>
        <w:t> </w:t>
      </w:r>
      <w:r>
        <w:rPr/>
        <w:t>πιστώσεων</w:t>
      </w:r>
      <w:r>
        <w:rPr>
          <w:spacing w:val="8"/>
        </w:rPr>
        <w:t> </w:t>
      </w:r>
      <w:r>
        <w:rPr/>
        <w:t>ανήλθε</w:t>
      </w:r>
      <w:r>
        <w:rPr>
          <w:spacing w:val="5"/>
        </w:rPr>
        <w:t> </w:t>
      </w:r>
      <w:r>
        <w:rPr>
          <w:spacing w:val="-5"/>
        </w:rPr>
        <w:t>σε</w:t>
      </w:r>
    </w:p>
    <w:p>
      <w:pPr>
        <w:pStyle w:val="BodyText"/>
        <w:spacing w:after="0" w:line="285" w:lineRule="auto"/>
        <w:sectPr>
          <w:pgSz w:w="11910" w:h="16850"/>
          <w:pgMar w:header="0" w:footer="1108" w:top="1840" w:bottom="1300" w:left="1417" w:right="850"/>
        </w:sectPr>
      </w:pPr>
    </w:p>
    <w:p>
      <w:pPr>
        <w:pStyle w:val="BodyText"/>
        <w:spacing w:line="285" w:lineRule="auto"/>
        <w:ind w:left="172"/>
        <w:jc w:val="both"/>
      </w:pPr>
      <w:r>
        <w:rPr/>
        <w:t>1,3 δισεκ. ευρώ, αυξημένο κατά 97 εκατ. ευρώ σε σχέση με τον Δεκέμβριο του 2024. Το σύνολο των ιδίων κεφαλαίων των διαχει-ριστών πιστώσεων μειώθηκε σε 614 εκατ. ευρώ (Δεκέμβριος 2024: 739 εκατ. ευρώ), ενώ το σύνολο των υποχρεώσεων (περιλαμ-βανομένων των προβλέψεων) αυξήθηκε την ίδια περίοδο σε 649 εκατ. ευρώ, από 414 ε-κατ. ευρώ (βλ. Διάγραμμα V.11). Τα κέρδη μετά από φόρους των διαχειριστών πιστώ-σεων για το 2025 διαμορφώθηκαν σε 126 ε-κατ.</w:t>
      </w:r>
      <w:r>
        <w:rPr>
          <w:spacing w:val="3"/>
        </w:rPr>
        <w:t> </w:t>
      </w:r>
      <w:r>
        <w:rPr/>
        <w:t>ευρώ,</w:t>
      </w:r>
      <w:r>
        <w:rPr>
          <w:spacing w:val="5"/>
        </w:rPr>
        <w:t> </w:t>
      </w:r>
      <w:r>
        <w:rPr/>
        <w:t>μειωμένα</w:t>
      </w:r>
      <w:r>
        <w:rPr>
          <w:spacing w:val="2"/>
        </w:rPr>
        <w:t> </w:t>
      </w:r>
      <w:r>
        <w:rPr/>
        <w:t>κατά</w:t>
      </w:r>
      <w:r>
        <w:rPr>
          <w:spacing w:val="2"/>
        </w:rPr>
        <w:t> </w:t>
      </w:r>
      <w:r>
        <w:rPr/>
        <w:t>6,3%</w:t>
      </w:r>
      <w:r>
        <w:rPr>
          <w:spacing w:val="2"/>
        </w:rPr>
        <w:t> </w:t>
      </w:r>
      <w:r>
        <w:rPr/>
        <w:t>σε</w:t>
      </w:r>
      <w:r>
        <w:rPr>
          <w:spacing w:val="3"/>
        </w:rPr>
        <w:t> </w:t>
      </w:r>
      <w:r>
        <w:rPr/>
        <w:t>σχέση</w:t>
      </w:r>
      <w:r>
        <w:rPr>
          <w:spacing w:val="2"/>
        </w:rPr>
        <w:t> </w:t>
      </w:r>
      <w:r>
        <w:rPr>
          <w:spacing w:val="-5"/>
        </w:rPr>
        <w:t>με</w:t>
      </w:r>
    </w:p>
    <w:p>
      <w:pPr>
        <w:spacing w:before="15"/>
        <w:ind w:left="172" w:right="0" w:firstLine="0"/>
        <w:jc w:val="left"/>
        <w:rPr>
          <w:sz w:val="14"/>
        </w:rPr>
      </w:pPr>
      <w:r>
        <w:rPr/>
        <w:br w:type="column"/>
      </w:r>
      <w:r>
        <w:rPr>
          <w:color w:val="1F487C"/>
          <w:sz w:val="14"/>
        </w:rPr>
        <w:t>(εκατ.</w:t>
      </w:r>
      <w:r>
        <w:rPr>
          <w:color w:val="1F487C"/>
          <w:spacing w:val="-5"/>
          <w:sz w:val="14"/>
        </w:rPr>
        <w:t> </w:t>
      </w:r>
      <w:r>
        <w:rPr>
          <w:color w:val="1F487C"/>
          <w:spacing w:val="-2"/>
          <w:sz w:val="14"/>
        </w:rPr>
        <w:t>ευρώ)</w:t>
      </w:r>
    </w:p>
    <w:p>
      <w:pPr>
        <w:pStyle w:val="BodyText"/>
        <w:spacing w:before="3"/>
        <w:rPr>
          <w:sz w:val="5"/>
        </w:rPr>
      </w:pPr>
    </w:p>
    <w:p>
      <w:pPr>
        <w:spacing w:line="240" w:lineRule="auto"/>
        <w:ind w:left="114" w:right="0" w:firstLine="0"/>
        <w:rPr>
          <w:sz w:val="20"/>
        </w:rPr>
      </w:pPr>
      <w:r>
        <w:rPr>
          <w:sz w:val="20"/>
        </w:rPr>
        <mc:AlternateContent>
          <mc:Choice Requires="wps">
            <w:drawing>
              <wp:inline distT="0" distB="0" distL="0" distR="0">
                <wp:extent cx="2736215" cy="2063750"/>
                <wp:effectExtent l="0" t="0" r="0" b="3175"/>
                <wp:docPr id="682" name="Group 682"/>
                <wp:cNvGraphicFramePr>
                  <a:graphicFrameLocks/>
                </wp:cNvGraphicFramePr>
                <a:graphic>
                  <a:graphicData uri="http://schemas.microsoft.com/office/word/2010/wordprocessingGroup">
                    <wpg:wgp>
                      <wpg:cNvPr id="682" name="Group 682"/>
                      <wpg:cNvGrpSpPr/>
                      <wpg:grpSpPr>
                        <a:xfrm>
                          <a:off x="0" y="0"/>
                          <a:ext cx="2736215" cy="2063750"/>
                          <a:chExt cx="2736215" cy="2063750"/>
                        </a:xfrm>
                      </wpg:grpSpPr>
                      <wps:wsp>
                        <wps:cNvPr id="683" name="Graphic 683"/>
                        <wps:cNvSpPr/>
                        <wps:spPr>
                          <a:xfrm>
                            <a:off x="0" y="0"/>
                            <a:ext cx="2736215" cy="2063750"/>
                          </a:xfrm>
                          <a:custGeom>
                            <a:avLst/>
                            <a:gdLst/>
                            <a:ahLst/>
                            <a:cxnLst/>
                            <a:rect l="l" t="t" r="r" b="b"/>
                            <a:pathLst>
                              <a:path w="2736215" h="2063750">
                                <a:moveTo>
                                  <a:pt x="2736202" y="0"/>
                                </a:moveTo>
                                <a:lnTo>
                                  <a:pt x="0" y="0"/>
                                </a:lnTo>
                                <a:lnTo>
                                  <a:pt x="0" y="1847342"/>
                                </a:lnTo>
                                <a:lnTo>
                                  <a:pt x="0" y="2063750"/>
                                </a:lnTo>
                                <a:lnTo>
                                  <a:pt x="2736202" y="2063750"/>
                                </a:lnTo>
                                <a:lnTo>
                                  <a:pt x="2736202" y="1847342"/>
                                </a:lnTo>
                                <a:lnTo>
                                  <a:pt x="2736202" y="0"/>
                                </a:lnTo>
                                <a:close/>
                              </a:path>
                            </a:pathLst>
                          </a:custGeom>
                          <a:solidFill>
                            <a:srgbClr val="D9D9D9"/>
                          </a:solidFill>
                        </wps:spPr>
                        <wps:bodyPr wrap="square" lIns="0" tIns="0" rIns="0" bIns="0" rtlCol="0">
                          <a:prstTxWarp prst="textNoShape">
                            <a:avLst/>
                          </a:prstTxWarp>
                          <a:noAutofit/>
                        </wps:bodyPr>
                      </wps:wsp>
                      <pic:pic>
                        <pic:nvPicPr>
                          <pic:cNvPr id="684" name="Image 684"/>
                          <pic:cNvPicPr/>
                        </pic:nvPicPr>
                        <pic:blipFill>
                          <a:blip r:embed="rId112" cstate="print"/>
                          <a:stretch>
                            <a:fillRect/>
                          </a:stretch>
                        </pic:blipFill>
                        <pic:spPr>
                          <a:xfrm>
                            <a:off x="20193" y="36957"/>
                            <a:ext cx="2663825" cy="1800860"/>
                          </a:xfrm>
                          <a:prstGeom prst="rect">
                            <a:avLst/>
                          </a:prstGeom>
                        </pic:spPr>
                      </pic:pic>
                      <wps:wsp>
                        <wps:cNvPr id="685" name="Textbox 685"/>
                        <wps:cNvSpPr txBox="1"/>
                        <wps:spPr>
                          <a:xfrm>
                            <a:off x="0" y="0"/>
                            <a:ext cx="2736215" cy="206375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30"/>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15.45pt;height:162.5pt;mso-position-horizontal-relative:char;mso-position-vertical-relative:line" id="docshapegroup641" coordorigin="0,0" coordsize="4309,3250">
                <v:shape style="position:absolute;left:0;top:0;width:4309;height:3250" id="docshape642" coordorigin="0,0" coordsize="4309,3250" path="m4309,0l0,0,0,2909,0,3250,4309,3250,4309,2909,4309,0xe" filled="true" fillcolor="#d9d9d9" stroked="false">
                  <v:path arrowok="t"/>
                  <v:fill type="solid"/>
                </v:shape>
                <v:shape style="position:absolute;left:31;top:58;width:4195;height:2836" type="#_x0000_t75" id="docshape643" stroked="false">
                  <v:imagedata r:id="rId112" o:title=""/>
                </v:shape>
                <v:shape style="position:absolute;left:0;top:0;width:4309;height:3250" type="#_x0000_t202" id="docshape644"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30"/>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177" w:space="62"/>
            <w:col w:w="5404"/>
          </w:cols>
        </w:sectPr>
      </w:pPr>
    </w:p>
    <w:p>
      <w:pPr>
        <w:pStyle w:val="BodyText"/>
        <w:spacing w:line="239" w:lineRule="exact"/>
        <w:ind w:left="172"/>
        <w:jc w:val="both"/>
      </w:pPr>
      <w:r>
        <w:rPr/>
        <w:t>το</w:t>
      </w:r>
      <w:r>
        <w:rPr>
          <w:spacing w:val="15"/>
        </w:rPr>
        <w:t> </w:t>
      </w:r>
      <w:r>
        <w:rPr/>
        <w:t>2024.</w:t>
      </w:r>
      <w:r>
        <w:rPr>
          <w:spacing w:val="17"/>
        </w:rPr>
        <w:t> </w:t>
      </w:r>
      <w:r>
        <w:rPr/>
        <w:t>Το</w:t>
      </w:r>
      <w:r>
        <w:rPr>
          <w:spacing w:val="15"/>
        </w:rPr>
        <w:t> </w:t>
      </w:r>
      <w:r>
        <w:rPr/>
        <w:t>σύνολο</w:t>
      </w:r>
      <w:r>
        <w:rPr>
          <w:spacing w:val="17"/>
        </w:rPr>
        <w:t> </w:t>
      </w:r>
      <w:r>
        <w:rPr/>
        <w:t>των</w:t>
      </w:r>
      <w:r>
        <w:rPr>
          <w:spacing w:val="18"/>
        </w:rPr>
        <w:t> </w:t>
      </w:r>
      <w:r>
        <w:rPr/>
        <w:t>αμοιβών</w:t>
      </w:r>
      <w:r>
        <w:rPr>
          <w:spacing w:val="18"/>
        </w:rPr>
        <w:t> </w:t>
      </w:r>
      <w:r>
        <w:rPr/>
        <w:t>προσωπικού</w:t>
      </w:r>
      <w:r>
        <w:rPr>
          <w:spacing w:val="18"/>
        </w:rPr>
        <w:t> </w:t>
      </w:r>
      <w:r>
        <w:rPr/>
        <w:t>και</w:t>
      </w:r>
      <w:r>
        <w:rPr>
          <w:spacing w:val="17"/>
        </w:rPr>
        <w:t> </w:t>
      </w:r>
      <w:r>
        <w:rPr/>
        <w:t>των</w:t>
      </w:r>
      <w:r>
        <w:rPr>
          <w:spacing w:val="18"/>
        </w:rPr>
        <w:t> </w:t>
      </w:r>
      <w:r>
        <w:rPr/>
        <w:t>διοικητικών</w:t>
      </w:r>
      <w:r>
        <w:rPr>
          <w:spacing w:val="16"/>
        </w:rPr>
        <w:t> </w:t>
      </w:r>
      <w:r>
        <w:rPr/>
        <w:t>εξόδων</w:t>
      </w:r>
      <w:r>
        <w:rPr>
          <w:spacing w:val="18"/>
        </w:rPr>
        <w:t> </w:t>
      </w:r>
      <w:r>
        <w:rPr/>
        <w:t>των</w:t>
      </w:r>
      <w:r>
        <w:rPr>
          <w:spacing w:val="24"/>
        </w:rPr>
        <w:t> </w:t>
      </w:r>
      <w:r>
        <w:rPr>
          <w:spacing w:val="-2"/>
        </w:rPr>
        <w:t>διαχειριστών</w:t>
      </w:r>
    </w:p>
    <w:p>
      <w:pPr>
        <w:pStyle w:val="BodyText"/>
        <w:spacing w:line="285" w:lineRule="auto" w:before="47"/>
        <w:ind w:left="172" w:right="957"/>
        <w:jc w:val="both"/>
      </w:pPr>
      <w:r>
        <w:rPr/>
        <w:t>πιστώσεων</w:t>
      </w:r>
      <w:r>
        <w:rPr>
          <w:spacing w:val="-6"/>
        </w:rPr>
        <w:t> </w:t>
      </w:r>
      <w:r>
        <w:rPr/>
        <w:t>ως</w:t>
      </w:r>
      <w:r>
        <w:rPr>
          <w:spacing w:val="-8"/>
        </w:rPr>
        <w:t> </w:t>
      </w:r>
      <w:r>
        <w:rPr/>
        <w:t>ποσοστό</w:t>
      </w:r>
      <w:r>
        <w:rPr>
          <w:spacing w:val="-7"/>
        </w:rPr>
        <w:t> </w:t>
      </w:r>
      <w:r>
        <w:rPr/>
        <w:t>του</w:t>
      </w:r>
      <w:r>
        <w:rPr>
          <w:spacing w:val="-8"/>
        </w:rPr>
        <w:t> </w:t>
      </w:r>
      <w:r>
        <w:rPr/>
        <w:t>κύκλου</w:t>
      </w:r>
      <w:r>
        <w:rPr>
          <w:spacing w:val="-6"/>
        </w:rPr>
        <w:t> </w:t>
      </w:r>
      <w:r>
        <w:rPr/>
        <w:t>εργασιών</w:t>
      </w:r>
      <w:r>
        <w:rPr>
          <w:spacing w:val="-5"/>
        </w:rPr>
        <w:t> </w:t>
      </w:r>
      <w:r>
        <w:rPr/>
        <w:t>ήταν</w:t>
      </w:r>
      <w:r>
        <w:rPr>
          <w:spacing w:val="-6"/>
        </w:rPr>
        <w:t> </w:t>
      </w:r>
      <w:r>
        <w:rPr/>
        <w:t>55,7%</w:t>
      </w:r>
      <w:r>
        <w:rPr>
          <w:spacing w:val="-6"/>
        </w:rPr>
        <w:t> </w:t>
      </w:r>
      <w:r>
        <w:rPr/>
        <w:t>το</w:t>
      </w:r>
      <w:r>
        <w:rPr>
          <w:spacing w:val="-7"/>
        </w:rPr>
        <w:t> </w:t>
      </w:r>
      <w:r>
        <w:rPr/>
        <w:t>2025,</w:t>
      </w:r>
      <w:r>
        <w:rPr>
          <w:spacing w:val="-7"/>
        </w:rPr>
        <w:t> </w:t>
      </w:r>
      <w:r>
        <w:rPr/>
        <w:t>ελαφρώς</w:t>
      </w:r>
      <w:r>
        <w:rPr>
          <w:spacing w:val="-8"/>
        </w:rPr>
        <w:t> </w:t>
      </w:r>
      <w:r>
        <w:rPr/>
        <w:t>αυξημένο</w:t>
      </w:r>
      <w:r>
        <w:rPr>
          <w:spacing w:val="-10"/>
        </w:rPr>
        <w:t> </w:t>
      </w:r>
      <w:r>
        <w:rPr/>
        <w:t>σε</w:t>
      </w:r>
      <w:r>
        <w:rPr>
          <w:spacing w:val="-9"/>
        </w:rPr>
        <w:t> </w:t>
      </w:r>
      <w:r>
        <w:rPr/>
        <w:t>σχέση με το 2024 (53,6%).</w:t>
      </w:r>
    </w:p>
    <w:p>
      <w:pPr>
        <w:pStyle w:val="BodyText"/>
        <w:spacing w:line="285" w:lineRule="auto" w:before="58"/>
        <w:ind w:left="172" w:right="956"/>
        <w:jc w:val="both"/>
      </w:pPr>
      <w:r>
        <w:rPr/>
        <w:t>Τον Δεκέμβριο του 2025 η συνολική αξία των υπό διαχείριση ανοιγμάτων</w:t>
      </w:r>
      <w:hyperlink w:history="true" w:anchor="_bookmark126">
        <w:r>
          <w:rPr>
            <w:position w:val="6"/>
            <w:sz w:val="10"/>
          </w:rPr>
          <w:t>86</w:t>
        </w:r>
      </w:hyperlink>
      <w:r>
        <w:rPr>
          <w:spacing w:val="40"/>
          <w:position w:val="6"/>
          <w:sz w:val="10"/>
        </w:rPr>
        <w:t> </w:t>
      </w:r>
      <w:r>
        <w:rPr/>
        <w:t>των διαχειριστών πιστώσεων</w:t>
      </w:r>
      <w:r>
        <w:rPr>
          <w:spacing w:val="-2"/>
        </w:rPr>
        <w:t> </w:t>
      </w:r>
      <w:r>
        <w:rPr/>
        <w:t>ανήλθε</w:t>
      </w:r>
      <w:r>
        <w:rPr>
          <w:spacing w:val="-6"/>
        </w:rPr>
        <w:t> </w:t>
      </w:r>
      <w:r>
        <w:rPr/>
        <w:t>σε</w:t>
      </w:r>
      <w:r>
        <w:rPr>
          <w:spacing w:val="-5"/>
        </w:rPr>
        <w:t> </w:t>
      </w:r>
      <w:r>
        <w:rPr/>
        <w:t>91,5</w:t>
      </w:r>
      <w:r>
        <w:rPr>
          <w:spacing w:val="-5"/>
        </w:rPr>
        <w:t> </w:t>
      </w:r>
      <w:r>
        <w:rPr/>
        <w:t>δισεκ.</w:t>
      </w:r>
      <w:r>
        <w:rPr>
          <w:spacing w:val="-6"/>
        </w:rPr>
        <w:t> </w:t>
      </w:r>
      <w:r>
        <w:rPr/>
        <w:t>ευρώ,</w:t>
      </w:r>
      <w:r>
        <w:rPr>
          <w:spacing w:val="-4"/>
        </w:rPr>
        <w:t> </w:t>
      </w:r>
      <w:r>
        <w:rPr/>
        <w:t>αυξημένη</w:t>
      </w:r>
      <w:r>
        <w:rPr>
          <w:spacing w:val="-4"/>
        </w:rPr>
        <w:t> </w:t>
      </w:r>
      <w:r>
        <w:rPr/>
        <w:t>κατά</w:t>
      </w:r>
      <w:r>
        <w:rPr>
          <w:spacing w:val="-4"/>
        </w:rPr>
        <w:t> </w:t>
      </w:r>
      <w:r>
        <w:rPr/>
        <w:t>4,1</w:t>
      </w:r>
      <w:r>
        <w:rPr>
          <w:spacing w:val="-4"/>
        </w:rPr>
        <w:t> </w:t>
      </w:r>
      <w:r>
        <w:rPr/>
        <w:t>δισεκ.</w:t>
      </w:r>
      <w:r>
        <w:rPr>
          <w:spacing w:val="-6"/>
        </w:rPr>
        <w:t> </w:t>
      </w:r>
      <w:r>
        <w:rPr/>
        <w:t>ευρώ</w:t>
      </w:r>
      <w:r>
        <w:rPr>
          <w:spacing w:val="-5"/>
        </w:rPr>
        <w:t> </w:t>
      </w:r>
      <w:r>
        <w:rPr/>
        <w:t>σε</w:t>
      </w:r>
      <w:r>
        <w:rPr>
          <w:spacing w:val="-5"/>
        </w:rPr>
        <w:t> </w:t>
      </w:r>
      <w:r>
        <w:rPr/>
        <w:t>σχέση</w:t>
      </w:r>
      <w:r>
        <w:rPr>
          <w:spacing w:val="-6"/>
        </w:rPr>
        <w:t> </w:t>
      </w:r>
      <w:r>
        <w:rPr/>
        <w:t>με</w:t>
      </w:r>
      <w:r>
        <w:rPr>
          <w:spacing w:val="-3"/>
        </w:rPr>
        <w:t> </w:t>
      </w:r>
      <w:r>
        <w:rPr/>
        <w:t>τον</w:t>
      </w:r>
      <w:r>
        <w:rPr>
          <w:spacing w:val="-3"/>
        </w:rPr>
        <w:t> </w:t>
      </w:r>
      <w:r>
        <w:rPr/>
        <w:t>Δεκέμ-βριο</w:t>
      </w:r>
      <w:r>
        <w:rPr>
          <w:spacing w:val="-6"/>
        </w:rPr>
        <w:t> </w:t>
      </w:r>
      <w:r>
        <w:rPr/>
        <w:t>του</w:t>
      </w:r>
      <w:r>
        <w:rPr>
          <w:spacing w:val="-2"/>
        </w:rPr>
        <w:t> </w:t>
      </w:r>
      <w:r>
        <w:rPr/>
        <w:t>2024,</w:t>
      </w:r>
      <w:r>
        <w:rPr>
          <w:spacing w:val="-3"/>
        </w:rPr>
        <w:t> </w:t>
      </w:r>
      <w:r>
        <w:rPr/>
        <w:t>μετά</w:t>
      </w:r>
      <w:r>
        <w:rPr>
          <w:spacing w:val="-6"/>
        </w:rPr>
        <w:t> </w:t>
      </w:r>
      <w:r>
        <w:rPr/>
        <w:t>την</w:t>
      </w:r>
      <w:r>
        <w:rPr>
          <w:spacing w:val="-5"/>
        </w:rPr>
        <w:t> </w:t>
      </w:r>
      <w:r>
        <w:rPr/>
        <w:t>ανάληψη</w:t>
      </w:r>
      <w:r>
        <w:rPr>
          <w:spacing w:val="-6"/>
        </w:rPr>
        <w:t> </w:t>
      </w:r>
      <w:r>
        <w:rPr/>
        <w:t>της</w:t>
      </w:r>
      <w:r>
        <w:rPr>
          <w:spacing w:val="-5"/>
        </w:rPr>
        <w:t> </w:t>
      </w:r>
      <w:r>
        <w:rPr/>
        <w:t>διαχείρισης</w:t>
      </w:r>
      <w:r>
        <w:rPr>
          <w:spacing w:val="-6"/>
        </w:rPr>
        <w:t> </w:t>
      </w:r>
      <w:r>
        <w:rPr/>
        <w:t>νέων</w:t>
      </w:r>
      <w:r>
        <w:rPr>
          <w:spacing w:val="-2"/>
        </w:rPr>
        <w:t> </w:t>
      </w:r>
      <w:r>
        <w:rPr/>
        <w:t>χαρτοφυλακίων,</w:t>
      </w:r>
      <w:r>
        <w:rPr>
          <w:spacing w:val="-3"/>
        </w:rPr>
        <w:t> </w:t>
      </w:r>
      <w:r>
        <w:rPr/>
        <w:t>κυρίως</w:t>
      </w:r>
      <w:r>
        <w:rPr>
          <w:spacing w:val="-6"/>
        </w:rPr>
        <w:t> </w:t>
      </w:r>
      <w:r>
        <w:rPr/>
        <w:t>για</w:t>
      </w:r>
      <w:r>
        <w:rPr>
          <w:spacing w:val="-3"/>
        </w:rPr>
        <w:t> </w:t>
      </w:r>
      <w:r>
        <w:rPr/>
        <w:t>λογαριασμό </w:t>
      </w:r>
      <w:r>
        <w:rPr>
          <w:spacing w:val="-2"/>
        </w:rPr>
        <w:t>αγοραστών</w:t>
      </w:r>
      <w:r>
        <w:rPr>
          <w:spacing w:val="-6"/>
        </w:rPr>
        <w:t> </w:t>
      </w:r>
      <w:r>
        <w:rPr>
          <w:spacing w:val="-2"/>
        </w:rPr>
        <w:t>πιστώσεων.</w:t>
      </w:r>
      <w:r>
        <w:rPr>
          <w:spacing w:val="-5"/>
        </w:rPr>
        <w:t> </w:t>
      </w:r>
      <w:r>
        <w:rPr>
          <w:spacing w:val="-2"/>
        </w:rPr>
        <w:t>Από</w:t>
      </w:r>
      <w:r>
        <w:rPr>
          <w:spacing w:val="-5"/>
        </w:rPr>
        <w:t> </w:t>
      </w:r>
      <w:r>
        <w:rPr>
          <w:spacing w:val="-2"/>
        </w:rPr>
        <w:t>το</w:t>
      </w:r>
      <w:r>
        <w:rPr>
          <w:spacing w:val="-8"/>
        </w:rPr>
        <w:t> </w:t>
      </w:r>
      <w:r>
        <w:rPr>
          <w:spacing w:val="-2"/>
        </w:rPr>
        <w:t>σύνολο</w:t>
      </w:r>
      <w:r>
        <w:rPr>
          <w:spacing w:val="-5"/>
        </w:rPr>
        <w:t> </w:t>
      </w:r>
      <w:r>
        <w:rPr>
          <w:spacing w:val="-2"/>
        </w:rPr>
        <w:t>των</w:t>
      </w:r>
      <w:r>
        <w:rPr>
          <w:spacing w:val="-7"/>
        </w:rPr>
        <w:t> </w:t>
      </w:r>
      <w:r>
        <w:rPr>
          <w:spacing w:val="-2"/>
        </w:rPr>
        <w:t>υπό</w:t>
      </w:r>
      <w:r>
        <w:rPr>
          <w:spacing w:val="-5"/>
        </w:rPr>
        <w:t> </w:t>
      </w:r>
      <w:r>
        <w:rPr>
          <w:spacing w:val="-2"/>
        </w:rPr>
        <w:t>διαχείριση</w:t>
      </w:r>
      <w:r>
        <w:rPr>
          <w:spacing w:val="-8"/>
        </w:rPr>
        <w:t> </w:t>
      </w:r>
      <w:r>
        <w:rPr>
          <w:spacing w:val="-2"/>
        </w:rPr>
        <w:t>ανοιγμάτων,</w:t>
      </w:r>
      <w:r>
        <w:rPr>
          <w:spacing w:val="-3"/>
        </w:rPr>
        <w:t> </w:t>
      </w:r>
      <w:r>
        <w:rPr>
          <w:spacing w:val="-2"/>
        </w:rPr>
        <w:t>81,5</w:t>
      </w:r>
      <w:r>
        <w:rPr>
          <w:spacing w:val="-9"/>
        </w:rPr>
        <w:t> </w:t>
      </w:r>
      <w:r>
        <w:rPr>
          <w:spacing w:val="-2"/>
        </w:rPr>
        <w:t>δισεκ.</w:t>
      </w:r>
      <w:r>
        <w:rPr>
          <w:spacing w:val="-5"/>
        </w:rPr>
        <w:t> </w:t>
      </w:r>
      <w:r>
        <w:rPr>
          <w:spacing w:val="-2"/>
        </w:rPr>
        <w:t>ευρώ</w:t>
      </w:r>
      <w:r>
        <w:rPr>
          <w:spacing w:val="-5"/>
        </w:rPr>
        <w:t> </w:t>
      </w:r>
      <w:r>
        <w:rPr>
          <w:spacing w:val="-2"/>
        </w:rPr>
        <w:t>δηλαδή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sz w:val="20"/>
        </w:rPr>
        <mc:AlternateContent>
          <mc:Choice Requires="wps">
            <w:drawing>
              <wp:anchor distT="0" distB="0" distL="0" distR="0" allowOverlap="1" layoutInCell="1" locked="0" behindDoc="1" simplePos="0" relativeHeight="487654400">
                <wp:simplePos x="0" y="0"/>
                <wp:positionH relativeFrom="page">
                  <wp:posOffset>1009192</wp:posOffset>
                </wp:positionH>
                <wp:positionV relativeFrom="paragraph">
                  <wp:posOffset>161710</wp:posOffset>
                </wp:positionV>
                <wp:extent cx="1829435" cy="7620"/>
                <wp:effectExtent l="0" t="0" r="0" b="0"/>
                <wp:wrapTopAndBottom/>
                <wp:docPr id="686" name="Graphic 686"/>
                <wp:cNvGraphicFramePr>
                  <a:graphicFrameLocks/>
                </wp:cNvGraphicFramePr>
                <a:graphic>
                  <a:graphicData uri="http://schemas.microsoft.com/office/word/2010/wordprocessingShape">
                    <wps:wsp>
                      <wps:cNvPr id="686" name="Graphic 68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2.733089pt;width:144.020pt;height:.60004pt;mso-position-horizontal-relative:page;mso-position-vertical-relative:paragraph;z-index:-15662080;mso-wrap-distance-left:0;mso-wrap-distance-right:0" id="docshape645" filled="true" fillcolor="#000000" stroked="false">
                <v:fill type="solid"/>
                <w10:wrap type="topAndBottom"/>
              </v:rect>
            </w:pict>
          </mc:Fallback>
        </mc:AlternateContent>
      </w:r>
    </w:p>
    <w:p>
      <w:pPr>
        <w:spacing w:before="167"/>
        <w:ind w:left="172" w:right="962" w:firstLine="0"/>
        <w:jc w:val="both"/>
        <w:rPr>
          <w:sz w:val="16"/>
        </w:rPr>
      </w:pPr>
      <w:bookmarkStart w:name="_bookmark125" w:id="126"/>
      <w:bookmarkEnd w:id="126"/>
      <w:r>
        <w:rPr/>
      </w:r>
      <w:r>
        <w:rPr>
          <w:sz w:val="16"/>
          <w:vertAlign w:val="superscript"/>
        </w:rPr>
        <w:t>85</w:t>
      </w:r>
      <w:r>
        <w:rPr>
          <w:sz w:val="16"/>
          <w:vertAlign w:val="baseline"/>
        </w:rPr>
        <w:t> Στην ΠΕΕ 244/4/25.07.2025 καθορίζονται, μεταξύ άλλων, οι προϋποθέσεις και τα κριτήρια για τη σύσταση Επιτροπής Ελέγχου.</w:t>
      </w:r>
      <w:r>
        <w:rPr>
          <w:spacing w:val="40"/>
          <w:sz w:val="16"/>
          <w:vertAlign w:val="baseline"/>
        </w:rPr>
        <w:t> </w:t>
      </w:r>
      <w:r>
        <w:rPr>
          <w:sz w:val="16"/>
          <w:vertAlign w:val="baseline"/>
        </w:rPr>
        <w:t>Για</w:t>
      </w:r>
      <w:r>
        <w:rPr>
          <w:spacing w:val="-2"/>
          <w:sz w:val="16"/>
          <w:vertAlign w:val="baseline"/>
        </w:rPr>
        <w:t> </w:t>
      </w:r>
      <w:r>
        <w:rPr>
          <w:sz w:val="16"/>
          <w:vertAlign w:val="baseline"/>
        </w:rPr>
        <w:t>τον</w:t>
      </w:r>
      <w:r>
        <w:rPr>
          <w:spacing w:val="-2"/>
          <w:sz w:val="16"/>
          <w:vertAlign w:val="baseline"/>
        </w:rPr>
        <w:t> </w:t>
      </w:r>
      <w:r>
        <w:rPr>
          <w:sz w:val="16"/>
          <w:vertAlign w:val="baseline"/>
        </w:rPr>
        <w:t>αριθμό</w:t>
      </w:r>
      <w:r>
        <w:rPr>
          <w:spacing w:val="-3"/>
          <w:sz w:val="16"/>
          <w:vertAlign w:val="baseline"/>
        </w:rPr>
        <w:t> </w:t>
      </w:r>
      <w:r>
        <w:rPr>
          <w:sz w:val="16"/>
          <w:vertAlign w:val="baseline"/>
        </w:rPr>
        <w:t>των</w:t>
      </w:r>
      <w:r>
        <w:rPr>
          <w:spacing w:val="-3"/>
          <w:sz w:val="16"/>
          <w:vertAlign w:val="baseline"/>
        </w:rPr>
        <w:t> </w:t>
      </w:r>
      <w:r>
        <w:rPr>
          <w:sz w:val="16"/>
          <w:vertAlign w:val="baseline"/>
        </w:rPr>
        <w:t>ανεξάρτητων</w:t>
      </w:r>
      <w:r>
        <w:rPr>
          <w:spacing w:val="-3"/>
          <w:sz w:val="16"/>
          <w:vertAlign w:val="baseline"/>
        </w:rPr>
        <w:t> </w:t>
      </w:r>
      <w:r>
        <w:rPr>
          <w:sz w:val="16"/>
          <w:vertAlign w:val="baseline"/>
        </w:rPr>
        <w:t>και</w:t>
      </w:r>
      <w:r>
        <w:rPr>
          <w:spacing w:val="-4"/>
          <w:sz w:val="16"/>
          <w:vertAlign w:val="baseline"/>
        </w:rPr>
        <w:t> </w:t>
      </w:r>
      <w:r>
        <w:rPr>
          <w:sz w:val="16"/>
          <w:vertAlign w:val="baseline"/>
        </w:rPr>
        <w:t>μη</w:t>
      </w:r>
      <w:r>
        <w:rPr>
          <w:spacing w:val="-2"/>
          <w:sz w:val="16"/>
          <w:vertAlign w:val="baseline"/>
        </w:rPr>
        <w:t> </w:t>
      </w:r>
      <w:r>
        <w:rPr>
          <w:sz w:val="16"/>
          <w:vertAlign w:val="baseline"/>
        </w:rPr>
        <w:t>εκτελεστικών</w:t>
      </w:r>
      <w:r>
        <w:rPr>
          <w:spacing w:val="-3"/>
          <w:sz w:val="16"/>
          <w:vertAlign w:val="baseline"/>
        </w:rPr>
        <w:t> </w:t>
      </w:r>
      <w:r>
        <w:rPr>
          <w:sz w:val="16"/>
          <w:vertAlign w:val="baseline"/>
        </w:rPr>
        <w:t>μελών</w:t>
      </w:r>
      <w:r>
        <w:rPr>
          <w:spacing w:val="-3"/>
          <w:sz w:val="16"/>
          <w:vertAlign w:val="baseline"/>
        </w:rPr>
        <w:t> </w:t>
      </w:r>
      <w:r>
        <w:rPr>
          <w:sz w:val="16"/>
          <w:vertAlign w:val="baseline"/>
        </w:rPr>
        <w:t>της</w:t>
      </w:r>
      <w:r>
        <w:rPr>
          <w:spacing w:val="-1"/>
          <w:sz w:val="16"/>
          <w:vertAlign w:val="baseline"/>
        </w:rPr>
        <w:t> </w:t>
      </w:r>
      <w:r>
        <w:rPr>
          <w:sz w:val="16"/>
          <w:vertAlign w:val="baseline"/>
        </w:rPr>
        <w:t>Επιτροπής</w:t>
      </w:r>
      <w:r>
        <w:rPr>
          <w:spacing w:val="-1"/>
          <w:sz w:val="16"/>
          <w:vertAlign w:val="baseline"/>
        </w:rPr>
        <w:t> </w:t>
      </w:r>
      <w:r>
        <w:rPr>
          <w:sz w:val="16"/>
          <w:vertAlign w:val="baseline"/>
        </w:rPr>
        <w:t>Ελέγχου,</w:t>
      </w:r>
      <w:r>
        <w:rPr>
          <w:spacing w:val="-1"/>
          <w:sz w:val="16"/>
          <w:vertAlign w:val="baseline"/>
        </w:rPr>
        <w:t> </w:t>
      </w:r>
      <w:r>
        <w:rPr>
          <w:sz w:val="16"/>
          <w:vertAlign w:val="baseline"/>
        </w:rPr>
        <w:t>τα</w:t>
      </w:r>
      <w:r>
        <w:rPr>
          <w:spacing w:val="-2"/>
          <w:sz w:val="16"/>
          <w:vertAlign w:val="baseline"/>
        </w:rPr>
        <w:t> </w:t>
      </w:r>
      <w:r>
        <w:rPr>
          <w:sz w:val="16"/>
          <w:vertAlign w:val="baseline"/>
        </w:rPr>
        <w:t>ιδρύματα</w:t>
      </w:r>
      <w:r>
        <w:rPr>
          <w:spacing w:val="-5"/>
          <w:sz w:val="16"/>
          <w:vertAlign w:val="baseline"/>
        </w:rPr>
        <w:t> </w:t>
      </w:r>
      <w:r>
        <w:rPr>
          <w:sz w:val="16"/>
          <w:vertAlign w:val="baseline"/>
        </w:rPr>
        <w:t>δύνανται</w:t>
      </w:r>
      <w:r>
        <w:rPr>
          <w:spacing w:val="-2"/>
          <w:sz w:val="16"/>
          <w:vertAlign w:val="baseline"/>
        </w:rPr>
        <w:t> </w:t>
      </w:r>
      <w:r>
        <w:rPr>
          <w:sz w:val="16"/>
          <w:vertAlign w:val="baseline"/>
        </w:rPr>
        <w:t>να</w:t>
      </w:r>
      <w:r>
        <w:rPr>
          <w:spacing w:val="-2"/>
          <w:sz w:val="16"/>
          <w:vertAlign w:val="baseline"/>
        </w:rPr>
        <w:t> </w:t>
      </w:r>
      <w:r>
        <w:rPr>
          <w:sz w:val="16"/>
          <w:vertAlign w:val="baseline"/>
        </w:rPr>
        <w:t>συμμορφωθούν</w:t>
      </w:r>
      <w:r>
        <w:rPr>
          <w:spacing w:val="-3"/>
          <w:sz w:val="16"/>
          <w:vertAlign w:val="baseline"/>
        </w:rPr>
        <w:t> </w:t>
      </w:r>
      <w:r>
        <w:rPr>
          <w:sz w:val="16"/>
          <w:vertAlign w:val="baseline"/>
        </w:rPr>
        <w:t>έως</w:t>
      </w:r>
      <w:r>
        <w:rPr>
          <w:spacing w:val="40"/>
          <w:sz w:val="16"/>
          <w:vertAlign w:val="baseline"/>
        </w:rPr>
        <w:t> </w:t>
      </w:r>
      <w:r>
        <w:rPr>
          <w:sz w:val="16"/>
          <w:vertAlign w:val="baseline"/>
        </w:rPr>
        <w:t>τις</w:t>
      </w:r>
      <w:r>
        <w:rPr>
          <w:spacing w:val="-3"/>
          <w:sz w:val="16"/>
          <w:vertAlign w:val="baseline"/>
        </w:rPr>
        <w:t> </w:t>
      </w:r>
      <w:r>
        <w:rPr>
          <w:sz w:val="16"/>
          <w:vertAlign w:val="baseline"/>
        </w:rPr>
        <w:t>30.06.2026.</w:t>
      </w:r>
    </w:p>
    <w:p>
      <w:pPr>
        <w:spacing w:before="19"/>
        <w:ind w:left="172" w:right="958" w:firstLine="0"/>
        <w:jc w:val="both"/>
        <w:rPr>
          <w:sz w:val="16"/>
        </w:rPr>
      </w:pPr>
      <w:bookmarkStart w:name="_bookmark126" w:id="127"/>
      <w:bookmarkEnd w:id="127"/>
      <w:r>
        <w:rPr/>
      </w:r>
      <w:r>
        <w:rPr>
          <w:sz w:val="16"/>
          <w:vertAlign w:val="superscript"/>
        </w:rPr>
        <w:t>86</w:t>
      </w:r>
      <w:r>
        <w:rPr>
          <w:sz w:val="16"/>
          <w:vertAlign w:val="baseline"/>
        </w:rPr>
        <w:t> Ως ανοίγματα εμφανίζονται</w:t>
      </w:r>
      <w:r>
        <w:rPr>
          <w:spacing w:val="-2"/>
          <w:sz w:val="16"/>
          <w:vertAlign w:val="baseline"/>
        </w:rPr>
        <w:t> </w:t>
      </w:r>
      <w:r>
        <w:rPr>
          <w:sz w:val="16"/>
          <w:vertAlign w:val="baseline"/>
        </w:rPr>
        <w:t>όλα τα χρεωστικά μέσα (δάνεια και</w:t>
      </w:r>
      <w:r>
        <w:rPr>
          <w:spacing w:val="-2"/>
          <w:sz w:val="16"/>
          <w:vertAlign w:val="baseline"/>
        </w:rPr>
        <w:t> </w:t>
      </w:r>
      <w:r>
        <w:rPr>
          <w:sz w:val="16"/>
          <w:vertAlign w:val="baseline"/>
        </w:rPr>
        <w:t>προκαταβολές και χρεωστικοί</w:t>
      </w:r>
      <w:r>
        <w:rPr>
          <w:spacing w:val="-2"/>
          <w:sz w:val="16"/>
          <w:vertAlign w:val="baseline"/>
        </w:rPr>
        <w:t> </w:t>
      </w:r>
      <w:r>
        <w:rPr>
          <w:sz w:val="16"/>
          <w:vertAlign w:val="baseline"/>
        </w:rPr>
        <w:t>τίτλοι),</w:t>
      </w:r>
      <w:r>
        <w:rPr>
          <w:spacing w:val="-1"/>
          <w:sz w:val="16"/>
          <w:vertAlign w:val="baseline"/>
        </w:rPr>
        <w:t> </w:t>
      </w:r>
      <w:r>
        <w:rPr>
          <w:sz w:val="16"/>
          <w:vertAlign w:val="baseline"/>
        </w:rPr>
        <w:t>μη συμπεριλαμβανομένων</w:t>
      </w:r>
      <w:r>
        <w:rPr>
          <w:spacing w:val="40"/>
          <w:sz w:val="16"/>
          <w:vertAlign w:val="baseline"/>
        </w:rPr>
        <w:t> </w:t>
      </w:r>
      <w:r>
        <w:rPr>
          <w:sz w:val="16"/>
          <w:vertAlign w:val="baseline"/>
        </w:rPr>
        <w:t>των μη</w:t>
      </w:r>
      <w:r>
        <w:rPr>
          <w:spacing w:val="-2"/>
          <w:sz w:val="16"/>
          <w:vertAlign w:val="baseline"/>
        </w:rPr>
        <w:t> </w:t>
      </w:r>
      <w:r>
        <w:rPr>
          <w:sz w:val="16"/>
          <w:vertAlign w:val="baseline"/>
        </w:rPr>
        <w:t>λογιστικοποιημένων τόκων και διαγραφών.</w:t>
      </w:r>
      <w:r>
        <w:rPr>
          <w:spacing w:val="-1"/>
          <w:sz w:val="16"/>
          <w:vertAlign w:val="baseline"/>
        </w:rPr>
        <w:t> </w:t>
      </w:r>
      <w:r>
        <w:rPr>
          <w:sz w:val="16"/>
          <w:vertAlign w:val="baseline"/>
        </w:rPr>
        <w:t>Σημειώνεται</w:t>
      </w:r>
      <w:r>
        <w:rPr>
          <w:spacing w:val="-2"/>
          <w:sz w:val="16"/>
          <w:vertAlign w:val="baseline"/>
        </w:rPr>
        <w:t> </w:t>
      </w:r>
      <w:r>
        <w:rPr>
          <w:sz w:val="16"/>
          <w:vertAlign w:val="baseline"/>
        </w:rPr>
        <w:t>ότι με</w:t>
      </w:r>
      <w:r>
        <w:rPr>
          <w:spacing w:val="-2"/>
          <w:sz w:val="16"/>
          <w:vertAlign w:val="baseline"/>
        </w:rPr>
        <w:t> </w:t>
      </w:r>
      <w:r>
        <w:rPr>
          <w:sz w:val="16"/>
          <w:vertAlign w:val="baseline"/>
        </w:rPr>
        <w:t>την ΠΕΕ</w:t>
      </w:r>
      <w:r>
        <w:rPr>
          <w:spacing w:val="-1"/>
          <w:sz w:val="16"/>
          <w:vertAlign w:val="baseline"/>
        </w:rPr>
        <w:t> </w:t>
      </w:r>
      <w:hyperlink r:id="rId111">
        <w:r>
          <w:rPr>
            <w:color w:val="0000FF"/>
            <w:sz w:val="16"/>
            <w:u w:val="single" w:color="0000FF"/>
            <w:vertAlign w:val="baseline"/>
          </w:rPr>
          <w:t>244/4/25.07.2025</w:t>
        </w:r>
      </w:hyperlink>
      <w:r>
        <w:rPr>
          <w:color w:val="0000FF"/>
          <w:sz w:val="16"/>
          <w:vertAlign w:val="baseline"/>
        </w:rPr>
        <w:t> </w:t>
      </w:r>
      <w:r>
        <w:rPr>
          <w:sz w:val="16"/>
          <w:vertAlign w:val="baseline"/>
        </w:rPr>
        <w:t>τροποποιήθηκαν, μεταξύ άλλων,</w:t>
      </w:r>
      <w:r>
        <w:rPr>
          <w:spacing w:val="40"/>
          <w:sz w:val="16"/>
          <w:vertAlign w:val="baseline"/>
        </w:rPr>
        <w:t> </w:t>
      </w:r>
      <w:r>
        <w:rPr>
          <w:sz w:val="16"/>
          <w:vertAlign w:val="baseline"/>
        </w:rPr>
        <w:t>τα στοιχεία που οφείλουν να υποβάλλουν οι διαχειριστές πιστώσεων στην Τράπεζα της Ελλάδος.</w:t>
      </w:r>
    </w:p>
    <w:p>
      <w:pPr>
        <w:spacing w:after="0"/>
        <w:jc w:val="both"/>
        <w:rPr>
          <w:sz w:val="16"/>
        </w:rPr>
        <w:sectPr>
          <w:type w:val="continuous"/>
          <w:pgSz w:w="11910" w:h="16850"/>
          <w:pgMar w:header="0" w:footer="1108" w:top="1320" w:bottom="280" w:left="1417" w:right="850"/>
        </w:sectPr>
      </w:pPr>
    </w:p>
    <w:p>
      <w:pPr>
        <w:pStyle w:val="BodyText"/>
        <w:spacing w:line="285" w:lineRule="auto" w:before="66"/>
        <w:ind w:left="172" w:right="956"/>
        <w:jc w:val="both"/>
      </w:pPr>
      <w:r>
        <w:rPr/>
        <w:t>το 89,1% αφορούν ανοίγματα που διαχειρίζονται οι διαχειριστές πιστώσεων για λογαριασμό α-γοραστών πιστώσεων</w:t>
      </w:r>
      <w:hyperlink w:history="true" w:anchor="_bookmark127">
        <w:r>
          <w:rPr/>
          <w:t>,</w:t>
        </w:r>
        <w:r>
          <w:rPr>
            <w:position w:val="6"/>
            <w:sz w:val="10"/>
          </w:rPr>
          <w:t>87</w:t>
        </w:r>
      </w:hyperlink>
      <w:r>
        <w:rPr>
          <w:spacing w:val="33"/>
          <w:position w:val="6"/>
          <w:sz w:val="10"/>
        </w:rPr>
        <w:t> </w:t>
      </w:r>
      <w:r>
        <w:rPr/>
        <w:t>ενώ τα υπόλοιπα 10 δισεκ ευρώ, ήτοι το 10,9%, αφορούν τη διαχείριση ανοιγμάτων για λογαριασμό πιστωτικών/χρηματοδοτικών ιδρυμάτων.</w:t>
      </w:r>
    </w:p>
    <w:p>
      <w:pPr>
        <w:pStyle w:val="BodyText"/>
        <w:spacing w:line="300" w:lineRule="atLeast" w:before="30"/>
        <w:ind w:left="172" w:right="5402"/>
        <w:jc w:val="both"/>
      </w:pPr>
      <w:r>
        <w:rPr/>
        <mc:AlternateContent>
          <mc:Choice Requires="wps">
            <w:drawing>
              <wp:anchor distT="0" distB="0" distL="0" distR="0" allowOverlap="1" layoutInCell="1" locked="0" behindDoc="0" simplePos="0" relativeHeight="15797248">
                <wp:simplePos x="0" y="0"/>
                <wp:positionH relativeFrom="page">
                  <wp:posOffset>3702430</wp:posOffset>
                </wp:positionH>
                <wp:positionV relativeFrom="paragraph">
                  <wp:posOffset>14266</wp:posOffset>
                </wp:positionV>
                <wp:extent cx="2698115" cy="47117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2698115" cy="471170"/>
                        </a:xfrm>
                        <a:prstGeom prst="rect">
                          <a:avLst/>
                        </a:prstGeom>
                        <a:solidFill>
                          <a:srgbClr val="1F487C"/>
                        </a:solidFill>
                      </wps:spPr>
                      <wps:txbx>
                        <w:txbxContent>
                          <w:p>
                            <w:pPr>
                              <w:spacing w:before="60"/>
                              <w:ind w:left="112" w:right="2"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V.12</w:t>
                            </w:r>
                            <w:r>
                              <w:rPr>
                                <w:b/>
                                <w:smallCaps w:val="0"/>
                                <w:color w:val="FFFFFF"/>
                                <w:spacing w:val="-6"/>
                                <w:sz w:val="18"/>
                              </w:rPr>
                              <w:t> </w:t>
                            </w:r>
                            <w:r>
                              <w:rPr>
                                <w:b/>
                                <w:smallCaps w:val="0"/>
                                <w:color w:val="FFFFFF"/>
                                <w:sz w:val="18"/>
                              </w:rPr>
                              <w:t>Δ</w:t>
                            </w:r>
                            <w:r>
                              <w:rPr>
                                <w:b/>
                                <w:smallCaps/>
                                <w:color w:val="FFFFFF"/>
                                <w:sz w:val="18"/>
                              </w:rPr>
                              <w:t>ι</w:t>
                            </w:r>
                            <w:r>
                              <w:rPr>
                                <w:b/>
                                <w:smallCaps w:val="0"/>
                                <w:color w:val="FFFFFF"/>
                                <w:sz w:val="18"/>
                              </w:rPr>
                              <w:t>άρθρωση</w:t>
                            </w:r>
                            <w:r>
                              <w:rPr>
                                <w:b/>
                                <w:smallCaps w:val="0"/>
                                <w:color w:val="FFFFFF"/>
                                <w:spacing w:val="-6"/>
                                <w:sz w:val="18"/>
                              </w:rPr>
                              <w:t> </w:t>
                            </w:r>
                            <w:r>
                              <w:rPr>
                                <w:b/>
                                <w:smallCaps w:val="0"/>
                                <w:color w:val="FFFFFF"/>
                                <w:sz w:val="18"/>
                              </w:rPr>
                              <w:t>χαρτοφυλακίων</w:t>
                            </w:r>
                            <w:r>
                              <w:rPr>
                                <w:b/>
                                <w:smallCaps w:val="0"/>
                                <w:color w:val="FFFFFF"/>
                                <w:spacing w:val="-6"/>
                                <w:sz w:val="18"/>
                              </w:rPr>
                              <w:t> </w:t>
                            </w:r>
                            <w:r>
                              <w:rPr>
                                <w:b/>
                                <w:smallCaps w:val="0"/>
                                <w:color w:val="FFFFFF"/>
                                <w:sz w:val="18"/>
                              </w:rPr>
                              <w:t>που</w:t>
                            </w:r>
                            <w:r>
                              <w:rPr>
                                <w:b/>
                                <w:smallCaps w:val="0"/>
                                <w:color w:val="FFFFFF"/>
                                <w:spacing w:val="-7"/>
                                <w:sz w:val="18"/>
                              </w:rPr>
                              <w:t> </w:t>
                            </w:r>
                            <w:r>
                              <w:rPr>
                                <w:b/>
                                <w:smallCaps w:val="0"/>
                                <w:color w:val="FFFFFF"/>
                                <w:sz w:val="18"/>
                              </w:rPr>
                              <w:t>δ</w:t>
                            </w:r>
                            <w:r>
                              <w:rPr>
                                <w:b/>
                                <w:smallCaps/>
                                <w:color w:val="FFFFFF"/>
                                <w:sz w:val="18"/>
                              </w:rPr>
                              <w:t>ι</w:t>
                            </w:r>
                            <w:r>
                              <w:rPr>
                                <w:b/>
                                <w:smallCaps w:val="0"/>
                                <w:color w:val="FFFFFF"/>
                                <w:sz w:val="18"/>
                              </w:rPr>
                              <w:t>α-χε</w:t>
                            </w:r>
                            <w:r>
                              <w:rPr>
                                <w:b/>
                                <w:smallCaps/>
                                <w:color w:val="FFFFFF"/>
                                <w:sz w:val="18"/>
                              </w:rPr>
                              <w:t>ι</w:t>
                            </w:r>
                            <w:r>
                              <w:rPr>
                                <w:b/>
                                <w:smallCaps w:val="0"/>
                                <w:color w:val="FFFFFF"/>
                                <w:sz w:val="18"/>
                              </w:rPr>
                              <w:t>ρίζοντα</w:t>
                            </w:r>
                            <w:r>
                              <w:rPr>
                                <w:b/>
                                <w:smallCaps/>
                                <w:color w:val="FFFFFF"/>
                                <w:sz w:val="18"/>
                              </w:rPr>
                              <w:t>ι</w:t>
                            </w:r>
                            <w:r>
                              <w:rPr>
                                <w:b/>
                                <w:smallCaps w:val="0"/>
                                <w:color w:val="FFFFFF"/>
                                <w:sz w:val="18"/>
                              </w:rPr>
                              <w:t> </w:t>
                            </w:r>
                            <w:r>
                              <w:rPr>
                                <w:b/>
                                <w:smallCaps/>
                                <w:color w:val="FFFFFF"/>
                                <w:sz w:val="18"/>
                              </w:rPr>
                              <w:t>οι</w:t>
                            </w:r>
                            <w:r>
                              <w:rPr>
                                <w:b/>
                                <w:smallCaps w:val="0"/>
                                <w:color w:val="FFFFFF"/>
                                <w:sz w:val="18"/>
                              </w:rPr>
                              <w:t> δ</w:t>
                            </w:r>
                            <w:r>
                              <w:rPr>
                                <w:b/>
                                <w:smallCaps/>
                                <w:color w:val="FFFFFF"/>
                                <w:sz w:val="18"/>
                              </w:rPr>
                              <w:t>ι</w:t>
                            </w:r>
                            <w:r>
                              <w:rPr>
                                <w:b/>
                                <w:smallCaps w:val="0"/>
                                <w:color w:val="FFFFFF"/>
                                <w:sz w:val="18"/>
                              </w:rPr>
                              <w:t>αχε</w:t>
                            </w:r>
                            <w:r>
                              <w:rPr>
                                <w:b/>
                                <w:smallCaps/>
                                <w:color w:val="FFFFFF"/>
                                <w:sz w:val="18"/>
                              </w:rPr>
                              <w:t>ι</w:t>
                            </w:r>
                            <w:r>
                              <w:rPr>
                                <w:b/>
                                <w:smallCaps w:val="0"/>
                                <w:color w:val="FFFFFF"/>
                                <w:sz w:val="18"/>
                              </w:rPr>
                              <w:t>ρ</w:t>
                            </w:r>
                            <w:r>
                              <w:rPr>
                                <w:b/>
                                <w:smallCaps/>
                                <w:color w:val="FFFFFF"/>
                                <w:sz w:val="18"/>
                              </w:rPr>
                              <w:t>ι</w:t>
                            </w:r>
                            <w:r>
                              <w:rPr>
                                <w:b/>
                                <w:smallCaps w:val="0"/>
                                <w:color w:val="FFFFFF"/>
                                <w:sz w:val="18"/>
                              </w:rPr>
                              <w:t>στές π</w:t>
                            </w:r>
                            <w:r>
                              <w:rPr>
                                <w:b/>
                                <w:smallCaps/>
                                <w:color w:val="FFFFFF"/>
                                <w:sz w:val="18"/>
                              </w:rPr>
                              <w:t>ι</w:t>
                            </w:r>
                            <w:r>
                              <w:rPr>
                                <w:b/>
                                <w:smallCaps w:val="0"/>
                                <w:color w:val="FFFFFF"/>
                                <w:sz w:val="18"/>
                              </w:rPr>
                              <w:t>στώσεων (Δεκέμβρ</w:t>
                            </w:r>
                            <w:r>
                              <w:rPr>
                                <w:b/>
                                <w:smallCaps/>
                                <w:color w:val="FFFFFF"/>
                                <w:sz w:val="18"/>
                              </w:rPr>
                              <w:t>ιο</w:t>
                            </w:r>
                            <w:r>
                              <w:rPr>
                                <w:b/>
                                <w:smallCaps w:val="0"/>
                                <w:color w:val="FFFFFF"/>
                                <w:sz w:val="18"/>
                              </w:rPr>
                              <w:t>ς </w:t>
                            </w:r>
                            <w:r>
                              <w:rPr>
                                <w:b/>
                                <w:smallCaps w:val="0"/>
                                <w:color w:val="FFFFFF"/>
                                <w:spacing w:val="-2"/>
                                <w:sz w:val="18"/>
                              </w:rPr>
                              <w:t>2025)</w:t>
                            </w:r>
                          </w:p>
                        </w:txbxContent>
                      </wps:txbx>
                      <wps:bodyPr wrap="square" lIns="0" tIns="0" rIns="0" bIns="0" rtlCol="0">
                        <a:noAutofit/>
                      </wps:bodyPr>
                    </wps:wsp>
                  </a:graphicData>
                </a:graphic>
              </wp:anchor>
            </w:drawing>
          </mc:Choice>
          <mc:Fallback>
            <w:pict>
              <v:shape style="position:absolute;margin-left:291.529999pt;margin-top:1.123335pt;width:212.45pt;height:37.1pt;mso-position-horizontal-relative:page;mso-position-vertical-relative:paragraph;z-index:15797248" type="#_x0000_t202" id="docshape646" filled="true" fillcolor="#1f487c" stroked="false">
                <v:textbox inset="0,0,0,0">
                  <w:txbxContent>
                    <w:p>
                      <w:pPr>
                        <w:spacing w:before="60"/>
                        <w:ind w:left="112" w:right="2"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V.12</w:t>
                      </w:r>
                      <w:r>
                        <w:rPr>
                          <w:b/>
                          <w:smallCaps w:val="0"/>
                          <w:color w:val="FFFFFF"/>
                          <w:spacing w:val="-6"/>
                          <w:sz w:val="18"/>
                        </w:rPr>
                        <w:t> </w:t>
                      </w:r>
                      <w:r>
                        <w:rPr>
                          <w:b/>
                          <w:smallCaps w:val="0"/>
                          <w:color w:val="FFFFFF"/>
                          <w:sz w:val="18"/>
                        </w:rPr>
                        <w:t>Δ</w:t>
                      </w:r>
                      <w:r>
                        <w:rPr>
                          <w:b/>
                          <w:smallCaps/>
                          <w:color w:val="FFFFFF"/>
                          <w:sz w:val="18"/>
                        </w:rPr>
                        <w:t>ι</w:t>
                      </w:r>
                      <w:r>
                        <w:rPr>
                          <w:b/>
                          <w:smallCaps w:val="0"/>
                          <w:color w:val="FFFFFF"/>
                          <w:sz w:val="18"/>
                        </w:rPr>
                        <w:t>άρθρωση</w:t>
                      </w:r>
                      <w:r>
                        <w:rPr>
                          <w:b/>
                          <w:smallCaps w:val="0"/>
                          <w:color w:val="FFFFFF"/>
                          <w:spacing w:val="-6"/>
                          <w:sz w:val="18"/>
                        </w:rPr>
                        <w:t> </w:t>
                      </w:r>
                      <w:r>
                        <w:rPr>
                          <w:b/>
                          <w:smallCaps w:val="0"/>
                          <w:color w:val="FFFFFF"/>
                          <w:sz w:val="18"/>
                        </w:rPr>
                        <w:t>χαρτοφυλακίων</w:t>
                      </w:r>
                      <w:r>
                        <w:rPr>
                          <w:b/>
                          <w:smallCaps w:val="0"/>
                          <w:color w:val="FFFFFF"/>
                          <w:spacing w:val="-6"/>
                          <w:sz w:val="18"/>
                        </w:rPr>
                        <w:t> </w:t>
                      </w:r>
                      <w:r>
                        <w:rPr>
                          <w:b/>
                          <w:smallCaps w:val="0"/>
                          <w:color w:val="FFFFFF"/>
                          <w:sz w:val="18"/>
                        </w:rPr>
                        <w:t>που</w:t>
                      </w:r>
                      <w:r>
                        <w:rPr>
                          <w:b/>
                          <w:smallCaps w:val="0"/>
                          <w:color w:val="FFFFFF"/>
                          <w:spacing w:val="-7"/>
                          <w:sz w:val="18"/>
                        </w:rPr>
                        <w:t> </w:t>
                      </w:r>
                      <w:r>
                        <w:rPr>
                          <w:b/>
                          <w:smallCaps w:val="0"/>
                          <w:color w:val="FFFFFF"/>
                          <w:sz w:val="18"/>
                        </w:rPr>
                        <w:t>δ</w:t>
                      </w:r>
                      <w:r>
                        <w:rPr>
                          <w:b/>
                          <w:smallCaps/>
                          <w:color w:val="FFFFFF"/>
                          <w:sz w:val="18"/>
                        </w:rPr>
                        <w:t>ι</w:t>
                      </w:r>
                      <w:r>
                        <w:rPr>
                          <w:b/>
                          <w:smallCaps w:val="0"/>
                          <w:color w:val="FFFFFF"/>
                          <w:sz w:val="18"/>
                        </w:rPr>
                        <w:t>α-χε</w:t>
                      </w:r>
                      <w:r>
                        <w:rPr>
                          <w:b/>
                          <w:smallCaps/>
                          <w:color w:val="FFFFFF"/>
                          <w:sz w:val="18"/>
                        </w:rPr>
                        <w:t>ι</w:t>
                      </w:r>
                      <w:r>
                        <w:rPr>
                          <w:b/>
                          <w:smallCaps w:val="0"/>
                          <w:color w:val="FFFFFF"/>
                          <w:sz w:val="18"/>
                        </w:rPr>
                        <w:t>ρίζοντα</w:t>
                      </w:r>
                      <w:r>
                        <w:rPr>
                          <w:b/>
                          <w:smallCaps/>
                          <w:color w:val="FFFFFF"/>
                          <w:sz w:val="18"/>
                        </w:rPr>
                        <w:t>ι</w:t>
                      </w:r>
                      <w:r>
                        <w:rPr>
                          <w:b/>
                          <w:smallCaps w:val="0"/>
                          <w:color w:val="FFFFFF"/>
                          <w:sz w:val="18"/>
                        </w:rPr>
                        <w:t> </w:t>
                      </w:r>
                      <w:r>
                        <w:rPr>
                          <w:b/>
                          <w:smallCaps/>
                          <w:color w:val="FFFFFF"/>
                          <w:sz w:val="18"/>
                        </w:rPr>
                        <w:t>οι</w:t>
                      </w:r>
                      <w:r>
                        <w:rPr>
                          <w:b/>
                          <w:smallCaps w:val="0"/>
                          <w:color w:val="FFFFFF"/>
                          <w:sz w:val="18"/>
                        </w:rPr>
                        <w:t> δ</w:t>
                      </w:r>
                      <w:r>
                        <w:rPr>
                          <w:b/>
                          <w:smallCaps/>
                          <w:color w:val="FFFFFF"/>
                          <w:sz w:val="18"/>
                        </w:rPr>
                        <w:t>ι</w:t>
                      </w:r>
                      <w:r>
                        <w:rPr>
                          <w:b/>
                          <w:smallCaps w:val="0"/>
                          <w:color w:val="FFFFFF"/>
                          <w:sz w:val="18"/>
                        </w:rPr>
                        <w:t>αχε</w:t>
                      </w:r>
                      <w:r>
                        <w:rPr>
                          <w:b/>
                          <w:smallCaps/>
                          <w:color w:val="FFFFFF"/>
                          <w:sz w:val="18"/>
                        </w:rPr>
                        <w:t>ι</w:t>
                      </w:r>
                      <w:r>
                        <w:rPr>
                          <w:b/>
                          <w:smallCaps w:val="0"/>
                          <w:color w:val="FFFFFF"/>
                          <w:sz w:val="18"/>
                        </w:rPr>
                        <w:t>ρ</w:t>
                      </w:r>
                      <w:r>
                        <w:rPr>
                          <w:b/>
                          <w:smallCaps/>
                          <w:color w:val="FFFFFF"/>
                          <w:sz w:val="18"/>
                        </w:rPr>
                        <w:t>ι</w:t>
                      </w:r>
                      <w:r>
                        <w:rPr>
                          <w:b/>
                          <w:smallCaps w:val="0"/>
                          <w:color w:val="FFFFFF"/>
                          <w:sz w:val="18"/>
                        </w:rPr>
                        <w:t>στές π</w:t>
                      </w:r>
                      <w:r>
                        <w:rPr>
                          <w:b/>
                          <w:smallCaps/>
                          <w:color w:val="FFFFFF"/>
                          <w:sz w:val="18"/>
                        </w:rPr>
                        <w:t>ι</w:t>
                      </w:r>
                      <w:r>
                        <w:rPr>
                          <w:b/>
                          <w:smallCaps w:val="0"/>
                          <w:color w:val="FFFFFF"/>
                          <w:sz w:val="18"/>
                        </w:rPr>
                        <w:t>στώσεων (Δεκέμβρ</w:t>
                      </w:r>
                      <w:r>
                        <w:rPr>
                          <w:b/>
                          <w:smallCaps/>
                          <w:color w:val="FFFFFF"/>
                          <w:sz w:val="18"/>
                        </w:rPr>
                        <w:t>ιο</w:t>
                      </w:r>
                      <w:r>
                        <w:rPr>
                          <w:b/>
                          <w:smallCaps w:val="0"/>
                          <w:color w:val="FFFFFF"/>
                          <w:sz w:val="18"/>
                        </w:rPr>
                        <w:t>ς </w:t>
                      </w:r>
                      <w:r>
                        <w:rPr>
                          <w:b/>
                          <w:smallCaps w:val="0"/>
                          <w:color w:val="FFFFFF"/>
                          <w:spacing w:val="-2"/>
                          <w:sz w:val="18"/>
                        </w:rPr>
                        <w:t>2025)</w:t>
                      </w:r>
                    </w:p>
                  </w:txbxContent>
                </v:textbox>
                <v:fill type="solid"/>
                <w10:wrap type="none"/>
              </v:shape>
            </w:pict>
          </mc:Fallback>
        </mc:AlternateContent>
      </w:r>
      <w:r>
        <w:rPr/>
        <w:t>Τα ανοίγματα που διαχειρίζονται οι διαχειρι-στές πιστώσεων για λογαριασμό αγοραστών πιστώσεων</w:t>
      </w:r>
      <w:r>
        <w:rPr>
          <w:spacing w:val="-5"/>
        </w:rPr>
        <w:t> </w:t>
      </w:r>
      <w:r>
        <w:rPr/>
        <w:t>ως</w:t>
      </w:r>
      <w:r>
        <w:rPr>
          <w:spacing w:val="-5"/>
        </w:rPr>
        <w:t> </w:t>
      </w:r>
      <w:r>
        <w:rPr/>
        <w:t>επί</w:t>
      </w:r>
      <w:r>
        <w:rPr>
          <w:spacing w:val="-6"/>
        </w:rPr>
        <w:t> </w:t>
      </w:r>
      <w:r>
        <w:rPr/>
        <w:t>το</w:t>
      </w:r>
      <w:r>
        <w:rPr>
          <w:spacing w:val="-4"/>
        </w:rPr>
        <w:t> </w:t>
      </w:r>
      <w:r>
        <w:rPr/>
        <w:t>πλείστον</w:t>
      </w:r>
      <w:r>
        <w:rPr>
          <w:spacing w:val="-4"/>
        </w:rPr>
        <w:t> </w:t>
      </w:r>
      <w:r>
        <w:rPr/>
        <w:t>έχουν</w:t>
      </w:r>
      <w:r>
        <w:rPr>
          <w:spacing w:val="-2"/>
        </w:rPr>
        <w:t> ανατεθεί</w:t>
      </w:r>
    </w:p>
    <w:p>
      <w:pPr>
        <w:spacing w:line="101" w:lineRule="exact" w:before="0"/>
        <w:ind w:left="37" w:right="0" w:firstLine="0"/>
        <w:jc w:val="center"/>
        <w:rPr>
          <w:sz w:val="14"/>
        </w:rPr>
      </w:pPr>
      <w:r>
        <w:rPr>
          <w:color w:val="1F487C"/>
          <w:sz w:val="14"/>
        </w:rPr>
        <w:t>(ποσοστά</w:t>
      </w:r>
      <w:r>
        <w:rPr>
          <w:color w:val="1F487C"/>
          <w:spacing w:val="-8"/>
          <w:sz w:val="14"/>
        </w:rPr>
        <w:t> </w:t>
      </w:r>
      <w:r>
        <w:rPr>
          <w:color w:val="1F487C"/>
          <w:spacing w:val="-5"/>
          <w:sz w:val="14"/>
        </w:rPr>
        <w:t>%)</w:t>
      </w:r>
    </w:p>
    <w:p>
      <w:pPr>
        <w:pStyle w:val="BodyText"/>
        <w:spacing w:line="285" w:lineRule="auto"/>
        <w:ind w:left="172" w:right="5404"/>
        <w:jc w:val="both"/>
      </w:pPr>
      <w:r>
        <w:rPr/>
        <mc:AlternateContent>
          <mc:Choice Requires="wps">
            <w:drawing>
              <wp:anchor distT="0" distB="0" distL="0" distR="0" allowOverlap="1" layoutInCell="1" locked="0" behindDoc="0" simplePos="0" relativeHeight="15796736">
                <wp:simplePos x="0" y="0"/>
                <wp:positionH relativeFrom="page">
                  <wp:posOffset>3702430</wp:posOffset>
                </wp:positionH>
                <wp:positionV relativeFrom="paragraph">
                  <wp:posOffset>47341</wp:posOffset>
                </wp:positionV>
                <wp:extent cx="2698115" cy="2245360"/>
                <wp:effectExtent l="0" t="0" r="0" b="0"/>
                <wp:wrapNone/>
                <wp:docPr id="688" name="Group 688"/>
                <wp:cNvGraphicFramePr>
                  <a:graphicFrameLocks/>
                </wp:cNvGraphicFramePr>
                <a:graphic>
                  <a:graphicData uri="http://schemas.microsoft.com/office/word/2010/wordprocessingGroup">
                    <wpg:wgp>
                      <wpg:cNvPr id="688" name="Group 688"/>
                      <wpg:cNvGrpSpPr/>
                      <wpg:grpSpPr>
                        <a:xfrm>
                          <a:off x="0" y="0"/>
                          <a:ext cx="2698115" cy="2245360"/>
                          <a:chExt cx="2698115" cy="2245360"/>
                        </a:xfrm>
                      </wpg:grpSpPr>
                      <wps:wsp>
                        <wps:cNvPr id="689" name="Graphic 689"/>
                        <wps:cNvSpPr/>
                        <wps:spPr>
                          <a:xfrm>
                            <a:off x="0" y="0"/>
                            <a:ext cx="2698115" cy="2245360"/>
                          </a:xfrm>
                          <a:custGeom>
                            <a:avLst/>
                            <a:gdLst/>
                            <a:ahLst/>
                            <a:cxnLst/>
                            <a:rect l="l" t="t" r="r" b="b"/>
                            <a:pathLst>
                              <a:path w="2698115" h="2245360">
                                <a:moveTo>
                                  <a:pt x="2698102" y="0"/>
                                </a:moveTo>
                                <a:lnTo>
                                  <a:pt x="0" y="0"/>
                                </a:lnTo>
                                <a:lnTo>
                                  <a:pt x="0" y="2028698"/>
                                </a:lnTo>
                                <a:lnTo>
                                  <a:pt x="0" y="2245106"/>
                                </a:lnTo>
                                <a:lnTo>
                                  <a:pt x="2698102" y="2245106"/>
                                </a:lnTo>
                                <a:lnTo>
                                  <a:pt x="2698102" y="2028698"/>
                                </a:lnTo>
                                <a:lnTo>
                                  <a:pt x="2698102" y="0"/>
                                </a:lnTo>
                                <a:close/>
                              </a:path>
                            </a:pathLst>
                          </a:custGeom>
                          <a:solidFill>
                            <a:srgbClr val="D9D9D9"/>
                          </a:solidFill>
                        </wps:spPr>
                        <wps:bodyPr wrap="square" lIns="0" tIns="0" rIns="0" bIns="0" rtlCol="0">
                          <a:prstTxWarp prst="textNoShape">
                            <a:avLst/>
                          </a:prstTxWarp>
                          <a:noAutofit/>
                        </wps:bodyPr>
                      </wps:wsp>
                      <pic:pic>
                        <pic:nvPicPr>
                          <pic:cNvPr id="690" name="Image 690"/>
                          <pic:cNvPicPr/>
                        </pic:nvPicPr>
                        <pic:blipFill>
                          <a:blip r:embed="rId113" cstate="print"/>
                          <a:stretch>
                            <a:fillRect/>
                          </a:stretch>
                        </pic:blipFill>
                        <pic:spPr>
                          <a:xfrm>
                            <a:off x="51943" y="37465"/>
                            <a:ext cx="2627503" cy="1990089"/>
                          </a:xfrm>
                          <a:prstGeom prst="rect">
                            <a:avLst/>
                          </a:prstGeom>
                        </pic:spPr>
                      </pic:pic>
                      <wps:wsp>
                        <wps:cNvPr id="691" name="Textbox 691"/>
                        <wps:cNvSpPr txBox="1"/>
                        <wps:spPr>
                          <a:xfrm>
                            <a:off x="0" y="0"/>
                            <a:ext cx="2698115" cy="224536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3"/>
                                <w:rPr>
                                  <w:sz w:val="14"/>
                                </w:rPr>
                              </w:pPr>
                            </w:p>
                            <w:p>
                              <w:pPr>
                                <w:spacing w:before="1"/>
                                <w:ind w:left="112"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anchor>
            </w:drawing>
          </mc:Choice>
          <mc:Fallback>
            <w:pict>
              <v:group style="position:absolute;margin-left:291.529999pt;margin-top:3.72767pt;width:212.45pt;height:176.8pt;mso-position-horizontal-relative:page;mso-position-vertical-relative:paragraph;z-index:15796736" id="docshapegroup647" coordorigin="5831,75" coordsize="4249,3536">
                <v:shape style="position:absolute;left:5830;top:74;width:4249;height:3536" id="docshape648" coordorigin="5831,75" coordsize="4249,3536" path="m10080,75l5831,75,5831,3269,5831,3610,10080,3610,10080,3269,10080,75xe" filled="true" fillcolor="#d9d9d9" stroked="false">
                  <v:path arrowok="t"/>
                  <v:fill type="solid"/>
                </v:shape>
                <v:shape style="position:absolute;left:5912;top:133;width:4138;height:3134" type="#_x0000_t75" id="docshape649" stroked="false">
                  <v:imagedata r:id="rId113" o:title=""/>
                </v:shape>
                <v:shape style="position:absolute;left:5830;top:74;width:4249;height:3536" type="#_x0000_t202" id="docshape650"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3"/>
                          <w:rPr>
                            <w:sz w:val="14"/>
                          </w:rPr>
                        </w:pPr>
                      </w:p>
                      <w:p>
                        <w:pPr>
                          <w:spacing w:before="1"/>
                          <w:ind w:left="112"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v:textbox>
                  <w10:wrap type="none"/>
                </v:shape>
                <w10:wrap type="none"/>
              </v:group>
            </w:pict>
          </mc:Fallback>
        </mc:AlternateContent>
      </w:r>
      <w:r>
        <w:rPr/>
        <w:t>σε αυτούς στο πλαίσιο της υλοποίησης των στρατηγικών των πιστωτικών ιδρυμάτων για τη</w:t>
      </w:r>
      <w:r>
        <w:rPr>
          <w:spacing w:val="-9"/>
        </w:rPr>
        <w:t> </w:t>
      </w:r>
      <w:r>
        <w:rPr/>
        <w:t>μείωση</w:t>
      </w:r>
      <w:r>
        <w:rPr>
          <w:spacing w:val="-9"/>
        </w:rPr>
        <w:t> </w:t>
      </w:r>
      <w:r>
        <w:rPr/>
        <w:t>των</w:t>
      </w:r>
      <w:r>
        <w:rPr>
          <w:spacing w:val="-8"/>
        </w:rPr>
        <w:t> </w:t>
      </w:r>
      <w:r>
        <w:rPr/>
        <w:t>μη</w:t>
      </w:r>
      <w:r>
        <w:rPr>
          <w:spacing w:val="-9"/>
        </w:rPr>
        <w:t> </w:t>
      </w:r>
      <w:r>
        <w:rPr/>
        <w:t>εξυπηρετούμενων</w:t>
      </w:r>
      <w:r>
        <w:rPr>
          <w:spacing w:val="-8"/>
        </w:rPr>
        <w:t> </w:t>
      </w:r>
      <w:r>
        <w:rPr/>
        <w:t>ανοιγμά-των (ΜΕΑ).</w:t>
      </w:r>
    </w:p>
    <w:p>
      <w:pPr>
        <w:pStyle w:val="BodyText"/>
        <w:spacing w:line="285" w:lineRule="auto" w:before="43"/>
        <w:ind w:left="172" w:right="5402"/>
        <w:jc w:val="both"/>
      </w:pPr>
      <w:r>
        <w:rPr/>
        <w:t>Όσον αφορά τη διάρθρωση του χαρτοφυλα-κίου</w:t>
      </w:r>
      <w:r>
        <w:rPr>
          <w:spacing w:val="-14"/>
        </w:rPr>
        <w:t> </w:t>
      </w:r>
      <w:r>
        <w:rPr/>
        <w:t>που</w:t>
      </w:r>
      <w:r>
        <w:rPr>
          <w:spacing w:val="-14"/>
        </w:rPr>
        <w:t> </w:t>
      </w:r>
      <w:r>
        <w:rPr/>
        <w:t>διαχειρίζονται</w:t>
      </w:r>
      <w:r>
        <w:rPr>
          <w:spacing w:val="-14"/>
        </w:rPr>
        <w:t> </w:t>
      </w:r>
      <w:r>
        <w:rPr/>
        <w:t>οι</w:t>
      </w:r>
      <w:r>
        <w:rPr>
          <w:spacing w:val="-13"/>
        </w:rPr>
        <w:t> </w:t>
      </w:r>
      <w:r>
        <w:rPr/>
        <w:t>διαχειριστές</w:t>
      </w:r>
      <w:r>
        <w:rPr>
          <w:spacing w:val="-14"/>
        </w:rPr>
        <w:t> </w:t>
      </w:r>
      <w:r>
        <w:rPr/>
        <w:t>πιστώ-σεων, το μεγαλύτερο μέρος αφορά ΜΕΑ (84%), με τo υπόλοιπo (16%) να είναι εξυπη-ρετούμενα ανοίγματα (βλ. Διάγραμμα V.12).</w:t>
      </w:r>
    </w:p>
    <w:p>
      <w:pPr>
        <w:pStyle w:val="BodyText"/>
        <w:spacing w:before="161"/>
      </w:pPr>
    </w:p>
    <w:p>
      <w:pPr>
        <w:pStyle w:val="Heading4"/>
        <w:spacing w:line="285" w:lineRule="auto"/>
        <w:ind w:right="5404"/>
      </w:pPr>
      <w:r>
        <w:rPr>
          <w:color w:val="1F487C"/>
          <w:spacing w:val="-2"/>
        </w:rPr>
        <w:t>Δ</w:t>
      </w:r>
      <w:r>
        <w:rPr>
          <w:smallCaps/>
          <w:color w:val="1F487C"/>
          <w:spacing w:val="-2"/>
        </w:rPr>
        <w:t>ι</w:t>
      </w:r>
      <w:r>
        <w:rPr>
          <w:smallCaps w:val="0"/>
          <w:color w:val="1F487C"/>
          <w:spacing w:val="-2"/>
        </w:rPr>
        <w:t>αχείρ</w:t>
      </w:r>
      <w:r>
        <w:rPr>
          <w:smallCaps/>
          <w:color w:val="1F487C"/>
          <w:spacing w:val="-2"/>
        </w:rPr>
        <w:t>ι</w:t>
      </w:r>
      <w:r>
        <w:rPr>
          <w:smallCaps w:val="0"/>
          <w:color w:val="1F487C"/>
          <w:spacing w:val="-2"/>
        </w:rPr>
        <w:t>ση</w:t>
      </w:r>
      <w:r>
        <w:rPr>
          <w:smallCaps w:val="0"/>
          <w:color w:val="1F487C"/>
          <w:spacing w:val="-6"/>
        </w:rPr>
        <w:t> </w:t>
      </w:r>
      <w:r>
        <w:rPr>
          <w:smallCaps w:val="0"/>
          <w:color w:val="1F487C"/>
          <w:spacing w:val="-2"/>
        </w:rPr>
        <w:t>ανο</w:t>
      </w:r>
      <w:r>
        <w:rPr>
          <w:smallCaps/>
          <w:color w:val="1F487C"/>
          <w:spacing w:val="-2"/>
        </w:rPr>
        <w:t>ι</w:t>
      </w:r>
      <w:r>
        <w:rPr>
          <w:smallCaps w:val="0"/>
          <w:color w:val="1F487C"/>
          <w:spacing w:val="-2"/>
        </w:rPr>
        <w:t>γμάτων</w:t>
      </w:r>
      <w:r>
        <w:rPr>
          <w:smallCaps w:val="0"/>
          <w:color w:val="1F487C"/>
          <w:spacing w:val="-6"/>
        </w:rPr>
        <w:t> </w:t>
      </w:r>
      <w:r>
        <w:rPr>
          <w:smallCaps w:val="0"/>
          <w:color w:val="1F487C"/>
          <w:spacing w:val="-2"/>
        </w:rPr>
        <w:t>γ</w:t>
      </w:r>
      <w:r>
        <w:rPr>
          <w:smallCaps/>
          <w:color w:val="1F487C"/>
          <w:spacing w:val="-2"/>
        </w:rPr>
        <w:t>ι</w:t>
      </w:r>
      <w:r>
        <w:rPr>
          <w:smallCaps w:val="0"/>
          <w:color w:val="1F487C"/>
          <w:spacing w:val="-2"/>
        </w:rPr>
        <w:t>α</w:t>
      </w:r>
      <w:r>
        <w:rPr>
          <w:smallCaps w:val="0"/>
          <w:color w:val="1F487C"/>
          <w:spacing w:val="-8"/>
        </w:rPr>
        <w:t> </w:t>
      </w:r>
      <w:r>
        <w:rPr>
          <w:smallCaps w:val="0"/>
          <w:color w:val="1F487C"/>
          <w:spacing w:val="-2"/>
        </w:rPr>
        <w:t>λογαρ</w:t>
      </w:r>
      <w:r>
        <w:rPr>
          <w:smallCaps/>
          <w:color w:val="1F487C"/>
          <w:spacing w:val="-2"/>
        </w:rPr>
        <w:t>ι</w:t>
      </w:r>
      <w:r>
        <w:rPr>
          <w:smallCaps w:val="0"/>
          <w:color w:val="1F487C"/>
          <w:spacing w:val="-2"/>
        </w:rPr>
        <w:t>ασμό</w:t>
      </w:r>
      <w:r>
        <w:rPr>
          <w:smallCaps w:val="0"/>
          <w:color w:val="1F487C"/>
          <w:spacing w:val="-6"/>
        </w:rPr>
        <w:t> </w:t>
      </w:r>
      <w:r>
        <w:rPr>
          <w:smallCaps w:val="0"/>
          <w:color w:val="1F487C"/>
          <w:spacing w:val="-2"/>
        </w:rPr>
        <w:t>των </w:t>
      </w:r>
      <w:r>
        <w:rPr>
          <w:smallCaps w:val="0"/>
          <w:color w:val="1F487C"/>
        </w:rPr>
        <w:t>αγοραστών π</w:t>
      </w:r>
      <w:r>
        <w:rPr>
          <w:smallCaps/>
          <w:color w:val="1F487C"/>
        </w:rPr>
        <w:t>ι</w:t>
      </w:r>
      <w:r>
        <w:rPr>
          <w:smallCaps w:val="0"/>
          <w:color w:val="1F487C"/>
        </w:rPr>
        <w:t>στώσεων</w:t>
      </w:r>
    </w:p>
    <w:p>
      <w:pPr>
        <w:pStyle w:val="BodyText"/>
        <w:spacing w:line="285" w:lineRule="auto" w:before="58"/>
        <w:ind w:left="172" w:right="954"/>
        <w:jc w:val="both"/>
      </w:pPr>
      <w:r>
        <w:rPr/>
        <w:t>H</w:t>
      </w:r>
      <w:r>
        <w:rPr>
          <w:spacing w:val="-4"/>
        </w:rPr>
        <w:t> </w:t>
      </w:r>
      <w:r>
        <w:rPr/>
        <w:t>συνολική</w:t>
      </w:r>
      <w:r>
        <w:rPr>
          <w:spacing w:val="-3"/>
        </w:rPr>
        <w:t> </w:t>
      </w:r>
      <w:r>
        <w:rPr/>
        <w:t>αξία</w:t>
      </w:r>
      <w:r>
        <w:rPr>
          <w:spacing w:val="-6"/>
        </w:rPr>
        <w:t> </w:t>
      </w:r>
      <w:r>
        <w:rPr/>
        <w:t>των</w:t>
      </w:r>
      <w:r>
        <w:rPr>
          <w:spacing w:val="-2"/>
        </w:rPr>
        <w:t> </w:t>
      </w:r>
      <w:r>
        <w:rPr/>
        <w:t>ανοιγμάτων</w:t>
      </w:r>
      <w:r>
        <w:rPr>
          <w:spacing w:val="-2"/>
        </w:rPr>
        <w:t> </w:t>
      </w:r>
      <w:r>
        <w:rPr/>
        <w:t>που</w:t>
      </w:r>
      <w:r>
        <w:rPr>
          <w:spacing w:val="-2"/>
        </w:rPr>
        <w:t> </w:t>
      </w:r>
      <w:r>
        <w:rPr/>
        <w:t>διαχειρίζονται</w:t>
      </w:r>
      <w:r>
        <w:rPr>
          <w:spacing w:val="-6"/>
        </w:rPr>
        <w:t> </w:t>
      </w:r>
      <w:r>
        <w:rPr/>
        <w:t>οι</w:t>
      </w:r>
      <w:r>
        <w:rPr>
          <w:spacing w:val="-3"/>
        </w:rPr>
        <w:t> </w:t>
      </w:r>
      <w:r>
        <w:rPr/>
        <w:t>διαχειριστές</w:t>
      </w:r>
      <w:r>
        <w:rPr>
          <w:spacing w:val="-4"/>
        </w:rPr>
        <w:t> </w:t>
      </w:r>
      <w:r>
        <w:rPr/>
        <w:t>πιστώσεων</w:t>
      </w:r>
      <w:r>
        <w:rPr>
          <w:spacing w:val="-5"/>
        </w:rPr>
        <w:t> </w:t>
      </w:r>
      <w:r>
        <w:rPr/>
        <w:t>για</w:t>
      </w:r>
      <w:r>
        <w:rPr>
          <w:spacing w:val="-3"/>
        </w:rPr>
        <w:t> </w:t>
      </w:r>
      <w:r>
        <w:rPr/>
        <w:t>λογαριασμό των αγοραστών πιστώσεων αυξήθηκε κατά 10 δισεκ. ευρώ το 2025 και διαμορφώθηκε σε 81,5 δισεκ. ευρώ, κυρίως λόγω της ανάληψης νέων δανείων προς διαχείριση. Συγκεκριμένα, οι δια-χειριστές πιστώσεων ανέλαβαν τη διαχείριση</w:t>
      </w:r>
      <w:r>
        <w:rPr>
          <w:spacing w:val="-1"/>
        </w:rPr>
        <w:t> </w:t>
      </w:r>
      <w:r>
        <w:rPr/>
        <w:t>νέων χαρτοφυλακίων συνολικής αξίας 12,2 δισεκ. ευρώ,</w:t>
      </w:r>
      <w:r>
        <w:rPr>
          <w:spacing w:val="-8"/>
        </w:rPr>
        <w:t> </w:t>
      </w:r>
      <w:r>
        <w:rPr/>
        <w:t>τα</w:t>
      </w:r>
      <w:r>
        <w:rPr>
          <w:spacing w:val="-9"/>
        </w:rPr>
        <w:t> </w:t>
      </w:r>
      <w:r>
        <w:rPr/>
        <w:t>οποία</w:t>
      </w:r>
      <w:r>
        <w:rPr>
          <w:spacing w:val="-5"/>
        </w:rPr>
        <w:t> </w:t>
      </w:r>
      <w:r>
        <w:rPr/>
        <w:t>προήλθαν</w:t>
      </w:r>
      <w:r>
        <w:rPr>
          <w:spacing w:val="-5"/>
        </w:rPr>
        <w:t> </w:t>
      </w:r>
      <w:r>
        <w:rPr/>
        <w:t>από</w:t>
      </w:r>
      <w:r>
        <w:rPr>
          <w:spacing w:val="-6"/>
        </w:rPr>
        <w:t> </w:t>
      </w:r>
      <w:r>
        <w:rPr/>
        <w:t>πιστωτικά/χρηματοδοτικά</w:t>
      </w:r>
      <w:r>
        <w:rPr>
          <w:spacing w:val="-6"/>
        </w:rPr>
        <w:t> </w:t>
      </w:r>
      <w:r>
        <w:rPr/>
        <w:t>ιδρύματα</w:t>
      </w:r>
      <w:r>
        <w:rPr>
          <w:spacing w:val="-9"/>
        </w:rPr>
        <w:t> </w:t>
      </w:r>
      <w:r>
        <w:rPr/>
        <w:t>(7,5</w:t>
      </w:r>
      <w:r>
        <w:rPr>
          <w:spacing w:val="-6"/>
        </w:rPr>
        <w:t> </w:t>
      </w:r>
      <w:r>
        <w:rPr/>
        <w:t>δισεκ.</w:t>
      </w:r>
      <w:r>
        <w:rPr>
          <w:spacing w:val="-8"/>
        </w:rPr>
        <w:t> </w:t>
      </w:r>
      <w:r>
        <w:rPr/>
        <w:t>ευρώ)</w:t>
      </w:r>
      <w:r>
        <w:rPr>
          <w:spacing w:val="-4"/>
        </w:rPr>
        <w:t> </w:t>
      </w:r>
      <w:r>
        <w:rPr/>
        <w:t>και</w:t>
      </w:r>
      <w:r>
        <w:rPr>
          <w:spacing w:val="-6"/>
        </w:rPr>
        <w:t> </w:t>
      </w:r>
      <w:r>
        <w:rPr/>
        <w:t>από</w:t>
      </w:r>
      <w:r>
        <w:rPr>
          <w:spacing w:val="-8"/>
        </w:rPr>
        <w:t> </w:t>
      </w:r>
      <w:r>
        <w:rPr/>
        <w:t>την PQH Ενιαία Ειδική Εκκαθάριση Α.Ε. (4,7 δισεκ. ευρώ).</w:t>
      </w:r>
    </w:p>
    <w:p>
      <w:pPr>
        <w:pStyle w:val="BodyText"/>
        <w:spacing w:line="285" w:lineRule="auto" w:before="55"/>
        <w:ind w:left="172" w:right="957"/>
        <w:jc w:val="both"/>
      </w:pPr>
      <w:r>
        <w:rPr/>
        <w:t>Το</w:t>
      </w:r>
      <w:r>
        <w:rPr>
          <w:spacing w:val="-1"/>
        </w:rPr>
        <w:t> </w:t>
      </w:r>
      <w:r>
        <w:rPr/>
        <w:t>μεγαλύτερο</w:t>
      </w:r>
      <w:r>
        <w:rPr>
          <w:spacing w:val="-2"/>
        </w:rPr>
        <w:t> </w:t>
      </w:r>
      <w:r>
        <w:rPr/>
        <w:t>μέρος</w:t>
      </w:r>
      <w:r>
        <w:rPr>
          <w:spacing w:val="-1"/>
        </w:rPr>
        <w:t> </w:t>
      </w:r>
      <w:r>
        <w:rPr/>
        <w:t>των εν λόγω ανοιγμάτων</w:t>
      </w:r>
      <w:r>
        <w:rPr>
          <w:spacing w:val="-1"/>
        </w:rPr>
        <w:t> </w:t>
      </w:r>
      <w:r>
        <w:rPr/>
        <w:t>αφορά</w:t>
      </w:r>
      <w:r>
        <w:rPr>
          <w:spacing w:val="-2"/>
        </w:rPr>
        <w:t> </w:t>
      </w:r>
      <w:r>
        <w:rPr/>
        <w:t>το χαρτοφυλάκιο</w:t>
      </w:r>
      <w:r>
        <w:rPr>
          <w:spacing w:val="-2"/>
        </w:rPr>
        <w:t> </w:t>
      </w:r>
      <w:r>
        <w:rPr/>
        <w:t>επιχειρηματικής</w:t>
      </w:r>
      <w:r>
        <w:rPr>
          <w:spacing w:val="-1"/>
        </w:rPr>
        <w:t> </w:t>
      </w:r>
      <w:r>
        <w:rPr/>
        <w:t>πίστης (49,5%),</w:t>
      </w:r>
      <w:r>
        <w:rPr>
          <w:spacing w:val="-14"/>
        </w:rPr>
        <w:t> </w:t>
      </w:r>
      <w:r>
        <w:rPr/>
        <w:t>ενώ</w:t>
      </w:r>
      <w:r>
        <w:rPr>
          <w:spacing w:val="-14"/>
        </w:rPr>
        <w:t> </w:t>
      </w:r>
      <w:r>
        <w:rPr/>
        <w:t>ακολουθεί</w:t>
      </w:r>
      <w:r>
        <w:rPr>
          <w:spacing w:val="-14"/>
        </w:rPr>
        <w:t> </w:t>
      </w:r>
      <w:r>
        <w:rPr/>
        <w:t>το</w:t>
      </w:r>
      <w:r>
        <w:rPr>
          <w:spacing w:val="-13"/>
        </w:rPr>
        <w:t> </w:t>
      </w:r>
      <w:r>
        <w:rPr/>
        <w:t>χαρτοφυλάκιο</w:t>
      </w:r>
      <w:r>
        <w:rPr>
          <w:spacing w:val="-14"/>
        </w:rPr>
        <w:t> </w:t>
      </w:r>
      <w:r>
        <w:rPr/>
        <w:t>στεγαστικής</w:t>
      </w:r>
      <w:r>
        <w:rPr>
          <w:spacing w:val="-14"/>
        </w:rPr>
        <w:t> </w:t>
      </w:r>
      <w:r>
        <w:rPr/>
        <w:t>πίστης</w:t>
      </w:r>
      <w:r>
        <w:rPr>
          <w:spacing w:val="-14"/>
        </w:rPr>
        <w:t> </w:t>
      </w:r>
      <w:r>
        <w:rPr/>
        <w:t>(31%)</w:t>
      </w:r>
      <w:r>
        <w:rPr>
          <w:spacing w:val="-13"/>
        </w:rPr>
        <w:t> </w:t>
      </w:r>
      <w:r>
        <w:rPr/>
        <w:t>και,</w:t>
      </w:r>
      <w:r>
        <w:rPr>
          <w:spacing w:val="-14"/>
        </w:rPr>
        <w:t> </w:t>
      </w:r>
      <w:r>
        <w:rPr/>
        <w:t>τέλος,</w:t>
      </w:r>
      <w:r>
        <w:rPr>
          <w:spacing w:val="-14"/>
        </w:rPr>
        <w:t> </w:t>
      </w:r>
      <w:r>
        <w:rPr/>
        <w:t>το</w:t>
      </w:r>
      <w:r>
        <w:rPr>
          <w:spacing w:val="-14"/>
        </w:rPr>
        <w:t> </w:t>
      </w:r>
      <w:r>
        <w:rPr/>
        <w:t>χαρτοφυλάκιο καταναλωτικής πίστης (19,4%, βλ. Διάγραμμα V.13).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
        <w:rPr>
          <w:sz w:val="20"/>
        </w:rPr>
      </w:pPr>
      <w:r>
        <w:rPr>
          <w:sz w:val="20"/>
        </w:rPr>
        <mc:AlternateContent>
          <mc:Choice Requires="wps">
            <w:drawing>
              <wp:anchor distT="0" distB="0" distL="0" distR="0" allowOverlap="1" layoutInCell="1" locked="0" behindDoc="1" simplePos="0" relativeHeight="487655424">
                <wp:simplePos x="0" y="0"/>
                <wp:positionH relativeFrom="page">
                  <wp:posOffset>1009192</wp:posOffset>
                </wp:positionH>
                <wp:positionV relativeFrom="paragraph">
                  <wp:posOffset>175906</wp:posOffset>
                </wp:positionV>
                <wp:extent cx="1829435" cy="7620"/>
                <wp:effectExtent l="0" t="0" r="0" b="0"/>
                <wp:wrapTopAndBottom/>
                <wp:docPr id="692" name="Graphic 692"/>
                <wp:cNvGraphicFramePr>
                  <a:graphicFrameLocks/>
                </wp:cNvGraphicFramePr>
                <a:graphic>
                  <a:graphicData uri="http://schemas.microsoft.com/office/word/2010/wordprocessingShape">
                    <wps:wsp>
                      <wps:cNvPr id="692" name="Graphic 69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3.850872pt;width:144.020pt;height:.60004pt;mso-position-horizontal-relative:page;mso-position-vertical-relative:paragraph;z-index:-15661056;mso-wrap-distance-left:0;mso-wrap-distance-right:0" id="docshape651" filled="true" fillcolor="#000000" stroked="false">
                <v:fill type="solid"/>
                <w10:wrap type="topAndBottom"/>
              </v:rect>
            </w:pict>
          </mc:Fallback>
        </mc:AlternateContent>
      </w:r>
    </w:p>
    <w:p>
      <w:pPr>
        <w:spacing w:before="167"/>
        <w:ind w:left="172" w:right="959" w:firstLine="0"/>
        <w:jc w:val="both"/>
        <w:rPr>
          <w:sz w:val="16"/>
        </w:rPr>
      </w:pPr>
      <w:bookmarkStart w:name="_bookmark127" w:id="128"/>
      <w:bookmarkEnd w:id="128"/>
      <w:r>
        <w:rPr/>
      </w:r>
      <w:r>
        <w:rPr>
          <w:sz w:val="16"/>
          <w:vertAlign w:val="superscript"/>
        </w:rPr>
        <w:t>87</w:t>
      </w:r>
      <w:r>
        <w:rPr>
          <w:spacing w:val="-4"/>
          <w:sz w:val="16"/>
          <w:vertAlign w:val="baseline"/>
        </w:rPr>
        <w:t> </w:t>
      </w:r>
      <w:r>
        <w:rPr>
          <w:sz w:val="16"/>
          <w:vertAlign w:val="baseline"/>
        </w:rPr>
        <w:t>Τυχόν</w:t>
      </w:r>
      <w:r>
        <w:rPr>
          <w:spacing w:val="-7"/>
          <w:sz w:val="16"/>
          <w:vertAlign w:val="baseline"/>
        </w:rPr>
        <w:t> </w:t>
      </w:r>
      <w:r>
        <w:rPr>
          <w:sz w:val="16"/>
          <w:vertAlign w:val="baseline"/>
        </w:rPr>
        <w:t>διαφορές</w:t>
      </w:r>
      <w:r>
        <w:rPr>
          <w:spacing w:val="-3"/>
          <w:sz w:val="16"/>
          <w:vertAlign w:val="baseline"/>
        </w:rPr>
        <w:t> </w:t>
      </w:r>
      <w:r>
        <w:rPr>
          <w:sz w:val="16"/>
          <w:vertAlign w:val="baseline"/>
        </w:rPr>
        <w:t>μεταξύ</w:t>
      </w:r>
      <w:r>
        <w:rPr>
          <w:spacing w:val="-7"/>
          <w:sz w:val="16"/>
          <w:vertAlign w:val="baseline"/>
        </w:rPr>
        <w:t> </w:t>
      </w:r>
      <w:r>
        <w:rPr>
          <w:sz w:val="16"/>
          <w:vertAlign w:val="baseline"/>
        </w:rPr>
        <w:t>των</w:t>
      </w:r>
      <w:r>
        <w:rPr>
          <w:spacing w:val="-5"/>
          <w:sz w:val="16"/>
          <w:vertAlign w:val="baseline"/>
        </w:rPr>
        <w:t> </w:t>
      </w:r>
      <w:r>
        <w:rPr>
          <w:sz w:val="16"/>
          <w:vertAlign w:val="baseline"/>
        </w:rPr>
        <w:t>εποπτικών</w:t>
      </w:r>
      <w:r>
        <w:rPr>
          <w:spacing w:val="-5"/>
          <w:sz w:val="16"/>
          <w:vertAlign w:val="baseline"/>
        </w:rPr>
        <w:t> </w:t>
      </w:r>
      <w:r>
        <w:rPr>
          <w:sz w:val="16"/>
          <w:vertAlign w:val="baseline"/>
        </w:rPr>
        <w:t>στοιχείων</w:t>
      </w:r>
      <w:r>
        <w:rPr>
          <w:spacing w:val="-5"/>
          <w:sz w:val="16"/>
          <w:vertAlign w:val="baseline"/>
        </w:rPr>
        <w:t> </w:t>
      </w:r>
      <w:r>
        <w:rPr>
          <w:sz w:val="16"/>
          <w:vertAlign w:val="baseline"/>
        </w:rPr>
        <w:t>που</w:t>
      </w:r>
      <w:r>
        <w:rPr>
          <w:spacing w:val="-5"/>
          <w:sz w:val="16"/>
          <w:vertAlign w:val="baseline"/>
        </w:rPr>
        <w:t> </w:t>
      </w:r>
      <w:r>
        <w:rPr>
          <w:sz w:val="16"/>
          <w:vertAlign w:val="baseline"/>
        </w:rPr>
        <w:t>αναλύονται</w:t>
      </w:r>
      <w:r>
        <w:rPr>
          <w:spacing w:val="-4"/>
          <w:sz w:val="16"/>
          <w:vertAlign w:val="baseline"/>
        </w:rPr>
        <w:t> </w:t>
      </w:r>
      <w:r>
        <w:rPr>
          <w:sz w:val="16"/>
          <w:vertAlign w:val="baseline"/>
        </w:rPr>
        <w:t>στο</w:t>
      </w:r>
      <w:r>
        <w:rPr>
          <w:spacing w:val="-3"/>
          <w:sz w:val="16"/>
          <w:vertAlign w:val="baseline"/>
        </w:rPr>
        <w:t> </w:t>
      </w:r>
      <w:r>
        <w:rPr>
          <w:sz w:val="16"/>
          <w:vertAlign w:val="baseline"/>
        </w:rPr>
        <w:t>παρόν</w:t>
      </w:r>
      <w:r>
        <w:rPr>
          <w:spacing w:val="-5"/>
          <w:sz w:val="16"/>
          <w:vertAlign w:val="baseline"/>
        </w:rPr>
        <w:t> </w:t>
      </w:r>
      <w:r>
        <w:rPr>
          <w:sz w:val="16"/>
          <w:vertAlign w:val="baseline"/>
        </w:rPr>
        <w:t>τμήμα</w:t>
      </w:r>
      <w:r>
        <w:rPr>
          <w:spacing w:val="-4"/>
          <w:sz w:val="16"/>
          <w:vertAlign w:val="baseline"/>
        </w:rPr>
        <w:t> </w:t>
      </w:r>
      <w:r>
        <w:rPr>
          <w:sz w:val="16"/>
          <w:vertAlign w:val="baseline"/>
        </w:rPr>
        <w:t>της</w:t>
      </w:r>
      <w:r>
        <w:rPr>
          <w:spacing w:val="-6"/>
          <w:sz w:val="16"/>
          <w:vertAlign w:val="baseline"/>
        </w:rPr>
        <w:t> </w:t>
      </w:r>
      <w:r>
        <w:rPr>
          <w:sz w:val="16"/>
          <w:vertAlign w:val="baseline"/>
        </w:rPr>
        <w:t>Έκθεσης</w:t>
      </w:r>
      <w:r>
        <w:rPr>
          <w:spacing w:val="-3"/>
          <w:sz w:val="16"/>
          <w:vertAlign w:val="baseline"/>
        </w:rPr>
        <w:t> </w:t>
      </w:r>
      <w:r>
        <w:rPr>
          <w:sz w:val="16"/>
          <w:vertAlign w:val="baseline"/>
        </w:rPr>
        <w:t>Χρηματοπιστωτικής</w:t>
      </w:r>
      <w:r>
        <w:rPr>
          <w:spacing w:val="-3"/>
          <w:sz w:val="16"/>
          <w:vertAlign w:val="baseline"/>
        </w:rPr>
        <w:t> </w:t>
      </w:r>
      <w:r>
        <w:rPr>
          <w:sz w:val="16"/>
          <w:vertAlign w:val="baseline"/>
        </w:rPr>
        <w:t>Σταθερότη-τας και των στοιχείων που δημοσιεύει περιοδικά στον ιστότοπό της η Τράπεζα της Ελλάδος οφείλονται κυρίως στη διαφορετική</w:t>
      </w:r>
      <w:r>
        <w:rPr>
          <w:spacing w:val="40"/>
          <w:sz w:val="16"/>
          <w:vertAlign w:val="baseline"/>
        </w:rPr>
        <w:t> </w:t>
      </w:r>
      <w:r>
        <w:rPr>
          <w:sz w:val="16"/>
          <w:vertAlign w:val="baseline"/>
        </w:rPr>
        <w:t>περίμετρο που εφαρμόζει η κάθε έκδοση.</w:t>
      </w:r>
    </w:p>
    <w:p>
      <w:pPr>
        <w:spacing w:after="0"/>
        <w:jc w:val="both"/>
        <w:rPr>
          <w:sz w:val="16"/>
        </w:rPr>
        <w:sectPr>
          <w:pgSz w:w="11910" w:h="16850"/>
          <w:pgMar w:header="0" w:footer="1108" w:top="1840" w:bottom="1300" w:left="1417" w:right="850"/>
        </w:sect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76"/>
        <w:gridCol w:w="221"/>
        <w:gridCol w:w="4107"/>
      </w:tblGrid>
      <w:tr>
        <w:trPr>
          <w:trHeight w:val="948" w:hRule="atLeast"/>
        </w:trPr>
        <w:tc>
          <w:tcPr>
            <w:tcW w:w="4176" w:type="dxa"/>
            <w:shd w:val="clear" w:color="auto" w:fill="1F487C"/>
          </w:tcPr>
          <w:p>
            <w:pPr>
              <w:pStyle w:val="TableParagraph"/>
              <w:spacing w:before="60"/>
              <w:ind w:left="112" w:right="32"/>
              <w:rPr>
                <w:b/>
                <w:sz w:val="18"/>
              </w:rPr>
            </w:pPr>
            <w:r>
              <w:rPr>
                <w:b/>
                <w:color w:val="FFFFFF"/>
                <w:sz w:val="18"/>
              </w:rPr>
              <w:t>Δ</w:t>
            </w:r>
            <w:r>
              <w:rPr>
                <w:b/>
                <w:smallCaps/>
                <w:color w:val="FFFFFF"/>
                <w:sz w:val="18"/>
              </w:rPr>
              <w:t>ι</w:t>
            </w:r>
            <w:r>
              <w:rPr>
                <w:b/>
                <w:smallCaps w:val="0"/>
                <w:color w:val="FFFFFF"/>
                <w:sz w:val="18"/>
              </w:rPr>
              <w:t>άγραμμα V.13 Ανάλυση ανο</w:t>
            </w:r>
            <w:r>
              <w:rPr>
                <w:b/>
                <w:smallCaps/>
                <w:color w:val="FFFFFF"/>
                <w:sz w:val="18"/>
              </w:rPr>
              <w:t>ι</w:t>
            </w:r>
            <w:r>
              <w:rPr>
                <w:b/>
                <w:smallCaps w:val="0"/>
                <w:color w:val="FFFFFF"/>
                <w:sz w:val="18"/>
              </w:rPr>
              <w:t>γμάτων υπό δ</w:t>
            </w:r>
            <w:r>
              <w:rPr>
                <w:b/>
                <w:smallCaps/>
                <w:color w:val="FFFFFF"/>
                <w:sz w:val="18"/>
              </w:rPr>
              <w:t>ι</w:t>
            </w:r>
            <w:r>
              <w:rPr>
                <w:b/>
                <w:smallCaps w:val="0"/>
                <w:color w:val="FFFFFF"/>
                <w:sz w:val="18"/>
              </w:rPr>
              <w:t>αχεί-ρ</w:t>
            </w:r>
            <w:r>
              <w:rPr>
                <w:b/>
                <w:smallCaps/>
                <w:color w:val="FFFFFF"/>
                <w:sz w:val="18"/>
              </w:rPr>
              <w:t>ι</w:t>
            </w:r>
            <w:r>
              <w:rPr>
                <w:b/>
                <w:smallCaps w:val="0"/>
                <w:color w:val="FFFFFF"/>
                <w:sz w:val="18"/>
              </w:rPr>
              <w:t>ση</w:t>
            </w:r>
            <w:r>
              <w:rPr>
                <w:b/>
                <w:smallCaps w:val="0"/>
                <w:color w:val="FFFFFF"/>
                <w:spacing w:val="-5"/>
                <w:sz w:val="18"/>
              </w:rPr>
              <w:t> </w:t>
            </w:r>
            <w:r>
              <w:rPr>
                <w:b/>
                <w:smallCaps w:val="0"/>
                <w:color w:val="FFFFFF"/>
                <w:sz w:val="18"/>
              </w:rPr>
              <w:t>γ</w:t>
            </w:r>
            <w:r>
              <w:rPr>
                <w:b/>
                <w:smallCaps/>
                <w:color w:val="FFFFFF"/>
                <w:sz w:val="18"/>
              </w:rPr>
              <w:t>ι</w:t>
            </w:r>
            <w:r>
              <w:rPr>
                <w:b/>
                <w:smallCaps w:val="0"/>
                <w:color w:val="FFFFFF"/>
                <w:sz w:val="18"/>
              </w:rPr>
              <w:t>α</w:t>
            </w:r>
            <w:r>
              <w:rPr>
                <w:b/>
                <w:smallCaps w:val="0"/>
                <w:color w:val="FFFFFF"/>
                <w:spacing w:val="-6"/>
                <w:sz w:val="18"/>
              </w:rPr>
              <w:t> </w:t>
            </w:r>
            <w:r>
              <w:rPr>
                <w:b/>
                <w:smallCaps w:val="0"/>
                <w:color w:val="FFFFFF"/>
                <w:sz w:val="18"/>
              </w:rPr>
              <w:t>λογαρ</w:t>
            </w:r>
            <w:r>
              <w:rPr>
                <w:b/>
                <w:smallCaps/>
                <w:color w:val="FFFFFF"/>
                <w:sz w:val="18"/>
              </w:rPr>
              <w:t>ι</w:t>
            </w:r>
            <w:r>
              <w:rPr>
                <w:b/>
                <w:smallCaps w:val="0"/>
                <w:color w:val="FFFFFF"/>
                <w:sz w:val="18"/>
              </w:rPr>
              <w:t>ασμό</w:t>
            </w:r>
            <w:r>
              <w:rPr>
                <w:b/>
                <w:smallCaps w:val="0"/>
                <w:color w:val="FFFFFF"/>
                <w:spacing w:val="-6"/>
                <w:sz w:val="18"/>
              </w:rPr>
              <w:t> </w:t>
            </w:r>
            <w:r>
              <w:rPr>
                <w:b/>
                <w:smallCaps w:val="0"/>
                <w:color w:val="FFFFFF"/>
                <w:sz w:val="18"/>
              </w:rPr>
              <w:t>αγοραστών</w:t>
            </w:r>
            <w:r>
              <w:rPr>
                <w:b/>
                <w:smallCaps w:val="0"/>
                <w:color w:val="FFFFFF"/>
                <w:spacing w:val="-4"/>
                <w:sz w:val="18"/>
              </w:rPr>
              <w:t> </w:t>
            </w:r>
            <w:r>
              <w:rPr>
                <w:b/>
                <w:smallCaps w:val="0"/>
                <w:color w:val="FFFFFF"/>
                <w:sz w:val="18"/>
              </w:rPr>
              <w:t>π</w:t>
            </w:r>
            <w:r>
              <w:rPr>
                <w:b/>
                <w:smallCaps/>
                <w:color w:val="FFFFFF"/>
                <w:sz w:val="18"/>
              </w:rPr>
              <w:t>ι</w:t>
            </w:r>
            <w:r>
              <w:rPr>
                <w:b/>
                <w:smallCaps w:val="0"/>
                <w:color w:val="FFFFFF"/>
                <w:sz w:val="18"/>
              </w:rPr>
              <w:t>στώσεων</w:t>
            </w:r>
            <w:r>
              <w:rPr>
                <w:b/>
                <w:smallCaps w:val="0"/>
                <w:color w:val="FFFFFF"/>
                <w:spacing w:val="-5"/>
                <w:sz w:val="18"/>
              </w:rPr>
              <w:t> </w:t>
            </w:r>
            <w:r>
              <w:rPr>
                <w:b/>
                <w:smallCaps w:val="0"/>
                <w:color w:val="FFFFFF"/>
                <w:sz w:val="18"/>
              </w:rPr>
              <w:t>ανά</w:t>
            </w:r>
            <w:r>
              <w:rPr>
                <w:b/>
                <w:smallCaps w:val="0"/>
                <w:color w:val="FFFFFF"/>
                <w:spacing w:val="-8"/>
                <w:sz w:val="18"/>
              </w:rPr>
              <w:t> </w:t>
            </w:r>
            <w:r>
              <w:rPr>
                <w:b/>
                <w:smallCaps w:val="0"/>
                <w:color w:val="FFFFFF"/>
                <w:sz w:val="18"/>
              </w:rPr>
              <w:t>κα-τηγορία χαρτοφυλακίου (Δεκέμβρ</w:t>
            </w:r>
            <w:r>
              <w:rPr>
                <w:b/>
                <w:smallCaps/>
                <w:color w:val="FFFFFF"/>
                <w:sz w:val="18"/>
              </w:rPr>
              <w:t>ιο</w:t>
            </w:r>
            <w:r>
              <w:rPr>
                <w:b/>
                <w:smallCaps w:val="0"/>
                <w:color w:val="FFFFFF"/>
                <w:sz w:val="18"/>
              </w:rPr>
              <w:t>ς 2025)</w:t>
            </w:r>
          </w:p>
        </w:tc>
        <w:tc>
          <w:tcPr>
            <w:tcW w:w="221" w:type="dxa"/>
          </w:tcPr>
          <w:p>
            <w:pPr>
              <w:pStyle w:val="TableParagraph"/>
              <w:rPr>
                <w:sz w:val="20"/>
              </w:rPr>
            </w:pPr>
          </w:p>
        </w:tc>
        <w:tc>
          <w:tcPr>
            <w:tcW w:w="4107" w:type="dxa"/>
            <w:shd w:val="clear" w:color="auto" w:fill="1F487C"/>
          </w:tcPr>
          <w:p>
            <w:pPr>
              <w:pStyle w:val="TableParagraph"/>
              <w:spacing w:before="60"/>
              <w:ind w:left="113" w:right="137"/>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V.14</w:t>
            </w:r>
            <w:r>
              <w:rPr>
                <w:b/>
                <w:smallCaps w:val="0"/>
                <w:color w:val="FFFFFF"/>
                <w:spacing w:val="-8"/>
                <w:sz w:val="18"/>
              </w:rPr>
              <w:t> </w:t>
            </w:r>
            <w:r>
              <w:rPr>
                <w:b/>
                <w:smallCaps w:val="0"/>
                <w:color w:val="FFFFFF"/>
                <w:sz w:val="18"/>
              </w:rPr>
              <w:t>Ανάλυση</w:t>
            </w:r>
            <w:r>
              <w:rPr>
                <w:b/>
                <w:smallCaps w:val="0"/>
                <w:color w:val="FFFFFF"/>
                <w:spacing w:val="-8"/>
                <w:sz w:val="18"/>
              </w:rPr>
              <w:t> </w:t>
            </w:r>
            <w:r>
              <w:rPr>
                <w:b/>
                <w:smallCaps w:val="0"/>
                <w:color w:val="FFFFFF"/>
                <w:sz w:val="18"/>
              </w:rPr>
              <w:t>μη</w:t>
            </w:r>
            <w:r>
              <w:rPr>
                <w:b/>
                <w:smallCaps w:val="0"/>
                <w:color w:val="FFFFFF"/>
                <w:spacing w:val="-8"/>
                <w:sz w:val="18"/>
              </w:rPr>
              <w:t> </w:t>
            </w:r>
            <w:r>
              <w:rPr>
                <w:b/>
                <w:smallCaps w:val="0"/>
                <w:color w:val="FFFFFF"/>
                <w:sz w:val="18"/>
              </w:rPr>
              <w:t>εξυπηρετούμενων</w:t>
            </w:r>
            <w:r>
              <w:rPr>
                <w:b/>
                <w:smallCaps w:val="0"/>
                <w:color w:val="FFFFFF"/>
                <w:spacing w:val="-8"/>
                <w:sz w:val="18"/>
              </w:rPr>
              <w:t> </w:t>
            </w:r>
            <w:r>
              <w:rPr>
                <w:b/>
                <w:smallCaps w:val="0"/>
                <w:color w:val="FFFFFF"/>
                <w:sz w:val="18"/>
              </w:rPr>
              <w:t>α-νο</w:t>
            </w:r>
            <w:r>
              <w:rPr>
                <w:b/>
                <w:smallCaps/>
                <w:color w:val="FFFFFF"/>
                <w:sz w:val="18"/>
              </w:rPr>
              <w:t>ι</w:t>
            </w:r>
            <w:r>
              <w:rPr>
                <w:b/>
                <w:smallCaps w:val="0"/>
                <w:color w:val="FFFFFF"/>
                <w:sz w:val="18"/>
              </w:rPr>
              <w:t>γμάτων υπό δ</w:t>
            </w:r>
            <w:r>
              <w:rPr>
                <w:b/>
                <w:smallCaps/>
                <w:color w:val="FFFFFF"/>
                <w:sz w:val="18"/>
              </w:rPr>
              <w:t>ι</w:t>
            </w:r>
            <w:r>
              <w:rPr>
                <w:b/>
                <w:smallCaps w:val="0"/>
                <w:color w:val="FFFFFF"/>
                <w:sz w:val="18"/>
              </w:rPr>
              <w:t>αχείρ</w:t>
            </w:r>
            <w:r>
              <w:rPr>
                <w:b/>
                <w:smallCaps/>
                <w:color w:val="FFFFFF"/>
                <w:sz w:val="18"/>
              </w:rPr>
              <w:t>ι</w:t>
            </w:r>
            <w:r>
              <w:rPr>
                <w:b/>
                <w:smallCaps w:val="0"/>
                <w:color w:val="FFFFFF"/>
                <w:sz w:val="18"/>
              </w:rPr>
              <w:t>ση γ</w:t>
            </w:r>
            <w:r>
              <w:rPr>
                <w:b/>
                <w:smallCaps/>
                <w:color w:val="FFFFFF"/>
                <w:sz w:val="18"/>
              </w:rPr>
              <w:t>ι</w:t>
            </w:r>
            <w:r>
              <w:rPr>
                <w:b/>
                <w:smallCaps w:val="0"/>
                <w:color w:val="FFFFFF"/>
                <w:sz w:val="18"/>
              </w:rPr>
              <w:t>α λογαρ</w:t>
            </w:r>
            <w:r>
              <w:rPr>
                <w:b/>
                <w:smallCaps/>
                <w:color w:val="FFFFFF"/>
                <w:sz w:val="18"/>
              </w:rPr>
              <w:t>ι</w:t>
            </w:r>
            <w:r>
              <w:rPr>
                <w:b/>
                <w:smallCaps w:val="0"/>
                <w:color w:val="FFFFFF"/>
                <w:sz w:val="18"/>
              </w:rPr>
              <w:t>ασμό αγορα-στών π</w:t>
            </w:r>
            <w:r>
              <w:rPr>
                <w:b/>
                <w:smallCaps/>
                <w:color w:val="FFFFFF"/>
                <w:sz w:val="18"/>
              </w:rPr>
              <w:t>ι</w:t>
            </w:r>
            <w:r>
              <w:rPr>
                <w:b/>
                <w:smallCaps w:val="0"/>
                <w:color w:val="FFFFFF"/>
                <w:sz w:val="18"/>
              </w:rPr>
              <w:t>στώσεων ανά κατηγορία καθυστέρησης (Δεκέμβρ</w:t>
            </w:r>
            <w:r>
              <w:rPr>
                <w:b/>
                <w:smallCaps/>
                <w:color w:val="FFFFFF"/>
                <w:sz w:val="18"/>
              </w:rPr>
              <w:t>ιο</w:t>
            </w:r>
            <w:r>
              <w:rPr>
                <w:b/>
                <w:smallCaps w:val="0"/>
                <w:color w:val="FFFFFF"/>
                <w:sz w:val="18"/>
              </w:rPr>
              <w:t>ς 2025)</w:t>
            </w:r>
          </w:p>
        </w:tc>
      </w:tr>
      <w:tr>
        <w:trPr>
          <w:trHeight w:val="340" w:hRule="atLeast"/>
        </w:trPr>
        <w:tc>
          <w:tcPr>
            <w:tcW w:w="4176" w:type="dxa"/>
          </w:tcPr>
          <w:p>
            <w:pPr>
              <w:pStyle w:val="TableParagraph"/>
              <w:spacing w:before="119"/>
              <w:ind w:left="57"/>
              <w:rPr>
                <w:sz w:val="14"/>
              </w:rPr>
            </w:pPr>
            <w:r>
              <w:rPr>
                <w:color w:val="1F487C"/>
                <w:sz w:val="14"/>
              </w:rPr>
              <w:t>(ποσοστά</w:t>
            </w:r>
            <w:r>
              <w:rPr>
                <w:color w:val="1F487C"/>
                <w:spacing w:val="-8"/>
                <w:sz w:val="14"/>
              </w:rPr>
              <w:t> </w:t>
            </w:r>
            <w:r>
              <w:rPr>
                <w:color w:val="1F487C"/>
                <w:spacing w:val="-5"/>
                <w:sz w:val="14"/>
              </w:rPr>
              <w:t>%)</w:t>
            </w:r>
          </w:p>
        </w:tc>
        <w:tc>
          <w:tcPr>
            <w:tcW w:w="221" w:type="dxa"/>
          </w:tcPr>
          <w:p>
            <w:pPr>
              <w:pStyle w:val="TableParagraph"/>
              <w:rPr>
                <w:sz w:val="20"/>
              </w:rPr>
            </w:pPr>
          </w:p>
        </w:tc>
        <w:tc>
          <w:tcPr>
            <w:tcW w:w="4107" w:type="dxa"/>
          </w:tcPr>
          <w:p>
            <w:pPr>
              <w:pStyle w:val="TableParagraph"/>
              <w:spacing w:before="119"/>
              <w:ind w:left="57"/>
              <w:rPr>
                <w:sz w:val="14"/>
              </w:rPr>
            </w:pPr>
            <w:r>
              <w:rPr>
                <w:color w:val="1F487C"/>
                <w:sz w:val="14"/>
              </w:rPr>
              <w:t>(ποσοστά</w:t>
            </w:r>
            <w:r>
              <w:rPr>
                <w:color w:val="1F487C"/>
                <w:spacing w:val="-8"/>
                <w:sz w:val="14"/>
              </w:rPr>
              <w:t> </w:t>
            </w:r>
            <w:r>
              <w:rPr>
                <w:color w:val="1F487C"/>
                <w:spacing w:val="-5"/>
                <w:sz w:val="14"/>
              </w:rPr>
              <w:t>%)</w:t>
            </w:r>
          </w:p>
        </w:tc>
      </w:tr>
      <w:tr>
        <w:trPr>
          <w:trHeight w:val="3419" w:hRule="atLeast"/>
        </w:trPr>
        <w:tc>
          <w:tcPr>
            <w:tcW w:w="4176" w:type="dxa"/>
            <w:shd w:val="clear" w:color="auto" w:fill="D9D9D9"/>
          </w:tcPr>
          <w:p>
            <w:pPr>
              <w:pStyle w:val="TableParagraph"/>
              <w:ind w:left="-1" w:right="-87"/>
              <w:rPr>
                <w:sz w:val="20"/>
              </w:rPr>
            </w:pPr>
            <w:r>
              <w:rPr>
                <w:sz w:val="20"/>
              </w:rPr>
              <w:drawing>
                <wp:inline distT="0" distB="0" distL="0" distR="0">
                  <wp:extent cx="2676596" cy="2148840"/>
                  <wp:effectExtent l="0" t="0" r="0" b="0"/>
                  <wp:docPr id="693" name="Image 693"/>
                  <wp:cNvGraphicFramePr>
                    <a:graphicFrameLocks/>
                  </wp:cNvGraphicFramePr>
                  <a:graphic>
                    <a:graphicData uri="http://schemas.openxmlformats.org/drawingml/2006/picture">
                      <pic:pic>
                        <pic:nvPicPr>
                          <pic:cNvPr id="693" name="Image 693"/>
                          <pic:cNvPicPr/>
                        </pic:nvPicPr>
                        <pic:blipFill>
                          <a:blip r:embed="rId114" cstate="print"/>
                          <a:stretch>
                            <a:fillRect/>
                          </a:stretch>
                        </pic:blipFill>
                        <pic:spPr>
                          <a:xfrm>
                            <a:off x="0" y="0"/>
                            <a:ext cx="2676596" cy="2148840"/>
                          </a:xfrm>
                          <a:prstGeom prst="rect">
                            <a:avLst/>
                          </a:prstGeom>
                        </pic:spPr>
                      </pic:pic>
                    </a:graphicData>
                  </a:graphic>
                </wp:inline>
              </w:drawing>
            </w:r>
            <w:r>
              <w:rPr>
                <w:sz w:val="20"/>
              </w:rPr>
            </w:r>
          </w:p>
        </w:tc>
        <w:tc>
          <w:tcPr>
            <w:tcW w:w="221" w:type="dxa"/>
          </w:tcPr>
          <w:p>
            <w:pPr>
              <w:pStyle w:val="TableParagraph"/>
              <w:rPr>
                <w:sz w:val="20"/>
              </w:rPr>
            </w:pPr>
          </w:p>
        </w:tc>
        <w:tc>
          <w:tcPr>
            <w:tcW w:w="4107" w:type="dxa"/>
            <w:shd w:val="clear" w:color="auto" w:fill="D9D9D9"/>
          </w:tcPr>
          <w:p>
            <w:pPr>
              <w:pStyle w:val="TableParagraph"/>
              <w:spacing w:before="2"/>
              <w:rPr>
                <w:sz w:val="5"/>
              </w:rPr>
            </w:pPr>
          </w:p>
          <w:p>
            <w:pPr>
              <w:pStyle w:val="TableParagraph"/>
              <w:ind w:left="-1" w:right="-29"/>
              <w:rPr>
                <w:sz w:val="20"/>
              </w:rPr>
            </w:pPr>
            <w:r>
              <w:rPr>
                <w:sz w:val="20"/>
              </w:rPr>
              <w:drawing>
                <wp:inline distT="0" distB="0" distL="0" distR="0">
                  <wp:extent cx="2593311" cy="1993106"/>
                  <wp:effectExtent l="0" t="0" r="0" b="0"/>
                  <wp:docPr id="694" name="Image 694"/>
                  <wp:cNvGraphicFramePr>
                    <a:graphicFrameLocks/>
                  </wp:cNvGraphicFramePr>
                  <a:graphic>
                    <a:graphicData uri="http://schemas.openxmlformats.org/drawingml/2006/picture">
                      <pic:pic>
                        <pic:nvPicPr>
                          <pic:cNvPr id="694" name="Image 694"/>
                          <pic:cNvPicPr/>
                        </pic:nvPicPr>
                        <pic:blipFill>
                          <a:blip r:embed="rId115" cstate="print"/>
                          <a:stretch>
                            <a:fillRect/>
                          </a:stretch>
                        </pic:blipFill>
                        <pic:spPr>
                          <a:xfrm>
                            <a:off x="0" y="0"/>
                            <a:ext cx="2593311" cy="1993106"/>
                          </a:xfrm>
                          <a:prstGeom prst="rect">
                            <a:avLst/>
                          </a:prstGeom>
                        </pic:spPr>
                      </pic:pic>
                    </a:graphicData>
                  </a:graphic>
                </wp:inline>
              </w:drawing>
            </w:r>
            <w:r>
              <w:rPr>
                <w:sz w:val="20"/>
              </w:rPr>
            </w:r>
          </w:p>
        </w:tc>
      </w:tr>
      <w:tr>
        <w:trPr>
          <w:trHeight w:val="281" w:hRule="atLeast"/>
        </w:trPr>
        <w:tc>
          <w:tcPr>
            <w:tcW w:w="4176" w:type="dxa"/>
            <w:shd w:val="clear" w:color="auto" w:fill="D9D9D9"/>
          </w:tcPr>
          <w:p>
            <w:pPr>
              <w:pStyle w:val="TableParagraph"/>
              <w:spacing w:before="60"/>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c>
          <w:tcPr>
            <w:tcW w:w="221" w:type="dxa"/>
          </w:tcPr>
          <w:p>
            <w:pPr>
              <w:pStyle w:val="TableParagraph"/>
              <w:rPr>
                <w:sz w:val="20"/>
              </w:rPr>
            </w:pPr>
          </w:p>
        </w:tc>
        <w:tc>
          <w:tcPr>
            <w:tcW w:w="4107" w:type="dxa"/>
            <w:shd w:val="clear" w:color="auto" w:fill="D9D9D9"/>
          </w:tcPr>
          <w:p>
            <w:pPr>
              <w:pStyle w:val="TableParagraph"/>
              <w:spacing w:before="60"/>
              <w:ind w:left="113"/>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BodyText"/>
        <w:spacing w:line="285" w:lineRule="auto" w:before="120"/>
        <w:ind w:left="172" w:right="958"/>
        <w:jc w:val="both"/>
      </w:pPr>
      <w:r>
        <w:rPr/>
        <w:t>Τον Δεκέμβριο του 2025 τα υπό διαχείριση ανοίγματα για λογαριασμό των αγοραστών πιστώ-σεων αποτελούνταν κατά 89,2% από ΜΕΑ. Από τα υπό διαχείριση ΜΕΑ, η πλειονότητα είναι καταγγελμένα</w:t>
      </w:r>
      <w:r>
        <w:rPr>
          <w:spacing w:val="-3"/>
        </w:rPr>
        <w:t> </w:t>
      </w:r>
      <w:r>
        <w:rPr/>
        <w:t>ανοίγματα</w:t>
      </w:r>
      <w:r>
        <w:rPr>
          <w:spacing w:val="-6"/>
        </w:rPr>
        <w:t> </w:t>
      </w:r>
      <w:r>
        <w:rPr/>
        <w:t>(77,7%),</w:t>
      </w:r>
      <w:r>
        <w:rPr>
          <w:spacing w:val="-5"/>
        </w:rPr>
        <w:t> </w:t>
      </w:r>
      <w:r>
        <w:rPr/>
        <w:t>ενώ</w:t>
      </w:r>
      <w:r>
        <w:rPr>
          <w:spacing w:val="-5"/>
        </w:rPr>
        <w:t> </w:t>
      </w:r>
      <w:r>
        <w:rPr/>
        <w:t>το</w:t>
      </w:r>
      <w:r>
        <w:rPr>
          <w:spacing w:val="-3"/>
        </w:rPr>
        <w:t> </w:t>
      </w:r>
      <w:r>
        <w:rPr/>
        <w:t>17,2%</w:t>
      </w:r>
      <w:r>
        <w:rPr>
          <w:spacing w:val="-5"/>
        </w:rPr>
        <w:t> </w:t>
      </w:r>
      <w:r>
        <w:rPr/>
        <w:t>αφορά</w:t>
      </w:r>
      <w:r>
        <w:rPr>
          <w:spacing w:val="-3"/>
        </w:rPr>
        <w:t> </w:t>
      </w:r>
      <w:r>
        <w:rPr/>
        <w:t>ανοίγματα</w:t>
      </w:r>
      <w:r>
        <w:rPr>
          <w:spacing w:val="-6"/>
        </w:rPr>
        <w:t> </w:t>
      </w:r>
      <w:r>
        <w:rPr/>
        <w:t>σε</w:t>
      </w:r>
      <w:r>
        <w:rPr>
          <w:spacing w:val="-3"/>
        </w:rPr>
        <w:t> </w:t>
      </w:r>
      <w:r>
        <w:rPr/>
        <w:t>καθυστέρηση</w:t>
      </w:r>
      <w:r>
        <w:rPr>
          <w:spacing w:val="-3"/>
        </w:rPr>
        <w:t> </w:t>
      </w:r>
      <w:r>
        <w:rPr/>
        <w:t>άνω</w:t>
      </w:r>
      <w:r>
        <w:rPr>
          <w:spacing w:val="-5"/>
        </w:rPr>
        <w:t> </w:t>
      </w:r>
      <w:r>
        <w:rPr/>
        <w:t>των</w:t>
      </w:r>
      <w:r>
        <w:rPr>
          <w:spacing w:val="-5"/>
        </w:rPr>
        <w:t> </w:t>
      </w:r>
      <w:r>
        <w:rPr/>
        <w:t>90 ημερών</w:t>
      </w:r>
      <w:r>
        <w:rPr>
          <w:spacing w:val="-3"/>
        </w:rPr>
        <w:t> </w:t>
      </w:r>
      <w:r>
        <w:rPr/>
        <w:t>και</w:t>
      </w:r>
      <w:r>
        <w:rPr>
          <w:spacing w:val="-4"/>
        </w:rPr>
        <w:t> </w:t>
      </w:r>
      <w:r>
        <w:rPr/>
        <w:t>το</w:t>
      </w:r>
      <w:r>
        <w:rPr>
          <w:spacing w:val="-3"/>
        </w:rPr>
        <w:t> </w:t>
      </w:r>
      <w:r>
        <w:rPr/>
        <w:t>5,1%</w:t>
      </w:r>
      <w:r>
        <w:rPr>
          <w:spacing w:val="-3"/>
        </w:rPr>
        <w:t> </w:t>
      </w:r>
      <w:r>
        <w:rPr/>
        <w:t>ανοίγματα</w:t>
      </w:r>
      <w:r>
        <w:rPr>
          <w:spacing w:val="-5"/>
        </w:rPr>
        <w:t> </w:t>
      </w:r>
      <w:r>
        <w:rPr/>
        <w:t>ταξινομημένα</w:t>
      </w:r>
      <w:r>
        <w:rPr>
          <w:spacing w:val="-4"/>
        </w:rPr>
        <w:t> </w:t>
      </w:r>
      <w:r>
        <w:rPr/>
        <w:t>ως</w:t>
      </w:r>
      <w:r>
        <w:rPr>
          <w:spacing w:val="-5"/>
        </w:rPr>
        <w:t> </w:t>
      </w:r>
      <w:r>
        <w:rPr/>
        <w:t>αβέβαιης</w:t>
      </w:r>
      <w:r>
        <w:rPr>
          <w:spacing w:val="-5"/>
        </w:rPr>
        <w:t> </w:t>
      </w:r>
      <w:r>
        <w:rPr/>
        <w:t>είσπραξης</w:t>
      </w:r>
      <w:r>
        <w:rPr>
          <w:spacing w:val="-5"/>
        </w:rPr>
        <w:t> </w:t>
      </w:r>
      <w:r>
        <w:rPr/>
        <w:t>(unlikely</w:t>
      </w:r>
      <w:r>
        <w:rPr>
          <w:spacing w:val="-4"/>
        </w:rPr>
        <w:t> </w:t>
      </w:r>
      <w:r>
        <w:rPr/>
        <w:t>to</w:t>
      </w:r>
      <w:r>
        <w:rPr>
          <w:spacing w:val="-6"/>
        </w:rPr>
        <w:t> </w:t>
      </w:r>
      <w:r>
        <w:rPr/>
        <w:t>pay)</w:t>
      </w:r>
      <w:r>
        <w:rPr>
          <w:spacing w:val="-3"/>
        </w:rPr>
        <w:t> </w:t>
      </w:r>
      <w:r>
        <w:rPr/>
        <w:t>(βλ.</w:t>
      </w:r>
      <w:r>
        <w:rPr>
          <w:spacing w:val="-4"/>
        </w:rPr>
        <w:t> </w:t>
      </w:r>
      <w:r>
        <w:rPr/>
        <w:t>Διά-γραμμα V.14).</w:t>
      </w:r>
    </w:p>
    <w:p>
      <w:pPr>
        <w:pStyle w:val="BodyText"/>
        <w:spacing w:line="285" w:lineRule="auto" w:before="115"/>
        <w:ind w:left="172" w:right="957"/>
        <w:jc w:val="both"/>
      </w:pPr>
      <w:r>
        <w:rPr/>
        <mc:AlternateContent>
          <mc:Choice Requires="wps">
            <w:drawing>
              <wp:anchor distT="0" distB="0" distL="0" distR="0" allowOverlap="1" layoutInCell="1" locked="0" behindDoc="0" simplePos="0" relativeHeight="15798272">
                <wp:simplePos x="0" y="0"/>
                <wp:positionH relativeFrom="page">
                  <wp:posOffset>3667378</wp:posOffset>
                </wp:positionH>
                <wp:positionV relativeFrom="paragraph">
                  <wp:posOffset>1043544</wp:posOffset>
                </wp:positionV>
                <wp:extent cx="2733675" cy="338455"/>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2733675" cy="338455"/>
                        </a:xfrm>
                        <a:prstGeom prst="rect">
                          <a:avLst/>
                        </a:prstGeom>
                        <a:solidFill>
                          <a:srgbClr val="1F487C"/>
                        </a:solidFill>
                      </wps:spPr>
                      <wps:txbx>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9"/>
                                <w:sz w:val="18"/>
                              </w:rPr>
                              <w:t> </w:t>
                            </w:r>
                            <w:r>
                              <w:rPr>
                                <w:b/>
                                <w:smallCaps w:val="0"/>
                                <w:color w:val="FFFFFF"/>
                                <w:sz w:val="18"/>
                              </w:rPr>
                              <w:t>V.15</w:t>
                            </w:r>
                            <w:r>
                              <w:rPr>
                                <w:b/>
                                <w:smallCaps w:val="0"/>
                                <w:color w:val="FFFFFF"/>
                                <w:spacing w:val="-8"/>
                                <w:sz w:val="18"/>
                              </w:rPr>
                              <w:t> </w:t>
                            </w:r>
                            <w:r>
                              <w:rPr>
                                <w:b/>
                                <w:smallCaps w:val="0"/>
                                <w:color w:val="FFFFFF"/>
                                <w:sz w:val="18"/>
                              </w:rPr>
                              <w:t>Ανάλυση</w:t>
                            </w:r>
                            <w:r>
                              <w:rPr>
                                <w:b/>
                                <w:smallCaps w:val="0"/>
                                <w:color w:val="FFFFFF"/>
                                <w:spacing w:val="-8"/>
                                <w:sz w:val="18"/>
                              </w:rPr>
                              <w:t> </w:t>
                            </w:r>
                            <w:r>
                              <w:rPr>
                                <w:b/>
                                <w:smallCaps w:val="0"/>
                                <w:color w:val="FFFFFF"/>
                                <w:sz w:val="18"/>
                              </w:rPr>
                              <w:t>ρυθμ</w:t>
                            </w:r>
                            <w:r>
                              <w:rPr>
                                <w:b/>
                                <w:smallCaps/>
                                <w:color w:val="FFFFFF"/>
                                <w:sz w:val="18"/>
                              </w:rPr>
                              <w:t>ι</w:t>
                            </w:r>
                            <w:r>
                              <w:rPr>
                                <w:b/>
                                <w:smallCaps w:val="0"/>
                                <w:color w:val="FFFFFF"/>
                                <w:sz w:val="18"/>
                              </w:rPr>
                              <w:t>σμένων</w:t>
                            </w:r>
                            <w:r>
                              <w:rPr>
                                <w:b/>
                                <w:smallCaps w:val="0"/>
                                <w:color w:val="FFFFFF"/>
                                <w:spacing w:val="-8"/>
                                <w:sz w:val="18"/>
                              </w:rPr>
                              <w:t> </w:t>
                            </w:r>
                            <w:r>
                              <w:rPr>
                                <w:b/>
                                <w:smallCaps w:val="0"/>
                                <w:color w:val="FFFFFF"/>
                                <w:sz w:val="18"/>
                              </w:rPr>
                              <w:t>ανο</w:t>
                            </w:r>
                            <w:r>
                              <w:rPr>
                                <w:b/>
                                <w:smallCaps/>
                                <w:color w:val="FFFFFF"/>
                                <w:sz w:val="18"/>
                              </w:rPr>
                              <w:t>ι</w:t>
                            </w:r>
                            <w:r>
                              <w:rPr>
                                <w:b/>
                                <w:smallCaps w:val="0"/>
                                <w:color w:val="FFFFFF"/>
                                <w:sz w:val="18"/>
                              </w:rPr>
                              <w:t>γμάτων υπό δ</w:t>
                            </w:r>
                            <w:r>
                              <w:rPr>
                                <w:b/>
                                <w:smallCaps/>
                                <w:color w:val="FFFFFF"/>
                                <w:sz w:val="18"/>
                              </w:rPr>
                              <w:t>ι</w:t>
                            </w:r>
                            <w:r>
                              <w:rPr>
                                <w:b/>
                                <w:smallCaps w:val="0"/>
                                <w:color w:val="FFFFFF"/>
                                <w:sz w:val="18"/>
                              </w:rPr>
                              <w:t>αχείρ</w:t>
                            </w:r>
                            <w:r>
                              <w:rPr>
                                <w:b/>
                                <w:smallCaps/>
                                <w:color w:val="FFFFFF"/>
                                <w:sz w:val="18"/>
                              </w:rPr>
                              <w:t>ι</w:t>
                            </w:r>
                            <w:r>
                              <w:rPr>
                                <w:b/>
                                <w:smallCaps w:val="0"/>
                                <w:color w:val="FFFFFF"/>
                                <w:sz w:val="18"/>
                              </w:rPr>
                              <w:t>ση (Δεκέμβρ</w:t>
                            </w:r>
                            <w:r>
                              <w:rPr>
                                <w:b/>
                                <w:smallCaps/>
                                <w:color w:val="FFFFFF"/>
                                <w:sz w:val="18"/>
                              </w:rPr>
                              <w:t>ιο</w:t>
                            </w:r>
                            <w:r>
                              <w:rPr>
                                <w:b/>
                                <w:smallCaps w:val="0"/>
                                <w:color w:val="FFFFFF"/>
                                <w:sz w:val="18"/>
                              </w:rPr>
                              <w:t>ς 2025)</w:t>
                            </w:r>
                          </w:p>
                        </w:txbxContent>
                      </wps:txbx>
                      <wps:bodyPr wrap="square" lIns="0" tIns="0" rIns="0" bIns="0" rtlCol="0">
                        <a:noAutofit/>
                      </wps:bodyPr>
                    </wps:wsp>
                  </a:graphicData>
                </a:graphic>
              </wp:anchor>
            </w:drawing>
          </mc:Choice>
          <mc:Fallback>
            <w:pict>
              <v:shape style="position:absolute;margin-left:288.769989pt;margin-top:82.168892pt;width:215.25pt;height:26.65pt;mso-position-horizontal-relative:page;mso-position-vertical-relative:paragraph;z-index:15798272" type="#_x0000_t202" id="docshape652" filled="true" fillcolor="#1f487c" stroked="false">
                <v:textbox inset="0,0,0,0">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9"/>
                          <w:sz w:val="18"/>
                        </w:rPr>
                        <w:t> </w:t>
                      </w:r>
                      <w:r>
                        <w:rPr>
                          <w:b/>
                          <w:smallCaps w:val="0"/>
                          <w:color w:val="FFFFFF"/>
                          <w:sz w:val="18"/>
                        </w:rPr>
                        <w:t>V.15</w:t>
                      </w:r>
                      <w:r>
                        <w:rPr>
                          <w:b/>
                          <w:smallCaps w:val="0"/>
                          <w:color w:val="FFFFFF"/>
                          <w:spacing w:val="-8"/>
                          <w:sz w:val="18"/>
                        </w:rPr>
                        <w:t> </w:t>
                      </w:r>
                      <w:r>
                        <w:rPr>
                          <w:b/>
                          <w:smallCaps w:val="0"/>
                          <w:color w:val="FFFFFF"/>
                          <w:sz w:val="18"/>
                        </w:rPr>
                        <w:t>Ανάλυση</w:t>
                      </w:r>
                      <w:r>
                        <w:rPr>
                          <w:b/>
                          <w:smallCaps w:val="0"/>
                          <w:color w:val="FFFFFF"/>
                          <w:spacing w:val="-8"/>
                          <w:sz w:val="18"/>
                        </w:rPr>
                        <w:t> </w:t>
                      </w:r>
                      <w:r>
                        <w:rPr>
                          <w:b/>
                          <w:smallCaps w:val="0"/>
                          <w:color w:val="FFFFFF"/>
                          <w:sz w:val="18"/>
                        </w:rPr>
                        <w:t>ρυθμ</w:t>
                      </w:r>
                      <w:r>
                        <w:rPr>
                          <w:b/>
                          <w:smallCaps/>
                          <w:color w:val="FFFFFF"/>
                          <w:sz w:val="18"/>
                        </w:rPr>
                        <w:t>ι</w:t>
                      </w:r>
                      <w:r>
                        <w:rPr>
                          <w:b/>
                          <w:smallCaps w:val="0"/>
                          <w:color w:val="FFFFFF"/>
                          <w:sz w:val="18"/>
                        </w:rPr>
                        <w:t>σμένων</w:t>
                      </w:r>
                      <w:r>
                        <w:rPr>
                          <w:b/>
                          <w:smallCaps w:val="0"/>
                          <w:color w:val="FFFFFF"/>
                          <w:spacing w:val="-8"/>
                          <w:sz w:val="18"/>
                        </w:rPr>
                        <w:t> </w:t>
                      </w:r>
                      <w:r>
                        <w:rPr>
                          <w:b/>
                          <w:smallCaps w:val="0"/>
                          <w:color w:val="FFFFFF"/>
                          <w:sz w:val="18"/>
                        </w:rPr>
                        <w:t>ανο</w:t>
                      </w:r>
                      <w:r>
                        <w:rPr>
                          <w:b/>
                          <w:smallCaps/>
                          <w:color w:val="FFFFFF"/>
                          <w:sz w:val="18"/>
                        </w:rPr>
                        <w:t>ι</w:t>
                      </w:r>
                      <w:r>
                        <w:rPr>
                          <w:b/>
                          <w:smallCaps w:val="0"/>
                          <w:color w:val="FFFFFF"/>
                          <w:sz w:val="18"/>
                        </w:rPr>
                        <w:t>γμάτων υπό δ</w:t>
                      </w:r>
                      <w:r>
                        <w:rPr>
                          <w:b/>
                          <w:smallCaps/>
                          <w:color w:val="FFFFFF"/>
                          <w:sz w:val="18"/>
                        </w:rPr>
                        <w:t>ι</w:t>
                      </w:r>
                      <w:r>
                        <w:rPr>
                          <w:b/>
                          <w:smallCaps w:val="0"/>
                          <w:color w:val="FFFFFF"/>
                          <w:sz w:val="18"/>
                        </w:rPr>
                        <w:t>αχείρ</w:t>
                      </w:r>
                      <w:r>
                        <w:rPr>
                          <w:b/>
                          <w:smallCaps/>
                          <w:color w:val="FFFFFF"/>
                          <w:sz w:val="18"/>
                        </w:rPr>
                        <w:t>ι</w:t>
                      </w:r>
                      <w:r>
                        <w:rPr>
                          <w:b/>
                          <w:smallCaps w:val="0"/>
                          <w:color w:val="FFFFFF"/>
                          <w:sz w:val="18"/>
                        </w:rPr>
                        <w:t>ση (Δεκέμβρ</w:t>
                      </w:r>
                      <w:r>
                        <w:rPr>
                          <w:b/>
                          <w:smallCaps/>
                          <w:color w:val="FFFFFF"/>
                          <w:sz w:val="18"/>
                        </w:rPr>
                        <w:t>ιο</w:t>
                      </w:r>
                      <w:r>
                        <w:rPr>
                          <w:b/>
                          <w:smallCaps w:val="0"/>
                          <w:color w:val="FFFFFF"/>
                          <w:sz w:val="18"/>
                        </w:rPr>
                        <w:t>ς 2025)</w:t>
                      </w:r>
                    </w:p>
                  </w:txbxContent>
                </v:textbox>
                <v:fill type="solid"/>
                <w10:wrap type="none"/>
              </v:shape>
            </w:pict>
          </mc:Fallback>
        </mc:AlternateContent>
      </w:r>
      <w:r>
        <w:rPr/>
        <w:t>Το</w:t>
      </w:r>
      <w:r>
        <w:rPr>
          <w:spacing w:val="-5"/>
        </w:rPr>
        <w:t> </w:t>
      </w:r>
      <w:r>
        <w:rPr/>
        <w:t>2025</w:t>
      </w:r>
      <w:r>
        <w:rPr>
          <w:spacing w:val="-5"/>
        </w:rPr>
        <w:t> </w:t>
      </w:r>
      <w:r>
        <w:rPr/>
        <w:t>οι</w:t>
      </w:r>
      <w:r>
        <w:rPr>
          <w:spacing w:val="-4"/>
        </w:rPr>
        <w:t> </w:t>
      </w:r>
      <w:r>
        <w:rPr/>
        <w:t>αποπληρωμές,</w:t>
      </w:r>
      <w:r>
        <w:rPr>
          <w:spacing w:val="-5"/>
        </w:rPr>
        <w:t> </w:t>
      </w:r>
      <w:r>
        <w:rPr/>
        <w:t>ρευστοποιήσεις</w:t>
      </w:r>
      <w:r>
        <w:rPr>
          <w:spacing w:val="-5"/>
        </w:rPr>
        <w:t> </w:t>
      </w:r>
      <w:r>
        <w:rPr/>
        <w:t>εξασφαλίσεων</w:t>
      </w:r>
      <w:r>
        <w:rPr>
          <w:spacing w:val="-4"/>
        </w:rPr>
        <w:t> </w:t>
      </w:r>
      <w:r>
        <w:rPr/>
        <w:t>και</w:t>
      </w:r>
      <w:r>
        <w:rPr>
          <w:spacing w:val="-5"/>
        </w:rPr>
        <w:t> </w:t>
      </w:r>
      <w:r>
        <w:rPr/>
        <w:t>διαγραφές</w:t>
      </w:r>
      <w:r>
        <w:rPr>
          <w:spacing w:val="-6"/>
        </w:rPr>
        <w:t> </w:t>
      </w:r>
      <w:r>
        <w:rPr/>
        <w:t>ανοιγμάτων</w:t>
      </w:r>
      <w:r>
        <w:rPr>
          <w:spacing w:val="-4"/>
        </w:rPr>
        <w:t> </w:t>
      </w:r>
      <w:r>
        <w:rPr/>
        <w:t>που</w:t>
      </w:r>
      <w:r>
        <w:rPr>
          <w:spacing w:val="-4"/>
        </w:rPr>
        <w:t> </w:t>
      </w:r>
      <w:r>
        <w:rPr/>
        <w:t>διαχει-ρίζονται</w:t>
      </w:r>
      <w:r>
        <w:rPr>
          <w:spacing w:val="-7"/>
        </w:rPr>
        <w:t> </w:t>
      </w:r>
      <w:r>
        <w:rPr/>
        <w:t>οι</w:t>
      </w:r>
      <w:r>
        <w:rPr>
          <w:spacing w:val="-6"/>
        </w:rPr>
        <w:t> </w:t>
      </w:r>
      <w:r>
        <w:rPr/>
        <w:t>διαχειριστές</w:t>
      </w:r>
      <w:r>
        <w:rPr>
          <w:spacing w:val="-8"/>
        </w:rPr>
        <w:t> </w:t>
      </w:r>
      <w:r>
        <w:rPr/>
        <w:t>πιστώσεων</w:t>
      </w:r>
      <w:r>
        <w:rPr>
          <w:spacing w:val="-8"/>
        </w:rPr>
        <w:t> </w:t>
      </w:r>
      <w:r>
        <w:rPr/>
        <w:t>για</w:t>
      </w:r>
      <w:r>
        <w:rPr>
          <w:spacing w:val="-9"/>
        </w:rPr>
        <w:t> </w:t>
      </w:r>
      <w:r>
        <w:rPr/>
        <w:t>λογαριασμό</w:t>
      </w:r>
      <w:r>
        <w:rPr>
          <w:spacing w:val="-7"/>
        </w:rPr>
        <w:t> </w:t>
      </w:r>
      <w:r>
        <w:rPr/>
        <w:t>των</w:t>
      </w:r>
      <w:r>
        <w:rPr>
          <w:spacing w:val="-4"/>
        </w:rPr>
        <w:t> </w:t>
      </w:r>
      <w:r>
        <w:rPr/>
        <w:t>αγοραστών</w:t>
      </w:r>
      <w:r>
        <w:rPr>
          <w:spacing w:val="-6"/>
        </w:rPr>
        <w:t> </w:t>
      </w:r>
      <w:r>
        <w:rPr/>
        <w:t>πιστώσεων</w:t>
      </w:r>
      <w:r>
        <w:rPr>
          <w:spacing w:val="-5"/>
        </w:rPr>
        <w:t> </w:t>
      </w:r>
      <w:r>
        <w:rPr/>
        <w:t>διαμορφώθηκαν σε 4 δισεκ. ευρώ. Συγκεκριμένα, οι αποπληρωμές ανοιγμάτων ανήλθαν σε 2,2 δισεκ. ευρώ, οι ρευστοποιήσεις υφιστάμενων εξασφαλίσεων σε 1 δισεκ. ευρώ και οι διαγραφές ανοιγμάτων σε 0,8 δισεκ. ευρώ.</w:t>
      </w:r>
    </w:p>
    <w:p>
      <w:pPr>
        <w:pStyle w:val="BodyText"/>
        <w:spacing w:line="285" w:lineRule="auto" w:before="79"/>
        <w:ind w:left="172" w:right="5459"/>
        <w:jc w:val="both"/>
      </w:pPr>
      <w:r>
        <w:rPr/>
        <w:t>Τέλος, οι ρυθμίσεις που έχουν πραγματοποι-ηθεί</w:t>
      </w:r>
      <w:r>
        <w:rPr>
          <w:spacing w:val="47"/>
        </w:rPr>
        <w:t> </w:t>
      </w:r>
      <w:r>
        <w:rPr/>
        <w:t>μέχρι</w:t>
      </w:r>
      <w:r>
        <w:rPr>
          <w:spacing w:val="50"/>
        </w:rPr>
        <w:t> </w:t>
      </w:r>
      <w:r>
        <w:rPr/>
        <w:t>το</w:t>
      </w:r>
      <w:r>
        <w:rPr>
          <w:spacing w:val="49"/>
        </w:rPr>
        <w:t> </w:t>
      </w:r>
      <w:r>
        <w:rPr/>
        <w:t>τέλος</w:t>
      </w:r>
      <w:r>
        <w:rPr>
          <w:spacing w:val="47"/>
        </w:rPr>
        <w:t> </w:t>
      </w:r>
      <w:r>
        <w:rPr/>
        <w:t>του</w:t>
      </w:r>
      <w:r>
        <w:rPr>
          <w:spacing w:val="48"/>
        </w:rPr>
        <w:t> </w:t>
      </w:r>
      <w:r>
        <w:rPr/>
        <w:t>2025</w:t>
      </w:r>
      <w:r>
        <w:rPr>
          <w:spacing w:val="49"/>
        </w:rPr>
        <w:t> </w:t>
      </w:r>
      <w:r>
        <w:rPr/>
        <w:t>αφορούν</w:t>
      </w:r>
      <w:r>
        <w:rPr>
          <w:spacing w:val="48"/>
        </w:rPr>
        <w:t> </w:t>
      </w:r>
      <w:r>
        <w:rPr>
          <w:spacing w:val="-5"/>
        </w:rPr>
        <w:t>το</w:t>
      </w:r>
    </w:p>
    <w:p>
      <w:pPr>
        <w:pStyle w:val="BodyText"/>
        <w:spacing w:after="0" w:line="285" w:lineRule="auto"/>
        <w:jc w:val="both"/>
        <w:sectPr>
          <w:pgSz w:w="11910" w:h="16850"/>
          <w:pgMar w:header="0" w:footer="1108" w:top="1920" w:bottom="1300" w:left="1417" w:right="850"/>
        </w:sectPr>
      </w:pPr>
    </w:p>
    <w:p>
      <w:pPr>
        <w:pStyle w:val="BodyText"/>
        <w:spacing w:line="285" w:lineRule="auto" w:before="30"/>
        <w:ind w:left="172"/>
        <w:jc w:val="both"/>
      </w:pPr>
      <w:r>
        <w:rPr/>
        <w:t>21,3% του συνολικού χαρτοφυλακίου υπό διαχείριση για λογαριασμό των αγοραστών πιστώσεων. Το μεγαλύτερο ποσοστό των ρυθμισμένων ανοιγμάτων αποτελούν οι λύ-σεις</w:t>
      </w:r>
      <w:r>
        <w:rPr>
          <w:spacing w:val="-5"/>
        </w:rPr>
        <w:t> </w:t>
      </w:r>
      <w:r>
        <w:rPr/>
        <w:t>οριστικής</w:t>
      </w:r>
      <w:r>
        <w:rPr>
          <w:spacing w:val="-6"/>
        </w:rPr>
        <w:t> </w:t>
      </w:r>
      <w:r>
        <w:rPr/>
        <w:t>διευθέτησης</w:t>
      </w:r>
      <w:r>
        <w:rPr>
          <w:spacing w:val="-5"/>
        </w:rPr>
        <w:t> </w:t>
      </w:r>
      <w:r>
        <w:rPr/>
        <w:t>(61,1%)</w:t>
      </w:r>
      <w:r>
        <w:rPr>
          <w:spacing w:val="-1"/>
        </w:rPr>
        <w:t> </w:t>
      </w:r>
      <w:r>
        <w:rPr/>
        <w:t>και</w:t>
      </w:r>
      <w:r>
        <w:rPr>
          <w:spacing w:val="-4"/>
        </w:rPr>
        <w:t> </w:t>
      </w:r>
      <w:r>
        <w:rPr/>
        <w:t>ακο-λουθούν</w:t>
      </w:r>
      <w:r>
        <w:rPr>
          <w:spacing w:val="-14"/>
        </w:rPr>
        <w:t> </w:t>
      </w:r>
      <w:r>
        <w:rPr/>
        <w:t>οι</w:t>
      </w:r>
      <w:r>
        <w:rPr>
          <w:spacing w:val="-14"/>
        </w:rPr>
        <w:t> </w:t>
      </w:r>
      <w:r>
        <w:rPr/>
        <w:t>μακροπρόθεσμες</w:t>
      </w:r>
      <w:r>
        <w:rPr>
          <w:spacing w:val="-14"/>
        </w:rPr>
        <w:t> </w:t>
      </w:r>
      <w:r>
        <w:rPr/>
        <w:t>λύσεις</w:t>
      </w:r>
      <w:r>
        <w:rPr>
          <w:spacing w:val="-13"/>
        </w:rPr>
        <w:t> </w:t>
      </w:r>
      <w:r>
        <w:rPr/>
        <w:t>ρύθμισης (34%) και οι βραχυπρόθεσμες λύσεις ρύθμι-σης (4,9%) (βλ. Διάγραμμα V.15). Το 2025 αυξήθηκε</w:t>
      </w:r>
      <w:r>
        <w:rPr>
          <w:spacing w:val="-14"/>
        </w:rPr>
        <w:t> </w:t>
      </w:r>
      <w:r>
        <w:rPr/>
        <w:t>το</w:t>
      </w:r>
      <w:r>
        <w:rPr>
          <w:spacing w:val="-14"/>
        </w:rPr>
        <w:t> </w:t>
      </w:r>
      <w:r>
        <w:rPr/>
        <w:t>μερίδιο</w:t>
      </w:r>
      <w:r>
        <w:rPr>
          <w:spacing w:val="-14"/>
        </w:rPr>
        <w:t> </w:t>
      </w:r>
      <w:r>
        <w:rPr/>
        <w:t>των</w:t>
      </w:r>
      <w:r>
        <w:rPr>
          <w:spacing w:val="-13"/>
        </w:rPr>
        <w:t> </w:t>
      </w:r>
      <w:r>
        <w:rPr/>
        <w:t>οριστικών</w:t>
      </w:r>
      <w:r>
        <w:rPr>
          <w:spacing w:val="-14"/>
        </w:rPr>
        <w:t> </w:t>
      </w:r>
      <w:r>
        <w:rPr/>
        <w:t>διευθετή-σεων σε σχέση με τον Δεκέμβριο του 2024 (55,7%). Τον Δεκέμβριο του 2025, το υπό-λοιπο των ρυθμισμένων ανοιγμάτων στα ο-ποία</w:t>
      </w:r>
      <w:r>
        <w:rPr>
          <w:spacing w:val="73"/>
          <w:w w:val="150"/>
        </w:rPr>
        <w:t> </w:t>
      </w:r>
      <w:r>
        <w:rPr/>
        <w:t>έχουν</w:t>
      </w:r>
      <w:r>
        <w:rPr>
          <w:spacing w:val="71"/>
          <w:w w:val="150"/>
        </w:rPr>
        <w:t> </w:t>
      </w:r>
      <w:r>
        <w:rPr/>
        <w:t>εφαρμοστεί</w:t>
      </w:r>
      <w:r>
        <w:rPr>
          <w:spacing w:val="73"/>
          <w:w w:val="150"/>
        </w:rPr>
        <w:t> </w:t>
      </w:r>
      <w:r>
        <w:rPr/>
        <w:t>λύσεις</w:t>
      </w:r>
      <w:r>
        <w:rPr>
          <w:spacing w:val="74"/>
          <w:w w:val="150"/>
        </w:rPr>
        <w:t> </w:t>
      </w:r>
      <w:r>
        <w:rPr>
          <w:spacing w:val="-2"/>
        </w:rPr>
        <w:t>οριστικής</w:t>
      </w:r>
    </w:p>
    <w:p>
      <w:pPr>
        <w:spacing w:line="155" w:lineRule="exact" w:before="0"/>
        <w:ind w:left="172" w:right="0" w:firstLine="0"/>
        <w:jc w:val="left"/>
        <w:rPr>
          <w:sz w:val="14"/>
        </w:rPr>
      </w:pPr>
      <w:r>
        <w:rPr/>
        <w:br w:type="column"/>
      </w:r>
      <w:r>
        <w:rPr>
          <w:color w:val="1F487C"/>
          <w:sz w:val="14"/>
        </w:rPr>
        <w:t>(ποσοστά</w:t>
      </w:r>
      <w:r>
        <w:rPr>
          <w:color w:val="1F487C"/>
          <w:spacing w:val="-8"/>
          <w:sz w:val="14"/>
        </w:rPr>
        <w:t> </w:t>
      </w:r>
      <w:r>
        <w:rPr>
          <w:color w:val="1F487C"/>
          <w:spacing w:val="-5"/>
          <w:sz w:val="14"/>
        </w:rPr>
        <w:t>%)</w:t>
      </w:r>
    </w:p>
    <w:p>
      <w:pPr>
        <w:pStyle w:val="BodyText"/>
        <w:spacing w:before="3"/>
        <w:rPr>
          <w:sz w:val="5"/>
        </w:rPr>
      </w:pPr>
    </w:p>
    <w:p>
      <w:pPr>
        <w:spacing w:line="240" w:lineRule="auto"/>
        <w:ind w:left="114" w:right="0" w:firstLine="0"/>
        <w:rPr>
          <w:sz w:val="20"/>
        </w:rPr>
      </w:pPr>
      <w:r>
        <w:rPr>
          <w:sz w:val="20"/>
        </w:rPr>
        <mc:AlternateContent>
          <mc:Choice Requires="wps">
            <w:drawing>
              <wp:inline distT="0" distB="0" distL="0" distR="0">
                <wp:extent cx="2733675" cy="2199640"/>
                <wp:effectExtent l="0" t="0" r="0" b="635"/>
                <wp:docPr id="696" name="Group 696"/>
                <wp:cNvGraphicFramePr>
                  <a:graphicFrameLocks/>
                </wp:cNvGraphicFramePr>
                <a:graphic>
                  <a:graphicData uri="http://schemas.microsoft.com/office/word/2010/wordprocessingGroup">
                    <wpg:wgp>
                      <wpg:cNvPr id="696" name="Group 696"/>
                      <wpg:cNvGrpSpPr/>
                      <wpg:grpSpPr>
                        <a:xfrm>
                          <a:off x="0" y="0"/>
                          <a:ext cx="2733675" cy="2199640"/>
                          <a:chExt cx="2733675" cy="2199640"/>
                        </a:xfrm>
                      </wpg:grpSpPr>
                      <wps:wsp>
                        <wps:cNvPr id="697" name="Graphic 697"/>
                        <wps:cNvSpPr/>
                        <wps:spPr>
                          <a:xfrm>
                            <a:off x="0" y="0"/>
                            <a:ext cx="2733675" cy="2199640"/>
                          </a:xfrm>
                          <a:custGeom>
                            <a:avLst/>
                            <a:gdLst/>
                            <a:ahLst/>
                            <a:cxnLst/>
                            <a:rect l="l" t="t" r="r" b="b"/>
                            <a:pathLst>
                              <a:path w="2733675" h="2199640">
                                <a:moveTo>
                                  <a:pt x="2733167" y="0"/>
                                </a:moveTo>
                                <a:lnTo>
                                  <a:pt x="0" y="0"/>
                                </a:lnTo>
                                <a:lnTo>
                                  <a:pt x="0" y="1982978"/>
                                </a:lnTo>
                                <a:lnTo>
                                  <a:pt x="0" y="2199386"/>
                                </a:lnTo>
                                <a:lnTo>
                                  <a:pt x="2733167" y="2199386"/>
                                </a:lnTo>
                                <a:lnTo>
                                  <a:pt x="2733167" y="1982978"/>
                                </a:lnTo>
                                <a:lnTo>
                                  <a:pt x="2733167" y="0"/>
                                </a:lnTo>
                                <a:close/>
                              </a:path>
                            </a:pathLst>
                          </a:custGeom>
                          <a:solidFill>
                            <a:srgbClr val="D9D9D9"/>
                          </a:solidFill>
                        </wps:spPr>
                        <wps:bodyPr wrap="square" lIns="0" tIns="0" rIns="0" bIns="0" rtlCol="0">
                          <a:prstTxWarp prst="textNoShape">
                            <a:avLst/>
                          </a:prstTxWarp>
                          <a:noAutofit/>
                        </wps:bodyPr>
                      </wps:wsp>
                      <pic:pic>
                        <pic:nvPicPr>
                          <pic:cNvPr id="698" name="Image 698"/>
                          <pic:cNvPicPr/>
                        </pic:nvPicPr>
                        <pic:blipFill>
                          <a:blip r:embed="rId116" cstate="print"/>
                          <a:stretch>
                            <a:fillRect/>
                          </a:stretch>
                        </pic:blipFill>
                        <pic:spPr>
                          <a:xfrm>
                            <a:off x="32130" y="37211"/>
                            <a:ext cx="2663316" cy="1944497"/>
                          </a:xfrm>
                          <a:prstGeom prst="rect">
                            <a:avLst/>
                          </a:prstGeom>
                        </pic:spPr>
                      </pic:pic>
                      <wps:wsp>
                        <wps:cNvPr id="699" name="Textbox 699"/>
                        <wps:cNvSpPr txBox="1"/>
                        <wps:spPr>
                          <a:xfrm>
                            <a:off x="0" y="0"/>
                            <a:ext cx="2733675" cy="219964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21"/>
                                <w:rPr>
                                  <w:sz w:val="14"/>
                                </w:rPr>
                              </w:pPr>
                            </w:p>
                            <w:p>
                              <w:pPr>
                                <w:spacing w:before="1"/>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15.25pt;height:173.2pt;mso-position-horizontal-relative:char;mso-position-vertical-relative:line" id="docshapegroup653" coordorigin="0,0" coordsize="4305,3464">
                <v:shape style="position:absolute;left:0;top:0;width:4305;height:3464" id="docshape654" coordorigin="0,0" coordsize="4305,3464" path="m4304,0l0,0,0,3123,0,3464,4304,3464,4304,3123,4304,0xe" filled="true" fillcolor="#d9d9d9" stroked="false">
                  <v:path arrowok="t"/>
                  <v:fill type="solid"/>
                </v:shape>
                <v:shape style="position:absolute;left:50;top:58;width:4195;height:3063" type="#_x0000_t75" id="docshape655" stroked="false">
                  <v:imagedata r:id="rId116" o:title=""/>
                </v:shape>
                <v:shape style="position:absolute;left:0;top:0;width:4305;height:3464" type="#_x0000_t202" id="docshape656"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21"/>
                          <w:rPr>
                            <w:sz w:val="14"/>
                          </w:rPr>
                        </w:pPr>
                      </w:p>
                      <w:p>
                        <w:pPr>
                          <w:spacing w:before="1"/>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181" w:space="62"/>
            <w:col w:w="5400"/>
          </w:cols>
        </w:sectPr>
      </w:pPr>
    </w:p>
    <w:p>
      <w:pPr>
        <w:pStyle w:val="BodyText"/>
        <w:spacing w:line="244" w:lineRule="exact"/>
        <w:ind w:left="172"/>
      </w:pPr>
      <w:r>
        <w:rPr/>
        <w:t>διευθέτησης</w:t>
      </w:r>
      <w:r>
        <w:rPr>
          <w:spacing w:val="-2"/>
        </w:rPr>
        <w:t> </w:t>
      </w:r>
      <w:r>
        <w:rPr/>
        <w:t>ανήλθε</w:t>
      </w:r>
      <w:r>
        <w:rPr>
          <w:spacing w:val="2"/>
        </w:rPr>
        <w:t> </w:t>
      </w:r>
      <w:r>
        <w:rPr/>
        <w:t>σε</w:t>
      </w:r>
      <w:r>
        <w:rPr>
          <w:spacing w:val="2"/>
        </w:rPr>
        <w:t> </w:t>
      </w:r>
      <w:r>
        <w:rPr/>
        <w:t>10,6</w:t>
      </w:r>
      <w:r>
        <w:rPr>
          <w:spacing w:val="1"/>
        </w:rPr>
        <w:t> </w:t>
      </w:r>
      <w:r>
        <w:rPr/>
        <w:t>δισεκ.</w:t>
      </w:r>
      <w:r>
        <w:rPr>
          <w:spacing w:val="1"/>
        </w:rPr>
        <w:t> </w:t>
      </w:r>
      <w:r>
        <w:rPr/>
        <w:t>ευρώ</w:t>
      </w:r>
      <w:r>
        <w:rPr>
          <w:spacing w:val="2"/>
        </w:rPr>
        <w:t> </w:t>
      </w:r>
      <w:r>
        <w:rPr/>
        <w:t>(από</w:t>
      </w:r>
      <w:r>
        <w:rPr>
          <w:spacing w:val="1"/>
        </w:rPr>
        <w:t> </w:t>
      </w:r>
      <w:r>
        <w:rPr/>
        <w:t>10</w:t>
      </w:r>
      <w:r>
        <w:rPr>
          <w:spacing w:val="1"/>
        </w:rPr>
        <w:t> </w:t>
      </w:r>
      <w:r>
        <w:rPr/>
        <w:t>δισεκ.</w:t>
      </w:r>
      <w:r>
        <w:rPr>
          <w:spacing w:val="1"/>
        </w:rPr>
        <w:t> </w:t>
      </w:r>
      <w:r>
        <w:rPr/>
        <w:t>ευρώ</w:t>
      </w:r>
      <w:r>
        <w:rPr>
          <w:spacing w:val="9"/>
        </w:rPr>
        <w:t> </w:t>
      </w:r>
      <w:r>
        <w:rPr/>
        <w:t>τον</w:t>
      </w:r>
      <w:r>
        <w:rPr>
          <w:spacing w:val="2"/>
        </w:rPr>
        <w:t> </w:t>
      </w:r>
      <w:r>
        <w:rPr/>
        <w:t>Δεκέμβριο</w:t>
      </w:r>
      <w:r>
        <w:rPr>
          <w:spacing w:val="2"/>
        </w:rPr>
        <w:t> </w:t>
      </w:r>
      <w:r>
        <w:rPr/>
        <w:t>του</w:t>
      </w:r>
      <w:r>
        <w:rPr>
          <w:spacing w:val="1"/>
        </w:rPr>
        <w:t> </w:t>
      </w:r>
      <w:r>
        <w:rPr/>
        <w:t>2024),</w:t>
      </w:r>
      <w:r>
        <w:rPr>
          <w:spacing w:val="1"/>
        </w:rPr>
        <w:t> </w:t>
      </w:r>
      <w:r>
        <w:rPr/>
        <w:t>ενώ</w:t>
      </w:r>
      <w:r>
        <w:rPr>
          <w:spacing w:val="3"/>
        </w:rPr>
        <w:t> </w:t>
      </w:r>
      <w:r>
        <w:rPr>
          <w:spacing w:val="-5"/>
        </w:rPr>
        <w:t>τα</w:t>
      </w:r>
    </w:p>
    <w:p>
      <w:pPr>
        <w:pStyle w:val="BodyText"/>
        <w:spacing w:after="0" w:line="244" w:lineRule="exact"/>
        <w:sectPr>
          <w:type w:val="continuous"/>
          <w:pgSz w:w="11910" w:h="16850"/>
          <w:pgMar w:header="0" w:footer="1108" w:top="1320" w:bottom="280" w:left="1417" w:right="850"/>
        </w:sectPr>
      </w:pPr>
    </w:p>
    <w:p>
      <w:pPr>
        <w:pStyle w:val="BodyText"/>
        <w:spacing w:line="285" w:lineRule="auto" w:before="66"/>
        <w:ind w:left="172" w:right="956"/>
        <w:jc w:val="both"/>
      </w:pPr>
      <w:r>
        <w:rPr/>
        <w:t>αντίστοιχα υπόλοιπα για</w:t>
      </w:r>
      <w:r>
        <w:rPr>
          <w:spacing w:val="-1"/>
        </w:rPr>
        <w:t> </w:t>
      </w:r>
      <w:r>
        <w:rPr/>
        <w:t>τις μακροπρόθεσμες ρυθμίσεις ήταν 5,9 δισεκ.</w:t>
      </w:r>
      <w:r>
        <w:rPr>
          <w:spacing w:val="-1"/>
        </w:rPr>
        <w:t> </w:t>
      </w:r>
      <w:r>
        <w:rPr/>
        <w:t>ευρώ και</w:t>
      </w:r>
      <w:r>
        <w:rPr>
          <w:spacing w:val="-1"/>
        </w:rPr>
        <w:t> </w:t>
      </w:r>
      <w:r>
        <w:rPr/>
        <w:t>για τις βραχυ-πρόθεσμες</w:t>
      </w:r>
      <w:r>
        <w:rPr>
          <w:spacing w:val="-8"/>
        </w:rPr>
        <w:t> </w:t>
      </w:r>
      <w:r>
        <w:rPr/>
        <w:t>ρυθμίσεις</w:t>
      </w:r>
      <w:r>
        <w:rPr>
          <w:spacing w:val="-10"/>
        </w:rPr>
        <w:t> </w:t>
      </w:r>
      <w:r>
        <w:rPr/>
        <w:t>0,9</w:t>
      </w:r>
      <w:r>
        <w:rPr>
          <w:spacing w:val="-10"/>
        </w:rPr>
        <w:t> </w:t>
      </w:r>
      <w:r>
        <w:rPr/>
        <w:t>δισεκ.</w:t>
      </w:r>
      <w:r>
        <w:rPr>
          <w:spacing w:val="-10"/>
        </w:rPr>
        <w:t> </w:t>
      </w:r>
      <w:r>
        <w:rPr/>
        <w:t>ευρώ</w:t>
      </w:r>
      <w:r>
        <w:rPr>
          <w:spacing w:val="-9"/>
        </w:rPr>
        <w:t> </w:t>
      </w:r>
      <w:r>
        <w:rPr/>
        <w:t>(από</w:t>
      </w:r>
      <w:r>
        <w:rPr>
          <w:spacing w:val="-7"/>
        </w:rPr>
        <w:t> </w:t>
      </w:r>
      <w:r>
        <w:rPr/>
        <w:t>6,9</w:t>
      </w:r>
      <w:r>
        <w:rPr>
          <w:spacing w:val="-10"/>
        </w:rPr>
        <w:t> </w:t>
      </w:r>
      <w:r>
        <w:rPr/>
        <w:t>και</w:t>
      </w:r>
      <w:r>
        <w:rPr>
          <w:spacing w:val="-9"/>
        </w:rPr>
        <w:t> </w:t>
      </w:r>
      <w:r>
        <w:rPr/>
        <w:t>1,0</w:t>
      </w:r>
      <w:r>
        <w:rPr>
          <w:spacing w:val="-10"/>
        </w:rPr>
        <w:t> </w:t>
      </w:r>
      <w:r>
        <w:rPr/>
        <w:t>δισεκ.</w:t>
      </w:r>
      <w:r>
        <w:rPr>
          <w:spacing w:val="-10"/>
        </w:rPr>
        <w:t> </w:t>
      </w:r>
      <w:r>
        <w:rPr/>
        <w:t>ευρώ</w:t>
      </w:r>
      <w:r>
        <w:rPr>
          <w:spacing w:val="-6"/>
        </w:rPr>
        <w:t> </w:t>
      </w:r>
      <w:r>
        <w:rPr/>
        <w:t>αντίστοιχα</w:t>
      </w:r>
      <w:r>
        <w:rPr>
          <w:spacing w:val="-7"/>
        </w:rPr>
        <w:t> </w:t>
      </w:r>
      <w:r>
        <w:rPr/>
        <w:t>τον</w:t>
      </w:r>
      <w:r>
        <w:rPr>
          <w:spacing w:val="-11"/>
        </w:rPr>
        <w:t> </w:t>
      </w:r>
      <w:r>
        <w:rPr/>
        <w:t>Δεκέμβριο</w:t>
      </w:r>
      <w:r>
        <w:rPr>
          <w:spacing w:val="-6"/>
        </w:rPr>
        <w:t> </w:t>
      </w:r>
      <w:r>
        <w:rPr/>
        <w:t>του </w:t>
      </w:r>
      <w:r>
        <w:rPr>
          <w:spacing w:val="-2"/>
        </w:rPr>
        <w:t>2024).</w:t>
      </w:r>
    </w:p>
    <w:p>
      <w:pPr>
        <w:pStyle w:val="BodyText"/>
        <w:spacing w:line="285" w:lineRule="auto" w:before="57"/>
        <w:ind w:left="172" w:right="955"/>
        <w:jc w:val="both"/>
      </w:pPr>
      <w:r>
        <w:rPr/>
        <w:t>Το</w:t>
      </w:r>
      <w:r>
        <w:rPr>
          <w:spacing w:val="-14"/>
        </w:rPr>
        <w:t> </w:t>
      </w:r>
      <w:r>
        <w:rPr/>
        <w:t>μεγαλύτερο</w:t>
      </w:r>
      <w:r>
        <w:rPr>
          <w:spacing w:val="-14"/>
        </w:rPr>
        <w:t> </w:t>
      </w:r>
      <w:r>
        <w:rPr/>
        <w:t>μερίδιο</w:t>
      </w:r>
      <w:r>
        <w:rPr>
          <w:spacing w:val="-14"/>
        </w:rPr>
        <w:t> </w:t>
      </w:r>
      <w:r>
        <w:rPr/>
        <w:t>(47%)</w:t>
      </w:r>
      <w:r>
        <w:rPr>
          <w:spacing w:val="-13"/>
        </w:rPr>
        <w:t> </w:t>
      </w:r>
      <w:r>
        <w:rPr/>
        <w:t>των</w:t>
      </w:r>
      <w:r>
        <w:rPr>
          <w:spacing w:val="-14"/>
        </w:rPr>
        <w:t> </w:t>
      </w:r>
      <w:r>
        <w:rPr/>
        <w:t>βραχυπρόθεσμων</w:t>
      </w:r>
      <w:r>
        <w:rPr>
          <w:spacing w:val="-14"/>
        </w:rPr>
        <w:t> </w:t>
      </w:r>
      <w:r>
        <w:rPr/>
        <w:t>ρυθμίσεων</w:t>
      </w:r>
      <w:hyperlink w:history="true" w:anchor="_bookmark128">
        <w:r>
          <w:rPr>
            <w:position w:val="6"/>
            <w:sz w:val="10"/>
          </w:rPr>
          <w:t>88</w:t>
        </w:r>
      </w:hyperlink>
      <w:r>
        <w:rPr>
          <w:spacing w:val="-6"/>
          <w:position w:val="6"/>
          <w:sz w:val="10"/>
        </w:rPr>
        <w:t> </w:t>
      </w:r>
      <w:r>
        <w:rPr/>
        <w:t>αφορά</w:t>
      </w:r>
      <w:r>
        <w:rPr>
          <w:spacing w:val="-14"/>
        </w:rPr>
        <w:t> </w:t>
      </w:r>
      <w:r>
        <w:rPr/>
        <w:t>λύσεις</w:t>
      </w:r>
      <w:r>
        <w:rPr>
          <w:spacing w:val="-14"/>
        </w:rPr>
        <w:t> </w:t>
      </w:r>
      <w:r>
        <w:rPr/>
        <w:t>κεφαλαιοποίησης ληξιπρόθεσμων οφειλών (βλ. Διάγραμμα V.16α), ενώ οι πιο συνήθεις τύποι μακροπρόθεσμων ρυθμίσεων</w:t>
      </w:r>
      <w:hyperlink w:history="true" w:anchor="_bookmark129">
        <w:r>
          <w:rPr>
            <w:position w:val="6"/>
            <w:sz w:val="10"/>
          </w:rPr>
          <w:t>89</w:t>
        </w:r>
      </w:hyperlink>
      <w:r>
        <w:rPr>
          <w:spacing w:val="21"/>
          <w:position w:val="6"/>
          <w:sz w:val="10"/>
        </w:rPr>
        <w:t> </w:t>
      </w:r>
      <w:r>
        <w:rPr/>
        <w:t>είναι</w:t>
      </w:r>
      <w:r>
        <w:rPr>
          <w:spacing w:val="-9"/>
        </w:rPr>
        <w:t> </w:t>
      </w:r>
      <w:r>
        <w:rPr/>
        <w:t>η</w:t>
      </w:r>
      <w:r>
        <w:rPr>
          <w:spacing w:val="-10"/>
        </w:rPr>
        <w:t> </w:t>
      </w:r>
      <w:r>
        <w:rPr/>
        <w:t>μερική</w:t>
      </w:r>
      <w:r>
        <w:rPr>
          <w:spacing w:val="-10"/>
        </w:rPr>
        <w:t> </w:t>
      </w:r>
      <w:r>
        <w:rPr/>
        <w:t>διαγραφή</w:t>
      </w:r>
      <w:r>
        <w:rPr>
          <w:spacing w:val="-10"/>
        </w:rPr>
        <w:t> </w:t>
      </w:r>
      <w:r>
        <w:rPr/>
        <w:t>οφειλής,</w:t>
      </w:r>
      <w:r>
        <w:rPr>
          <w:spacing w:val="-10"/>
        </w:rPr>
        <w:t> </w:t>
      </w:r>
      <w:r>
        <w:rPr/>
        <w:t>ο</w:t>
      </w:r>
      <w:r>
        <w:rPr>
          <w:spacing w:val="-10"/>
        </w:rPr>
        <w:t> </w:t>
      </w:r>
      <w:r>
        <w:rPr/>
        <w:t>διαχωρισμός</w:t>
      </w:r>
      <w:r>
        <w:rPr>
          <w:spacing w:val="-11"/>
        </w:rPr>
        <w:t> </w:t>
      </w:r>
      <w:r>
        <w:rPr/>
        <w:t>οφειλής</w:t>
      </w:r>
      <w:r>
        <w:rPr>
          <w:spacing w:val="-11"/>
        </w:rPr>
        <w:t> </w:t>
      </w:r>
      <w:r>
        <w:rPr/>
        <w:t>και</w:t>
      </w:r>
      <w:r>
        <w:rPr>
          <w:spacing w:val="-9"/>
        </w:rPr>
        <w:t> </w:t>
      </w:r>
      <w:r>
        <w:rPr/>
        <w:t>η</w:t>
      </w:r>
      <w:r>
        <w:rPr>
          <w:spacing w:val="-10"/>
        </w:rPr>
        <w:t> </w:t>
      </w:r>
      <w:r>
        <w:rPr/>
        <w:t>παράταση</w:t>
      </w:r>
      <w:r>
        <w:rPr>
          <w:spacing w:val="-9"/>
        </w:rPr>
        <w:t> </w:t>
      </w:r>
      <w:r>
        <w:rPr/>
        <w:t>διάρκειας, με ποσοστά 42%, 26% και 25% αντίστοιχα (βλ. Διάγραμμα V.16β).</w:t>
      </w:r>
    </w:p>
    <w:p>
      <w:pPr>
        <w:pStyle w:val="BodyText"/>
        <w:rPr>
          <w:sz w:val="7"/>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4"/>
        <w:gridCol w:w="4261"/>
      </w:tblGrid>
      <w:tr>
        <w:trPr>
          <w:trHeight w:val="532" w:hRule="atLeast"/>
        </w:trPr>
        <w:tc>
          <w:tcPr>
            <w:tcW w:w="4244" w:type="dxa"/>
            <w:tcBorders>
              <w:right w:val="single" w:sz="54" w:space="0" w:color="FFFFFF"/>
            </w:tcBorders>
            <w:shd w:val="clear" w:color="auto" w:fill="1F487C"/>
          </w:tcPr>
          <w:p>
            <w:pPr>
              <w:pStyle w:val="TableParagraph"/>
              <w:spacing w:before="60"/>
              <w:ind w:left="112" w:right="209"/>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V.16α</w:t>
            </w:r>
            <w:r>
              <w:rPr>
                <w:b/>
                <w:smallCaps w:val="0"/>
                <w:color w:val="FFFFFF"/>
                <w:spacing w:val="-9"/>
                <w:sz w:val="18"/>
              </w:rPr>
              <w:t> </w:t>
            </w:r>
            <w:r>
              <w:rPr>
                <w:b/>
                <w:smallCaps w:val="0"/>
                <w:color w:val="FFFFFF"/>
                <w:sz w:val="18"/>
              </w:rPr>
              <w:t>Βραχυπρόθεσμες</w:t>
            </w:r>
            <w:r>
              <w:rPr>
                <w:b/>
                <w:smallCaps w:val="0"/>
                <w:color w:val="FFFFFF"/>
                <w:spacing w:val="-8"/>
                <w:sz w:val="18"/>
              </w:rPr>
              <w:t> </w:t>
            </w:r>
            <w:r>
              <w:rPr>
                <w:b/>
                <w:smallCaps w:val="0"/>
                <w:color w:val="FFFFFF"/>
                <w:sz w:val="18"/>
              </w:rPr>
              <w:t>ρυθμίσε</w:t>
            </w:r>
            <w:r>
              <w:rPr>
                <w:b/>
                <w:smallCaps/>
                <w:color w:val="FFFFFF"/>
                <w:sz w:val="18"/>
              </w:rPr>
              <w:t>ι</w:t>
            </w:r>
            <w:r>
              <w:rPr>
                <w:b/>
                <w:smallCaps w:val="0"/>
                <w:color w:val="FFFFFF"/>
                <w:sz w:val="18"/>
              </w:rPr>
              <w:t>ς</w:t>
            </w:r>
            <w:r>
              <w:rPr>
                <w:b/>
                <w:smallCaps w:val="0"/>
                <w:color w:val="FFFFFF"/>
                <w:spacing w:val="-9"/>
                <w:sz w:val="18"/>
              </w:rPr>
              <w:t> </w:t>
            </w:r>
            <w:r>
              <w:rPr>
                <w:b/>
                <w:smallCaps w:val="0"/>
                <w:color w:val="FFFFFF"/>
                <w:sz w:val="18"/>
              </w:rPr>
              <w:t>(Δε-κέμβρ</w:t>
            </w:r>
            <w:r>
              <w:rPr>
                <w:b/>
                <w:smallCaps/>
                <w:color w:val="FFFFFF"/>
                <w:sz w:val="18"/>
              </w:rPr>
              <w:t>ιο</w:t>
            </w:r>
            <w:r>
              <w:rPr>
                <w:b/>
                <w:smallCaps w:val="0"/>
                <w:color w:val="FFFFFF"/>
                <w:sz w:val="18"/>
              </w:rPr>
              <w:t>ς 2025)</w:t>
            </w:r>
          </w:p>
        </w:tc>
        <w:tc>
          <w:tcPr>
            <w:tcW w:w="4261" w:type="dxa"/>
            <w:tcBorders>
              <w:left w:val="single" w:sz="54" w:space="0" w:color="FFFFFF"/>
            </w:tcBorders>
            <w:shd w:val="clear" w:color="auto" w:fill="1F487C"/>
          </w:tcPr>
          <w:p>
            <w:pPr>
              <w:pStyle w:val="TableParagraph"/>
              <w:spacing w:before="60"/>
              <w:ind w:left="112" w:right="168"/>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V.16β</w:t>
            </w:r>
            <w:r>
              <w:rPr>
                <w:b/>
                <w:smallCaps w:val="0"/>
                <w:color w:val="FFFFFF"/>
                <w:spacing w:val="-8"/>
                <w:sz w:val="18"/>
              </w:rPr>
              <w:t> </w:t>
            </w:r>
            <w:r>
              <w:rPr>
                <w:b/>
                <w:smallCaps w:val="0"/>
                <w:color w:val="FFFFFF"/>
                <w:sz w:val="18"/>
              </w:rPr>
              <w:t>Μακροπρόθεσμες</w:t>
            </w:r>
            <w:r>
              <w:rPr>
                <w:b/>
                <w:smallCaps w:val="0"/>
                <w:color w:val="FFFFFF"/>
                <w:spacing w:val="-9"/>
                <w:sz w:val="18"/>
              </w:rPr>
              <w:t> </w:t>
            </w:r>
            <w:r>
              <w:rPr>
                <w:b/>
                <w:smallCaps w:val="0"/>
                <w:color w:val="FFFFFF"/>
                <w:sz w:val="18"/>
              </w:rPr>
              <w:t>ρυθμίσε</w:t>
            </w:r>
            <w:r>
              <w:rPr>
                <w:b/>
                <w:smallCaps/>
                <w:color w:val="FFFFFF"/>
                <w:sz w:val="18"/>
              </w:rPr>
              <w:t>ι</w:t>
            </w:r>
            <w:r>
              <w:rPr>
                <w:b/>
                <w:smallCaps w:val="0"/>
                <w:color w:val="FFFFFF"/>
                <w:sz w:val="18"/>
              </w:rPr>
              <w:t>ς</w:t>
            </w:r>
            <w:r>
              <w:rPr>
                <w:b/>
                <w:smallCaps w:val="0"/>
                <w:color w:val="FFFFFF"/>
                <w:spacing w:val="-8"/>
                <w:sz w:val="18"/>
              </w:rPr>
              <w:t> </w:t>
            </w:r>
            <w:r>
              <w:rPr>
                <w:b/>
                <w:smallCaps w:val="0"/>
                <w:color w:val="FFFFFF"/>
                <w:sz w:val="18"/>
              </w:rPr>
              <w:t>(Δε-κέμβρ</w:t>
            </w:r>
            <w:r>
              <w:rPr>
                <w:b/>
                <w:smallCaps/>
                <w:color w:val="FFFFFF"/>
                <w:sz w:val="18"/>
              </w:rPr>
              <w:t>ιο</w:t>
            </w:r>
            <w:r>
              <w:rPr>
                <w:b/>
                <w:smallCaps w:val="0"/>
                <w:color w:val="FFFFFF"/>
                <w:sz w:val="18"/>
              </w:rPr>
              <w:t>ς 2025)</w:t>
            </w:r>
          </w:p>
        </w:tc>
      </w:tr>
      <w:tr>
        <w:trPr>
          <w:trHeight w:val="340" w:hRule="atLeast"/>
        </w:trPr>
        <w:tc>
          <w:tcPr>
            <w:tcW w:w="4244" w:type="dxa"/>
            <w:tcBorders>
              <w:right w:val="single" w:sz="54" w:space="0" w:color="FFFFFF"/>
            </w:tcBorders>
          </w:tcPr>
          <w:p>
            <w:pPr>
              <w:pStyle w:val="TableParagraph"/>
              <w:spacing w:before="119"/>
              <w:ind w:left="57"/>
              <w:rPr>
                <w:sz w:val="14"/>
              </w:rPr>
            </w:pPr>
            <w:r>
              <w:rPr>
                <w:color w:val="1F487C"/>
                <w:sz w:val="14"/>
              </w:rPr>
              <w:t>(δισεκ.</w:t>
            </w:r>
            <w:r>
              <w:rPr>
                <w:color w:val="1F487C"/>
                <w:spacing w:val="-5"/>
                <w:sz w:val="14"/>
              </w:rPr>
              <w:t> </w:t>
            </w:r>
            <w:r>
              <w:rPr>
                <w:color w:val="1F487C"/>
                <w:spacing w:val="-2"/>
                <w:sz w:val="14"/>
              </w:rPr>
              <w:t>ευρώ)</w:t>
            </w:r>
          </w:p>
        </w:tc>
        <w:tc>
          <w:tcPr>
            <w:tcW w:w="4261" w:type="dxa"/>
            <w:tcBorders>
              <w:left w:val="single" w:sz="54" w:space="0" w:color="FFFFFF"/>
            </w:tcBorders>
          </w:tcPr>
          <w:p>
            <w:pPr>
              <w:pStyle w:val="TableParagraph"/>
              <w:spacing w:before="119"/>
              <w:ind w:left="57"/>
              <w:rPr>
                <w:sz w:val="14"/>
              </w:rPr>
            </w:pPr>
            <w:r>
              <w:rPr>
                <w:color w:val="1F487C"/>
                <w:sz w:val="14"/>
              </w:rPr>
              <w:t>(δισεκ.</w:t>
            </w:r>
            <w:r>
              <w:rPr>
                <w:color w:val="1F487C"/>
                <w:spacing w:val="-5"/>
                <w:sz w:val="14"/>
              </w:rPr>
              <w:t> </w:t>
            </w:r>
            <w:r>
              <w:rPr>
                <w:color w:val="1F487C"/>
                <w:spacing w:val="-2"/>
                <w:sz w:val="14"/>
              </w:rPr>
              <w:t>ευρώ)</w:t>
            </w:r>
          </w:p>
        </w:tc>
      </w:tr>
      <w:tr>
        <w:trPr>
          <w:trHeight w:val="2816" w:hRule="atLeast"/>
        </w:trPr>
        <w:tc>
          <w:tcPr>
            <w:tcW w:w="4244" w:type="dxa"/>
            <w:tcBorders>
              <w:right w:val="single" w:sz="54" w:space="0" w:color="FFFFFF"/>
            </w:tcBorders>
            <w:shd w:val="clear" w:color="auto" w:fill="D9D9D9"/>
          </w:tcPr>
          <w:p>
            <w:pPr>
              <w:pStyle w:val="TableParagraph"/>
              <w:spacing w:before="2"/>
              <w:rPr>
                <w:sz w:val="5"/>
              </w:rPr>
            </w:pPr>
          </w:p>
          <w:p>
            <w:pPr>
              <w:pStyle w:val="TableParagraph"/>
              <w:ind w:left="-1" w:right="-72"/>
              <w:rPr>
                <w:sz w:val="20"/>
              </w:rPr>
            </w:pPr>
            <w:r>
              <w:rPr>
                <w:sz w:val="20"/>
              </w:rPr>
              <w:drawing>
                <wp:inline distT="0" distB="0" distL="0" distR="0">
                  <wp:extent cx="2670510" cy="1718310"/>
                  <wp:effectExtent l="0" t="0" r="0" b="0"/>
                  <wp:docPr id="700" name="Image 700"/>
                  <wp:cNvGraphicFramePr>
                    <a:graphicFrameLocks/>
                  </wp:cNvGraphicFramePr>
                  <a:graphic>
                    <a:graphicData uri="http://schemas.openxmlformats.org/drawingml/2006/picture">
                      <pic:pic>
                        <pic:nvPicPr>
                          <pic:cNvPr id="700" name="Image 700"/>
                          <pic:cNvPicPr/>
                        </pic:nvPicPr>
                        <pic:blipFill>
                          <a:blip r:embed="rId117" cstate="print"/>
                          <a:stretch>
                            <a:fillRect/>
                          </a:stretch>
                        </pic:blipFill>
                        <pic:spPr>
                          <a:xfrm>
                            <a:off x="0" y="0"/>
                            <a:ext cx="2670510" cy="1718310"/>
                          </a:xfrm>
                          <a:prstGeom prst="rect">
                            <a:avLst/>
                          </a:prstGeom>
                        </pic:spPr>
                      </pic:pic>
                    </a:graphicData>
                  </a:graphic>
                </wp:inline>
              </w:drawing>
            </w:r>
            <w:r>
              <w:rPr>
                <w:sz w:val="20"/>
              </w:rPr>
            </w:r>
          </w:p>
        </w:tc>
        <w:tc>
          <w:tcPr>
            <w:tcW w:w="4261" w:type="dxa"/>
            <w:tcBorders>
              <w:left w:val="single" w:sz="54" w:space="0" w:color="FFFFFF"/>
            </w:tcBorders>
            <w:shd w:val="clear" w:color="auto" w:fill="D9D9D9"/>
          </w:tcPr>
          <w:p>
            <w:pPr>
              <w:pStyle w:val="TableParagraph"/>
              <w:spacing w:before="2"/>
              <w:rPr>
                <w:sz w:val="5"/>
              </w:rPr>
            </w:pPr>
          </w:p>
          <w:p>
            <w:pPr>
              <w:pStyle w:val="TableParagraph"/>
              <w:ind w:left="-2" w:right="-72"/>
              <w:rPr>
                <w:sz w:val="20"/>
              </w:rPr>
            </w:pPr>
            <w:r>
              <w:rPr>
                <w:sz w:val="20"/>
              </w:rPr>
              <w:drawing>
                <wp:inline distT="0" distB="0" distL="0" distR="0">
                  <wp:extent cx="2680128" cy="1634489"/>
                  <wp:effectExtent l="0" t="0" r="0" b="0"/>
                  <wp:docPr id="701" name="Image 701"/>
                  <wp:cNvGraphicFramePr>
                    <a:graphicFrameLocks/>
                  </wp:cNvGraphicFramePr>
                  <a:graphic>
                    <a:graphicData uri="http://schemas.openxmlformats.org/drawingml/2006/picture">
                      <pic:pic>
                        <pic:nvPicPr>
                          <pic:cNvPr id="701" name="Image 701"/>
                          <pic:cNvPicPr/>
                        </pic:nvPicPr>
                        <pic:blipFill>
                          <a:blip r:embed="rId118" cstate="print"/>
                          <a:stretch>
                            <a:fillRect/>
                          </a:stretch>
                        </pic:blipFill>
                        <pic:spPr>
                          <a:xfrm>
                            <a:off x="0" y="0"/>
                            <a:ext cx="2680128" cy="1634489"/>
                          </a:xfrm>
                          <a:prstGeom prst="rect">
                            <a:avLst/>
                          </a:prstGeom>
                        </pic:spPr>
                      </pic:pic>
                    </a:graphicData>
                  </a:graphic>
                </wp:inline>
              </w:drawing>
            </w:r>
            <w:r>
              <w:rPr>
                <w:sz w:val="20"/>
              </w:rPr>
            </w:r>
          </w:p>
        </w:tc>
      </w:tr>
      <w:tr>
        <w:trPr>
          <w:trHeight w:val="284" w:hRule="atLeast"/>
        </w:trPr>
        <w:tc>
          <w:tcPr>
            <w:tcW w:w="4244" w:type="dxa"/>
            <w:tcBorders>
              <w:right w:val="single" w:sz="54" w:space="0" w:color="FFFFFF"/>
            </w:tcBorders>
            <w:shd w:val="clear" w:color="auto" w:fill="D9D9D9"/>
          </w:tcPr>
          <w:p>
            <w:pPr>
              <w:pStyle w:val="TableParagraph"/>
              <w:spacing w:before="63"/>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c>
          <w:tcPr>
            <w:tcW w:w="4261" w:type="dxa"/>
            <w:tcBorders>
              <w:left w:val="single" w:sz="54" w:space="0" w:color="FFFFFF"/>
            </w:tcBorders>
            <w:shd w:val="clear" w:color="auto" w:fill="D9D9D9"/>
          </w:tcPr>
          <w:p>
            <w:pPr>
              <w:pStyle w:val="TableParagraph"/>
              <w:spacing w:before="63"/>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BodyText"/>
        <w:rPr>
          <w:sz w:val="20"/>
        </w:rPr>
      </w:pPr>
    </w:p>
    <w:p>
      <w:pPr>
        <w:pStyle w:val="BodyText"/>
        <w:spacing w:before="147"/>
        <w:rPr>
          <w:sz w:val="20"/>
        </w:rPr>
      </w:pPr>
    </w:p>
    <w:p>
      <w:pPr>
        <w:pStyle w:val="BodyText"/>
        <w:spacing w:after="0"/>
        <w:rPr>
          <w:sz w:val="20"/>
        </w:rPr>
        <w:sectPr>
          <w:pgSz w:w="11910" w:h="16850"/>
          <w:pgMar w:header="0" w:footer="1108" w:top="1840" w:bottom="1300" w:left="1417" w:right="850"/>
        </w:sectPr>
      </w:pPr>
    </w:p>
    <w:p>
      <w:pPr>
        <w:pStyle w:val="BodyText"/>
        <w:spacing w:line="285" w:lineRule="auto" w:before="92"/>
        <w:ind w:left="172" w:right="112"/>
        <w:jc w:val="both"/>
      </w:pPr>
      <w:r>
        <w:rPr/>
        <w:t>Την</w:t>
      </w:r>
      <w:r>
        <w:rPr>
          <w:spacing w:val="-9"/>
        </w:rPr>
        <w:t> </w:t>
      </w:r>
      <w:r>
        <w:rPr/>
        <w:t>ίδια</w:t>
      </w:r>
      <w:r>
        <w:rPr>
          <w:spacing w:val="-10"/>
        </w:rPr>
        <w:t> </w:t>
      </w:r>
      <w:r>
        <w:rPr/>
        <w:t>περίοδο,</w:t>
      </w:r>
      <w:r>
        <w:rPr>
          <w:spacing w:val="-10"/>
        </w:rPr>
        <w:t> </w:t>
      </w:r>
      <w:r>
        <w:rPr/>
        <w:t>οι</w:t>
      </w:r>
      <w:r>
        <w:rPr>
          <w:spacing w:val="-9"/>
        </w:rPr>
        <w:t> </w:t>
      </w:r>
      <w:r>
        <w:rPr/>
        <w:t>ρυθμίσεις</w:t>
      </w:r>
      <w:r>
        <w:rPr>
          <w:spacing w:val="-11"/>
        </w:rPr>
        <w:t> </w:t>
      </w:r>
      <w:r>
        <w:rPr/>
        <w:t>που</w:t>
      </w:r>
      <w:r>
        <w:rPr>
          <w:spacing w:val="-9"/>
        </w:rPr>
        <w:t> </w:t>
      </w:r>
      <w:r>
        <w:rPr/>
        <w:t>υπόκεινται σε</w:t>
      </w:r>
      <w:r>
        <w:rPr>
          <w:spacing w:val="-9"/>
        </w:rPr>
        <w:t> </w:t>
      </w:r>
      <w:r>
        <w:rPr/>
        <w:t>καθεστώς</w:t>
      </w:r>
      <w:r>
        <w:rPr>
          <w:spacing w:val="-12"/>
        </w:rPr>
        <w:t> </w:t>
      </w:r>
      <w:r>
        <w:rPr/>
        <w:t>νομικής</w:t>
      </w:r>
      <w:r>
        <w:rPr>
          <w:spacing w:val="-10"/>
        </w:rPr>
        <w:t> </w:t>
      </w:r>
      <w:r>
        <w:rPr/>
        <w:t>προστασίας,</w:t>
      </w:r>
      <w:r>
        <w:rPr>
          <w:spacing w:val="-9"/>
        </w:rPr>
        <w:t> </w:t>
      </w:r>
      <w:r>
        <w:rPr/>
        <w:t>οι</w:t>
      </w:r>
      <w:r>
        <w:rPr>
          <w:spacing w:val="-9"/>
        </w:rPr>
        <w:t> </w:t>
      </w:r>
      <w:r>
        <w:rPr/>
        <w:t>πλειστη-ριασμοί και οι λύσεις διακανονισμού απαιτή-σεων</w:t>
      </w:r>
      <w:r>
        <w:rPr>
          <w:spacing w:val="-8"/>
        </w:rPr>
        <w:t> </w:t>
      </w:r>
      <w:r>
        <w:rPr/>
        <w:t>(με</w:t>
      </w:r>
      <w:r>
        <w:rPr>
          <w:spacing w:val="-6"/>
        </w:rPr>
        <w:t> </w:t>
      </w:r>
      <w:r>
        <w:rPr/>
        <w:t>ποσοστά</w:t>
      </w:r>
      <w:r>
        <w:rPr>
          <w:spacing w:val="-5"/>
        </w:rPr>
        <w:t> </w:t>
      </w:r>
      <w:r>
        <w:rPr/>
        <w:t>59%,</w:t>
      </w:r>
      <w:r>
        <w:rPr>
          <w:spacing w:val="-6"/>
        </w:rPr>
        <w:t> </w:t>
      </w:r>
      <w:r>
        <w:rPr/>
        <w:t>26%</w:t>
      </w:r>
      <w:r>
        <w:rPr>
          <w:spacing w:val="-6"/>
        </w:rPr>
        <w:t> </w:t>
      </w:r>
      <w:r>
        <w:rPr/>
        <w:t>και</w:t>
      </w:r>
      <w:r>
        <w:rPr>
          <w:spacing w:val="-6"/>
        </w:rPr>
        <w:t> </w:t>
      </w:r>
      <w:r>
        <w:rPr/>
        <w:t>14%</w:t>
      </w:r>
      <w:r>
        <w:rPr>
          <w:spacing w:val="-8"/>
        </w:rPr>
        <w:t> </w:t>
      </w:r>
      <w:r>
        <w:rPr/>
        <w:t>επί</w:t>
      </w:r>
      <w:r>
        <w:rPr>
          <w:spacing w:val="-6"/>
        </w:rPr>
        <w:t> </w:t>
      </w:r>
      <w:r>
        <w:rPr/>
        <w:t>του συνόλου</w:t>
      </w:r>
      <w:r>
        <w:rPr>
          <w:spacing w:val="-8"/>
        </w:rPr>
        <w:t> </w:t>
      </w:r>
      <w:r>
        <w:rPr/>
        <w:t>αντίστοιχα)</w:t>
      </w:r>
      <w:r>
        <w:rPr>
          <w:spacing w:val="-10"/>
        </w:rPr>
        <w:t> </w:t>
      </w:r>
      <w:r>
        <w:rPr/>
        <w:t>αποτελούν</w:t>
      </w:r>
      <w:r>
        <w:rPr>
          <w:spacing w:val="-8"/>
        </w:rPr>
        <w:t> </w:t>
      </w:r>
      <w:r>
        <w:rPr/>
        <w:t>τους</w:t>
      </w:r>
      <w:r>
        <w:rPr>
          <w:spacing w:val="-9"/>
        </w:rPr>
        <w:t> </w:t>
      </w:r>
      <w:r>
        <w:rPr/>
        <w:t>συνηθέ-στερους τύπους οριστικής διευθέτησης</w:t>
      </w:r>
      <w:hyperlink w:history="true" w:anchor="_bookmark130">
        <w:r>
          <w:rPr>
            <w:position w:val="6"/>
            <w:sz w:val="10"/>
          </w:rPr>
          <w:t>90</w:t>
        </w:r>
      </w:hyperlink>
      <w:r>
        <w:rPr>
          <w:spacing w:val="40"/>
          <w:position w:val="6"/>
          <w:sz w:val="10"/>
        </w:rPr>
        <w:t> </w:t>
      </w:r>
      <w:r>
        <w:rPr/>
        <w:t>(βλ. Διάγραμμα V.16γ).</w:t>
      </w:r>
    </w:p>
    <w:p>
      <w:pPr>
        <w:pStyle w:val="BodyText"/>
        <w:rPr>
          <w:sz w:val="14"/>
        </w:rPr>
      </w:pPr>
      <w:r>
        <w:rPr/>
        <w:br w:type="column"/>
      </w:r>
      <w:r>
        <w:rPr>
          <w:sz w:val="14"/>
        </w:rPr>
      </w:r>
    </w:p>
    <w:p>
      <w:pPr>
        <w:pStyle w:val="BodyText"/>
        <w:rPr>
          <w:sz w:val="14"/>
        </w:rPr>
      </w:pPr>
    </w:p>
    <w:p>
      <w:pPr>
        <w:pStyle w:val="BodyText"/>
        <w:spacing w:before="108"/>
        <w:rPr>
          <w:sz w:val="14"/>
        </w:rPr>
      </w:pPr>
    </w:p>
    <w:p>
      <w:pPr>
        <w:spacing w:before="0"/>
        <w:ind w:left="78" w:right="0" w:firstLine="0"/>
        <w:jc w:val="left"/>
        <w:rPr>
          <w:sz w:val="14"/>
        </w:rPr>
      </w:pPr>
      <w:r>
        <w:rPr>
          <w:sz w:val="14"/>
        </w:rPr>
        <mc:AlternateContent>
          <mc:Choice Requires="wps">
            <w:drawing>
              <wp:anchor distT="0" distB="0" distL="0" distR="0" allowOverlap="1" layoutInCell="1" locked="0" behindDoc="0" simplePos="0" relativeHeight="15799296">
                <wp:simplePos x="0" y="0"/>
                <wp:positionH relativeFrom="page">
                  <wp:posOffset>3698747</wp:posOffset>
                </wp:positionH>
                <wp:positionV relativeFrom="paragraph">
                  <wp:posOffset>141145</wp:posOffset>
                </wp:positionV>
                <wp:extent cx="2701925" cy="1875155"/>
                <wp:effectExtent l="0" t="0" r="0" b="0"/>
                <wp:wrapNone/>
                <wp:docPr id="702" name="Group 702"/>
                <wp:cNvGraphicFramePr>
                  <a:graphicFrameLocks/>
                </wp:cNvGraphicFramePr>
                <a:graphic>
                  <a:graphicData uri="http://schemas.microsoft.com/office/word/2010/wordprocessingGroup">
                    <wpg:wgp>
                      <wpg:cNvPr id="702" name="Group 702"/>
                      <wpg:cNvGrpSpPr/>
                      <wpg:grpSpPr>
                        <a:xfrm>
                          <a:off x="0" y="0"/>
                          <a:ext cx="2701925" cy="1875155"/>
                          <a:chExt cx="2701925" cy="1875155"/>
                        </a:xfrm>
                      </wpg:grpSpPr>
                      <wps:wsp>
                        <wps:cNvPr id="703" name="Graphic 703"/>
                        <wps:cNvSpPr/>
                        <wps:spPr>
                          <a:xfrm>
                            <a:off x="635" y="0"/>
                            <a:ext cx="2701290" cy="1875155"/>
                          </a:xfrm>
                          <a:custGeom>
                            <a:avLst/>
                            <a:gdLst/>
                            <a:ahLst/>
                            <a:cxnLst/>
                            <a:rect l="l" t="t" r="r" b="b"/>
                            <a:pathLst>
                              <a:path w="2701290" h="1875155">
                                <a:moveTo>
                                  <a:pt x="2701163" y="1658188"/>
                                </a:moveTo>
                                <a:lnTo>
                                  <a:pt x="0" y="1658188"/>
                                </a:lnTo>
                                <a:lnTo>
                                  <a:pt x="0" y="1874901"/>
                                </a:lnTo>
                                <a:lnTo>
                                  <a:pt x="2701163" y="1874901"/>
                                </a:lnTo>
                                <a:lnTo>
                                  <a:pt x="2701163" y="1658188"/>
                                </a:lnTo>
                                <a:close/>
                              </a:path>
                              <a:path w="2701290" h="1875155">
                                <a:moveTo>
                                  <a:pt x="2701163" y="0"/>
                                </a:moveTo>
                                <a:lnTo>
                                  <a:pt x="0" y="0"/>
                                </a:lnTo>
                                <a:lnTo>
                                  <a:pt x="0" y="1658112"/>
                                </a:lnTo>
                                <a:lnTo>
                                  <a:pt x="2701163" y="1658112"/>
                                </a:lnTo>
                                <a:lnTo>
                                  <a:pt x="2701163" y="0"/>
                                </a:lnTo>
                                <a:close/>
                              </a:path>
                            </a:pathLst>
                          </a:custGeom>
                          <a:solidFill>
                            <a:srgbClr val="D9D9D9"/>
                          </a:solidFill>
                        </wps:spPr>
                        <wps:bodyPr wrap="square" lIns="0" tIns="0" rIns="0" bIns="0" rtlCol="0">
                          <a:prstTxWarp prst="textNoShape">
                            <a:avLst/>
                          </a:prstTxWarp>
                          <a:noAutofit/>
                        </wps:bodyPr>
                      </wps:wsp>
                      <pic:pic>
                        <pic:nvPicPr>
                          <pic:cNvPr id="704" name="Image 704"/>
                          <pic:cNvPicPr/>
                        </pic:nvPicPr>
                        <pic:blipFill>
                          <a:blip r:embed="rId119" cstate="print"/>
                          <a:stretch>
                            <a:fillRect/>
                          </a:stretch>
                        </pic:blipFill>
                        <pic:spPr>
                          <a:xfrm>
                            <a:off x="0" y="37465"/>
                            <a:ext cx="2660523" cy="1612264"/>
                          </a:xfrm>
                          <a:prstGeom prst="rect">
                            <a:avLst/>
                          </a:prstGeom>
                        </pic:spPr>
                      </pic:pic>
                      <wps:wsp>
                        <wps:cNvPr id="705" name="Textbox 705"/>
                        <wps:cNvSpPr txBox="1"/>
                        <wps:spPr>
                          <a:xfrm>
                            <a:off x="635" y="0"/>
                            <a:ext cx="2701290" cy="187515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54"/>
                                <w:rPr>
                                  <w:sz w:val="14"/>
                                </w:rPr>
                              </w:pPr>
                            </w:p>
                            <w:p>
                              <w:pPr>
                                <w:spacing w:before="1"/>
                                <w:ind w:left="112"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anchor>
            </w:drawing>
          </mc:Choice>
          <mc:Fallback>
            <w:pict>
              <v:group style="position:absolute;margin-left:291.239990pt;margin-top:11.113794pt;width:212.75pt;height:147.65pt;mso-position-horizontal-relative:page;mso-position-vertical-relative:paragraph;z-index:15799296" id="docshapegroup657" coordorigin="5825,222" coordsize="4255,2953">
                <v:shape style="position:absolute;left:5825;top:222;width:4254;height:2953" id="docshape658" coordorigin="5826,222" coordsize="4254,2953" path="m10080,2834l5826,2834,5826,3175,10080,3175,10080,2834xm10080,222l5826,222,5826,2833,10080,2833,10080,222xe" filled="true" fillcolor="#d9d9d9" stroked="false">
                  <v:path arrowok="t"/>
                  <v:fill type="solid"/>
                </v:shape>
                <v:shape style="position:absolute;left:5824;top:281;width:4190;height:2539" type="#_x0000_t75" id="docshape659" stroked="false">
                  <v:imagedata r:id="rId119" o:title=""/>
                </v:shape>
                <v:shape style="position:absolute;left:5825;top:222;width:4254;height:2953" type="#_x0000_t202" id="docshape660"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54"/>
                          <w:rPr>
                            <w:sz w:val="14"/>
                          </w:rPr>
                        </w:pPr>
                      </w:p>
                      <w:p>
                        <w:pPr>
                          <w:spacing w:before="1"/>
                          <w:ind w:left="112"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v:textbox>
                  <w10:wrap type="none"/>
                </v:shape>
                <w10:wrap type="none"/>
              </v:group>
            </w:pict>
          </mc:Fallback>
        </mc:AlternateContent>
      </w:r>
      <w:r>
        <w:rPr>
          <w:sz w:val="14"/>
        </w:rPr>
        <mc:AlternateContent>
          <mc:Choice Requires="wps">
            <w:drawing>
              <wp:anchor distT="0" distB="0" distL="0" distR="0" allowOverlap="1" layoutInCell="1" locked="0" behindDoc="0" simplePos="0" relativeHeight="15799808">
                <wp:simplePos x="0" y="0"/>
                <wp:positionH relativeFrom="page">
                  <wp:posOffset>3699383</wp:posOffset>
                </wp:positionH>
                <wp:positionV relativeFrom="paragraph">
                  <wp:posOffset>-413895</wp:posOffset>
                </wp:positionV>
                <wp:extent cx="2701290" cy="339090"/>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2701290" cy="339090"/>
                        </a:xfrm>
                        <a:prstGeom prst="rect">
                          <a:avLst/>
                        </a:prstGeom>
                        <a:solidFill>
                          <a:srgbClr val="1F487C"/>
                        </a:solidFill>
                      </wps:spPr>
                      <wps:txbx>
                        <w:txbxContent>
                          <w:p>
                            <w:pPr>
                              <w:spacing w:before="60"/>
                              <w:ind w:left="112" w:right="31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V.16γ</w:t>
                            </w:r>
                            <w:r>
                              <w:rPr>
                                <w:b/>
                                <w:smallCaps w:val="0"/>
                                <w:color w:val="FFFFFF"/>
                                <w:spacing w:val="-8"/>
                                <w:sz w:val="18"/>
                              </w:rPr>
                              <w:t> </w:t>
                            </w:r>
                            <w:r>
                              <w:rPr>
                                <w:b/>
                                <w:smallCaps w:val="0"/>
                                <w:color w:val="FFFFFF"/>
                                <w:sz w:val="18"/>
                              </w:rPr>
                              <w:t>Ορ</w:t>
                            </w:r>
                            <w:r>
                              <w:rPr>
                                <w:b/>
                                <w:smallCaps/>
                                <w:color w:val="FFFFFF"/>
                                <w:sz w:val="18"/>
                              </w:rPr>
                              <w:t>ι</w:t>
                            </w:r>
                            <w:r>
                              <w:rPr>
                                <w:b/>
                                <w:smallCaps w:val="0"/>
                                <w:color w:val="FFFFFF"/>
                                <w:sz w:val="18"/>
                              </w:rPr>
                              <w:t>στ</w:t>
                            </w:r>
                            <w:r>
                              <w:rPr>
                                <w:b/>
                                <w:smallCaps/>
                                <w:color w:val="FFFFFF"/>
                                <w:sz w:val="18"/>
                              </w:rPr>
                              <w:t>ι</w:t>
                            </w:r>
                            <w:r>
                              <w:rPr>
                                <w:b/>
                                <w:smallCaps w:val="0"/>
                                <w:color w:val="FFFFFF"/>
                                <w:sz w:val="18"/>
                              </w:rPr>
                              <w:t>κές</w:t>
                            </w:r>
                            <w:r>
                              <w:rPr>
                                <w:b/>
                                <w:smallCaps w:val="0"/>
                                <w:color w:val="FFFFFF"/>
                                <w:spacing w:val="-8"/>
                                <w:sz w:val="18"/>
                              </w:rPr>
                              <w:t> </w:t>
                            </w:r>
                            <w:r>
                              <w:rPr>
                                <w:b/>
                                <w:smallCaps w:val="0"/>
                                <w:color w:val="FFFFFF"/>
                                <w:sz w:val="18"/>
                              </w:rPr>
                              <w:t>δ</w:t>
                            </w:r>
                            <w:r>
                              <w:rPr>
                                <w:b/>
                                <w:smallCaps/>
                                <w:color w:val="FFFFFF"/>
                                <w:sz w:val="18"/>
                              </w:rPr>
                              <w:t>ι</w:t>
                            </w:r>
                            <w:r>
                              <w:rPr>
                                <w:b/>
                                <w:smallCaps w:val="0"/>
                                <w:color w:val="FFFFFF"/>
                                <w:sz w:val="18"/>
                              </w:rPr>
                              <w:t>ευθετήσε</w:t>
                            </w:r>
                            <w:r>
                              <w:rPr>
                                <w:b/>
                                <w:smallCaps/>
                                <w:color w:val="FFFFFF"/>
                                <w:sz w:val="18"/>
                              </w:rPr>
                              <w:t>ι</w:t>
                            </w:r>
                            <w:r>
                              <w:rPr>
                                <w:b/>
                                <w:smallCaps w:val="0"/>
                                <w:color w:val="FFFFFF"/>
                                <w:sz w:val="18"/>
                              </w:rPr>
                              <w:t>ς</w:t>
                            </w:r>
                            <w:r>
                              <w:rPr>
                                <w:b/>
                                <w:smallCaps w:val="0"/>
                                <w:color w:val="FFFFFF"/>
                                <w:spacing w:val="-7"/>
                                <w:sz w:val="18"/>
                              </w:rPr>
                              <w:t> </w:t>
                            </w:r>
                            <w:r>
                              <w:rPr>
                                <w:b/>
                                <w:smallCaps w:val="0"/>
                                <w:color w:val="FFFFFF"/>
                                <w:sz w:val="18"/>
                              </w:rPr>
                              <w:t>(Δεκέμ-βρ</w:t>
                            </w:r>
                            <w:r>
                              <w:rPr>
                                <w:b/>
                                <w:smallCaps/>
                                <w:color w:val="FFFFFF"/>
                                <w:sz w:val="18"/>
                              </w:rPr>
                              <w:t>ιο</w:t>
                            </w:r>
                            <w:r>
                              <w:rPr>
                                <w:b/>
                                <w:smallCaps w:val="0"/>
                                <w:color w:val="FFFFFF"/>
                                <w:sz w:val="18"/>
                              </w:rPr>
                              <w:t>ς 2025)</w:t>
                            </w:r>
                          </w:p>
                        </w:txbxContent>
                      </wps:txbx>
                      <wps:bodyPr wrap="square" lIns="0" tIns="0" rIns="0" bIns="0" rtlCol="0">
                        <a:noAutofit/>
                      </wps:bodyPr>
                    </wps:wsp>
                  </a:graphicData>
                </a:graphic>
              </wp:anchor>
            </w:drawing>
          </mc:Choice>
          <mc:Fallback>
            <w:pict>
              <v:shape style="position:absolute;margin-left:291.290009pt;margin-top:-32.590206pt;width:212.7pt;height:26.7pt;mso-position-horizontal-relative:page;mso-position-vertical-relative:paragraph;z-index:15799808" type="#_x0000_t202" id="docshape661" filled="true" fillcolor="#1f487c" stroked="false">
                <v:textbox inset="0,0,0,0">
                  <w:txbxContent>
                    <w:p>
                      <w:pPr>
                        <w:spacing w:before="60"/>
                        <w:ind w:left="112" w:right="311"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8"/>
                          <w:sz w:val="18"/>
                        </w:rPr>
                        <w:t> </w:t>
                      </w:r>
                      <w:r>
                        <w:rPr>
                          <w:b/>
                          <w:smallCaps w:val="0"/>
                          <w:color w:val="FFFFFF"/>
                          <w:sz w:val="18"/>
                        </w:rPr>
                        <w:t>V.16γ</w:t>
                      </w:r>
                      <w:r>
                        <w:rPr>
                          <w:b/>
                          <w:smallCaps w:val="0"/>
                          <w:color w:val="FFFFFF"/>
                          <w:spacing w:val="-8"/>
                          <w:sz w:val="18"/>
                        </w:rPr>
                        <w:t> </w:t>
                      </w:r>
                      <w:r>
                        <w:rPr>
                          <w:b/>
                          <w:smallCaps w:val="0"/>
                          <w:color w:val="FFFFFF"/>
                          <w:sz w:val="18"/>
                        </w:rPr>
                        <w:t>Ορ</w:t>
                      </w:r>
                      <w:r>
                        <w:rPr>
                          <w:b/>
                          <w:smallCaps/>
                          <w:color w:val="FFFFFF"/>
                          <w:sz w:val="18"/>
                        </w:rPr>
                        <w:t>ι</w:t>
                      </w:r>
                      <w:r>
                        <w:rPr>
                          <w:b/>
                          <w:smallCaps w:val="0"/>
                          <w:color w:val="FFFFFF"/>
                          <w:sz w:val="18"/>
                        </w:rPr>
                        <w:t>στ</w:t>
                      </w:r>
                      <w:r>
                        <w:rPr>
                          <w:b/>
                          <w:smallCaps/>
                          <w:color w:val="FFFFFF"/>
                          <w:sz w:val="18"/>
                        </w:rPr>
                        <w:t>ι</w:t>
                      </w:r>
                      <w:r>
                        <w:rPr>
                          <w:b/>
                          <w:smallCaps w:val="0"/>
                          <w:color w:val="FFFFFF"/>
                          <w:sz w:val="18"/>
                        </w:rPr>
                        <w:t>κές</w:t>
                      </w:r>
                      <w:r>
                        <w:rPr>
                          <w:b/>
                          <w:smallCaps w:val="0"/>
                          <w:color w:val="FFFFFF"/>
                          <w:spacing w:val="-8"/>
                          <w:sz w:val="18"/>
                        </w:rPr>
                        <w:t> </w:t>
                      </w:r>
                      <w:r>
                        <w:rPr>
                          <w:b/>
                          <w:smallCaps w:val="0"/>
                          <w:color w:val="FFFFFF"/>
                          <w:sz w:val="18"/>
                        </w:rPr>
                        <w:t>δ</w:t>
                      </w:r>
                      <w:r>
                        <w:rPr>
                          <w:b/>
                          <w:smallCaps/>
                          <w:color w:val="FFFFFF"/>
                          <w:sz w:val="18"/>
                        </w:rPr>
                        <w:t>ι</w:t>
                      </w:r>
                      <w:r>
                        <w:rPr>
                          <w:b/>
                          <w:smallCaps w:val="0"/>
                          <w:color w:val="FFFFFF"/>
                          <w:sz w:val="18"/>
                        </w:rPr>
                        <w:t>ευθετήσε</w:t>
                      </w:r>
                      <w:r>
                        <w:rPr>
                          <w:b/>
                          <w:smallCaps/>
                          <w:color w:val="FFFFFF"/>
                          <w:sz w:val="18"/>
                        </w:rPr>
                        <w:t>ι</w:t>
                      </w:r>
                      <w:r>
                        <w:rPr>
                          <w:b/>
                          <w:smallCaps w:val="0"/>
                          <w:color w:val="FFFFFF"/>
                          <w:sz w:val="18"/>
                        </w:rPr>
                        <w:t>ς</w:t>
                      </w:r>
                      <w:r>
                        <w:rPr>
                          <w:b/>
                          <w:smallCaps w:val="0"/>
                          <w:color w:val="FFFFFF"/>
                          <w:spacing w:val="-7"/>
                          <w:sz w:val="18"/>
                        </w:rPr>
                        <w:t> </w:t>
                      </w:r>
                      <w:r>
                        <w:rPr>
                          <w:b/>
                          <w:smallCaps w:val="0"/>
                          <w:color w:val="FFFFFF"/>
                          <w:sz w:val="18"/>
                        </w:rPr>
                        <w:t>(Δεκέμ-βρ</w:t>
                      </w:r>
                      <w:r>
                        <w:rPr>
                          <w:b/>
                          <w:smallCaps/>
                          <w:color w:val="FFFFFF"/>
                          <w:sz w:val="18"/>
                        </w:rPr>
                        <w:t>ιο</w:t>
                      </w:r>
                      <w:r>
                        <w:rPr>
                          <w:b/>
                          <w:smallCaps w:val="0"/>
                          <w:color w:val="FFFFFF"/>
                          <w:sz w:val="18"/>
                        </w:rPr>
                        <w:t>ς 2025)</w:t>
                      </w:r>
                    </w:p>
                  </w:txbxContent>
                </v:textbox>
                <v:fill type="solid"/>
                <w10:wrap type="none"/>
              </v:shape>
            </w:pict>
          </mc:Fallback>
        </mc:AlternateContent>
      </w:r>
      <w:r>
        <w:rPr>
          <w:color w:val="1F487C"/>
          <w:sz w:val="14"/>
        </w:rPr>
        <w:t>(δισεκ.</w:t>
      </w:r>
      <w:r>
        <w:rPr>
          <w:color w:val="1F487C"/>
          <w:spacing w:val="-5"/>
          <w:sz w:val="14"/>
        </w:rPr>
        <w:t> </w:t>
      </w:r>
      <w:r>
        <w:rPr>
          <w:color w:val="1F487C"/>
          <w:spacing w:val="-2"/>
          <w:sz w:val="14"/>
        </w:rPr>
        <w:t>ευρώ)</w:t>
      </w:r>
    </w:p>
    <w:p>
      <w:pPr>
        <w:spacing w:after="0"/>
        <w:jc w:val="left"/>
        <w:rPr>
          <w:sz w:val="14"/>
        </w:rPr>
        <w:sectPr>
          <w:type w:val="continuous"/>
          <w:pgSz w:w="11910" w:h="16850"/>
          <w:pgMar w:header="0" w:footer="1108" w:top="1320" w:bottom="280" w:left="1417" w:right="850"/>
          <w:cols w:num="2" w:equalWidth="0">
            <w:col w:w="4348" w:space="40"/>
            <w:col w:w="525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3"/>
        <w:rPr>
          <w:sz w:val="20"/>
        </w:rPr>
      </w:pPr>
    </w:p>
    <w:p>
      <w:pPr>
        <w:spacing w:line="20" w:lineRule="exact"/>
        <w:ind w:left="172" w:right="0" w:firstLine="0"/>
        <w:rPr>
          <w:sz w:val="2"/>
        </w:rPr>
      </w:pPr>
      <w:r>
        <w:rPr>
          <w:sz w:val="2"/>
        </w:rPr>
        <mc:AlternateContent>
          <mc:Choice Requires="wps">
            <w:drawing>
              <wp:inline distT="0" distB="0" distL="0" distR="0">
                <wp:extent cx="1829435" cy="7620"/>
                <wp:effectExtent l="0" t="0" r="0" b="0"/>
                <wp:docPr id="707" name="Group 707"/>
                <wp:cNvGraphicFramePr>
                  <a:graphicFrameLocks/>
                </wp:cNvGraphicFramePr>
                <a:graphic>
                  <a:graphicData uri="http://schemas.microsoft.com/office/word/2010/wordprocessingGroup">
                    <wpg:wgp>
                      <wpg:cNvPr id="707" name="Group 707"/>
                      <wpg:cNvGrpSpPr/>
                      <wpg:grpSpPr>
                        <a:xfrm>
                          <a:off x="0" y="0"/>
                          <a:ext cx="1829435" cy="7620"/>
                          <a:chExt cx="1829435" cy="7620"/>
                        </a:xfrm>
                      </wpg:grpSpPr>
                      <wps:wsp>
                        <wps:cNvPr id="708" name="Graphic 70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6pt;mso-position-horizontal-relative:char;mso-position-vertical-relative:line" id="docshapegroup662" coordorigin="0,0" coordsize="2881,12">
                <v:rect style="position:absolute;left:0;top:0;width:2881;height:12" id="docshape663" filled="true" fillcolor="#000000" stroked="false">
                  <v:fill type="solid"/>
                </v:rect>
              </v:group>
            </w:pict>
          </mc:Fallback>
        </mc:AlternateContent>
      </w:r>
      <w:r>
        <w:rPr>
          <w:sz w:val="2"/>
        </w:rPr>
      </w:r>
    </w:p>
    <w:p>
      <w:pPr>
        <w:spacing w:before="159"/>
        <w:ind w:left="172" w:right="961" w:firstLine="0"/>
        <w:jc w:val="both"/>
        <w:rPr>
          <w:sz w:val="16"/>
        </w:rPr>
      </w:pPr>
      <w:bookmarkStart w:name="_bookmark128" w:id="129"/>
      <w:bookmarkEnd w:id="129"/>
      <w:r>
        <w:rPr/>
      </w:r>
      <w:r>
        <w:rPr>
          <w:sz w:val="16"/>
          <w:vertAlign w:val="superscript"/>
        </w:rPr>
        <w:t>88</w:t>
      </w:r>
      <w:r>
        <w:rPr>
          <w:spacing w:val="-10"/>
          <w:sz w:val="16"/>
          <w:vertAlign w:val="baseline"/>
        </w:rPr>
        <w:t> </w:t>
      </w:r>
      <w:r>
        <w:rPr>
          <w:sz w:val="16"/>
          <w:vertAlign w:val="baseline"/>
        </w:rPr>
        <w:t>Ως</w:t>
      </w:r>
      <w:r>
        <w:rPr>
          <w:spacing w:val="-10"/>
          <w:sz w:val="16"/>
          <w:vertAlign w:val="baseline"/>
        </w:rPr>
        <w:t> </w:t>
      </w:r>
      <w:r>
        <w:rPr>
          <w:sz w:val="16"/>
          <w:vertAlign w:val="baseline"/>
        </w:rPr>
        <w:t>βραχυπρόθεσμοι</w:t>
      </w:r>
      <w:r>
        <w:rPr>
          <w:spacing w:val="-10"/>
          <w:sz w:val="16"/>
          <w:vertAlign w:val="baseline"/>
        </w:rPr>
        <w:t> </w:t>
      </w:r>
      <w:r>
        <w:rPr>
          <w:sz w:val="16"/>
          <w:vertAlign w:val="baseline"/>
        </w:rPr>
        <w:t>τύποι</w:t>
      </w:r>
      <w:r>
        <w:rPr>
          <w:spacing w:val="-10"/>
          <w:sz w:val="16"/>
          <w:vertAlign w:val="baseline"/>
        </w:rPr>
        <w:t> </w:t>
      </w:r>
      <w:r>
        <w:rPr>
          <w:sz w:val="16"/>
          <w:vertAlign w:val="baseline"/>
        </w:rPr>
        <w:t>ρυθμίσεων</w:t>
      </w:r>
      <w:r>
        <w:rPr>
          <w:spacing w:val="-10"/>
          <w:sz w:val="16"/>
          <w:vertAlign w:val="baseline"/>
        </w:rPr>
        <w:t> </w:t>
      </w:r>
      <w:r>
        <w:rPr>
          <w:sz w:val="16"/>
          <w:vertAlign w:val="baseline"/>
        </w:rPr>
        <w:t>θεωρούνται</w:t>
      </w:r>
      <w:r>
        <w:rPr>
          <w:spacing w:val="-10"/>
          <w:sz w:val="16"/>
          <w:vertAlign w:val="baseline"/>
        </w:rPr>
        <w:t> </w:t>
      </w:r>
      <w:r>
        <w:rPr>
          <w:sz w:val="16"/>
          <w:vertAlign w:val="baseline"/>
        </w:rPr>
        <w:t>οι</w:t>
      </w:r>
      <w:r>
        <w:rPr>
          <w:spacing w:val="-10"/>
          <w:sz w:val="16"/>
          <w:vertAlign w:val="baseline"/>
        </w:rPr>
        <w:t> </w:t>
      </w:r>
      <w:r>
        <w:rPr>
          <w:sz w:val="16"/>
          <w:vertAlign w:val="baseline"/>
        </w:rPr>
        <w:t>τύποι</w:t>
      </w:r>
      <w:r>
        <w:rPr>
          <w:spacing w:val="-10"/>
          <w:sz w:val="16"/>
          <w:vertAlign w:val="baseline"/>
        </w:rPr>
        <w:t> </w:t>
      </w:r>
      <w:r>
        <w:rPr>
          <w:sz w:val="16"/>
          <w:vertAlign w:val="baseline"/>
        </w:rPr>
        <w:t>ρύθμισης</w:t>
      </w:r>
      <w:r>
        <w:rPr>
          <w:spacing w:val="-10"/>
          <w:sz w:val="16"/>
          <w:vertAlign w:val="baseline"/>
        </w:rPr>
        <w:t> </w:t>
      </w:r>
      <w:r>
        <w:rPr>
          <w:sz w:val="16"/>
          <w:vertAlign w:val="baseline"/>
        </w:rPr>
        <w:t>με</w:t>
      </w:r>
      <w:r>
        <w:rPr>
          <w:spacing w:val="-10"/>
          <w:sz w:val="16"/>
          <w:vertAlign w:val="baseline"/>
        </w:rPr>
        <w:t> </w:t>
      </w:r>
      <w:r>
        <w:rPr>
          <w:sz w:val="16"/>
          <w:vertAlign w:val="baseline"/>
        </w:rPr>
        <w:t>διάρκεια</w:t>
      </w:r>
      <w:r>
        <w:rPr>
          <w:spacing w:val="-10"/>
          <w:sz w:val="16"/>
          <w:vertAlign w:val="baseline"/>
        </w:rPr>
        <w:t> </w:t>
      </w:r>
      <w:r>
        <w:rPr>
          <w:sz w:val="16"/>
          <w:vertAlign w:val="baseline"/>
        </w:rPr>
        <w:t>μικρότερη</w:t>
      </w:r>
      <w:r>
        <w:rPr>
          <w:spacing w:val="-10"/>
          <w:sz w:val="16"/>
          <w:vertAlign w:val="baseline"/>
        </w:rPr>
        <w:t> </w:t>
      </w:r>
      <w:r>
        <w:rPr>
          <w:sz w:val="16"/>
          <w:vertAlign w:val="baseline"/>
        </w:rPr>
        <w:t>των</w:t>
      </w:r>
      <w:r>
        <w:rPr>
          <w:spacing w:val="-10"/>
          <w:sz w:val="16"/>
          <w:vertAlign w:val="baseline"/>
        </w:rPr>
        <w:t> </w:t>
      </w:r>
      <w:r>
        <w:rPr>
          <w:sz w:val="16"/>
          <w:vertAlign w:val="baseline"/>
        </w:rPr>
        <w:t>δύο</w:t>
      </w:r>
      <w:r>
        <w:rPr>
          <w:spacing w:val="-10"/>
          <w:sz w:val="16"/>
          <w:vertAlign w:val="baseline"/>
        </w:rPr>
        <w:t> </w:t>
      </w:r>
      <w:r>
        <w:rPr>
          <w:sz w:val="16"/>
          <w:vertAlign w:val="baseline"/>
        </w:rPr>
        <w:t>ετών</w:t>
      </w:r>
      <w:r>
        <w:rPr>
          <w:spacing w:val="-10"/>
          <w:sz w:val="16"/>
          <w:vertAlign w:val="baseline"/>
        </w:rPr>
        <w:t> </w:t>
      </w:r>
      <w:r>
        <w:rPr>
          <w:sz w:val="16"/>
          <w:vertAlign w:val="baseline"/>
        </w:rPr>
        <w:t>που</w:t>
      </w:r>
      <w:r>
        <w:rPr>
          <w:spacing w:val="-10"/>
          <w:sz w:val="16"/>
          <w:vertAlign w:val="baseline"/>
        </w:rPr>
        <w:t> </w:t>
      </w:r>
      <w:r>
        <w:rPr>
          <w:sz w:val="16"/>
          <w:vertAlign w:val="baseline"/>
        </w:rPr>
        <w:t>αφορούν</w:t>
      </w:r>
      <w:r>
        <w:rPr>
          <w:spacing w:val="-10"/>
          <w:sz w:val="16"/>
          <w:vertAlign w:val="baseline"/>
        </w:rPr>
        <w:t> </w:t>
      </w:r>
      <w:r>
        <w:rPr>
          <w:sz w:val="16"/>
          <w:vertAlign w:val="baseline"/>
        </w:rPr>
        <w:t>περιπτώσεις</w:t>
      </w:r>
      <w:r>
        <w:rPr>
          <w:spacing w:val="40"/>
          <w:sz w:val="16"/>
          <w:vertAlign w:val="baseline"/>
        </w:rPr>
        <w:t> </w:t>
      </w:r>
      <w:r>
        <w:rPr>
          <w:sz w:val="16"/>
          <w:vertAlign w:val="baseline"/>
        </w:rPr>
        <w:t>όπου οι δυσκολίες αποπληρωμής κρίνονται, βάσιμα, προσωρινές.</w:t>
      </w:r>
    </w:p>
    <w:p>
      <w:pPr>
        <w:spacing w:before="19"/>
        <w:ind w:left="172" w:right="960" w:firstLine="0"/>
        <w:jc w:val="both"/>
        <w:rPr>
          <w:sz w:val="16"/>
        </w:rPr>
      </w:pPr>
      <w:bookmarkStart w:name="_bookmark129" w:id="130"/>
      <w:bookmarkEnd w:id="130"/>
      <w:r>
        <w:rPr/>
      </w:r>
      <w:r>
        <w:rPr>
          <w:sz w:val="16"/>
          <w:vertAlign w:val="superscript"/>
        </w:rPr>
        <w:t>89</w:t>
      </w:r>
      <w:r>
        <w:rPr>
          <w:spacing w:val="-2"/>
          <w:sz w:val="16"/>
          <w:vertAlign w:val="baseline"/>
        </w:rPr>
        <w:t> </w:t>
      </w:r>
      <w:r>
        <w:rPr>
          <w:sz w:val="16"/>
          <w:vertAlign w:val="baseline"/>
        </w:rPr>
        <w:t>Στις</w:t>
      </w:r>
      <w:r>
        <w:rPr>
          <w:spacing w:val="-1"/>
          <w:sz w:val="16"/>
          <w:vertAlign w:val="baseline"/>
        </w:rPr>
        <w:t> </w:t>
      </w:r>
      <w:r>
        <w:rPr>
          <w:sz w:val="16"/>
          <w:vertAlign w:val="baseline"/>
        </w:rPr>
        <w:t>μακροπρόθεσμες</w:t>
      </w:r>
      <w:r>
        <w:rPr>
          <w:spacing w:val="-1"/>
          <w:sz w:val="16"/>
          <w:vertAlign w:val="baseline"/>
        </w:rPr>
        <w:t> </w:t>
      </w:r>
      <w:r>
        <w:rPr>
          <w:sz w:val="16"/>
          <w:vertAlign w:val="baseline"/>
        </w:rPr>
        <w:t>ρυθμίσεις</w:t>
      </w:r>
      <w:r>
        <w:rPr>
          <w:spacing w:val="-1"/>
          <w:sz w:val="16"/>
          <w:vertAlign w:val="baseline"/>
        </w:rPr>
        <w:t> </w:t>
      </w:r>
      <w:r>
        <w:rPr>
          <w:sz w:val="16"/>
          <w:vertAlign w:val="baseline"/>
        </w:rPr>
        <w:t>κατατάσσονται</w:t>
      </w:r>
      <w:r>
        <w:rPr>
          <w:spacing w:val="-2"/>
          <w:sz w:val="16"/>
          <w:vertAlign w:val="baseline"/>
        </w:rPr>
        <w:t> </w:t>
      </w:r>
      <w:r>
        <w:rPr>
          <w:sz w:val="16"/>
          <w:vertAlign w:val="baseline"/>
        </w:rPr>
        <w:t>τύποι</w:t>
      </w:r>
      <w:r>
        <w:rPr>
          <w:spacing w:val="-2"/>
          <w:sz w:val="16"/>
          <w:vertAlign w:val="baseline"/>
        </w:rPr>
        <w:t> </w:t>
      </w:r>
      <w:r>
        <w:rPr>
          <w:sz w:val="16"/>
          <w:vertAlign w:val="baseline"/>
        </w:rPr>
        <w:t>ρυθμίσεων</w:t>
      </w:r>
      <w:r>
        <w:rPr>
          <w:spacing w:val="-2"/>
          <w:sz w:val="16"/>
          <w:vertAlign w:val="baseline"/>
        </w:rPr>
        <w:t> </w:t>
      </w:r>
      <w:r>
        <w:rPr>
          <w:sz w:val="16"/>
          <w:vertAlign w:val="baseline"/>
        </w:rPr>
        <w:t>με</w:t>
      </w:r>
      <w:r>
        <w:rPr>
          <w:spacing w:val="-2"/>
          <w:sz w:val="16"/>
          <w:vertAlign w:val="baseline"/>
        </w:rPr>
        <w:t> </w:t>
      </w:r>
      <w:r>
        <w:rPr>
          <w:sz w:val="16"/>
          <w:vertAlign w:val="baseline"/>
        </w:rPr>
        <w:t>διάρκεια</w:t>
      </w:r>
      <w:r>
        <w:rPr>
          <w:spacing w:val="-2"/>
          <w:sz w:val="16"/>
          <w:vertAlign w:val="baseline"/>
        </w:rPr>
        <w:t> </w:t>
      </w:r>
      <w:r>
        <w:rPr>
          <w:sz w:val="16"/>
          <w:vertAlign w:val="baseline"/>
        </w:rPr>
        <w:t>μεγαλύτερη</w:t>
      </w:r>
      <w:r>
        <w:rPr>
          <w:spacing w:val="-2"/>
          <w:sz w:val="16"/>
          <w:vertAlign w:val="baseline"/>
        </w:rPr>
        <w:t> </w:t>
      </w:r>
      <w:r>
        <w:rPr>
          <w:sz w:val="16"/>
          <w:vertAlign w:val="baseline"/>
        </w:rPr>
        <w:t>των</w:t>
      </w:r>
      <w:r>
        <w:rPr>
          <w:spacing w:val="-5"/>
          <w:sz w:val="16"/>
          <w:vertAlign w:val="baseline"/>
        </w:rPr>
        <w:t> </w:t>
      </w:r>
      <w:r>
        <w:rPr>
          <w:sz w:val="16"/>
          <w:vertAlign w:val="baseline"/>
        </w:rPr>
        <w:t>δύο</w:t>
      </w:r>
      <w:r>
        <w:rPr>
          <w:spacing w:val="-1"/>
          <w:sz w:val="16"/>
          <w:vertAlign w:val="baseline"/>
        </w:rPr>
        <w:t> </w:t>
      </w:r>
      <w:r>
        <w:rPr>
          <w:sz w:val="16"/>
          <w:vertAlign w:val="baseline"/>
        </w:rPr>
        <w:t>ετών,</w:t>
      </w:r>
      <w:r>
        <w:rPr>
          <w:spacing w:val="-1"/>
          <w:sz w:val="16"/>
          <w:vertAlign w:val="baseline"/>
        </w:rPr>
        <w:t> </w:t>
      </w:r>
      <w:r>
        <w:rPr>
          <w:sz w:val="16"/>
          <w:vertAlign w:val="baseline"/>
        </w:rPr>
        <w:t>λαμβάνοντας</w:t>
      </w:r>
      <w:r>
        <w:rPr>
          <w:spacing w:val="-1"/>
          <w:sz w:val="16"/>
          <w:vertAlign w:val="baseline"/>
        </w:rPr>
        <w:t> </w:t>
      </w:r>
      <w:r>
        <w:rPr>
          <w:sz w:val="16"/>
          <w:vertAlign w:val="baseline"/>
        </w:rPr>
        <w:t>υπόψη</w:t>
      </w:r>
      <w:r>
        <w:rPr>
          <w:spacing w:val="-2"/>
          <w:sz w:val="16"/>
          <w:vertAlign w:val="baseline"/>
        </w:rPr>
        <w:t> </w:t>
      </w:r>
      <w:r>
        <w:rPr>
          <w:sz w:val="16"/>
          <w:vertAlign w:val="baseline"/>
        </w:rPr>
        <w:t>συ-ντηρητικές παραδοχές για την εκτιμώμενη μελλοντική ικανότητα αποπληρωμής του δανειολήπτη μέχρι τη λήξη του προγράμματος</w:t>
      </w:r>
      <w:r>
        <w:rPr>
          <w:spacing w:val="40"/>
          <w:sz w:val="16"/>
          <w:vertAlign w:val="baseline"/>
        </w:rPr>
        <w:t> </w:t>
      </w:r>
      <w:r>
        <w:rPr>
          <w:spacing w:val="-2"/>
          <w:sz w:val="16"/>
          <w:vertAlign w:val="baseline"/>
        </w:rPr>
        <w:t>αποπληρωμής.</w:t>
      </w:r>
    </w:p>
    <w:p>
      <w:pPr>
        <w:spacing w:before="21"/>
        <w:ind w:left="172" w:right="965" w:firstLine="0"/>
        <w:jc w:val="both"/>
        <w:rPr>
          <w:sz w:val="16"/>
        </w:rPr>
      </w:pPr>
      <w:bookmarkStart w:name="_bookmark130" w:id="131"/>
      <w:bookmarkEnd w:id="131"/>
      <w:r>
        <w:rPr/>
      </w:r>
      <w:r>
        <w:rPr>
          <w:sz w:val="16"/>
          <w:vertAlign w:val="superscript"/>
        </w:rPr>
        <w:t>90</w:t>
      </w:r>
      <w:r>
        <w:rPr>
          <w:sz w:val="16"/>
          <w:vertAlign w:val="baseline"/>
        </w:rPr>
        <w:t> Στις</w:t>
      </w:r>
      <w:r>
        <w:rPr>
          <w:spacing w:val="-3"/>
          <w:sz w:val="16"/>
          <w:vertAlign w:val="baseline"/>
        </w:rPr>
        <w:t> </w:t>
      </w:r>
      <w:r>
        <w:rPr>
          <w:sz w:val="16"/>
          <w:vertAlign w:val="baseline"/>
        </w:rPr>
        <w:t>λύσεις</w:t>
      </w:r>
      <w:r>
        <w:rPr>
          <w:spacing w:val="-1"/>
          <w:sz w:val="16"/>
          <w:vertAlign w:val="baseline"/>
        </w:rPr>
        <w:t> </w:t>
      </w:r>
      <w:r>
        <w:rPr>
          <w:sz w:val="16"/>
          <w:vertAlign w:val="baseline"/>
        </w:rPr>
        <w:t>οριστικής</w:t>
      </w:r>
      <w:r>
        <w:rPr>
          <w:spacing w:val="-1"/>
          <w:sz w:val="16"/>
          <w:vertAlign w:val="baseline"/>
        </w:rPr>
        <w:t> </w:t>
      </w:r>
      <w:r>
        <w:rPr>
          <w:sz w:val="16"/>
          <w:vertAlign w:val="baseline"/>
        </w:rPr>
        <w:t>διευθέτησης</w:t>
      </w:r>
      <w:r>
        <w:rPr>
          <w:spacing w:val="-1"/>
          <w:sz w:val="16"/>
          <w:vertAlign w:val="baseline"/>
        </w:rPr>
        <w:t> </w:t>
      </w:r>
      <w:r>
        <w:rPr>
          <w:sz w:val="16"/>
          <w:vertAlign w:val="baseline"/>
        </w:rPr>
        <w:t>περιλαμβάνονται</w:t>
      </w:r>
      <w:r>
        <w:rPr>
          <w:spacing w:val="-2"/>
          <w:sz w:val="16"/>
          <w:vertAlign w:val="baseline"/>
        </w:rPr>
        <w:t> </w:t>
      </w:r>
      <w:r>
        <w:rPr>
          <w:sz w:val="16"/>
          <w:vertAlign w:val="baseline"/>
        </w:rPr>
        <w:t>οποιεσδήποτε μεταβολές</w:t>
      </w:r>
      <w:r>
        <w:rPr>
          <w:spacing w:val="-1"/>
          <w:sz w:val="16"/>
          <w:vertAlign w:val="baseline"/>
        </w:rPr>
        <w:t> </w:t>
      </w:r>
      <w:r>
        <w:rPr>
          <w:sz w:val="16"/>
          <w:vertAlign w:val="baseline"/>
        </w:rPr>
        <w:t>του είδους</w:t>
      </w:r>
      <w:r>
        <w:rPr>
          <w:spacing w:val="-1"/>
          <w:sz w:val="16"/>
          <w:vertAlign w:val="baseline"/>
        </w:rPr>
        <w:t> </w:t>
      </w:r>
      <w:r>
        <w:rPr>
          <w:sz w:val="16"/>
          <w:vertAlign w:val="baseline"/>
        </w:rPr>
        <w:t>της</w:t>
      </w:r>
      <w:r>
        <w:rPr>
          <w:spacing w:val="-1"/>
          <w:sz w:val="16"/>
          <w:vertAlign w:val="baseline"/>
        </w:rPr>
        <w:t> </w:t>
      </w:r>
      <w:r>
        <w:rPr>
          <w:sz w:val="16"/>
          <w:vertAlign w:val="baseline"/>
        </w:rPr>
        <w:t>συμβατικής σχέσης ή</w:t>
      </w:r>
      <w:r>
        <w:rPr>
          <w:spacing w:val="-2"/>
          <w:sz w:val="16"/>
          <w:vertAlign w:val="baseline"/>
        </w:rPr>
        <w:t> </w:t>
      </w:r>
      <w:r>
        <w:rPr>
          <w:sz w:val="16"/>
          <w:vertAlign w:val="baseline"/>
        </w:rPr>
        <w:t>ο</w:t>
      </w:r>
      <w:r>
        <w:rPr>
          <w:spacing w:val="-1"/>
          <w:sz w:val="16"/>
          <w:vertAlign w:val="baseline"/>
        </w:rPr>
        <w:t> </w:t>
      </w:r>
      <w:r>
        <w:rPr>
          <w:sz w:val="16"/>
          <w:vertAlign w:val="baseline"/>
        </w:rPr>
        <w:t>τερματισμός</w:t>
      </w:r>
      <w:r>
        <w:rPr>
          <w:spacing w:val="40"/>
          <w:sz w:val="16"/>
          <w:vertAlign w:val="baseline"/>
        </w:rPr>
        <w:t> </w:t>
      </w:r>
      <w:r>
        <w:rPr>
          <w:spacing w:val="-2"/>
          <w:sz w:val="16"/>
          <w:vertAlign w:val="baseline"/>
        </w:rPr>
        <w:t>αυτής.</w:t>
      </w:r>
    </w:p>
    <w:p>
      <w:pPr>
        <w:spacing w:after="0"/>
        <w:jc w:val="both"/>
        <w:rPr>
          <w:sz w:val="16"/>
        </w:rPr>
        <w:sectPr>
          <w:type w:val="continuous"/>
          <w:pgSz w:w="11910" w:h="16850"/>
          <w:pgMar w:header="0" w:footer="1108" w:top="1320" w:bottom="280" w:left="1417" w:right="850"/>
        </w:sectPr>
      </w:pPr>
    </w:p>
    <w:p>
      <w:pPr>
        <w:pStyle w:val="BodyText"/>
        <w:spacing w:before="73"/>
      </w:pPr>
    </w:p>
    <w:p>
      <w:pPr>
        <w:pStyle w:val="Heading4"/>
        <w:jc w:val="left"/>
      </w:pPr>
      <w:r>
        <w:rPr/>
        <mc:AlternateContent>
          <mc:Choice Requires="wps">
            <w:drawing>
              <wp:anchor distT="0" distB="0" distL="0" distR="0" allowOverlap="1" layoutInCell="1" locked="0" behindDoc="0" simplePos="0" relativeHeight="15801856">
                <wp:simplePos x="0" y="0"/>
                <wp:positionH relativeFrom="page">
                  <wp:posOffset>3632327</wp:posOffset>
                </wp:positionH>
                <wp:positionV relativeFrom="paragraph">
                  <wp:posOffset>206769</wp:posOffset>
                </wp:positionV>
                <wp:extent cx="2768600" cy="601980"/>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2768600" cy="601980"/>
                        </a:xfrm>
                        <a:prstGeom prst="rect">
                          <a:avLst/>
                        </a:prstGeom>
                        <a:solidFill>
                          <a:srgbClr val="1F487C"/>
                        </a:solidFill>
                      </wps:spPr>
                      <wps:txbx>
                        <w:txbxContent>
                          <w:p>
                            <w:pPr>
                              <w:spacing w:before="60"/>
                              <w:ind w:left="112" w:right="11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V.17</w:t>
                            </w:r>
                            <w:r>
                              <w:rPr>
                                <w:b/>
                                <w:smallCaps w:val="0"/>
                                <w:color w:val="FFFFFF"/>
                                <w:spacing w:val="-6"/>
                                <w:sz w:val="18"/>
                              </w:rPr>
                              <w:t> </w:t>
                            </w:r>
                            <w:r>
                              <w:rPr>
                                <w:b/>
                                <w:smallCaps w:val="0"/>
                                <w:color w:val="FFFFFF"/>
                                <w:sz w:val="18"/>
                              </w:rPr>
                              <w:t>Ανάλυση</w:t>
                            </w:r>
                            <w:r>
                              <w:rPr>
                                <w:b/>
                                <w:smallCaps w:val="0"/>
                                <w:color w:val="FFFFFF"/>
                                <w:spacing w:val="-7"/>
                                <w:sz w:val="18"/>
                              </w:rPr>
                              <w:t> </w:t>
                            </w:r>
                            <w:r>
                              <w:rPr>
                                <w:b/>
                                <w:smallCaps w:val="0"/>
                                <w:color w:val="FFFFFF"/>
                                <w:sz w:val="18"/>
                              </w:rPr>
                              <w:t>ανο</w:t>
                            </w:r>
                            <w:r>
                              <w:rPr>
                                <w:b/>
                                <w:smallCaps/>
                                <w:color w:val="FFFFFF"/>
                                <w:sz w:val="18"/>
                              </w:rPr>
                              <w:t>ι</w:t>
                            </w:r>
                            <w:r>
                              <w:rPr>
                                <w:b/>
                                <w:smallCaps w:val="0"/>
                                <w:color w:val="FFFFFF"/>
                                <w:sz w:val="18"/>
                              </w:rPr>
                              <w:t>γμάτων</w:t>
                            </w:r>
                            <w:r>
                              <w:rPr>
                                <w:b/>
                                <w:smallCaps w:val="0"/>
                                <w:color w:val="FFFFFF"/>
                                <w:spacing w:val="-6"/>
                                <w:sz w:val="18"/>
                              </w:rPr>
                              <w:t> </w:t>
                            </w:r>
                            <w:r>
                              <w:rPr>
                                <w:b/>
                                <w:smallCaps w:val="0"/>
                                <w:color w:val="FFFFFF"/>
                                <w:sz w:val="18"/>
                              </w:rPr>
                              <w:t>υπό</w:t>
                            </w:r>
                            <w:r>
                              <w:rPr>
                                <w:b/>
                                <w:smallCaps w:val="0"/>
                                <w:color w:val="FFFFFF"/>
                                <w:spacing w:val="-8"/>
                                <w:sz w:val="18"/>
                              </w:rPr>
                              <w:t> </w:t>
                            </w:r>
                            <w:r>
                              <w:rPr>
                                <w:b/>
                                <w:smallCaps w:val="0"/>
                                <w:color w:val="FFFFFF"/>
                                <w:sz w:val="18"/>
                              </w:rPr>
                              <w:t>δ</w:t>
                            </w:r>
                            <w:r>
                              <w:rPr>
                                <w:b/>
                                <w:smallCaps/>
                                <w:color w:val="FFFFFF"/>
                                <w:sz w:val="18"/>
                              </w:rPr>
                              <w:t>ι</w:t>
                            </w:r>
                            <w:r>
                              <w:rPr>
                                <w:b/>
                                <w:smallCaps w:val="0"/>
                                <w:color w:val="FFFFFF"/>
                                <w:sz w:val="18"/>
                              </w:rPr>
                              <w:t>αχείρ</w:t>
                            </w:r>
                            <w:r>
                              <w:rPr>
                                <w:b/>
                                <w:smallCaps/>
                                <w:color w:val="FFFFFF"/>
                                <w:sz w:val="18"/>
                              </w:rPr>
                              <w:t>ι</w:t>
                            </w:r>
                            <w:r>
                              <w:rPr>
                                <w:b/>
                                <w:smallCaps w:val="0"/>
                                <w:color w:val="FFFFFF"/>
                                <w:sz w:val="18"/>
                              </w:rPr>
                              <w:t>ση γ</w:t>
                            </w:r>
                            <w:r>
                              <w:rPr>
                                <w:b/>
                                <w:smallCaps/>
                                <w:color w:val="FFFFFF"/>
                                <w:sz w:val="18"/>
                              </w:rPr>
                              <w:t>ι</w:t>
                            </w:r>
                            <w:r>
                              <w:rPr>
                                <w:b/>
                                <w:smallCaps w:val="0"/>
                                <w:color w:val="FFFFFF"/>
                                <w:sz w:val="18"/>
                              </w:rPr>
                              <w:t>α λογαρ</w:t>
                            </w:r>
                            <w:r>
                              <w:rPr>
                                <w:b/>
                                <w:smallCaps/>
                                <w:color w:val="FFFFFF"/>
                                <w:sz w:val="18"/>
                              </w:rPr>
                              <w:t>ι</w:t>
                            </w:r>
                            <w:r>
                              <w:rPr>
                                <w:b/>
                                <w:smallCaps w:val="0"/>
                                <w:color w:val="FFFFFF"/>
                                <w:sz w:val="18"/>
                              </w:rPr>
                              <w:t>ασμό των 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κών/χρηματοδοτ</w:t>
                            </w:r>
                            <w:r>
                              <w:rPr>
                                <w:b/>
                                <w:smallCaps/>
                                <w:color w:val="FFFFFF"/>
                                <w:sz w:val="18"/>
                              </w:rPr>
                              <w:t>ι</w:t>
                            </w:r>
                            <w:r>
                              <w:rPr>
                                <w:b/>
                                <w:smallCaps w:val="0"/>
                                <w:color w:val="FFFFFF"/>
                                <w:sz w:val="18"/>
                              </w:rPr>
                              <w:t>κών </w:t>
                            </w:r>
                            <w:r>
                              <w:rPr>
                                <w:b/>
                                <w:smallCaps/>
                                <w:color w:val="FFFFFF"/>
                                <w:sz w:val="18"/>
                              </w:rPr>
                              <w:t>ι</w:t>
                            </w:r>
                            <w:r>
                              <w:rPr>
                                <w:b/>
                                <w:smallCaps w:val="0"/>
                                <w:color w:val="FFFFFF"/>
                                <w:sz w:val="18"/>
                              </w:rPr>
                              <w:t>-</w:t>
                            </w:r>
                          </w:p>
                          <w:p>
                            <w:pPr>
                              <w:spacing w:before="0"/>
                              <w:ind w:left="112" w:right="0" w:firstLine="0"/>
                              <w:jc w:val="left"/>
                              <w:rPr>
                                <w:b/>
                                <w:color w:val="000000"/>
                                <w:sz w:val="18"/>
                              </w:rPr>
                            </w:pPr>
                            <w:r>
                              <w:rPr>
                                <w:b/>
                                <w:color w:val="FFFFFF"/>
                                <w:sz w:val="18"/>
                              </w:rPr>
                              <w:t>δρυμάτων</w:t>
                            </w:r>
                            <w:r>
                              <w:rPr>
                                <w:b/>
                                <w:color w:val="FFFFFF"/>
                                <w:spacing w:val="-12"/>
                                <w:sz w:val="18"/>
                              </w:rPr>
                              <w:t> </w:t>
                            </w:r>
                            <w:r>
                              <w:rPr>
                                <w:b/>
                                <w:color w:val="FFFFFF"/>
                                <w:sz w:val="18"/>
                              </w:rPr>
                              <w:t>ανά</w:t>
                            </w:r>
                            <w:r>
                              <w:rPr>
                                <w:b/>
                                <w:color w:val="FFFFFF"/>
                                <w:spacing w:val="-11"/>
                                <w:sz w:val="18"/>
                              </w:rPr>
                              <w:t> </w:t>
                            </w:r>
                            <w:r>
                              <w:rPr>
                                <w:b/>
                                <w:color w:val="FFFFFF"/>
                                <w:sz w:val="18"/>
                              </w:rPr>
                              <w:t>κατηγορία</w:t>
                            </w:r>
                            <w:r>
                              <w:rPr>
                                <w:b/>
                                <w:color w:val="FFFFFF"/>
                                <w:spacing w:val="-11"/>
                                <w:sz w:val="18"/>
                              </w:rPr>
                              <w:t> </w:t>
                            </w:r>
                            <w:r>
                              <w:rPr>
                                <w:b/>
                                <w:color w:val="FFFFFF"/>
                                <w:sz w:val="18"/>
                              </w:rPr>
                              <w:t>χαρτοφυλακίου</w:t>
                            </w:r>
                            <w:r>
                              <w:rPr>
                                <w:b/>
                                <w:color w:val="FFFFFF"/>
                                <w:spacing w:val="-11"/>
                                <w:sz w:val="18"/>
                              </w:rPr>
                              <w:t> </w:t>
                            </w:r>
                            <w:r>
                              <w:rPr>
                                <w:b/>
                                <w:color w:val="FFFFFF"/>
                                <w:sz w:val="18"/>
                              </w:rPr>
                              <w:t>(Δεκέμβρ</w:t>
                            </w:r>
                            <w:r>
                              <w:rPr>
                                <w:b/>
                                <w:smallCaps/>
                                <w:color w:val="FFFFFF"/>
                                <w:sz w:val="18"/>
                              </w:rPr>
                              <w:t>ιο</w:t>
                            </w:r>
                            <w:r>
                              <w:rPr>
                                <w:b/>
                                <w:smallCaps w:val="0"/>
                                <w:color w:val="FFFFFF"/>
                                <w:sz w:val="18"/>
                              </w:rPr>
                              <w:t>ς </w:t>
                            </w:r>
                            <w:r>
                              <w:rPr>
                                <w:b/>
                                <w:smallCaps w:val="0"/>
                                <w:color w:val="FFFFFF"/>
                                <w:spacing w:val="-2"/>
                                <w:sz w:val="18"/>
                              </w:rPr>
                              <w:t>2025)</w:t>
                            </w:r>
                          </w:p>
                        </w:txbxContent>
                      </wps:txbx>
                      <wps:bodyPr wrap="square" lIns="0" tIns="0" rIns="0" bIns="0" rtlCol="0">
                        <a:noAutofit/>
                      </wps:bodyPr>
                    </wps:wsp>
                  </a:graphicData>
                </a:graphic>
              </wp:anchor>
            </w:drawing>
          </mc:Choice>
          <mc:Fallback>
            <w:pict>
              <v:shape style="position:absolute;margin-left:286.010010pt;margin-top:16.281075pt;width:218pt;height:47.4pt;mso-position-horizontal-relative:page;mso-position-vertical-relative:paragraph;z-index:15801856" type="#_x0000_t202" id="docshape664" filled="true" fillcolor="#1f487c" stroked="false">
                <v:textbox inset="0,0,0,0">
                  <w:txbxContent>
                    <w:p>
                      <w:pPr>
                        <w:spacing w:before="60"/>
                        <w:ind w:left="112" w:right="11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V.17</w:t>
                      </w:r>
                      <w:r>
                        <w:rPr>
                          <w:b/>
                          <w:smallCaps w:val="0"/>
                          <w:color w:val="FFFFFF"/>
                          <w:spacing w:val="-6"/>
                          <w:sz w:val="18"/>
                        </w:rPr>
                        <w:t> </w:t>
                      </w:r>
                      <w:r>
                        <w:rPr>
                          <w:b/>
                          <w:smallCaps w:val="0"/>
                          <w:color w:val="FFFFFF"/>
                          <w:sz w:val="18"/>
                        </w:rPr>
                        <w:t>Ανάλυση</w:t>
                      </w:r>
                      <w:r>
                        <w:rPr>
                          <w:b/>
                          <w:smallCaps w:val="0"/>
                          <w:color w:val="FFFFFF"/>
                          <w:spacing w:val="-7"/>
                          <w:sz w:val="18"/>
                        </w:rPr>
                        <w:t> </w:t>
                      </w:r>
                      <w:r>
                        <w:rPr>
                          <w:b/>
                          <w:smallCaps w:val="0"/>
                          <w:color w:val="FFFFFF"/>
                          <w:sz w:val="18"/>
                        </w:rPr>
                        <w:t>ανο</w:t>
                      </w:r>
                      <w:r>
                        <w:rPr>
                          <w:b/>
                          <w:smallCaps/>
                          <w:color w:val="FFFFFF"/>
                          <w:sz w:val="18"/>
                        </w:rPr>
                        <w:t>ι</w:t>
                      </w:r>
                      <w:r>
                        <w:rPr>
                          <w:b/>
                          <w:smallCaps w:val="0"/>
                          <w:color w:val="FFFFFF"/>
                          <w:sz w:val="18"/>
                        </w:rPr>
                        <w:t>γμάτων</w:t>
                      </w:r>
                      <w:r>
                        <w:rPr>
                          <w:b/>
                          <w:smallCaps w:val="0"/>
                          <w:color w:val="FFFFFF"/>
                          <w:spacing w:val="-6"/>
                          <w:sz w:val="18"/>
                        </w:rPr>
                        <w:t> </w:t>
                      </w:r>
                      <w:r>
                        <w:rPr>
                          <w:b/>
                          <w:smallCaps w:val="0"/>
                          <w:color w:val="FFFFFF"/>
                          <w:sz w:val="18"/>
                        </w:rPr>
                        <w:t>υπό</w:t>
                      </w:r>
                      <w:r>
                        <w:rPr>
                          <w:b/>
                          <w:smallCaps w:val="0"/>
                          <w:color w:val="FFFFFF"/>
                          <w:spacing w:val="-8"/>
                          <w:sz w:val="18"/>
                        </w:rPr>
                        <w:t> </w:t>
                      </w:r>
                      <w:r>
                        <w:rPr>
                          <w:b/>
                          <w:smallCaps w:val="0"/>
                          <w:color w:val="FFFFFF"/>
                          <w:sz w:val="18"/>
                        </w:rPr>
                        <w:t>δ</w:t>
                      </w:r>
                      <w:r>
                        <w:rPr>
                          <w:b/>
                          <w:smallCaps/>
                          <w:color w:val="FFFFFF"/>
                          <w:sz w:val="18"/>
                        </w:rPr>
                        <w:t>ι</w:t>
                      </w:r>
                      <w:r>
                        <w:rPr>
                          <w:b/>
                          <w:smallCaps w:val="0"/>
                          <w:color w:val="FFFFFF"/>
                          <w:sz w:val="18"/>
                        </w:rPr>
                        <w:t>αχείρ</w:t>
                      </w:r>
                      <w:r>
                        <w:rPr>
                          <w:b/>
                          <w:smallCaps/>
                          <w:color w:val="FFFFFF"/>
                          <w:sz w:val="18"/>
                        </w:rPr>
                        <w:t>ι</w:t>
                      </w:r>
                      <w:r>
                        <w:rPr>
                          <w:b/>
                          <w:smallCaps w:val="0"/>
                          <w:color w:val="FFFFFF"/>
                          <w:sz w:val="18"/>
                        </w:rPr>
                        <w:t>ση γ</w:t>
                      </w:r>
                      <w:r>
                        <w:rPr>
                          <w:b/>
                          <w:smallCaps/>
                          <w:color w:val="FFFFFF"/>
                          <w:sz w:val="18"/>
                        </w:rPr>
                        <w:t>ι</w:t>
                      </w:r>
                      <w:r>
                        <w:rPr>
                          <w:b/>
                          <w:smallCaps w:val="0"/>
                          <w:color w:val="FFFFFF"/>
                          <w:sz w:val="18"/>
                        </w:rPr>
                        <w:t>α λογαρ</w:t>
                      </w:r>
                      <w:r>
                        <w:rPr>
                          <w:b/>
                          <w:smallCaps/>
                          <w:color w:val="FFFFFF"/>
                          <w:sz w:val="18"/>
                        </w:rPr>
                        <w:t>ι</w:t>
                      </w:r>
                      <w:r>
                        <w:rPr>
                          <w:b/>
                          <w:smallCaps w:val="0"/>
                          <w:color w:val="FFFFFF"/>
                          <w:sz w:val="18"/>
                        </w:rPr>
                        <w:t>ασμό των π</w:t>
                      </w:r>
                      <w:r>
                        <w:rPr>
                          <w:b/>
                          <w:smallCaps/>
                          <w:color w:val="FFFFFF"/>
                          <w:sz w:val="18"/>
                        </w:rPr>
                        <w:t>ι</w:t>
                      </w:r>
                      <w:r>
                        <w:rPr>
                          <w:b/>
                          <w:smallCaps w:val="0"/>
                          <w:color w:val="FFFFFF"/>
                          <w:sz w:val="18"/>
                        </w:rPr>
                        <w:t>στωτ</w:t>
                      </w:r>
                      <w:r>
                        <w:rPr>
                          <w:b/>
                          <w:smallCaps/>
                          <w:color w:val="FFFFFF"/>
                          <w:sz w:val="18"/>
                        </w:rPr>
                        <w:t>ι</w:t>
                      </w:r>
                      <w:r>
                        <w:rPr>
                          <w:b/>
                          <w:smallCaps w:val="0"/>
                          <w:color w:val="FFFFFF"/>
                          <w:sz w:val="18"/>
                        </w:rPr>
                        <w:t>κών/χρηματοδοτ</w:t>
                      </w:r>
                      <w:r>
                        <w:rPr>
                          <w:b/>
                          <w:smallCaps/>
                          <w:color w:val="FFFFFF"/>
                          <w:sz w:val="18"/>
                        </w:rPr>
                        <w:t>ι</w:t>
                      </w:r>
                      <w:r>
                        <w:rPr>
                          <w:b/>
                          <w:smallCaps w:val="0"/>
                          <w:color w:val="FFFFFF"/>
                          <w:sz w:val="18"/>
                        </w:rPr>
                        <w:t>κών </w:t>
                      </w:r>
                      <w:r>
                        <w:rPr>
                          <w:b/>
                          <w:smallCaps/>
                          <w:color w:val="FFFFFF"/>
                          <w:sz w:val="18"/>
                        </w:rPr>
                        <w:t>ι</w:t>
                      </w:r>
                      <w:r>
                        <w:rPr>
                          <w:b/>
                          <w:smallCaps w:val="0"/>
                          <w:color w:val="FFFFFF"/>
                          <w:sz w:val="18"/>
                        </w:rPr>
                        <w:t>-</w:t>
                      </w:r>
                    </w:p>
                    <w:p>
                      <w:pPr>
                        <w:spacing w:before="0"/>
                        <w:ind w:left="112" w:right="0" w:firstLine="0"/>
                        <w:jc w:val="left"/>
                        <w:rPr>
                          <w:b/>
                          <w:color w:val="000000"/>
                          <w:sz w:val="18"/>
                        </w:rPr>
                      </w:pPr>
                      <w:r>
                        <w:rPr>
                          <w:b/>
                          <w:color w:val="FFFFFF"/>
                          <w:sz w:val="18"/>
                        </w:rPr>
                        <w:t>δρυμάτων</w:t>
                      </w:r>
                      <w:r>
                        <w:rPr>
                          <w:b/>
                          <w:color w:val="FFFFFF"/>
                          <w:spacing w:val="-12"/>
                          <w:sz w:val="18"/>
                        </w:rPr>
                        <w:t> </w:t>
                      </w:r>
                      <w:r>
                        <w:rPr>
                          <w:b/>
                          <w:color w:val="FFFFFF"/>
                          <w:sz w:val="18"/>
                        </w:rPr>
                        <w:t>ανά</w:t>
                      </w:r>
                      <w:r>
                        <w:rPr>
                          <w:b/>
                          <w:color w:val="FFFFFF"/>
                          <w:spacing w:val="-11"/>
                          <w:sz w:val="18"/>
                        </w:rPr>
                        <w:t> </w:t>
                      </w:r>
                      <w:r>
                        <w:rPr>
                          <w:b/>
                          <w:color w:val="FFFFFF"/>
                          <w:sz w:val="18"/>
                        </w:rPr>
                        <w:t>κατηγορία</w:t>
                      </w:r>
                      <w:r>
                        <w:rPr>
                          <w:b/>
                          <w:color w:val="FFFFFF"/>
                          <w:spacing w:val="-11"/>
                          <w:sz w:val="18"/>
                        </w:rPr>
                        <w:t> </w:t>
                      </w:r>
                      <w:r>
                        <w:rPr>
                          <w:b/>
                          <w:color w:val="FFFFFF"/>
                          <w:sz w:val="18"/>
                        </w:rPr>
                        <w:t>χαρτοφυλακίου</w:t>
                      </w:r>
                      <w:r>
                        <w:rPr>
                          <w:b/>
                          <w:color w:val="FFFFFF"/>
                          <w:spacing w:val="-11"/>
                          <w:sz w:val="18"/>
                        </w:rPr>
                        <w:t> </w:t>
                      </w:r>
                      <w:r>
                        <w:rPr>
                          <w:b/>
                          <w:color w:val="FFFFFF"/>
                          <w:sz w:val="18"/>
                        </w:rPr>
                        <w:t>(Δεκέμβρ</w:t>
                      </w:r>
                      <w:r>
                        <w:rPr>
                          <w:b/>
                          <w:smallCaps/>
                          <w:color w:val="FFFFFF"/>
                          <w:sz w:val="18"/>
                        </w:rPr>
                        <w:t>ιο</w:t>
                      </w:r>
                      <w:r>
                        <w:rPr>
                          <w:b/>
                          <w:smallCaps w:val="0"/>
                          <w:color w:val="FFFFFF"/>
                          <w:sz w:val="18"/>
                        </w:rPr>
                        <w:t>ς </w:t>
                      </w:r>
                      <w:r>
                        <w:rPr>
                          <w:b/>
                          <w:smallCaps w:val="0"/>
                          <w:color w:val="FFFFFF"/>
                          <w:spacing w:val="-2"/>
                          <w:sz w:val="18"/>
                        </w:rPr>
                        <w:t>2025)</w:t>
                      </w:r>
                    </w:p>
                  </w:txbxContent>
                </v:textbox>
                <v:fill type="solid"/>
                <w10:wrap type="none"/>
              </v:shape>
            </w:pict>
          </mc:Fallback>
        </mc:AlternateContent>
      </w:r>
      <w:r>
        <w:rPr>
          <w:color w:val="1F487C"/>
        </w:rPr>
        <w:t>Δ</w:t>
      </w:r>
      <w:r>
        <w:rPr>
          <w:smallCaps/>
          <w:color w:val="1F487C"/>
        </w:rPr>
        <w:t>ι</w:t>
      </w:r>
      <w:r>
        <w:rPr>
          <w:smallCaps w:val="0"/>
          <w:color w:val="1F487C"/>
        </w:rPr>
        <w:t>αχείρ</w:t>
      </w:r>
      <w:r>
        <w:rPr>
          <w:smallCaps/>
          <w:color w:val="1F487C"/>
        </w:rPr>
        <w:t>ι</w:t>
      </w:r>
      <w:r>
        <w:rPr>
          <w:smallCaps w:val="0"/>
          <w:color w:val="1F487C"/>
        </w:rPr>
        <w:t>ση</w:t>
      </w:r>
      <w:r>
        <w:rPr>
          <w:smallCaps w:val="0"/>
          <w:color w:val="1F487C"/>
          <w:spacing w:val="-13"/>
        </w:rPr>
        <w:t> </w:t>
      </w:r>
      <w:r>
        <w:rPr>
          <w:smallCaps w:val="0"/>
          <w:color w:val="1F487C"/>
        </w:rPr>
        <w:t>ανο</w:t>
      </w:r>
      <w:r>
        <w:rPr>
          <w:smallCaps/>
          <w:color w:val="1F487C"/>
        </w:rPr>
        <w:t>ι</w:t>
      </w:r>
      <w:r>
        <w:rPr>
          <w:smallCaps w:val="0"/>
          <w:color w:val="1F487C"/>
        </w:rPr>
        <w:t>γμάτων</w:t>
      </w:r>
      <w:r>
        <w:rPr>
          <w:smallCaps w:val="0"/>
          <w:color w:val="1F487C"/>
          <w:spacing w:val="-12"/>
        </w:rPr>
        <w:t> </w:t>
      </w:r>
      <w:r>
        <w:rPr>
          <w:smallCaps w:val="0"/>
          <w:color w:val="1F487C"/>
        </w:rPr>
        <w:t>γ</w:t>
      </w:r>
      <w:r>
        <w:rPr>
          <w:smallCaps/>
          <w:color w:val="1F487C"/>
        </w:rPr>
        <w:t>ι</w:t>
      </w:r>
      <w:r>
        <w:rPr>
          <w:smallCaps w:val="0"/>
          <w:color w:val="1F487C"/>
        </w:rPr>
        <w:t>α</w:t>
      </w:r>
      <w:r>
        <w:rPr>
          <w:smallCaps w:val="0"/>
          <w:color w:val="1F487C"/>
          <w:spacing w:val="-13"/>
        </w:rPr>
        <w:t> </w:t>
      </w:r>
      <w:r>
        <w:rPr>
          <w:smallCaps w:val="0"/>
          <w:color w:val="1F487C"/>
        </w:rPr>
        <w:t>λογαρ</w:t>
      </w:r>
      <w:r>
        <w:rPr>
          <w:smallCaps/>
          <w:color w:val="1F487C"/>
        </w:rPr>
        <w:t>ι</w:t>
      </w:r>
      <w:r>
        <w:rPr>
          <w:smallCaps w:val="0"/>
          <w:color w:val="1F487C"/>
        </w:rPr>
        <w:t>ασμό</w:t>
      </w:r>
      <w:r>
        <w:rPr>
          <w:smallCaps w:val="0"/>
          <w:color w:val="1F487C"/>
          <w:spacing w:val="-11"/>
        </w:rPr>
        <w:t> </w:t>
      </w:r>
      <w:r>
        <w:rPr>
          <w:smallCaps w:val="0"/>
          <w:color w:val="1F487C"/>
        </w:rPr>
        <w:t>των</w:t>
      </w:r>
      <w:r>
        <w:rPr>
          <w:smallCaps w:val="0"/>
          <w:color w:val="1F487C"/>
          <w:spacing w:val="-13"/>
        </w:rPr>
        <w:t> </w:t>
      </w:r>
      <w:r>
        <w:rPr>
          <w:smallCaps w:val="0"/>
          <w:color w:val="1F487C"/>
        </w:rPr>
        <w:t>π</w:t>
      </w:r>
      <w:r>
        <w:rPr>
          <w:smallCaps/>
          <w:color w:val="1F487C"/>
        </w:rPr>
        <w:t>ι</w:t>
      </w:r>
      <w:r>
        <w:rPr>
          <w:smallCaps w:val="0"/>
          <w:color w:val="1F487C"/>
        </w:rPr>
        <w:t>στωτ</w:t>
      </w:r>
      <w:r>
        <w:rPr>
          <w:smallCaps/>
          <w:color w:val="1F487C"/>
        </w:rPr>
        <w:t>ι</w:t>
      </w:r>
      <w:r>
        <w:rPr>
          <w:smallCaps w:val="0"/>
          <w:color w:val="1F487C"/>
        </w:rPr>
        <w:t>κών/χρηματοδοτ</w:t>
      </w:r>
      <w:r>
        <w:rPr>
          <w:smallCaps/>
          <w:color w:val="1F487C"/>
        </w:rPr>
        <w:t>ι</w:t>
      </w:r>
      <w:r>
        <w:rPr>
          <w:smallCaps w:val="0"/>
          <w:color w:val="1F487C"/>
        </w:rPr>
        <w:t>κών</w:t>
      </w:r>
      <w:r>
        <w:rPr>
          <w:smallCaps w:val="0"/>
          <w:color w:val="1F487C"/>
          <w:spacing w:val="-11"/>
        </w:rPr>
        <w:t> </w:t>
      </w:r>
      <w:r>
        <w:rPr>
          <w:smallCaps/>
          <w:color w:val="1F487C"/>
          <w:spacing w:val="-2"/>
        </w:rPr>
        <w:t>ι</w:t>
      </w:r>
      <w:r>
        <w:rPr>
          <w:smallCaps w:val="0"/>
          <w:color w:val="1F487C"/>
          <w:spacing w:val="-2"/>
        </w:rPr>
        <w:t>δρυμάτων</w:t>
      </w:r>
    </w:p>
    <w:p>
      <w:pPr>
        <w:pStyle w:val="BodyText"/>
        <w:spacing w:line="285" w:lineRule="auto" w:before="167"/>
        <w:ind w:left="172" w:right="5512"/>
        <w:jc w:val="both"/>
      </w:pPr>
      <w:r>
        <w:rPr/>
        <w:t>Η</w:t>
      </w:r>
      <w:r>
        <w:rPr>
          <w:spacing w:val="-14"/>
        </w:rPr>
        <w:t> </w:t>
      </w:r>
      <w:r>
        <w:rPr/>
        <w:t>συνολική</w:t>
      </w:r>
      <w:r>
        <w:rPr>
          <w:spacing w:val="-14"/>
        </w:rPr>
        <w:t> </w:t>
      </w:r>
      <w:r>
        <w:rPr/>
        <w:t>αξία</w:t>
      </w:r>
      <w:r>
        <w:rPr>
          <w:spacing w:val="-14"/>
        </w:rPr>
        <w:t> </w:t>
      </w:r>
      <w:r>
        <w:rPr/>
        <w:t>των</w:t>
      </w:r>
      <w:r>
        <w:rPr>
          <w:spacing w:val="-13"/>
        </w:rPr>
        <w:t> </w:t>
      </w:r>
      <w:r>
        <w:rPr/>
        <w:t>ανοιγμάτων</w:t>
      </w:r>
      <w:r>
        <w:rPr>
          <w:spacing w:val="-14"/>
        </w:rPr>
        <w:t> </w:t>
      </w:r>
      <w:r>
        <w:rPr/>
        <w:t>που</w:t>
      </w:r>
      <w:r>
        <w:rPr>
          <w:spacing w:val="-14"/>
        </w:rPr>
        <w:t> </w:t>
      </w:r>
      <w:r>
        <w:rPr/>
        <w:t>διαχει-ρίζονται</w:t>
      </w:r>
      <w:r>
        <w:rPr>
          <w:spacing w:val="-14"/>
        </w:rPr>
        <w:t> </w:t>
      </w:r>
      <w:r>
        <w:rPr/>
        <w:t>οι</w:t>
      </w:r>
      <w:r>
        <w:rPr>
          <w:spacing w:val="-14"/>
        </w:rPr>
        <w:t> </w:t>
      </w:r>
      <w:r>
        <w:rPr/>
        <w:t>διαχειριστές</w:t>
      </w:r>
      <w:r>
        <w:rPr>
          <w:spacing w:val="-14"/>
        </w:rPr>
        <w:t> </w:t>
      </w:r>
      <w:r>
        <w:rPr/>
        <w:t>πιστώσεων</w:t>
      </w:r>
      <w:r>
        <w:rPr>
          <w:spacing w:val="-13"/>
        </w:rPr>
        <w:t> </w:t>
      </w:r>
      <w:r>
        <w:rPr/>
        <w:t>για</w:t>
      </w:r>
      <w:r>
        <w:rPr>
          <w:spacing w:val="-14"/>
        </w:rPr>
        <w:t> </w:t>
      </w:r>
      <w:r>
        <w:rPr/>
        <w:t>λογα-ριασμό</w:t>
      </w:r>
      <w:r>
        <w:rPr>
          <w:spacing w:val="57"/>
          <w:w w:val="150"/>
        </w:rPr>
        <w:t> </w:t>
      </w:r>
      <w:r>
        <w:rPr/>
        <w:t>πιστωτικών/χρηματοδοτικών</w:t>
      </w:r>
      <w:r>
        <w:rPr>
          <w:spacing w:val="59"/>
          <w:w w:val="150"/>
        </w:rPr>
        <w:t> </w:t>
      </w:r>
      <w:r>
        <w:rPr>
          <w:spacing w:val="-4"/>
        </w:rPr>
        <w:t>ιδρυ-</w:t>
      </w:r>
    </w:p>
    <w:p>
      <w:pPr>
        <w:pStyle w:val="BodyText"/>
        <w:spacing w:after="0" w:line="285" w:lineRule="auto"/>
        <w:jc w:val="both"/>
        <w:sectPr>
          <w:pgSz w:w="11910" w:h="16850"/>
          <w:pgMar w:header="0" w:footer="1108" w:top="1940" w:bottom="1300" w:left="1417" w:right="850"/>
        </w:sectPr>
      </w:pPr>
    </w:p>
    <w:p>
      <w:pPr>
        <w:pStyle w:val="BodyText"/>
        <w:spacing w:line="285" w:lineRule="auto"/>
        <w:ind w:left="172"/>
        <w:jc w:val="both"/>
      </w:pPr>
      <w:r>
        <w:rPr/>
        <w:t>μάτων</w:t>
      </w:r>
      <w:r>
        <w:rPr>
          <w:spacing w:val="-10"/>
        </w:rPr>
        <w:t> </w:t>
      </w:r>
      <w:r>
        <w:rPr/>
        <w:t>ανήλθε</w:t>
      </w:r>
      <w:r>
        <w:rPr>
          <w:spacing w:val="-11"/>
        </w:rPr>
        <w:t> </w:t>
      </w:r>
      <w:r>
        <w:rPr/>
        <w:t>σε</w:t>
      </w:r>
      <w:r>
        <w:rPr>
          <w:spacing w:val="-11"/>
        </w:rPr>
        <w:t> </w:t>
      </w:r>
      <w:r>
        <w:rPr/>
        <w:t>9,9</w:t>
      </w:r>
      <w:r>
        <w:rPr>
          <w:spacing w:val="-12"/>
        </w:rPr>
        <w:t> </w:t>
      </w:r>
      <w:r>
        <w:rPr/>
        <w:t>δισεκ.</w:t>
      </w:r>
      <w:r>
        <w:rPr>
          <w:spacing w:val="-14"/>
        </w:rPr>
        <w:t> </w:t>
      </w:r>
      <w:r>
        <w:rPr/>
        <w:t>ευρώ</w:t>
      </w:r>
      <w:r>
        <w:rPr>
          <w:spacing w:val="-11"/>
        </w:rPr>
        <w:t> </w:t>
      </w:r>
      <w:r>
        <w:rPr/>
        <w:t>τον</w:t>
      </w:r>
      <w:r>
        <w:rPr>
          <w:spacing w:val="-11"/>
        </w:rPr>
        <w:t> </w:t>
      </w:r>
      <w:r>
        <w:rPr/>
        <w:t>Δεκέμ-βριο του 2025, μειωμένη κατά 5,9 δισεκ. ευρώ σε σχέση με τον Δεκέμβριο του 2024, κυρίως</w:t>
      </w:r>
      <w:r>
        <w:rPr>
          <w:spacing w:val="-8"/>
        </w:rPr>
        <w:t> </w:t>
      </w:r>
      <w:r>
        <w:rPr/>
        <w:t>λόγω</w:t>
      </w:r>
      <w:r>
        <w:rPr>
          <w:spacing w:val="-6"/>
        </w:rPr>
        <w:t> </w:t>
      </w:r>
      <w:r>
        <w:rPr/>
        <w:t>πώλησης</w:t>
      </w:r>
      <w:r>
        <w:rPr>
          <w:spacing w:val="-8"/>
        </w:rPr>
        <w:t> </w:t>
      </w:r>
      <w:r>
        <w:rPr/>
        <w:t>χαρτοφυλακίων</w:t>
      </w:r>
      <w:r>
        <w:rPr>
          <w:spacing w:val="-6"/>
        </w:rPr>
        <w:t> </w:t>
      </w:r>
      <w:r>
        <w:rPr/>
        <w:t>σε</w:t>
      </w:r>
      <w:r>
        <w:rPr>
          <w:spacing w:val="-7"/>
        </w:rPr>
        <w:t> </w:t>
      </w:r>
      <w:r>
        <w:rPr/>
        <w:t>α-γοραστές</w:t>
      </w:r>
      <w:r>
        <w:rPr>
          <w:spacing w:val="-13"/>
        </w:rPr>
        <w:t> </w:t>
      </w:r>
      <w:r>
        <w:rPr/>
        <w:t>πιστώσεων</w:t>
      </w:r>
      <w:r>
        <w:rPr>
          <w:spacing w:val="-11"/>
        </w:rPr>
        <w:t> </w:t>
      </w:r>
      <w:r>
        <w:rPr/>
        <w:t>και</w:t>
      </w:r>
      <w:r>
        <w:rPr>
          <w:spacing w:val="-11"/>
        </w:rPr>
        <w:t> </w:t>
      </w:r>
      <w:r>
        <w:rPr/>
        <w:t>ενεργειών</w:t>
      </w:r>
      <w:r>
        <w:rPr>
          <w:spacing w:val="-11"/>
        </w:rPr>
        <w:t> </w:t>
      </w:r>
      <w:r>
        <w:rPr/>
        <w:t>διαχείρι-σης, με το 41,6% εξ αυτών να αφορά ΜΕΑ (έναντι 53% τον Δεκέμβριο του 2024).</w:t>
      </w:r>
    </w:p>
    <w:p>
      <w:pPr>
        <w:pStyle w:val="BodyText"/>
        <w:spacing w:line="285" w:lineRule="auto" w:before="50"/>
        <w:ind w:left="172"/>
        <w:jc w:val="both"/>
      </w:pPr>
      <w:r>
        <w:rPr/>
        <w:t>Ειδικότερα,</w:t>
      </w:r>
      <w:r>
        <w:rPr>
          <w:spacing w:val="-12"/>
        </w:rPr>
        <w:t> </w:t>
      </w:r>
      <w:r>
        <w:rPr/>
        <w:t>το</w:t>
      </w:r>
      <w:r>
        <w:rPr>
          <w:spacing w:val="-11"/>
        </w:rPr>
        <w:t> </w:t>
      </w:r>
      <w:r>
        <w:rPr/>
        <w:t>μεγαλύτερο</w:t>
      </w:r>
      <w:r>
        <w:rPr>
          <w:spacing w:val="-13"/>
        </w:rPr>
        <w:t> </w:t>
      </w:r>
      <w:r>
        <w:rPr/>
        <w:t>μέρος</w:t>
      </w:r>
      <w:r>
        <w:rPr>
          <w:spacing w:val="-12"/>
        </w:rPr>
        <w:t> </w:t>
      </w:r>
      <w:r>
        <w:rPr/>
        <w:t>του</w:t>
      </w:r>
      <w:r>
        <w:rPr>
          <w:spacing w:val="-10"/>
        </w:rPr>
        <w:t> </w:t>
      </w:r>
      <w:r>
        <w:rPr/>
        <w:t>χαρτο-φυλακίου που διαχειρίζονται οι διαχειριστές πιστώσεων</w:t>
      </w:r>
      <w:r>
        <w:rPr>
          <w:spacing w:val="-14"/>
        </w:rPr>
        <w:t> </w:t>
      </w:r>
      <w:r>
        <w:rPr/>
        <w:t>για</w:t>
      </w:r>
      <w:r>
        <w:rPr>
          <w:spacing w:val="-14"/>
        </w:rPr>
        <w:t> </w:t>
      </w:r>
      <w:r>
        <w:rPr/>
        <w:t>λογαριασμό</w:t>
      </w:r>
      <w:r>
        <w:rPr>
          <w:spacing w:val="-14"/>
        </w:rPr>
        <w:t> </w:t>
      </w:r>
      <w:r>
        <w:rPr/>
        <w:t>πιστωτικών/χρη-ματοδοτικών ιδρυμάτων αποτελεί το χαρτο-φυλάκιο στεγαστικής πίστης (60%), ενώ α-κολουθούν το χαρτοφυλάκιο επιχειρηματι-κής</w:t>
      </w:r>
      <w:r>
        <w:rPr>
          <w:spacing w:val="-11"/>
        </w:rPr>
        <w:t> </w:t>
      </w:r>
      <w:r>
        <w:rPr/>
        <w:t>πίστης</w:t>
      </w:r>
      <w:r>
        <w:rPr>
          <w:spacing w:val="-13"/>
        </w:rPr>
        <w:t> </w:t>
      </w:r>
      <w:r>
        <w:rPr/>
        <w:t>(29%)</w:t>
      </w:r>
      <w:r>
        <w:rPr>
          <w:spacing w:val="-11"/>
        </w:rPr>
        <w:t> </w:t>
      </w:r>
      <w:r>
        <w:rPr/>
        <w:t>και</w:t>
      </w:r>
      <w:r>
        <w:rPr>
          <w:spacing w:val="-9"/>
        </w:rPr>
        <w:t> </w:t>
      </w:r>
      <w:r>
        <w:rPr/>
        <w:t>τέλος</w:t>
      </w:r>
      <w:r>
        <w:rPr>
          <w:spacing w:val="-12"/>
        </w:rPr>
        <w:t> </w:t>
      </w:r>
      <w:r>
        <w:rPr/>
        <w:t>το</w:t>
      </w:r>
      <w:r>
        <w:rPr>
          <w:spacing w:val="-8"/>
        </w:rPr>
        <w:t> </w:t>
      </w:r>
      <w:r>
        <w:rPr>
          <w:spacing w:val="-2"/>
        </w:rPr>
        <w:t>χαρτοφυλάκιο</w:t>
      </w:r>
    </w:p>
    <w:p>
      <w:pPr>
        <w:spacing w:before="69"/>
        <w:ind w:left="172" w:right="0" w:firstLine="0"/>
        <w:jc w:val="left"/>
        <w:rPr>
          <w:sz w:val="14"/>
        </w:rPr>
      </w:pPr>
      <w:r>
        <w:rPr/>
        <w:br w:type="column"/>
      </w:r>
      <w:r>
        <w:rPr>
          <w:color w:val="1F487C"/>
          <w:sz w:val="14"/>
        </w:rPr>
        <w:t>(ποσοστά</w:t>
      </w:r>
      <w:r>
        <w:rPr>
          <w:color w:val="1F487C"/>
          <w:spacing w:val="-8"/>
          <w:sz w:val="14"/>
        </w:rPr>
        <w:t> </w:t>
      </w:r>
      <w:r>
        <w:rPr>
          <w:color w:val="1F487C"/>
          <w:spacing w:val="-5"/>
          <w:sz w:val="14"/>
        </w:rPr>
        <w:t>%)</w:t>
      </w:r>
    </w:p>
    <w:p>
      <w:pPr>
        <w:pStyle w:val="BodyText"/>
        <w:spacing w:before="4"/>
        <w:rPr>
          <w:sz w:val="5"/>
        </w:rPr>
      </w:pPr>
    </w:p>
    <w:p>
      <w:pPr>
        <w:spacing w:line="240" w:lineRule="auto"/>
        <w:ind w:left="114" w:right="0" w:firstLine="0"/>
        <w:rPr>
          <w:sz w:val="20"/>
        </w:rPr>
      </w:pPr>
      <w:r>
        <w:rPr>
          <w:sz w:val="20"/>
        </w:rPr>
        <mc:AlternateContent>
          <mc:Choice Requires="wps">
            <w:drawing>
              <wp:inline distT="0" distB="0" distL="0" distR="0">
                <wp:extent cx="2768600" cy="2312670"/>
                <wp:effectExtent l="0" t="0" r="0" b="1905"/>
                <wp:docPr id="710" name="Group 710"/>
                <wp:cNvGraphicFramePr>
                  <a:graphicFrameLocks/>
                </wp:cNvGraphicFramePr>
                <a:graphic>
                  <a:graphicData uri="http://schemas.microsoft.com/office/word/2010/wordprocessingGroup">
                    <wpg:wgp>
                      <wpg:cNvPr id="710" name="Group 710"/>
                      <wpg:cNvGrpSpPr/>
                      <wpg:grpSpPr>
                        <a:xfrm>
                          <a:off x="0" y="0"/>
                          <a:ext cx="2768600" cy="2312670"/>
                          <a:chExt cx="2768600" cy="2312670"/>
                        </a:xfrm>
                      </wpg:grpSpPr>
                      <wps:wsp>
                        <wps:cNvPr id="711" name="Graphic 711"/>
                        <wps:cNvSpPr/>
                        <wps:spPr>
                          <a:xfrm>
                            <a:off x="0" y="0"/>
                            <a:ext cx="2768600" cy="2312670"/>
                          </a:xfrm>
                          <a:custGeom>
                            <a:avLst/>
                            <a:gdLst/>
                            <a:ahLst/>
                            <a:cxnLst/>
                            <a:rect l="l" t="t" r="r" b="b"/>
                            <a:pathLst>
                              <a:path w="2768600" h="2312670">
                                <a:moveTo>
                                  <a:pt x="2768219" y="0"/>
                                </a:moveTo>
                                <a:lnTo>
                                  <a:pt x="0" y="0"/>
                                </a:lnTo>
                                <a:lnTo>
                                  <a:pt x="0" y="2095754"/>
                                </a:lnTo>
                                <a:lnTo>
                                  <a:pt x="0" y="2312162"/>
                                </a:lnTo>
                                <a:lnTo>
                                  <a:pt x="2768219" y="2312162"/>
                                </a:lnTo>
                                <a:lnTo>
                                  <a:pt x="2768219" y="2095754"/>
                                </a:lnTo>
                                <a:lnTo>
                                  <a:pt x="2768219" y="0"/>
                                </a:lnTo>
                                <a:close/>
                              </a:path>
                            </a:pathLst>
                          </a:custGeom>
                          <a:solidFill>
                            <a:srgbClr val="D9D9D9"/>
                          </a:solidFill>
                        </wps:spPr>
                        <wps:bodyPr wrap="square" lIns="0" tIns="0" rIns="0" bIns="0" rtlCol="0">
                          <a:prstTxWarp prst="textNoShape">
                            <a:avLst/>
                          </a:prstTxWarp>
                          <a:noAutofit/>
                        </wps:bodyPr>
                      </wps:wsp>
                      <pic:pic>
                        <pic:nvPicPr>
                          <pic:cNvPr id="712" name="Image 712"/>
                          <pic:cNvPicPr/>
                        </pic:nvPicPr>
                        <pic:blipFill>
                          <a:blip r:embed="rId120" cstate="print"/>
                          <a:stretch>
                            <a:fillRect/>
                          </a:stretch>
                        </pic:blipFill>
                        <pic:spPr>
                          <a:xfrm>
                            <a:off x="31623" y="37846"/>
                            <a:ext cx="2663571" cy="2050414"/>
                          </a:xfrm>
                          <a:prstGeom prst="rect">
                            <a:avLst/>
                          </a:prstGeom>
                        </pic:spPr>
                      </pic:pic>
                      <wps:wsp>
                        <wps:cNvPr id="713" name="Textbox 713"/>
                        <wps:cNvSpPr txBox="1"/>
                        <wps:spPr>
                          <a:xfrm>
                            <a:off x="0" y="0"/>
                            <a:ext cx="2768600" cy="231267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38"/>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18pt;height:182.1pt;mso-position-horizontal-relative:char;mso-position-vertical-relative:line" id="docshapegroup665" coordorigin="0,0" coordsize="4360,3642">
                <v:shape style="position:absolute;left:0;top:0;width:4360;height:3642" id="docshape666" coordorigin="0,0" coordsize="4360,3642" path="m4359,0l0,0,0,3300,0,3641,4359,3641,4359,3300,4359,0xe" filled="true" fillcolor="#d9d9d9" stroked="false">
                  <v:path arrowok="t"/>
                  <v:fill type="solid"/>
                </v:shape>
                <v:shape style="position:absolute;left:49;top:59;width:4195;height:3229" type="#_x0000_t75" id="docshape667" stroked="false">
                  <v:imagedata r:id="rId120" o:title=""/>
                </v:shape>
                <v:shape style="position:absolute;left:0;top:0;width:4360;height:3642" type="#_x0000_t202" id="docshape668"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38"/>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126" w:space="62"/>
            <w:col w:w="5455"/>
          </w:cols>
        </w:sectPr>
      </w:pPr>
    </w:p>
    <w:p>
      <w:pPr>
        <w:pStyle w:val="BodyText"/>
        <w:spacing w:line="285" w:lineRule="auto"/>
        <w:ind w:left="172" w:right="956"/>
        <w:jc w:val="both"/>
      </w:pPr>
      <w:r>
        <w:rPr/>
        <w:t>καταναλωτικής</w:t>
      </w:r>
      <w:r>
        <w:rPr>
          <w:spacing w:val="-9"/>
        </w:rPr>
        <w:t> </w:t>
      </w:r>
      <w:r>
        <w:rPr/>
        <w:t>πίστης</w:t>
      </w:r>
      <w:r>
        <w:rPr>
          <w:spacing w:val="-11"/>
        </w:rPr>
        <w:t> </w:t>
      </w:r>
      <w:r>
        <w:rPr/>
        <w:t>(11%)</w:t>
      </w:r>
      <w:r>
        <w:rPr>
          <w:spacing w:val="-9"/>
        </w:rPr>
        <w:t> </w:t>
      </w:r>
      <w:r>
        <w:rPr/>
        <w:t>(βλ.</w:t>
      </w:r>
      <w:r>
        <w:rPr>
          <w:spacing w:val="-10"/>
        </w:rPr>
        <w:t> </w:t>
      </w:r>
      <w:r>
        <w:rPr/>
        <w:t>Διάγραμμα</w:t>
      </w:r>
      <w:r>
        <w:rPr>
          <w:spacing w:val="-6"/>
        </w:rPr>
        <w:t> </w:t>
      </w:r>
      <w:r>
        <w:rPr/>
        <w:t>V.17).</w:t>
      </w:r>
      <w:r>
        <w:rPr>
          <w:spacing w:val="-9"/>
        </w:rPr>
        <w:t> </w:t>
      </w:r>
      <w:r>
        <w:rPr/>
        <w:t>Το</w:t>
      </w:r>
      <w:r>
        <w:rPr>
          <w:spacing w:val="-8"/>
        </w:rPr>
        <w:t> </w:t>
      </w:r>
      <w:r>
        <w:rPr/>
        <w:t>2025</w:t>
      </w:r>
      <w:r>
        <w:rPr>
          <w:spacing w:val="-10"/>
        </w:rPr>
        <w:t> </w:t>
      </w:r>
      <w:r>
        <w:rPr/>
        <w:t>διευρύνθηκε</w:t>
      </w:r>
      <w:r>
        <w:rPr>
          <w:spacing w:val="-9"/>
        </w:rPr>
        <w:t> </w:t>
      </w:r>
      <w:r>
        <w:rPr/>
        <w:t>σημαντικά</w:t>
      </w:r>
      <w:r>
        <w:rPr>
          <w:spacing w:val="-10"/>
        </w:rPr>
        <w:t> </w:t>
      </w:r>
      <w:r>
        <w:rPr/>
        <w:t>το</w:t>
      </w:r>
      <w:r>
        <w:rPr>
          <w:spacing w:val="-7"/>
        </w:rPr>
        <w:t> </w:t>
      </w:r>
      <w:r>
        <w:rPr/>
        <w:t>μερίδιο της στεγαστικής πίστης και, σε μικρότερο βαθμό της καταναλωτικής πίστης.</w:t>
      </w:r>
    </w:p>
    <w:p>
      <w:pPr>
        <w:pStyle w:val="BodyText"/>
        <w:spacing w:line="285" w:lineRule="auto" w:before="51"/>
        <w:ind w:left="172" w:right="960"/>
        <w:jc w:val="both"/>
      </w:pPr>
      <w:r>
        <w:rPr/>
        <w:t>Το</w:t>
      </w:r>
      <w:r>
        <w:rPr>
          <w:spacing w:val="-2"/>
        </w:rPr>
        <w:t> </w:t>
      </w:r>
      <w:r>
        <w:rPr/>
        <w:t>2025</w:t>
      </w:r>
      <w:r>
        <w:rPr>
          <w:spacing w:val="-3"/>
        </w:rPr>
        <w:t> </w:t>
      </w:r>
      <w:r>
        <w:rPr/>
        <w:t>οι αποπληρωμές</w:t>
      </w:r>
      <w:r>
        <w:rPr>
          <w:spacing w:val="-2"/>
        </w:rPr>
        <w:t> </w:t>
      </w:r>
      <w:r>
        <w:rPr/>
        <w:t>και οι</w:t>
      </w:r>
      <w:r>
        <w:rPr>
          <w:spacing w:val="-3"/>
        </w:rPr>
        <w:t> </w:t>
      </w:r>
      <w:r>
        <w:rPr/>
        <w:t>ρευστοποιήσεις</w:t>
      </w:r>
      <w:r>
        <w:rPr>
          <w:spacing w:val="-3"/>
        </w:rPr>
        <w:t> </w:t>
      </w:r>
      <w:r>
        <w:rPr/>
        <w:t>εξασφαλίσεων αναφορικά</w:t>
      </w:r>
      <w:r>
        <w:rPr>
          <w:spacing w:val="-2"/>
        </w:rPr>
        <w:t> </w:t>
      </w:r>
      <w:r>
        <w:rPr/>
        <w:t>με</w:t>
      </w:r>
      <w:r>
        <w:rPr>
          <w:spacing w:val="-3"/>
        </w:rPr>
        <w:t> </w:t>
      </w:r>
      <w:r>
        <w:rPr/>
        <w:t>τα</w:t>
      </w:r>
      <w:r>
        <w:rPr>
          <w:spacing w:val="-2"/>
        </w:rPr>
        <w:t> </w:t>
      </w:r>
      <w:r>
        <w:rPr/>
        <w:t>ανοίγματα</w:t>
      </w:r>
      <w:r>
        <w:rPr>
          <w:spacing w:val="-2"/>
        </w:rPr>
        <w:t> </w:t>
      </w:r>
      <w:r>
        <w:rPr/>
        <w:t>που διαχειρίζονται</w:t>
      </w:r>
      <w:r>
        <w:rPr>
          <w:spacing w:val="-16"/>
        </w:rPr>
        <w:t> </w:t>
      </w:r>
      <w:r>
        <w:rPr/>
        <w:t>οι</w:t>
      </w:r>
      <w:r>
        <w:rPr>
          <w:spacing w:val="-14"/>
        </w:rPr>
        <w:t> </w:t>
      </w:r>
      <w:r>
        <w:rPr/>
        <w:t>διαχειριστές</w:t>
      </w:r>
      <w:r>
        <w:rPr>
          <w:spacing w:val="-14"/>
        </w:rPr>
        <w:t> </w:t>
      </w:r>
      <w:r>
        <w:rPr/>
        <w:t>πιστώσεων</w:t>
      </w:r>
      <w:r>
        <w:rPr>
          <w:spacing w:val="-13"/>
        </w:rPr>
        <w:t> </w:t>
      </w:r>
      <w:r>
        <w:rPr/>
        <w:t>για</w:t>
      </w:r>
      <w:r>
        <w:rPr>
          <w:spacing w:val="-14"/>
        </w:rPr>
        <w:t> </w:t>
      </w:r>
      <w:r>
        <w:rPr/>
        <w:t>λογαριασμό</w:t>
      </w:r>
      <w:r>
        <w:rPr>
          <w:spacing w:val="-14"/>
        </w:rPr>
        <w:t> </w:t>
      </w:r>
      <w:r>
        <w:rPr/>
        <w:t>των</w:t>
      </w:r>
      <w:r>
        <w:rPr>
          <w:spacing w:val="-14"/>
        </w:rPr>
        <w:t> </w:t>
      </w:r>
      <w:r>
        <w:rPr/>
        <w:t>πιστωτικών/χρηματοδοτικών</w:t>
      </w:r>
      <w:r>
        <w:rPr>
          <w:spacing w:val="-13"/>
        </w:rPr>
        <w:t> </w:t>
      </w:r>
      <w:r>
        <w:rPr/>
        <w:t>ιδρυ-μάτων διαμορφώθηκαν σε 1,4 δισεκ. ευρώ, εκ των οποίων 1,3 δισεκ. ευρώ ήταν αποπληρωμές και 78 εκατ. ευρώ ρευστοποιήσεις υφιστάμενων εξασφαλίσεων.</w:t>
      </w:r>
    </w:p>
    <w:p>
      <w:pPr>
        <w:pStyle w:val="Heading4"/>
        <w:spacing w:before="56"/>
      </w:pPr>
      <w:r>
        <w:rPr>
          <w:color w:val="1F487C"/>
        </w:rPr>
        <w:t>Δευτερογενής</w:t>
      </w:r>
      <w:r>
        <w:rPr>
          <w:color w:val="1F487C"/>
          <w:spacing w:val="-8"/>
        </w:rPr>
        <w:t> </w:t>
      </w:r>
      <w:r>
        <w:rPr>
          <w:color w:val="1F487C"/>
          <w:spacing w:val="-4"/>
        </w:rPr>
        <w:t>αγορά</w:t>
      </w:r>
    </w:p>
    <w:p>
      <w:pPr>
        <w:pStyle w:val="BodyText"/>
        <w:spacing w:line="285" w:lineRule="auto" w:before="167"/>
        <w:ind w:left="172" w:right="956"/>
        <w:jc w:val="both"/>
      </w:pPr>
      <w:r>
        <w:rPr/>
        <mc:AlternateContent>
          <mc:Choice Requires="wps">
            <w:drawing>
              <wp:anchor distT="0" distB="0" distL="0" distR="0" allowOverlap="1" layoutInCell="1" locked="0" behindDoc="0" simplePos="0" relativeHeight="15801344">
                <wp:simplePos x="0" y="0"/>
                <wp:positionH relativeFrom="page">
                  <wp:posOffset>3632327</wp:posOffset>
                </wp:positionH>
                <wp:positionV relativeFrom="paragraph">
                  <wp:posOffset>571907</wp:posOffset>
                </wp:positionV>
                <wp:extent cx="2768600" cy="34036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2768600" cy="340360"/>
                        </a:xfrm>
                        <a:prstGeom prst="rect">
                          <a:avLst/>
                        </a:prstGeom>
                        <a:solidFill>
                          <a:srgbClr val="1F487C"/>
                        </a:solidFill>
                      </wps:spPr>
                      <wps:txbx>
                        <w:txbxContent>
                          <w:p>
                            <w:pPr>
                              <w:spacing w:before="60"/>
                              <w:ind w:left="112" w:right="11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V.18</w:t>
                            </w:r>
                            <w:r>
                              <w:rPr>
                                <w:b/>
                                <w:smallCaps w:val="0"/>
                                <w:color w:val="FFFFFF"/>
                                <w:spacing w:val="-7"/>
                                <w:sz w:val="18"/>
                              </w:rPr>
                              <w:t> </w:t>
                            </w:r>
                            <w:r>
                              <w:rPr>
                                <w:b/>
                                <w:smallCaps w:val="0"/>
                                <w:color w:val="FFFFFF"/>
                                <w:sz w:val="18"/>
                              </w:rPr>
                              <w:t>Συναλλαγές</w:t>
                            </w:r>
                            <w:r>
                              <w:rPr>
                                <w:b/>
                                <w:smallCaps w:val="0"/>
                                <w:color w:val="FFFFFF"/>
                                <w:spacing w:val="-7"/>
                                <w:sz w:val="18"/>
                              </w:rPr>
                              <w:t> </w:t>
                            </w:r>
                            <w:r>
                              <w:rPr>
                                <w:b/>
                                <w:smallCaps w:val="0"/>
                                <w:color w:val="FFFFFF"/>
                                <w:sz w:val="18"/>
                              </w:rPr>
                              <w:t>στη</w:t>
                            </w:r>
                            <w:r>
                              <w:rPr>
                                <w:b/>
                                <w:smallCaps w:val="0"/>
                                <w:color w:val="FFFFFF"/>
                                <w:spacing w:val="-7"/>
                                <w:sz w:val="18"/>
                              </w:rPr>
                              <w:t> </w:t>
                            </w:r>
                            <w:r>
                              <w:rPr>
                                <w:b/>
                                <w:smallCaps w:val="0"/>
                                <w:color w:val="FFFFFF"/>
                                <w:sz w:val="18"/>
                              </w:rPr>
                              <w:t>δευτερογενή</w:t>
                            </w:r>
                            <w:r>
                              <w:rPr>
                                <w:b/>
                                <w:smallCaps w:val="0"/>
                                <w:color w:val="FFFFFF"/>
                                <w:spacing w:val="-10"/>
                                <w:sz w:val="18"/>
                              </w:rPr>
                              <w:t> </w:t>
                            </w:r>
                            <w:r>
                              <w:rPr>
                                <w:b/>
                                <w:smallCaps w:val="0"/>
                                <w:color w:val="FFFFFF"/>
                                <w:sz w:val="18"/>
                              </w:rPr>
                              <w:t>αγορά (2019 - 2025)</w:t>
                            </w:r>
                          </w:p>
                        </w:txbxContent>
                      </wps:txbx>
                      <wps:bodyPr wrap="square" lIns="0" tIns="0" rIns="0" bIns="0" rtlCol="0">
                        <a:noAutofit/>
                      </wps:bodyPr>
                    </wps:wsp>
                  </a:graphicData>
                </a:graphic>
              </wp:anchor>
            </w:drawing>
          </mc:Choice>
          <mc:Fallback>
            <w:pict>
              <v:shape style="position:absolute;margin-left:286.010010pt;margin-top:45.032124pt;width:218pt;height:26.8pt;mso-position-horizontal-relative:page;mso-position-vertical-relative:paragraph;z-index:15801344" type="#_x0000_t202" id="docshape669" filled="true" fillcolor="#1f487c" stroked="false">
                <v:textbox inset="0,0,0,0">
                  <w:txbxContent>
                    <w:p>
                      <w:pPr>
                        <w:spacing w:before="60"/>
                        <w:ind w:left="112" w:right="11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V.18</w:t>
                      </w:r>
                      <w:r>
                        <w:rPr>
                          <w:b/>
                          <w:smallCaps w:val="0"/>
                          <w:color w:val="FFFFFF"/>
                          <w:spacing w:val="-7"/>
                          <w:sz w:val="18"/>
                        </w:rPr>
                        <w:t> </w:t>
                      </w:r>
                      <w:r>
                        <w:rPr>
                          <w:b/>
                          <w:smallCaps w:val="0"/>
                          <w:color w:val="FFFFFF"/>
                          <w:sz w:val="18"/>
                        </w:rPr>
                        <w:t>Συναλλαγές</w:t>
                      </w:r>
                      <w:r>
                        <w:rPr>
                          <w:b/>
                          <w:smallCaps w:val="0"/>
                          <w:color w:val="FFFFFF"/>
                          <w:spacing w:val="-7"/>
                          <w:sz w:val="18"/>
                        </w:rPr>
                        <w:t> </w:t>
                      </w:r>
                      <w:r>
                        <w:rPr>
                          <w:b/>
                          <w:smallCaps w:val="0"/>
                          <w:color w:val="FFFFFF"/>
                          <w:sz w:val="18"/>
                        </w:rPr>
                        <w:t>στη</w:t>
                      </w:r>
                      <w:r>
                        <w:rPr>
                          <w:b/>
                          <w:smallCaps w:val="0"/>
                          <w:color w:val="FFFFFF"/>
                          <w:spacing w:val="-7"/>
                          <w:sz w:val="18"/>
                        </w:rPr>
                        <w:t> </w:t>
                      </w:r>
                      <w:r>
                        <w:rPr>
                          <w:b/>
                          <w:smallCaps w:val="0"/>
                          <w:color w:val="FFFFFF"/>
                          <w:sz w:val="18"/>
                        </w:rPr>
                        <w:t>δευτερογενή</w:t>
                      </w:r>
                      <w:r>
                        <w:rPr>
                          <w:b/>
                          <w:smallCaps w:val="0"/>
                          <w:color w:val="FFFFFF"/>
                          <w:spacing w:val="-10"/>
                          <w:sz w:val="18"/>
                        </w:rPr>
                        <w:t> </w:t>
                      </w:r>
                      <w:r>
                        <w:rPr>
                          <w:b/>
                          <w:smallCaps w:val="0"/>
                          <w:color w:val="FFFFFF"/>
                          <w:sz w:val="18"/>
                        </w:rPr>
                        <w:t>αγορά (2019 - 2025)</w:t>
                      </w:r>
                    </w:p>
                  </w:txbxContent>
                </v:textbox>
                <v:fill type="solid"/>
                <w10:wrap type="none"/>
              </v:shape>
            </w:pict>
          </mc:Fallback>
        </mc:AlternateContent>
      </w:r>
      <w:r>
        <w:rPr/>
        <w:t>Στη</w:t>
      </w:r>
      <w:r>
        <w:rPr>
          <w:spacing w:val="-8"/>
        </w:rPr>
        <w:t> </w:t>
      </w:r>
      <w:r>
        <w:rPr/>
        <w:t>δευτερογενή</w:t>
      </w:r>
      <w:r>
        <w:rPr>
          <w:spacing w:val="-8"/>
        </w:rPr>
        <w:t> </w:t>
      </w:r>
      <w:r>
        <w:rPr/>
        <w:t>αγορά</w:t>
      </w:r>
      <w:r>
        <w:rPr>
          <w:spacing w:val="-8"/>
        </w:rPr>
        <w:t> </w:t>
      </w:r>
      <w:r>
        <w:rPr/>
        <w:t>δανείων,</w:t>
      </w:r>
      <w:r>
        <w:rPr>
          <w:spacing w:val="-8"/>
        </w:rPr>
        <w:t> </w:t>
      </w:r>
      <w:r>
        <w:rPr/>
        <w:t>η</w:t>
      </w:r>
      <w:r>
        <w:rPr>
          <w:spacing w:val="-8"/>
        </w:rPr>
        <w:t> </w:t>
      </w:r>
      <w:r>
        <w:rPr/>
        <w:t>οποία</w:t>
      </w:r>
      <w:r>
        <w:rPr>
          <w:spacing w:val="-8"/>
        </w:rPr>
        <w:t> </w:t>
      </w:r>
      <w:r>
        <w:rPr/>
        <w:t>αφορά</w:t>
      </w:r>
      <w:r>
        <w:rPr>
          <w:spacing w:val="-8"/>
        </w:rPr>
        <w:t> </w:t>
      </w:r>
      <w:r>
        <w:rPr/>
        <w:t>συναλλαγές</w:t>
      </w:r>
      <w:r>
        <w:rPr>
          <w:spacing w:val="-9"/>
        </w:rPr>
        <w:t> </w:t>
      </w:r>
      <w:r>
        <w:rPr/>
        <w:t>επί</w:t>
      </w:r>
      <w:r>
        <w:rPr>
          <w:spacing w:val="-10"/>
        </w:rPr>
        <w:t> </w:t>
      </w:r>
      <w:r>
        <w:rPr/>
        <w:t>των</w:t>
      </w:r>
      <w:r>
        <w:rPr>
          <w:spacing w:val="-7"/>
        </w:rPr>
        <w:t> </w:t>
      </w:r>
      <w:r>
        <w:rPr/>
        <w:t>δανείων</w:t>
      </w:r>
      <w:r>
        <w:rPr>
          <w:spacing w:val="-7"/>
        </w:rPr>
        <w:t> </w:t>
      </w:r>
      <w:r>
        <w:rPr/>
        <w:t>που</w:t>
      </w:r>
      <w:r>
        <w:rPr>
          <w:spacing w:val="-7"/>
        </w:rPr>
        <w:t> </w:t>
      </w:r>
      <w:r>
        <w:rPr/>
        <w:t>διαχειρίζονται οι διαχειριστές πιστώσεων, την περίοδο 2019-2025 πραγματοποιήθηκαν συναλλαγές που αφο-ρούσαν 170 χαρτοφυλάκια δανείων με συνο-</w:t>
      </w:r>
    </w:p>
    <w:p>
      <w:pPr>
        <w:pStyle w:val="BodyText"/>
        <w:spacing w:line="250" w:lineRule="exact"/>
        <w:ind w:left="172"/>
        <w:jc w:val="both"/>
      </w:pPr>
      <w:r>
        <w:rPr/>
        <w:t>λική</w:t>
      </w:r>
      <w:r>
        <w:rPr>
          <w:spacing w:val="5"/>
        </w:rPr>
        <w:t> </w:t>
      </w:r>
      <w:r>
        <w:rPr/>
        <w:t>αξία</w:t>
      </w:r>
      <w:r>
        <w:rPr>
          <w:spacing w:val="6"/>
        </w:rPr>
        <w:t> </w:t>
      </w:r>
      <w:r>
        <w:rPr/>
        <w:t>απαιτήσεων</w:t>
      </w:r>
      <w:r>
        <w:rPr>
          <w:spacing w:val="5"/>
        </w:rPr>
        <w:t> </w:t>
      </w:r>
      <w:r>
        <w:rPr/>
        <w:t>11,8</w:t>
      </w:r>
      <w:r>
        <w:rPr>
          <w:spacing w:val="4"/>
        </w:rPr>
        <w:t> </w:t>
      </w:r>
      <w:r>
        <w:rPr/>
        <w:t>δισεκ.</w:t>
      </w:r>
      <w:r>
        <w:rPr>
          <w:spacing w:val="9"/>
        </w:rPr>
        <w:t> </w:t>
      </w:r>
      <w:r>
        <w:rPr/>
        <w:t>ευρώ</w:t>
      </w:r>
      <w:r>
        <w:rPr>
          <w:spacing w:val="5"/>
        </w:rPr>
        <w:t> </w:t>
      </w:r>
      <w:r>
        <w:rPr>
          <w:spacing w:val="-4"/>
        </w:rPr>
        <w:t>(βλ.</w:t>
      </w:r>
    </w:p>
    <w:p>
      <w:pPr>
        <w:pStyle w:val="BodyText"/>
        <w:spacing w:line="194" w:lineRule="exact" w:before="47"/>
        <w:ind w:left="172"/>
        <w:jc w:val="both"/>
      </w:pPr>
      <w:r>
        <w:rPr/>
        <w:t>Διάγραμμα</w:t>
      </w:r>
      <w:r>
        <w:rPr>
          <w:spacing w:val="12"/>
        </w:rPr>
        <w:t> </w:t>
      </w:r>
      <w:r>
        <w:rPr/>
        <w:t>V.18).</w:t>
      </w:r>
      <w:r>
        <w:rPr>
          <w:spacing w:val="12"/>
        </w:rPr>
        <w:t> </w:t>
      </w:r>
      <w:r>
        <w:rPr/>
        <w:t>Μετά</w:t>
      </w:r>
      <w:r>
        <w:rPr>
          <w:spacing w:val="12"/>
        </w:rPr>
        <w:t> </w:t>
      </w:r>
      <w:r>
        <w:rPr/>
        <w:t>την</w:t>
      </w:r>
      <w:r>
        <w:rPr>
          <w:spacing w:val="15"/>
        </w:rPr>
        <w:t> </w:t>
      </w:r>
      <w:r>
        <w:rPr/>
        <w:t>κορύφωση</w:t>
      </w:r>
      <w:r>
        <w:rPr>
          <w:spacing w:val="13"/>
        </w:rPr>
        <w:t> </w:t>
      </w:r>
      <w:r>
        <w:rPr>
          <w:spacing w:val="-5"/>
        </w:rPr>
        <w:t>της</w:t>
      </w:r>
    </w:p>
    <w:p>
      <w:pPr>
        <w:pStyle w:val="BodyText"/>
        <w:spacing w:after="0" w:line="194" w:lineRule="exact"/>
        <w:jc w:val="both"/>
        <w:sectPr>
          <w:type w:val="continuous"/>
          <w:pgSz w:w="11910" w:h="16850"/>
          <w:pgMar w:header="0" w:footer="1108" w:top="1320" w:bottom="280" w:left="1417" w:right="850"/>
        </w:sectPr>
      </w:pPr>
    </w:p>
    <w:p>
      <w:pPr>
        <w:pStyle w:val="BodyText"/>
        <w:spacing w:line="285" w:lineRule="auto" w:before="106"/>
        <w:ind w:left="172"/>
        <w:jc w:val="both"/>
      </w:pPr>
      <w:r>
        <w:rPr/>
        <mc:AlternateContent>
          <mc:Choice Requires="wps">
            <w:drawing>
              <wp:anchor distT="0" distB="0" distL="0" distR="0" allowOverlap="1" layoutInCell="1" locked="0" behindDoc="0" simplePos="0" relativeHeight="15800832">
                <wp:simplePos x="0" y="0"/>
                <wp:positionH relativeFrom="page">
                  <wp:posOffset>3632327</wp:posOffset>
                </wp:positionH>
                <wp:positionV relativeFrom="paragraph">
                  <wp:posOffset>136929</wp:posOffset>
                </wp:positionV>
                <wp:extent cx="2768600" cy="2185670"/>
                <wp:effectExtent l="0" t="0" r="0" b="0"/>
                <wp:wrapNone/>
                <wp:docPr id="715" name="Group 715"/>
                <wp:cNvGraphicFramePr>
                  <a:graphicFrameLocks/>
                </wp:cNvGraphicFramePr>
                <a:graphic>
                  <a:graphicData uri="http://schemas.microsoft.com/office/word/2010/wordprocessingGroup">
                    <wpg:wgp>
                      <wpg:cNvPr id="715" name="Group 715"/>
                      <wpg:cNvGrpSpPr/>
                      <wpg:grpSpPr>
                        <a:xfrm>
                          <a:off x="0" y="0"/>
                          <a:ext cx="2768600" cy="2185670"/>
                          <a:chExt cx="2768600" cy="2185670"/>
                        </a:xfrm>
                      </wpg:grpSpPr>
                      <wps:wsp>
                        <wps:cNvPr id="716" name="Graphic 716"/>
                        <wps:cNvSpPr/>
                        <wps:spPr>
                          <a:xfrm>
                            <a:off x="0" y="0"/>
                            <a:ext cx="2768600" cy="2185670"/>
                          </a:xfrm>
                          <a:custGeom>
                            <a:avLst/>
                            <a:gdLst/>
                            <a:ahLst/>
                            <a:cxnLst/>
                            <a:rect l="l" t="t" r="r" b="b"/>
                            <a:pathLst>
                              <a:path w="2768600" h="2185670">
                                <a:moveTo>
                                  <a:pt x="2768219" y="1969274"/>
                                </a:moveTo>
                                <a:lnTo>
                                  <a:pt x="0" y="1969274"/>
                                </a:lnTo>
                                <a:lnTo>
                                  <a:pt x="0" y="2185670"/>
                                </a:lnTo>
                                <a:lnTo>
                                  <a:pt x="2768219" y="2185670"/>
                                </a:lnTo>
                                <a:lnTo>
                                  <a:pt x="2768219" y="1969274"/>
                                </a:lnTo>
                                <a:close/>
                              </a:path>
                              <a:path w="2768600" h="2185670">
                                <a:moveTo>
                                  <a:pt x="2768219" y="0"/>
                                </a:moveTo>
                                <a:lnTo>
                                  <a:pt x="0" y="0"/>
                                </a:lnTo>
                                <a:lnTo>
                                  <a:pt x="0" y="1969262"/>
                                </a:lnTo>
                                <a:lnTo>
                                  <a:pt x="2768219" y="1969262"/>
                                </a:lnTo>
                                <a:lnTo>
                                  <a:pt x="2768219" y="0"/>
                                </a:lnTo>
                                <a:close/>
                              </a:path>
                            </a:pathLst>
                          </a:custGeom>
                          <a:solidFill>
                            <a:srgbClr val="D9D9D9"/>
                          </a:solidFill>
                        </wps:spPr>
                        <wps:bodyPr wrap="square" lIns="0" tIns="0" rIns="0" bIns="0" rtlCol="0">
                          <a:prstTxWarp prst="textNoShape">
                            <a:avLst/>
                          </a:prstTxWarp>
                          <a:noAutofit/>
                        </wps:bodyPr>
                      </wps:wsp>
                      <pic:pic>
                        <pic:nvPicPr>
                          <pic:cNvPr id="717" name="Image 717"/>
                          <pic:cNvPicPr/>
                        </pic:nvPicPr>
                        <pic:blipFill>
                          <a:blip r:embed="rId121" cstate="print"/>
                          <a:stretch>
                            <a:fillRect/>
                          </a:stretch>
                        </pic:blipFill>
                        <pic:spPr>
                          <a:xfrm>
                            <a:off x="31623" y="37109"/>
                            <a:ext cx="2663825" cy="1930908"/>
                          </a:xfrm>
                          <a:prstGeom prst="rect">
                            <a:avLst/>
                          </a:prstGeom>
                        </pic:spPr>
                      </pic:pic>
                      <wps:wsp>
                        <wps:cNvPr id="718" name="Textbox 718"/>
                        <wps:cNvSpPr txBox="1"/>
                        <wps:spPr>
                          <a:xfrm>
                            <a:off x="0" y="0"/>
                            <a:ext cx="2768600" cy="218567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anchor>
            </w:drawing>
          </mc:Choice>
          <mc:Fallback>
            <w:pict>
              <v:group style="position:absolute;margin-left:286.010010pt;margin-top:10.78182pt;width:218pt;height:172.1pt;mso-position-horizontal-relative:page;mso-position-vertical-relative:paragraph;z-index:15800832" id="docshapegroup670" coordorigin="5720,216" coordsize="4360,3442">
                <v:shape style="position:absolute;left:5720;top:215;width:4360;height:3442" id="docshape671" coordorigin="5720,216" coordsize="4360,3442" path="m10080,3317l5720,3317,5720,3658,10080,3658,10080,3317xm10080,216l5720,216,5720,3317,10080,3317,10080,216xe" filled="true" fillcolor="#d9d9d9" stroked="false">
                  <v:path arrowok="t"/>
                  <v:fill type="solid"/>
                </v:shape>
                <v:shape style="position:absolute;left:5770;top:274;width:4195;height:3041" type="#_x0000_t75" id="docshape672" stroked="false">
                  <v:imagedata r:id="rId121" o:title=""/>
                </v:shape>
                <v:shape style="position:absolute;left:5720;top:215;width:4360;height:3442" type="#_x0000_t202" id="docshape673"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before="0"/>
                          <w:ind w:left="112" w:right="0" w:firstLine="0"/>
                          <w:jc w:val="left"/>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xbxContent>
                  </v:textbox>
                  <w10:wrap type="none"/>
                </v:shape>
                <w10:wrap type="none"/>
              </v:group>
            </w:pict>
          </mc:Fallback>
        </mc:AlternateContent>
      </w:r>
      <w:r>
        <w:rPr/>
        <w:t>δραστηριότητας το 2024, οπότε </w:t>
      </w:r>
      <w:r>
        <w:rPr/>
        <w:t>μεταβιβά-στηκαν</w:t>
      </w:r>
      <w:r>
        <w:rPr>
          <w:spacing w:val="-14"/>
        </w:rPr>
        <w:t> </w:t>
      </w:r>
      <w:r>
        <w:rPr/>
        <w:t>43</w:t>
      </w:r>
      <w:r>
        <w:rPr>
          <w:spacing w:val="-14"/>
        </w:rPr>
        <w:t> </w:t>
      </w:r>
      <w:r>
        <w:rPr/>
        <w:t>χαρτοφυλάκια</w:t>
      </w:r>
      <w:r>
        <w:rPr>
          <w:spacing w:val="-14"/>
        </w:rPr>
        <w:t> </w:t>
      </w:r>
      <w:r>
        <w:rPr/>
        <w:t>δανείων</w:t>
      </w:r>
      <w:r>
        <w:rPr>
          <w:spacing w:val="-13"/>
        </w:rPr>
        <w:t> </w:t>
      </w:r>
      <w:r>
        <w:rPr/>
        <w:t>συνολικής </w:t>
      </w:r>
      <w:r>
        <w:rPr>
          <w:spacing w:val="-2"/>
        </w:rPr>
        <w:t>αξίας</w:t>
      </w:r>
      <w:r>
        <w:rPr>
          <w:spacing w:val="-9"/>
        </w:rPr>
        <w:t> </w:t>
      </w:r>
      <w:r>
        <w:rPr>
          <w:spacing w:val="-2"/>
        </w:rPr>
        <w:t>απαιτήσεων</w:t>
      </w:r>
      <w:r>
        <w:rPr>
          <w:spacing w:val="-5"/>
        </w:rPr>
        <w:t> </w:t>
      </w:r>
      <w:r>
        <w:rPr>
          <w:spacing w:val="-2"/>
        </w:rPr>
        <w:t>4,9</w:t>
      </w:r>
      <w:r>
        <w:rPr>
          <w:spacing w:val="-7"/>
        </w:rPr>
        <w:t> </w:t>
      </w:r>
      <w:r>
        <w:rPr>
          <w:spacing w:val="-2"/>
        </w:rPr>
        <w:t>δισεκ.</w:t>
      </w:r>
      <w:r>
        <w:rPr>
          <w:spacing w:val="-7"/>
        </w:rPr>
        <w:t> </w:t>
      </w:r>
      <w:r>
        <w:rPr>
          <w:spacing w:val="-2"/>
        </w:rPr>
        <w:t>ευρώ</w:t>
      </w:r>
      <w:r>
        <w:rPr>
          <w:spacing w:val="-8"/>
        </w:rPr>
        <w:t> </w:t>
      </w:r>
      <w:r>
        <w:rPr>
          <w:spacing w:val="-2"/>
        </w:rPr>
        <w:t>(αξία</w:t>
      </w:r>
      <w:r>
        <w:rPr>
          <w:spacing w:val="-7"/>
        </w:rPr>
        <w:t> </w:t>
      </w:r>
      <w:r>
        <w:rPr>
          <w:spacing w:val="-2"/>
        </w:rPr>
        <w:t>κατά </w:t>
      </w:r>
      <w:r>
        <w:rPr/>
        <w:t>την ημερομηνία μεταφοράς), το 2025 πραγ-ματοποιήθηκαν</w:t>
      </w:r>
      <w:r>
        <w:rPr>
          <w:spacing w:val="-13"/>
        </w:rPr>
        <w:t> </w:t>
      </w:r>
      <w:r>
        <w:rPr/>
        <w:t>24</w:t>
      </w:r>
      <w:r>
        <w:rPr>
          <w:spacing w:val="-13"/>
        </w:rPr>
        <w:t> </w:t>
      </w:r>
      <w:r>
        <w:rPr/>
        <w:t>συναλλαγές</w:t>
      </w:r>
      <w:r>
        <w:rPr>
          <w:spacing w:val="-14"/>
        </w:rPr>
        <w:t> </w:t>
      </w:r>
      <w:r>
        <w:rPr/>
        <w:t>συνολικής</w:t>
      </w:r>
      <w:r>
        <w:rPr>
          <w:spacing w:val="-14"/>
        </w:rPr>
        <w:t> </w:t>
      </w:r>
      <w:r>
        <w:rPr/>
        <w:t>α-ξίας</w:t>
      </w:r>
      <w:r>
        <w:rPr>
          <w:spacing w:val="-8"/>
        </w:rPr>
        <w:t> </w:t>
      </w:r>
      <w:r>
        <w:rPr/>
        <w:t>απαιτήσεων</w:t>
      </w:r>
      <w:r>
        <w:rPr>
          <w:spacing w:val="-7"/>
        </w:rPr>
        <w:t> </w:t>
      </w:r>
      <w:r>
        <w:rPr/>
        <w:t>2,7</w:t>
      </w:r>
      <w:r>
        <w:rPr>
          <w:spacing w:val="-8"/>
        </w:rPr>
        <w:t> </w:t>
      </w:r>
      <w:r>
        <w:rPr/>
        <w:t>δισεκ.</w:t>
      </w:r>
      <w:r>
        <w:rPr>
          <w:spacing w:val="-9"/>
        </w:rPr>
        <w:t> </w:t>
      </w:r>
      <w:r>
        <w:rPr/>
        <w:t>ευρώ.</w:t>
      </w:r>
      <w:r>
        <w:rPr>
          <w:spacing w:val="-8"/>
        </w:rPr>
        <w:t> </w:t>
      </w:r>
      <w:r>
        <w:rPr/>
        <w:t>Η</w:t>
      </w:r>
      <w:r>
        <w:rPr>
          <w:spacing w:val="-8"/>
        </w:rPr>
        <w:t> </w:t>
      </w:r>
      <w:r>
        <w:rPr/>
        <w:t>δραστη-ριότητα στη δευτερογενή αγορά δανείων στην Ελλάδα αναμένεται να συνεχιστεί, στο πλαίσιο της εντατικοποίησης των ενεργειών των</w:t>
      </w:r>
      <w:r>
        <w:rPr>
          <w:spacing w:val="55"/>
        </w:rPr>
        <w:t> </w:t>
      </w:r>
      <w:r>
        <w:rPr/>
        <w:t>διαχειριστών</w:t>
      </w:r>
      <w:r>
        <w:rPr>
          <w:spacing w:val="58"/>
        </w:rPr>
        <w:t> </w:t>
      </w:r>
      <w:r>
        <w:rPr/>
        <w:t>πιστώσεων</w:t>
      </w:r>
      <w:r>
        <w:rPr>
          <w:spacing w:val="57"/>
        </w:rPr>
        <w:t> </w:t>
      </w:r>
      <w:r>
        <w:rPr/>
        <w:t>για</w:t>
      </w:r>
      <w:r>
        <w:rPr>
          <w:spacing w:val="57"/>
        </w:rPr>
        <w:t> </w:t>
      </w:r>
      <w:r>
        <w:rPr/>
        <w:t>την</w:t>
      </w:r>
      <w:r>
        <w:rPr>
          <w:spacing w:val="55"/>
        </w:rPr>
        <w:t> </w:t>
      </w:r>
      <w:r>
        <w:rPr>
          <w:spacing w:val="-4"/>
        </w:rPr>
        <w:t>επί-</w:t>
      </w:r>
    </w:p>
    <w:p>
      <w:pPr>
        <w:spacing w:line="155" w:lineRule="exact" w:before="0"/>
        <w:ind w:left="172" w:right="0" w:firstLine="0"/>
        <w:jc w:val="left"/>
        <w:rPr>
          <w:sz w:val="14"/>
        </w:rPr>
      </w:pPr>
      <w:r>
        <w:rPr/>
        <w:br w:type="column"/>
      </w:r>
      <w:r>
        <w:rPr>
          <w:color w:val="1F487C"/>
          <w:sz w:val="14"/>
        </w:rPr>
        <w:t>(εκατ.</w:t>
      </w:r>
      <w:r>
        <w:rPr>
          <w:color w:val="1F487C"/>
          <w:spacing w:val="-4"/>
          <w:sz w:val="14"/>
        </w:rPr>
        <w:t> </w:t>
      </w:r>
      <w:r>
        <w:rPr>
          <w:color w:val="1F487C"/>
          <w:sz w:val="14"/>
        </w:rPr>
        <w:t>ευρώ,</w:t>
      </w:r>
      <w:r>
        <w:rPr>
          <w:color w:val="1F487C"/>
          <w:spacing w:val="-4"/>
          <w:sz w:val="14"/>
        </w:rPr>
        <w:t> </w:t>
      </w:r>
      <w:r>
        <w:rPr>
          <w:color w:val="1F487C"/>
          <w:sz w:val="14"/>
        </w:rPr>
        <w:t>αριθμός</w:t>
      </w:r>
      <w:r>
        <w:rPr>
          <w:color w:val="1F487C"/>
          <w:spacing w:val="-6"/>
          <w:sz w:val="14"/>
        </w:rPr>
        <w:t> </w:t>
      </w:r>
      <w:r>
        <w:rPr>
          <w:color w:val="1F487C"/>
          <w:spacing w:val="-2"/>
          <w:sz w:val="14"/>
        </w:rPr>
        <w:t>συναλλαγών)</w:t>
      </w:r>
    </w:p>
    <w:p>
      <w:pPr>
        <w:spacing w:after="0" w:line="155" w:lineRule="exact"/>
        <w:jc w:val="left"/>
        <w:rPr>
          <w:sz w:val="14"/>
        </w:rPr>
        <w:sectPr>
          <w:type w:val="continuous"/>
          <w:pgSz w:w="11910" w:h="16850"/>
          <w:pgMar w:header="0" w:footer="1108" w:top="1320" w:bottom="280" w:left="1417" w:right="850"/>
          <w:cols w:num="2" w:equalWidth="0">
            <w:col w:w="4125" w:space="63"/>
            <w:col w:w="5455"/>
          </w:cols>
        </w:sectPr>
      </w:pPr>
    </w:p>
    <w:p>
      <w:pPr>
        <w:pStyle w:val="BodyText"/>
        <w:spacing w:line="285" w:lineRule="auto" w:before="66"/>
        <w:ind w:left="172" w:right="961"/>
        <w:jc w:val="both"/>
      </w:pPr>
      <w:r>
        <w:rPr/>
        <w:t>τευξη</w:t>
      </w:r>
      <w:r>
        <w:rPr>
          <w:spacing w:val="-4"/>
        </w:rPr>
        <w:t> </w:t>
      </w:r>
      <w:r>
        <w:rPr/>
        <w:t>των</w:t>
      </w:r>
      <w:r>
        <w:rPr>
          <w:spacing w:val="-2"/>
        </w:rPr>
        <w:t> </w:t>
      </w:r>
      <w:r>
        <w:rPr/>
        <w:t>επιχειρησιακών</w:t>
      </w:r>
      <w:r>
        <w:rPr>
          <w:spacing w:val="-2"/>
        </w:rPr>
        <w:t> </w:t>
      </w:r>
      <w:r>
        <w:rPr/>
        <w:t>στόχων</w:t>
      </w:r>
      <w:r>
        <w:rPr>
          <w:spacing w:val="-2"/>
        </w:rPr>
        <w:t> </w:t>
      </w:r>
      <w:r>
        <w:rPr/>
        <w:t>τους,</w:t>
      </w:r>
      <w:r>
        <w:rPr>
          <w:spacing w:val="-1"/>
        </w:rPr>
        <w:t> </w:t>
      </w:r>
      <w:r>
        <w:rPr/>
        <w:t>ιδίως</w:t>
      </w:r>
      <w:r>
        <w:rPr>
          <w:spacing w:val="-2"/>
        </w:rPr>
        <w:t> </w:t>
      </w:r>
      <w:r>
        <w:rPr/>
        <w:t>σε συνάρτηση</w:t>
      </w:r>
      <w:r>
        <w:rPr>
          <w:spacing w:val="-1"/>
        </w:rPr>
        <w:t> </w:t>
      </w:r>
      <w:r>
        <w:rPr/>
        <w:t>με το</w:t>
      </w:r>
      <w:r>
        <w:rPr>
          <w:spacing w:val="-1"/>
        </w:rPr>
        <w:t> </w:t>
      </w:r>
      <w:r>
        <w:rPr/>
        <w:t>πρόγραμμα</w:t>
      </w:r>
      <w:r>
        <w:rPr>
          <w:spacing w:val="-2"/>
        </w:rPr>
        <w:t> </w:t>
      </w:r>
      <w:r>
        <w:rPr/>
        <w:t>κρατικών</w:t>
      </w:r>
      <w:r>
        <w:rPr>
          <w:spacing w:val="-2"/>
        </w:rPr>
        <w:t> </w:t>
      </w:r>
      <w:r>
        <w:rPr/>
        <w:t>εγγυή-σεων “Ηρακλής”.</w:t>
      </w:r>
    </w:p>
    <w:p>
      <w:pPr>
        <w:pStyle w:val="BodyText"/>
        <w:spacing w:before="165"/>
      </w:pPr>
    </w:p>
    <w:p>
      <w:pPr>
        <w:pStyle w:val="Heading4"/>
      </w:pPr>
      <w:r>
        <w:rPr>
          <w:color w:val="1F487C"/>
        </w:rPr>
        <w:t>Συμπεράσματα</w:t>
      </w:r>
      <w:r>
        <w:rPr>
          <w:color w:val="1F487C"/>
          <w:spacing w:val="-9"/>
        </w:rPr>
        <w:t> </w:t>
      </w:r>
      <w:r>
        <w:rPr>
          <w:color w:val="1F487C"/>
        </w:rPr>
        <w:t>κα</w:t>
      </w:r>
      <w:r>
        <w:rPr>
          <w:smallCaps/>
          <w:color w:val="1F487C"/>
        </w:rPr>
        <w:t>ι</w:t>
      </w:r>
      <w:r>
        <w:rPr>
          <w:smallCaps w:val="0"/>
          <w:color w:val="1F487C"/>
          <w:spacing w:val="-7"/>
        </w:rPr>
        <w:t> </w:t>
      </w:r>
      <w:r>
        <w:rPr>
          <w:smallCaps w:val="0"/>
          <w:color w:val="1F487C"/>
          <w:spacing w:val="-2"/>
        </w:rPr>
        <w:t>προκλήσε</w:t>
      </w:r>
      <w:r>
        <w:rPr>
          <w:smallCaps/>
          <w:color w:val="1F487C"/>
          <w:spacing w:val="-2"/>
        </w:rPr>
        <w:t>ι</w:t>
      </w:r>
      <w:r>
        <w:rPr>
          <w:smallCaps w:val="0"/>
          <w:color w:val="1F487C"/>
          <w:spacing w:val="-2"/>
        </w:rPr>
        <w:t>ς</w:t>
      </w:r>
    </w:p>
    <w:p>
      <w:pPr>
        <w:pStyle w:val="BodyText"/>
        <w:spacing w:line="285" w:lineRule="auto" w:before="107"/>
        <w:ind w:left="172" w:right="956"/>
        <w:jc w:val="both"/>
      </w:pPr>
      <w:r>
        <w:rPr/>
        <w:t>Οι</w:t>
      </w:r>
      <w:r>
        <w:rPr>
          <w:spacing w:val="-4"/>
        </w:rPr>
        <w:t> </w:t>
      </w:r>
      <w:r>
        <w:rPr/>
        <w:t>διαχειριστές</w:t>
      </w:r>
      <w:r>
        <w:rPr>
          <w:spacing w:val="-6"/>
        </w:rPr>
        <w:t> </w:t>
      </w:r>
      <w:r>
        <w:rPr/>
        <w:t>πιστώσεων</w:t>
      </w:r>
      <w:r>
        <w:rPr>
          <w:spacing w:val="-6"/>
        </w:rPr>
        <w:t> </w:t>
      </w:r>
      <w:r>
        <w:rPr/>
        <w:t>αποτελούν</w:t>
      </w:r>
      <w:r>
        <w:rPr>
          <w:spacing w:val="-4"/>
        </w:rPr>
        <w:t> </w:t>
      </w:r>
      <w:r>
        <w:rPr/>
        <w:t>κρίσιμο</w:t>
      </w:r>
      <w:r>
        <w:rPr>
          <w:spacing w:val="-5"/>
        </w:rPr>
        <w:t> </w:t>
      </w:r>
      <w:r>
        <w:rPr/>
        <w:t>παράγοντα</w:t>
      </w:r>
      <w:r>
        <w:rPr>
          <w:spacing w:val="-5"/>
        </w:rPr>
        <w:t> </w:t>
      </w:r>
      <w:r>
        <w:rPr/>
        <w:t>για</w:t>
      </w:r>
      <w:r>
        <w:rPr>
          <w:spacing w:val="-4"/>
        </w:rPr>
        <w:t> </w:t>
      </w:r>
      <w:r>
        <w:rPr/>
        <w:t>τη</w:t>
      </w:r>
      <w:r>
        <w:rPr>
          <w:spacing w:val="-5"/>
        </w:rPr>
        <w:t> </w:t>
      </w:r>
      <w:r>
        <w:rPr/>
        <w:t>διαχείριση</w:t>
      </w:r>
      <w:r>
        <w:rPr>
          <w:spacing w:val="-5"/>
        </w:rPr>
        <w:t> </w:t>
      </w:r>
      <w:r>
        <w:rPr/>
        <w:t>του</w:t>
      </w:r>
      <w:r>
        <w:rPr>
          <w:spacing w:val="-4"/>
        </w:rPr>
        <w:t> </w:t>
      </w:r>
      <w:r>
        <w:rPr/>
        <w:t>μη</w:t>
      </w:r>
      <w:r>
        <w:rPr>
          <w:spacing w:val="-5"/>
        </w:rPr>
        <w:t> </w:t>
      </w:r>
      <w:r>
        <w:rPr/>
        <w:t>εξυπηρετού-μενου ιδιωτικού χρέους στην Ελλάδα, καθώς τον Δεκέμβριο του 2025 τελούσαν υπό τη διαχεί-ρισή</w:t>
      </w:r>
      <w:r>
        <w:rPr>
          <w:spacing w:val="-7"/>
        </w:rPr>
        <w:t> </w:t>
      </w:r>
      <w:r>
        <w:rPr/>
        <w:t>τους</w:t>
      </w:r>
      <w:r>
        <w:rPr>
          <w:spacing w:val="-6"/>
        </w:rPr>
        <w:t> </w:t>
      </w:r>
      <w:r>
        <w:rPr/>
        <w:t>ΜΕΑ</w:t>
      </w:r>
      <w:r>
        <w:rPr>
          <w:spacing w:val="-8"/>
        </w:rPr>
        <w:t> </w:t>
      </w:r>
      <w:r>
        <w:rPr/>
        <w:t>ύψους</w:t>
      </w:r>
      <w:r>
        <w:rPr>
          <w:spacing w:val="-4"/>
        </w:rPr>
        <w:t> </w:t>
      </w:r>
      <w:r>
        <w:rPr/>
        <w:t>77</w:t>
      </w:r>
      <w:r>
        <w:rPr>
          <w:spacing w:val="-7"/>
        </w:rPr>
        <w:t> </w:t>
      </w:r>
      <w:r>
        <w:rPr/>
        <w:t>δισεκ.</w:t>
      </w:r>
      <w:r>
        <w:rPr>
          <w:spacing w:val="-6"/>
        </w:rPr>
        <w:t> </w:t>
      </w:r>
      <w:r>
        <w:rPr/>
        <w:t>ευρώ.</w:t>
      </w:r>
      <w:r>
        <w:rPr>
          <w:spacing w:val="-4"/>
        </w:rPr>
        <w:t> </w:t>
      </w:r>
      <w:r>
        <w:rPr/>
        <w:t>Η</w:t>
      </w:r>
      <w:r>
        <w:rPr>
          <w:spacing w:val="-8"/>
        </w:rPr>
        <w:t> </w:t>
      </w:r>
      <w:r>
        <w:rPr/>
        <w:t>αποτελεσματικότητα</w:t>
      </w:r>
      <w:r>
        <w:rPr>
          <w:spacing w:val="-6"/>
        </w:rPr>
        <w:t> </w:t>
      </w:r>
      <w:r>
        <w:rPr/>
        <w:t>της</w:t>
      </w:r>
      <w:r>
        <w:rPr>
          <w:spacing w:val="-8"/>
        </w:rPr>
        <w:t> </w:t>
      </w:r>
      <w:r>
        <w:rPr/>
        <w:t>διαχείρισης</w:t>
      </w:r>
      <w:r>
        <w:rPr>
          <w:spacing w:val="-6"/>
        </w:rPr>
        <w:t> </w:t>
      </w:r>
      <w:r>
        <w:rPr/>
        <w:t>των</w:t>
      </w:r>
      <w:r>
        <w:rPr>
          <w:spacing w:val="-6"/>
        </w:rPr>
        <w:t> </w:t>
      </w:r>
      <w:r>
        <w:rPr/>
        <w:t>ΜΕΑ</w:t>
      </w:r>
      <w:r>
        <w:rPr>
          <w:spacing w:val="-6"/>
        </w:rPr>
        <w:t> </w:t>
      </w:r>
      <w:r>
        <w:rPr/>
        <w:t>επηρε-άζεται από σειρά διαρθρωτικών παραγόντων, με κυριότερους την περιορισμένη πρόσβαση σε χρηματοδότηση</w:t>
      </w:r>
      <w:r>
        <w:rPr>
          <w:spacing w:val="-11"/>
        </w:rPr>
        <w:t> </w:t>
      </w:r>
      <w:r>
        <w:rPr/>
        <w:t>για</w:t>
      </w:r>
      <w:r>
        <w:rPr>
          <w:spacing w:val="-10"/>
        </w:rPr>
        <w:t> </w:t>
      </w:r>
      <w:r>
        <w:rPr/>
        <w:t>την</w:t>
      </w:r>
      <w:r>
        <w:rPr>
          <w:spacing w:val="-10"/>
        </w:rPr>
        <w:t> </w:t>
      </w:r>
      <w:r>
        <w:rPr/>
        <w:t>αναδιάρθρωση</w:t>
      </w:r>
      <w:r>
        <w:rPr>
          <w:spacing w:val="-11"/>
        </w:rPr>
        <w:t> </w:t>
      </w:r>
      <w:r>
        <w:rPr/>
        <w:t>οφειλών</w:t>
      </w:r>
      <w:r>
        <w:rPr>
          <w:spacing w:val="-10"/>
        </w:rPr>
        <w:t> </w:t>
      </w:r>
      <w:r>
        <w:rPr/>
        <w:t>και</w:t>
      </w:r>
      <w:r>
        <w:rPr>
          <w:spacing w:val="-13"/>
        </w:rPr>
        <w:t> </w:t>
      </w:r>
      <w:r>
        <w:rPr/>
        <w:t>τις</w:t>
      </w:r>
      <w:r>
        <w:rPr>
          <w:spacing w:val="-13"/>
        </w:rPr>
        <w:t> </w:t>
      </w:r>
      <w:r>
        <w:rPr/>
        <w:t>σημαντικές</w:t>
      </w:r>
      <w:r>
        <w:rPr>
          <w:spacing w:val="-11"/>
        </w:rPr>
        <w:t> </w:t>
      </w:r>
      <w:r>
        <w:rPr/>
        <w:t>καθυστερήσεις</w:t>
      </w:r>
      <w:r>
        <w:rPr>
          <w:spacing w:val="-13"/>
        </w:rPr>
        <w:t> </w:t>
      </w:r>
      <w:r>
        <w:rPr/>
        <w:t>στην</w:t>
      </w:r>
      <w:r>
        <w:rPr>
          <w:spacing w:val="-12"/>
        </w:rPr>
        <w:t> </w:t>
      </w:r>
      <w:r>
        <w:rPr/>
        <w:t>ολοκλή-ρωση των απαιτούμενων νομικών ενεργειών σε περιπτώσεις όπου έχουν εξαντληθεί οι λοιπές διαθέσιμες επιλογές ρύθμισης.</w:t>
      </w:r>
    </w:p>
    <w:p>
      <w:pPr>
        <w:pStyle w:val="BodyText"/>
        <w:spacing w:line="285" w:lineRule="auto" w:before="53"/>
        <w:ind w:left="172" w:right="959"/>
        <w:jc w:val="both"/>
      </w:pPr>
      <w:r>
        <w:rPr/>
        <w:t>Η</w:t>
      </w:r>
      <w:r>
        <w:rPr>
          <w:spacing w:val="-1"/>
        </w:rPr>
        <w:t> </w:t>
      </w:r>
      <w:r>
        <w:rPr/>
        <w:t>αξιοποίηση των δυνατοτήτων που παρέχει το ισχύον θεσμικό πλαίσιο για την</w:t>
      </w:r>
      <w:r>
        <w:rPr>
          <w:spacing w:val="-1"/>
        </w:rPr>
        <w:t> </w:t>
      </w:r>
      <w:r>
        <w:rPr/>
        <w:t>αναχρηματοδό-τηση</w:t>
      </w:r>
      <w:r>
        <w:rPr>
          <w:spacing w:val="-6"/>
        </w:rPr>
        <w:t> </w:t>
      </w:r>
      <w:r>
        <w:rPr/>
        <w:t>δανείων</w:t>
      </w:r>
      <w:r>
        <w:rPr>
          <w:spacing w:val="-5"/>
        </w:rPr>
        <w:t> </w:t>
      </w:r>
      <w:r>
        <w:rPr/>
        <w:t>ή/και</w:t>
      </w:r>
      <w:r>
        <w:rPr>
          <w:spacing w:val="-6"/>
        </w:rPr>
        <w:t> </w:t>
      </w:r>
      <w:r>
        <w:rPr/>
        <w:t>την</w:t>
      </w:r>
      <w:r>
        <w:rPr>
          <w:spacing w:val="-5"/>
        </w:rPr>
        <w:t> </w:t>
      </w:r>
      <w:r>
        <w:rPr/>
        <w:t>αναδιάρθρωση</w:t>
      </w:r>
      <w:r>
        <w:rPr>
          <w:spacing w:val="-6"/>
        </w:rPr>
        <w:t> </w:t>
      </w:r>
      <w:r>
        <w:rPr/>
        <w:t>οφειλών</w:t>
      </w:r>
      <w:r>
        <w:rPr>
          <w:spacing w:val="-5"/>
        </w:rPr>
        <w:t> </w:t>
      </w:r>
      <w:r>
        <w:rPr/>
        <w:t>μέσω</w:t>
      </w:r>
      <w:r>
        <w:rPr>
          <w:spacing w:val="-7"/>
        </w:rPr>
        <w:t> </w:t>
      </w:r>
      <w:r>
        <w:rPr/>
        <w:t>χορήγησης</w:t>
      </w:r>
      <w:r>
        <w:rPr>
          <w:spacing w:val="-7"/>
        </w:rPr>
        <w:t> </w:t>
      </w:r>
      <w:r>
        <w:rPr/>
        <w:t>νέας</w:t>
      </w:r>
      <w:r>
        <w:rPr>
          <w:spacing w:val="-7"/>
        </w:rPr>
        <w:t> </w:t>
      </w:r>
      <w:r>
        <w:rPr/>
        <w:t>χρηματοδότησης</w:t>
      </w:r>
      <w:r>
        <w:rPr>
          <w:spacing w:val="-7"/>
        </w:rPr>
        <w:t> </w:t>
      </w:r>
      <w:r>
        <w:rPr/>
        <w:t>θα</w:t>
      </w:r>
      <w:r>
        <w:rPr>
          <w:spacing w:val="-6"/>
        </w:rPr>
        <w:t> </w:t>
      </w:r>
      <w:r>
        <w:rPr/>
        <w:t>μπο-ρούσε</w:t>
      </w:r>
      <w:r>
        <w:rPr>
          <w:spacing w:val="-7"/>
        </w:rPr>
        <w:t> </w:t>
      </w:r>
      <w:r>
        <w:rPr/>
        <w:t>να</w:t>
      </w:r>
      <w:r>
        <w:rPr>
          <w:spacing w:val="-6"/>
        </w:rPr>
        <w:t> </w:t>
      </w:r>
      <w:r>
        <w:rPr/>
        <w:t>συμβάλει</w:t>
      </w:r>
      <w:r>
        <w:rPr>
          <w:spacing w:val="-7"/>
        </w:rPr>
        <w:t> </w:t>
      </w:r>
      <w:r>
        <w:rPr/>
        <w:t>στην</w:t>
      </w:r>
      <w:r>
        <w:rPr>
          <w:spacing w:val="-8"/>
        </w:rPr>
        <w:t> </w:t>
      </w:r>
      <w:r>
        <w:rPr/>
        <w:t>εξυγίανση</w:t>
      </w:r>
      <w:r>
        <w:rPr>
          <w:spacing w:val="-6"/>
        </w:rPr>
        <w:t> </w:t>
      </w:r>
      <w:r>
        <w:rPr/>
        <w:t>τμήματος</w:t>
      </w:r>
      <w:r>
        <w:rPr>
          <w:spacing w:val="-7"/>
        </w:rPr>
        <w:t> </w:t>
      </w:r>
      <w:r>
        <w:rPr/>
        <w:t>των</w:t>
      </w:r>
      <w:r>
        <w:rPr>
          <w:spacing w:val="-5"/>
        </w:rPr>
        <w:t> </w:t>
      </w:r>
      <w:r>
        <w:rPr/>
        <w:t>χαρτοφυλακίων</w:t>
      </w:r>
      <w:r>
        <w:rPr>
          <w:spacing w:val="-5"/>
        </w:rPr>
        <w:t> </w:t>
      </w:r>
      <w:r>
        <w:rPr/>
        <w:t>ΜΕΑ,</w:t>
      </w:r>
      <w:r>
        <w:rPr>
          <w:spacing w:val="-8"/>
        </w:rPr>
        <w:t> </w:t>
      </w:r>
      <w:r>
        <w:rPr/>
        <w:t>συμπεριλαμβανομένης της παροχής κεφαλαίου κίνησης σε οικονομικά βιώσιμες επιχειρήσεις.</w:t>
      </w:r>
    </w:p>
    <w:p>
      <w:pPr>
        <w:pStyle w:val="BodyText"/>
        <w:spacing w:line="285" w:lineRule="auto" w:before="56"/>
        <w:ind w:left="172" w:right="959"/>
        <w:jc w:val="both"/>
      </w:pPr>
      <w:r>
        <w:rPr/>
        <w:t>Οι</w:t>
      </w:r>
      <w:r>
        <w:rPr>
          <w:spacing w:val="-14"/>
        </w:rPr>
        <w:t> </w:t>
      </w:r>
      <w:r>
        <w:rPr/>
        <w:t>βασικές</w:t>
      </w:r>
      <w:r>
        <w:rPr>
          <w:spacing w:val="-14"/>
        </w:rPr>
        <w:t> </w:t>
      </w:r>
      <w:r>
        <w:rPr/>
        <w:t>προκλήσεις</w:t>
      </w:r>
      <w:r>
        <w:rPr>
          <w:spacing w:val="-14"/>
        </w:rPr>
        <w:t> </w:t>
      </w:r>
      <w:r>
        <w:rPr/>
        <w:t>που</w:t>
      </w:r>
      <w:r>
        <w:rPr>
          <w:spacing w:val="-13"/>
        </w:rPr>
        <w:t> </w:t>
      </w:r>
      <w:r>
        <w:rPr/>
        <w:t>αντιμετωπίζουν</w:t>
      </w:r>
      <w:r>
        <w:rPr>
          <w:spacing w:val="-14"/>
        </w:rPr>
        <w:t> </w:t>
      </w:r>
      <w:r>
        <w:rPr/>
        <w:t>οι</w:t>
      </w:r>
      <w:r>
        <w:rPr>
          <w:spacing w:val="-14"/>
        </w:rPr>
        <w:t> </w:t>
      </w:r>
      <w:r>
        <w:rPr/>
        <w:t>διαχειριστές</w:t>
      </w:r>
      <w:r>
        <w:rPr>
          <w:spacing w:val="-14"/>
        </w:rPr>
        <w:t> </w:t>
      </w:r>
      <w:r>
        <w:rPr/>
        <w:t>πιστώσεων</w:t>
      </w:r>
      <w:r>
        <w:rPr>
          <w:spacing w:val="-13"/>
        </w:rPr>
        <w:t> </w:t>
      </w:r>
      <w:r>
        <w:rPr/>
        <w:t>συνδέονται</w:t>
      </w:r>
      <w:r>
        <w:rPr>
          <w:spacing w:val="-14"/>
        </w:rPr>
        <w:t> </w:t>
      </w:r>
      <w:r>
        <w:rPr/>
        <w:t>με</w:t>
      </w:r>
      <w:r>
        <w:rPr>
          <w:spacing w:val="-14"/>
        </w:rPr>
        <w:t> </w:t>
      </w:r>
      <w:r>
        <w:rPr/>
        <w:t>την</w:t>
      </w:r>
      <w:r>
        <w:rPr>
          <w:spacing w:val="-14"/>
        </w:rPr>
        <w:t> </w:t>
      </w:r>
      <w:r>
        <w:rPr/>
        <w:t>ανάγκη περαιτέρω ενίσχυσης των ενεργειών τους στο πλαίσιο της διαχείρισης του ιδιωτικού χρέους. Οι προκλήσεις αυτές αφορούν ιδίως: (i) την επίτευξη των στόχων ανάκτησης που απορρέουν από τις δεσμεύσεις του προγράμματος κρατικών εγγυήσεων “Ηρακλής”, (ii) την επιτάχυνση της αυ-τοματοποίησης κρίσιμων επιχειρησιακών διαδικασιών και (iii) την αναβάθμιση της ποιότητας και της αποτελεσματικότητας των παρεχόμενων υπηρεσιών προς τους δανειολήπτες.</w:t>
      </w:r>
    </w:p>
    <w:p>
      <w:pPr>
        <w:pStyle w:val="BodyText"/>
        <w:spacing w:line="285" w:lineRule="auto" w:before="54"/>
        <w:ind w:left="172" w:right="955"/>
        <w:jc w:val="both"/>
      </w:pPr>
      <w:r>
        <w:rPr/>
        <w:t>Στο πλαίσιο αυτό, η Τράπεζα της Ελλάδος σε συνεργασία με το Υπουργείο Οικονομικών, το Υπουργείο Δικαιοσύνης και συναρμόδιους φορείς, σε διαβούλευση και με τους διαχειριστές πι-στώσεων, έχουν αναλάβει σειρά πρωτοβουλιών με στόχο την προώθηση διαρθρωτικών μεταρ-ρυθμίσεων.</w:t>
      </w:r>
      <w:r>
        <w:rPr>
          <w:spacing w:val="-14"/>
        </w:rPr>
        <w:t> </w:t>
      </w:r>
      <w:r>
        <w:rPr/>
        <w:t>Οι</w:t>
      </w:r>
      <w:r>
        <w:rPr>
          <w:spacing w:val="-11"/>
        </w:rPr>
        <w:t> </w:t>
      </w:r>
      <w:r>
        <w:rPr/>
        <w:t>πρωτοβουλίες</w:t>
      </w:r>
      <w:r>
        <w:rPr>
          <w:spacing w:val="-14"/>
        </w:rPr>
        <w:t> </w:t>
      </w:r>
      <w:r>
        <w:rPr/>
        <w:t>αυτές</w:t>
      </w:r>
      <w:r>
        <w:rPr>
          <w:spacing w:val="-13"/>
        </w:rPr>
        <w:t> </w:t>
      </w:r>
      <w:r>
        <w:rPr/>
        <w:t>αποσκοπούν</w:t>
      </w:r>
      <w:r>
        <w:rPr>
          <w:spacing w:val="-12"/>
        </w:rPr>
        <w:t> </w:t>
      </w:r>
      <w:r>
        <w:rPr/>
        <w:t>στη</w:t>
      </w:r>
      <w:r>
        <w:rPr>
          <w:spacing w:val="-13"/>
        </w:rPr>
        <w:t> </w:t>
      </w:r>
      <w:r>
        <w:rPr/>
        <w:t>διευκόλυνση</w:t>
      </w:r>
      <w:r>
        <w:rPr>
          <w:spacing w:val="-14"/>
        </w:rPr>
        <w:t> </w:t>
      </w:r>
      <w:r>
        <w:rPr/>
        <w:t>της</w:t>
      </w:r>
      <w:r>
        <w:rPr>
          <w:spacing w:val="-13"/>
        </w:rPr>
        <w:t> </w:t>
      </w:r>
      <w:r>
        <w:rPr/>
        <w:t>αποτελεσματικότερης</w:t>
      </w:r>
      <w:r>
        <w:rPr>
          <w:spacing w:val="-14"/>
        </w:rPr>
        <w:t> </w:t>
      </w:r>
      <w:r>
        <w:rPr/>
        <w:t>δια-χείρισης του ιδιωτικού χρέους, διασφαλίζοντας παράλληλα την ορθή και δίκαιη μεταχείριση ό-λων των οφειλετών, με ιδιαίτερη μέριμνα για όσους ανήκουν σε ευάλωτες κοινωνικές ομάδες. Επιπλέον,</w:t>
      </w:r>
      <w:r>
        <w:rPr>
          <w:spacing w:val="-6"/>
        </w:rPr>
        <w:t> </w:t>
      </w:r>
      <w:r>
        <w:rPr/>
        <w:t>καθοριστικής</w:t>
      </w:r>
      <w:r>
        <w:rPr>
          <w:spacing w:val="-7"/>
        </w:rPr>
        <w:t> </w:t>
      </w:r>
      <w:r>
        <w:rPr/>
        <w:t>σημασίας</w:t>
      </w:r>
      <w:r>
        <w:rPr>
          <w:spacing w:val="-7"/>
        </w:rPr>
        <w:t> </w:t>
      </w:r>
      <w:r>
        <w:rPr/>
        <w:t>είναι</w:t>
      </w:r>
      <w:r>
        <w:rPr>
          <w:spacing w:val="-8"/>
        </w:rPr>
        <w:t> </w:t>
      </w:r>
      <w:r>
        <w:rPr/>
        <w:t>η</w:t>
      </w:r>
      <w:r>
        <w:rPr>
          <w:spacing w:val="-8"/>
        </w:rPr>
        <w:t> </w:t>
      </w:r>
      <w:r>
        <w:rPr/>
        <w:t>ενεργός</w:t>
      </w:r>
      <w:r>
        <w:rPr>
          <w:spacing w:val="-7"/>
        </w:rPr>
        <w:t> </w:t>
      </w:r>
      <w:r>
        <w:rPr/>
        <w:t>συμμετοχή</w:t>
      </w:r>
      <w:r>
        <w:rPr>
          <w:spacing w:val="-8"/>
        </w:rPr>
        <w:t> </w:t>
      </w:r>
      <w:r>
        <w:rPr/>
        <w:t>των</w:t>
      </w:r>
      <w:r>
        <w:rPr>
          <w:spacing w:val="-5"/>
        </w:rPr>
        <w:t> </w:t>
      </w:r>
      <w:r>
        <w:rPr/>
        <w:t>διαχειριστών</w:t>
      </w:r>
      <w:r>
        <w:rPr>
          <w:spacing w:val="-5"/>
        </w:rPr>
        <w:t> </w:t>
      </w:r>
      <w:r>
        <w:rPr/>
        <w:t>πιστώσεων</w:t>
      </w:r>
      <w:r>
        <w:rPr>
          <w:spacing w:val="-7"/>
        </w:rPr>
        <w:t> </w:t>
      </w:r>
      <w:r>
        <w:rPr/>
        <w:t>στον εξωδικαστικό μηχανισμό ρύθμισης οφειλών, καθώς απαιτείται η προσαρμογή των επιχειρησια-κών τους διαδικασιών, προκειμένου να</w:t>
      </w:r>
      <w:r>
        <w:rPr>
          <w:spacing w:val="-1"/>
        </w:rPr>
        <w:t> </w:t>
      </w:r>
      <w:r>
        <w:rPr/>
        <w:t>διασφαλίζεται</w:t>
      </w:r>
      <w:r>
        <w:rPr>
          <w:spacing w:val="-2"/>
        </w:rPr>
        <w:t> </w:t>
      </w:r>
      <w:r>
        <w:rPr/>
        <w:t>η ευθυγράμμιση μεταξύ των τυποποιημέ-νων διαδικασιών του μηχανισμού και της δυνατότητας παροχής βιώσιμων και, όπου απαιτείται, εξατομικευμένων λύσεων στους οφειλέτες.</w:t>
      </w:r>
    </w:p>
    <w:p>
      <w:pPr>
        <w:pStyle w:val="BodyText"/>
        <w:spacing w:after="0" w:line="285" w:lineRule="auto"/>
        <w:jc w:val="both"/>
        <w:sectPr>
          <w:pgSz w:w="11910" w:h="16850"/>
          <w:pgMar w:header="0" w:footer="1108" w:top="1840" w:bottom="1300" w:left="1417" w:right="850"/>
        </w:sectPr>
      </w:pPr>
    </w:p>
    <w:p>
      <w:pPr>
        <w:pStyle w:val="Heading3"/>
        <w:numPr>
          <w:ilvl w:val="2"/>
          <w:numId w:val="2"/>
        </w:numPr>
        <w:tabs>
          <w:tab w:pos="738" w:val="left" w:leader="none"/>
        </w:tabs>
        <w:spacing w:line="252" w:lineRule="exact" w:before="70" w:after="0"/>
        <w:ind w:left="738" w:right="0" w:hanging="566"/>
        <w:jc w:val="left"/>
        <w:rPr>
          <w:color w:val="1F487C"/>
        </w:rPr>
      </w:pPr>
      <w:bookmarkStart w:name="_bookmark131" w:id="132"/>
      <w:bookmarkEnd w:id="132"/>
      <w:r>
        <w:rPr>
          <w:b w:val="0"/>
        </w:rPr>
      </w:r>
      <w:r>
        <w:rPr>
          <w:color w:val="1F487C"/>
        </w:rPr>
        <w:t>ΙΔΡΥΜΑΤΑ</w:t>
      </w:r>
      <w:r>
        <w:rPr>
          <w:color w:val="1F487C"/>
          <w:spacing w:val="-10"/>
        </w:rPr>
        <w:t> </w:t>
      </w:r>
      <w:r>
        <w:rPr>
          <w:color w:val="1F487C"/>
        </w:rPr>
        <w:t>ΠΛΗΡΩΜΩΝ,</w:t>
      </w:r>
      <w:r>
        <w:rPr>
          <w:color w:val="1F487C"/>
          <w:spacing w:val="-8"/>
        </w:rPr>
        <w:t> </w:t>
      </w:r>
      <w:r>
        <w:rPr>
          <w:color w:val="1F487C"/>
        </w:rPr>
        <w:t>ΙΔΡΥΜΑΤΑ</w:t>
      </w:r>
      <w:r>
        <w:rPr>
          <w:color w:val="1F487C"/>
          <w:spacing w:val="-9"/>
        </w:rPr>
        <w:t> </w:t>
      </w:r>
      <w:r>
        <w:rPr>
          <w:color w:val="1F487C"/>
        </w:rPr>
        <w:t>ΗΛΕΚΤΡΟΝΙΚΟΥ</w:t>
      </w:r>
      <w:r>
        <w:rPr>
          <w:color w:val="1F487C"/>
          <w:spacing w:val="-9"/>
        </w:rPr>
        <w:t> </w:t>
      </w:r>
      <w:r>
        <w:rPr>
          <w:color w:val="1F487C"/>
        </w:rPr>
        <w:t>ΧΡΗΜΑΤΟΣ,</w:t>
      </w:r>
      <w:r>
        <w:rPr>
          <w:color w:val="1F487C"/>
          <w:spacing w:val="-7"/>
        </w:rPr>
        <w:t> </w:t>
      </w:r>
      <w:r>
        <w:rPr>
          <w:color w:val="1F487C"/>
          <w:spacing w:val="-5"/>
        </w:rPr>
        <w:t>ΠΑ-</w:t>
      </w:r>
    </w:p>
    <w:p>
      <w:pPr>
        <w:spacing w:before="0"/>
        <w:ind w:left="738" w:right="0" w:firstLine="0"/>
        <w:jc w:val="left"/>
        <w:rPr>
          <w:b/>
          <w:sz w:val="22"/>
        </w:rPr>
      </w:pPr>
      <w:r>
        <w:rPr>
          <w:b/>
          <w:color w:val="1F487C"/>
          <w:sz w:val="22"/>
        </w:rPr>
        <w:t>ΡΟΧΟΙ</w:t>
      </w:r>
      <w:r>
        <w:rPr>
          <w:b/>
          <w:color w:val="1F487C"/>
          <w:spacing w:val="-5"/>
          <w:sz w:val="22"/>
        </w:rPr>
        <w:t> </w:t>
      </w:r>
      <w:r>
        <w:rPr>
          <w:b/>
          <w:color w:val="1F487C"/>
          <w:sz w:val="22"/>
        </w:rPr>
        <w:t>ΥΠΗΡΕΣΙΩΝ</w:t>
      </w:r>
      <w:r>
        <w:rPr>
          <w:b/>
          <w:color w:val="1F487C"/>
          <w:spacing w:val="-6"/>
          <w:sz w:val="22"/>
        </w:rPr>
        <w:t> </w:t>
      </w:r>
      <w:r>
        <w:rPr>
          <w:b/>
          <w:color w:val="1F487C"/>
          <w:sz w:val="22"/>
        </w:rPr>
        <w:t>ΕΚΚΙΝΗΣΗΣ</w:t>
      </w:r>
      <w:r>
        <w:rPr>
          <w:b/>
          <w:color w:val="1F487C"/>
          <w:spacing w:val="-7"/>
          <w:sz w:val="22"/>
        </w:rPr>
        <w:t> </w:t>
      </w:r>
      <w:r>
        <w:rPr>
          <w:b/>
          <w:color w:val="1F487C"/>
          <w:sz w:val="22"/>
        </w:rPr>
        <w:t>ΠΛΗΡΩΜΗΣ</w:t>
      </w:r>
      <w:r>
        <w:rPr>
          <w:b/>
          <w:color w:val="1F487C"/>
          <w:spacing w:val="-6"/>
          <w:sz w:val="22"/>
        </w:rPr>
        <w:t> </w:t>
      </w:r>
      <w:r>
        <w:rPr>
          <w:b/>
          <w:color w:val="1F487C"/>
          <w:sz w:val="22"/>
        </w:rPr>
        <w:t>ΚΑΙ</w:t>
      </w:r>
      <w:r>
        <w:rPr>
          <w:b/>
          <w:color w:val="1F487C"/>
          <w:spacing w:val="-5"/>
          <w:sz w:val="22"/>
        </w:rPr>
        <w:t> </w:t>
      </w:r>
      <w:r>
        <w:rPr>
          <w:b/>
          <w:color w:val="1F487C"/>
          <w:sz w:val="22"/>
        </w:rPr>
        <w:t>ΠΑΡΟΧΟΙ</w:t>
      </w:r>
      <w:r>
        <w:rPr>
          <w:b/>
          <w:color w:val="1F487C"/>
          <w:spacing w:val="-4"/>
          <w:sz w:val="22"/>
        </w:rPr>
        <w:t> </w:t>
      </w:r>
      <w:r>
        <w:rPr>
          <w:b/>
          <w:color w:val="1F487C"/>
          <w:sz w:val="22"/>
        </w:rPr>
        <w:t>ΥΠΗΡΕΣΙΩΝ ΠΛΗΡΟΦΟΡΙΩΝ ΛΟΓΑΡΙΑΣΜΟΥ</w:t>
      </w:r>
    </w:p>
    <w:p>
      <w:pPr>
        <w:pStyle w:val="Heading4"/>
        <w:spacing w:before="96"/>
        <w:jc w:val="left"/>
      </w:pPr>
      <w:r>
        <w:rPr>
          <w:color w:val="1F487C"/>
        </w:rPr>
        <w:t>Βασ</w:t>
      </w:r>
      <w:r>
        <w:rPr>
          <w:smallCaps/>
          <w:color w:val="1F487C"/>
        </w:rPr>
        <w:t>ι</w:t>
      </w:r>
      <w:r>
        <w:rPr>
          <w:smallCaps w:val="0"/>
          <w:color w:val="1F487C"/>
        </w:rPr>
        <w:t>κά</w:t>
      </w:r>
      <w:r>
        <w:rPr>
          <w:smallCaps w:val="0"/>
          <w:color w:val="1F487C"/>
          <w:spacing w:val="-8"/>
        </w:rPr>
        <w:t> </w:t>
      </w:r>
      <w:r>
        <w:rPr>
          <w:smallCaps w:val="0"/>
          <w:color w:val="1F487C"/>
          <w:spacing w:val="-2"/>
        </w:rPr>
        <w:t>μεγέθη</w:t>
      </w:r>
    </w:p>
    <w:p>
      <w:pPr>
        <w:spacing w:before="107"/>
        <w:ind w:left="172" w:right="0" w:firstLine="0"/>
        <w:jc w:val="left"/>
        <w:rPr>
          <w:b/>
          <w:sz w:val="22"/>
        </w:rPr>
      </w:pPr>
      <w:r>
        <w:rPr>
          <w:b/>
          <w:color w:val="1F487C"/>
          <w:sz w:val="22"/>
        </w:rPr>
        <w:t>(α)</w:t>
      </w:r>
      <w:r>
        <w:rPr>
          <w:b/>
          <w:color w:val="1F487C"/>
          <w:spacing w:val="-5"/>
          <w:sz w:val="22"/>
        </w:rPr>
        <w:t> </w:t>
      </w:r>
      <w:r>
        <w:rPr>
          <w:b/>
          <w:color w:val="1F487C"/>
          <w:sz w:val="22"/>
        </w:rPr>
        <w:t>Ιδρύματα</w:t>
      </w:r>
      <w:r>
        <w:rPr>
          <w:b/>
          <w:color w:val="1F487C"/>
          <w:spacing w:val="-6"/>
          <w:sz w:val="22"/>
        </w:rPr>
        <w:t> </w:t>
      </w:r>
      <w:r>
        <w:rPr>
          <w:b/>
          <w:color w:val="1F487C"/>
          <w:sz w:val="22"/>
        </w:rPr>
        <w:t>Πληρωμών</w:t>
      </w:r>
      <w:r>
        <w:rPr>
          <w:b/>
          <w:color w:val="1F487C"/>
          <w:spacing w:val="-7"/>
          <w:sz w:val="22"/>
        </w:rPr>
        <w:t> </w:t>
      </w:r>
      <w:r>
        <w:rPr>
          <w:b/>
          <w:color w:val="1F487C"/>
          <w:spacing w:val="-4"/>
          <w:sz w:val="22"/>
        </w:rPr>
        <w:t>(ΙΠ)</w:t>
      </w:r>
    </w:p>
    <w:p>
      <w:pPr>
        <w:pStyle w:val="BodyText"/>
        <w:spacing w:line="285" w:lineRule="auto" w:before="131"/>
        <w:ind w:left="172" w:right="5347"/>
      </w:pPr>
      <w:r>
        <w:rPr/>
        <mc:AlternateContent>
          <mc:Choice Requires="wps">
            <w:drawing>
              <wp:anchor distT="0" distB="0" distL="0" distR="0" allowOverlap="1" layoutInCell="1" locked="0" behindDoc="0" simplePos="0" relativeHeight="15803392">
                <wp:simplePos x="0" y="0"/>
                <wp:positionH relativeFrom="page">
                  <wp:posOffset>3735959</wp:posOffset>
                </wp:positionH>
                <wp:positionV relativeFrom="paragraph">
                  <wp:posOffset>46099</wp:posOffset>
                </wp:positionV>
                <wp:extent cx="2665095" cy="34036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2665095" cy="340360"/>
                        </a:xfrm>
                        <a:prstGeom prst="rect">
                          <a:avLst/>
                        </a:prstGeom>
                        <a:solidFill>
                          <a:srgbClr val="1F487C"/>
                        </a:solidFill>
                      </wps:spPr>
                      <wps:txbx>
                        <w:txbxContent>
                          <w:p>
                            <w:pPr>
                              <w:spacing w:before="60"/>
                              <w:ind w:left="112" w:right="96"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V.19</w:t>
                            </w:r>
                            <w:r>
                              <w:rPr>
                                <w:b/>
                                <w:smallCaps w:val="0"/>
                                <w:color w:val="FFFFFF"/>
                                <w:spacing w:val="-6"/>
                                <w:sz w:val="18"/>
                              </w:rPr>
                              <w:t> </w:t>
                            </w:r>
                            <w:r>
                              <w:rPr>
                                <w:b/>
                                <w:smallCaps w:val="0"/>
                                <w:color w:val="FFFFFF"/>
                                <w:sz w:val="18"/>
                              </w:rPr>
                              <w:t>Ετήσ</w:t>
                            </w:r>
                            <w:r>
                              <w:rPr>
                                <w:b/>
                                <w:smallCaps/>
                                <w:color w:val="FFFFFF"/>
                                <w:sz w:val="18"/>
                              </w:rPr>
                              <w:t>ι</w:t>
                            </w:r>
                            <w:r>
                              <w:rPr>
                                <w:b/>
                                <w:smallCaps w:val="0"/>
                                <w:color w:val="FFFFFF"/>
                                <w:sz w:val="18"/>
                              </w:rPr>
                              <w:t>α</w:t>
                            </w:r>
                            <w:r>
                              <w:rPr>
                                <w:b/>
                                <w:smallCaps w:val="0"/>
                                <w:color w:val="FFFFFF"/>
                                <w:spacing w:val="-9"/>
                                <w:sz w:val="18"/>
                              </w:rPr>
                              <w:t> </w:t>
                            </w:r>
                            <w:r>
                              <w:rPr>
                                <w:b/>
                                <w:smallCaps w:val="0"/>
                                <w:color w:val="FFFFFF"/>
                                <w:sz w:val="18"/>
                              </w:rPr>
                              <w:t>αξία</w:t>
                            </w:r>
                            <w:r>
                              <w:rPr>
                                <w:b/>
                                <w:smallCaps w:val="0"/>
                                <w:color w:val="FFFFFF"/>
                                <w:spacing w:val="-7"/>
                                <w:sz w:val="18"/>
                              </w:rPr>
                              <w:t> </w:t>
                            </w:r>
                            <w:r>
                              <w:rPr>
                                <w:b/>
                                <w:smallCaps w:val="0"/>
                                <w:color w:val="FFFFFF"/>
                                <w:sz w:val="18"/>
                              </w:rPr>
                              <w:t>πράξεων</w:t>
                            </w:r>
                            <w:r>
                              <w:rPr>
                                <w:b/>
                                <w:smallCaps w:val="0"/>
                                <w:color w:val="FFFFFF"/>
                                <w:spacing w:val="-6"/>
                                <w:sz w:val="18"/>
                              </w:rPr>
                              <w:t> </w:t>
                            </w:r>
                            <w:r>
                              <w:rPr>
                                <w:b/>
                                <w:smallCaps w:val="0"/>
                                <w:color w:val="FFFFFF"/>
                                <w:sz w:val="18"/>
                              </w:rPr>
                              <w:t>πληρωμών από Ιδρύματα Πληρωμών</w:t>
                            </w:r>
                          </w:p>
                        </w:txbxContent>
                      </wps:txbx>
                      <wps:bodyPr wrap="square" lIns="0" tIns="0" rIns="0" bIns="0" rtlCol="0">
                        <a:noAutofit/>
                      </wps:bodyPr>
                    </wps:wsp>
                  </a:graphicData>
                </a:graphic>
              </wp:anchor>
            </w:drawing>
          </mc:Choice>
          <mc:Fallback>
            <w:pict>
              <v:shape style="position:absolute;margin-left:294.170013pt;margin-top:3.629846pt;width:209.85pt;height:26.8pt;mso-position-horizontal-relative:page;mso-position-vertical-relative:paragraph;z-index:15803392" type="#_x0000_t202" id="docshape674" filled="true" fillcolor="#1f487c" stroked="false">
                <v:textbox inset="0,0,0,0">
                  <w:txbxContent>
                    <w:p>
                      <w:pPr>
                        <w:spacing w:before="60"/>
                        <w:ind w:left="112" w:right="96"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V.19</w:t>
                      </w:r>
                      <w:r>
                        <w:rPr>
                          <w:b/>
                          <w:smallCaps w:val="0"/>
                          <w:color w:val="FFFFFF"/>
                          <w:spacing w:val="-6"/>
                          <w:sz w:val="18"/>
                        </w:rPr>
                        <w:t> </w:t>
                      </w:r>
                      <w:r>
                        <w:rPr>
                          <w:b/>
                          <w:smallCaps w:val="0"/>
                          <w:color w:val="FFFFFF"/>
                          <w:sz w:val="18"/>
                        </w:rPr>
                        <w:t>Ετήσ</w:t>
                      </w:r>
                      <w:r>
                        <w:rPr>
                          <w:b/>
                          <w:smallCaps/>
                          <w:color w:val="FFFFFF"/>
                          <w:sz w:val="18"/>
                        </w:rPr>
                        <w:t>ι</w:t>
                      </w:r>
                      <w:r>
                        <w:rPr>
                          <w:b/>
                          <w:smallCaps w:val="0"/>
                          <w:color w:val="FFFFFF"/>
                          <w:sz w:val="18"/>
                        </w:rPr>
                        <w:t>α</w:t>
                      </w:r>
                      <w:r>
                        <w:rPr>
                          <w:b/>
                          <w:smallCaps w:val="0"/>
                          <w:color w:val="FFFFFF"/>
                          <w:spacing w:val="-9"/>
                          <w:sz w:val="18"/>
                        </w:rPr>
                        <w:t> </w:t>
                      </w:r>
                      <w:r>
                        <w:rPr>
                          <w:b/>
                          <w:smallCaps w:val="0"/>
                          <w:color w:val="FFFFFF"/>
                          <w:sz w:val="18"/>
                        </w:rPr>
                        <w:t>αξία</w:t>
                      </w:r>
                      <w:r>
                        <w:rPr>
                          <w:b/>
                          <w:smallCaps w:val="0"/>
                          <w:color w:val="FFFFFF"/>
                          <w:spacing w:val="-7"/>
                          <w:sz w:val="18"/>
                        </w:rPr>
                        <w:t> </w:t>
                      </w:r>
                      <w:r>
                        <w:rPr>
                          <w:b/>
                          <w:smallCaps w:val="0"/>
                          <w:color w:val="FFFFFF"/>
                          <w:sz w:val="18"/>
                        </w:rPr>
                        <w:t>πράξεων</w:t>
                      </w:r>
                      <w:r>
                        <w:rPr>
                          <w:b/>
                          <w:smallCaps w:val="0"/>
                          <w:color w:val="FFFFFF"/>
                          <w:spacing w:val="-6"/>
                          <w:sz w:val="18"/>
                        </w:rPr>
                        <w:t> </w:t>
                      </w:r>
                      <w:r>
                        <w:rPr>
                          <w:b/>
                          <w:smallCaps w:val="0"/>
                          <w:color w:val="FFFFFF"/>
                          <w:sz w:val="18"/>
                        </w:rPr>
                        <w:t>πληρωμών από Ιδρύματα Πληρωμών</w:t>
                      </w:r>
                    </w:p>
                  </w:txbxContent>
                </v:textbox>
                <v:fill type="solid"/>
                <w10:wrap type="none"/>
              </v:shape>
            </w:pict>
          </mc:Fallback>
        </mc:AlternateContent>
      </w:r>
      <w:r>
        <w:rPr/>
        <w:t>Η Τράπεζα της Ελλάδος έχει χορηγήσει άδεια λειτουργίας</w:t>
      </w:r>
      <w:r>
        <w:rPr>
          <w:spacing w:val="34"/>
        </w:rPr>
        <w:t> </w:t>
      </w:r>
      <w:r>
        <w:rPr/>
        <w:t>σε</w:t>
      </w:r>
      <w:r>
        <w:rPr>
          <w:spacing w:val="36"/>
        </w:rPr>
        <w:t> </w:t>
      </w:r>
      <w:r>
        <w:rPr/>
        <w:t>δεκατέσσερα</w:t>
      </w:r>
      <w:hyperlink w:history="true" w:anchor="_bookmark132">
        <w:r>
          <w:rPr>
            <w:position w:val="6"/>
            <w:sz w:val="10"/>
          </w:rPr>
          <w:t>91</w:t>
        </w:r>
      </w:hyperlink>
      <w:r>
        <w:rPr>
          <w:spacing w:val="66"/>
          <w:position w:val="6"/>
          <w:sz w:val="10"/>
        </w:rPr>
        <w:t> </w:t>
      </w:r>
      <w:r>
        <w:rPr/>
        <w:t>ιδρύματα</w:t>
      </w:r>
      <w:r>
        <w:rPr>
          <w:spacing w:val="35"/>
        </w:rPr>
        <w:t> </w:t>
      </w:r>
      <w:r>
        <w:rPr>
          <w:spacing w:val="-4"/>
        </w:rPr>
        <w:t>πλη-</w:t>
      </w:r>
    </w:p>
    <w:p>
      <w:pPr>
        <w:pStyle w:val="BodyText"/>
        <w:spacing w:after="0" w:line="285" w:lineRule="auto"/>
        <w:sectPr>
          <w:pgSz w:w="11910" w:h="16850"/>
          <w:pgMar w:header="0" w:footer="1108" w:top="1800" w:bottom="1300" w:left="1417" w:right="850"/>
        </w:sectPr>
      </w:pPr>
    </w:p>
    <w:p>
      <w:pPr>
        <w:pStyle w:val="BodyText"/>
        <w:spacing w:line="285" w:lineRule="auto" w:before="34"/>
        <w:ind w:left="172"/>
        <w:jc w:val="both"/>
      </w:pPr>
      <w:r>
        <w:rPr/>
        <w:t>ρωμών (ΙΠ) και έναν πάροχο υπηρεσιών πλη-ροφοριών λογαριασμού (ΠΥΠΛ)</w:t>
      </w:r>
      <w:hyperlink w:history="true" w:anchor="_bookmark133">
        <w:r>
          <w:rPr/>
          <w:t>.</w:t>
        </w:r>
        <w:r>
          <w:rPr>
            <w:position w:val="6"/>
            <w:sz w:val="10"/>
          </w:rPr>
          <w:t>92</w:t>
        </w:r>
      </w:hyperlink>
      <w:r>
        <w:rPr>
          <w:spacing w:val="40"/>
          <w:position w:val="6"/>
          <w:sz w:val="10"/>
        </w:rPr>
        <w:t> </w:t>
      </w:r>
      <w:r>
        <w:rPr/>
        <w:t>Η συνο-λική</w:t>
      </w:r>
      <w:r>
        <w:rPr>
          <w:spacing w:val="-8"/>
        </w:rPr>
        <w:t> </w:t>
      </w:r>
      <w:r>
        <w:rPr/>
        <w:t>αξία</w:t>
      </w:r>
      <w:r>
        <w:rPr>
          <w:spacing w:val="-8"/>
        </w:rPr>
        <w:t> </w:t>
      </w:r>
      <w:r>
        <w:rPr/>
        <w:t>των</w:t>
      </w:r>
      <w:r>
        <w:rPr>
          <w:spacing w:val="-8"/>
        </w:rPr>
        <w:t> </w:t>
      </w:r>
      <w:r>
        <w:rPr/>
        <w:t>πράξεων</w:t>
      </w:r>
      <w:r>
        <w:rPr>
          <w:spacing w:val="-8"/>
        </w:rPr>
        <w:t> </w:t>
      </w:r>
      <w:r>
        <w:rPr/>
        <w:t>πληρωμών</w:t>
      </w:r>
      <w:r>
        <w:rPr>
          <w:spacing w:val="-8"/>
        </w:rPr>
        <w:t> </w:t>
      </w:r>
      <w:r>
        <w:rPr/>
        <w:t>που</w:t>
      </w:r>
      <w:r>
        <w:rPr>
          <w:spacing w:val="-8"/>
        </w:rPr>
        <w:t> </w:t>
      </w:r>
      <w:r>
        <w:rPr/>
        <w:t>διενερ-γήθηκαν</w:t>
      </w:r>
      <w:r>
        <w:rPr>
          <w:spacing w:val="-5"/>
        </w:rPr>
        <w:t> </w:t>
      </w:r>
      <w:r>
        <w:rPr/>
        <w:t>από</w:t>
      </w:r>
      <w:r>
        <w:rPr>
          <w:spacing w:val="-6"/>
        </w:rPr>
        <w:t> </w:t>
      </w:r>
      <w:r>
        <w:rPr/>
        <w:t>τα</w:t>
      </w:r>
      <w:r>
        <w:rPr>
          <w:spacing w:val="-6"/>
        </w:rPr>
        <w:t> </w:t>
      </w:r>
      <w:r>
        <w:rPr/>
        <w:t>ΙΠ</w:t>
      </w:r>
      <w:r>
        <w:rPr>
          <w:spacing w:val="-7"/>
        </w:rPr>
        <w:t> </w:t>
      </w:r>
      <w:r>
        <w:rPr/>
        <w:t>το</w:t>
      </w:r>
      <w:r>
        <w:rPr>
          <w:spacing w:val="-6"/>
        </w:rPr>
        <w:t> </w:t>
      </w:r>
      <w:r>
        <w:rPr/>
        <w:t>2025</w:t>
      </w:r>
      <w:r>
        <w:rPr>
          <w:spacing w:val="-6"/>
        </w:rPr>
        <w:t> </w:t>
      </w:r>
      <w:r>
        <w:rPr/>
        <w:t>ανήλθε</w:t>
      </w:r>
      <w:r>
        <w:rPr>
          <w:spacing w:val="-5"/>
        </w:rPr>
        <w:t> </w:t>
      </w:r>
      <w:r>
        <w:rPr/>
        <w:t>σε</w:t>
      </w:r>
      <w:r>
        <w:rPr>
          <w:spacing w:val="-5"/>
        </w:rPr>
        <w:t> </w:t>
      </w:r>
      <w:r>
        <w:rPr/>
        <w:t>66,1</w:t>
      </w:r>
      <w:r>
        <w:rPr>
          <w:spacing w:val="-6"/>
        </w:rPr>
        <w:t> </w:t>
      </w:r>
      <w:r>
        <w:rPr/>
        <w:t>δι-σεκ.</w:t>
      </w:r>
      <w:r>
        <w:rPr>
          <w:spacing w:val="-2"/>
        </w:rPr>
        <w:t> </w:t>
      </w:r>
      <w:r>
        <w:rPr/>
        <w:t>ευρώ, αυξημένη κατά 6% σε</w:t>
      </w:r>
      <w:r>
        <w:rPr>
          <w:spacing w:val="-1"/>
        </w:rPr>
        <w:t> </w:t>
      </w:r>
      <w:r>
        <w:rPr/>
        <w:t>σχέση με το 2024 (βλ. Διάγραμμα V.19).</w:t>
      </w:r>
    </w:p>
    <w:p>
      <w:pPr>
        <w:pStyle w:val="BodyText"/>
        <w:spacing w:line="285" w:lineRule="auto" w:before="54"/>
        <w:ind w:left="172"/>
        <w:jc w:val="both"/>
      </w:pPr>
      <w:r>
        <w:rPr/>
        <w:t>Σημειώνεται</w:t>
      </w:r>
      <w:r>
        <w:rPr>
          <w:spacing w:val="-10"/>
        </w:rPr>
        <w:t> </w:t>
      </w:r>
      <w:r>
        <w:rPr/>
        <w:t>ότι</w:t>
      </w:r>
      <w:r>
        <w:rPr>
          <w:spacing w:val="-10"/>
        </w:rPr>
        <w:t> </w:t>
      </w:r>
      <w:r>
        <w:rPr/>
        <w:t>το</w:t>
      </w:r>
      <w:r>
        <w:rPr>
          <w:spacing w:val="-14"/>
        </w:rPr>
        <w:t> </w:t>
      </w:r>
      <w:r>
        <w:rPr/>
        <w:t>96,6%</w:t>
      </w:r>
      <w:r>
        <w:rPr>
          <w:spacing w:val="-13"/>
        </w:rPr>
        <w:t> </w:t>
      </w:r>
      <w:r>
        <w:rPr/>
        <w:t>της</w:t>
      </w:r>
      <w:r>
        <w:rPr>
          <w:spacing w:val="-12"/>
        </w:rPr>
        <w:t> </w:t>
      </w:r>
      <w:r>
        <w:rPr/>
        <w:t>συνολικής</w:t>
      </w:r>
      <w:r>
        <w:rPr>
          <w:spacing w:val="-13"/>
        </w:rPr>
        <w:t> </w:t>
      </w:r>
      <w:r>
        <w:rPr/>
        <w:t>αξίας των πράξεων πληρωμών, ήτοι 63,8 δισεκ. ευρώ,</w:t>
      </w:r>
      <w:r>
        <w:rPr>
          <w:spacing w:val="-14"/>
        </w:rPr>
        <w:t> </w:t>
      </w:r>
      <w:r>
        <w:rPr/>
        <w:t>πραγματοποιείται</w:t>
      </w:r>
      <w:r>
        <w:rPr>
          <w:spacing w:val="-14"/>
        </w:rPr>
        <w:t> </w:t>
      </w:r>
      <w:r>
        <w:rPr/>
        <w:t>από</w:t>
      </w:r>
      <w:r>
        <w:rPr>
          <w:spacing w:val="-14"/>
        </w:rPr>
        <w:t> </w:t>
      </w:r>
      <w:r>
        <w:rPr/>
        <w:t>πέντε</w:t>
      </w:r>
      <w:r>
        <w:rPr>
          <w:spacing w:val="-13"/>
        </w:rPr>
        <w:t> </w:t>
      </w:r>
      <w:r>
        <w:rPr/>
        <w:t>ΙΠ</w:t>
      </w:r>
      <w:r>
        <w:rPr>
          <w:spacing w:val="-14"/>
        </w:rPr>
        <w:t> </w:t>
      </w:r>
      <w:r>
        <w:rPr/>
        <w:t>τα</w:t>
      </w:r>
      <w:r>
        <w:rPr>
          <w:spacing w:val="-14"/>
        </w:rPr>
        <w:t> </w:t>
      </w:r>
      <w:r>
        <w:rPr/>
        <w:t>οποία εκτελούν την υπηρεσία αποδοχής πράξεων πληρωμής</w:t>
      </w:r>
      <w:r>
        <w:rPr>
          <w:spacing w:val="52"/>
        </w:rPr>
        <w:t> </w:t>
      </w:r>
      <w:r>
        <w:rPr/>
        <w:t>με</w:t>
      </w:r>
      <w:r>
        <w:rPr>
          <w:spacing w:val="52"/>
        </w:rPr>
        <w:t> </w:t>
      </w:r>
      <w:r>
        <w:rPr/>
        <w:t>χρήση</w:t>
      </w:r>
      <w:r>
        <w:rPr>
          <w:spacing w:val="54"/>
        </w:rPr>
        <w:t> </w:t>
      </w:r>
      <w:r>
        <w:rPr/>
        <w:t>κάρτας</w:t>
      </w:r>
      <w:r>
        <w:rPr>
          <w:spacing w:val="52"/>
        </w:rPr>
        <w:t> </w:t>
      </w:r>
      <w:r>
        <w:rPr/>
        <w:t>(acquiring).</w:t>
      </w:r>
      <w:r>
        <w:rPr>
          <w:spacing w:val="52"/>
        </w:rPr>
        <w:t> </w:t>
      </w:r>
      <w:r>
        <w:rPr>
          <w:spacing w:val="-5"/>
        </w:rPr>
        <w:t>Σε</w:t>
      </w:r>
    </w:p>
    <w:p>
      <w:pPr>
        <w:spacing w:line="155" w:lineRule="exact" w:before="0"/>
        <w:ind w:left="172" w:right="0" w:firstLine="0"/>
        <w:jc w:val="left"/>
        <w:rPr>
          <w:sz w:val="14"/>
        </w:rPr>
      </w:pPr>
      <w:r>
        <w:rPr/>
        <w:br w:type="column"/>
      </w:r>
      <w:r>
        <w:rPr>
          <w:color w:val="1F487C"/>
          <w:sz w:val="14"/>
        </w:rPr>
        <w:t>(δισεκ.</w:t>
      </w:r>
      <w:r>
        <w:rPr>
          <w:color w:val="1F487C"/>
          <w:spacing w:val="-5"/>
          <w:sz w:val="14"/>
        </w:rPr>
        <w:t> </w:t>
      </w:r>
      <w:r>
        <w:rPr>
          <w:color w:val="1F487C"/>
          <w:spacing w:val="-2"/>
          <w:sz w:val="14"/>
        </w:rPr>
        <w:t>ευρώ)</w:t>
      </w:r>
    </w:p>
    <w:p>
      <w:pPr>
        <w:pStyle w:val="BodyText"/>
        <w:spacing w:before="3"/>
        <w:rPr>
          <w:sz w:val="5"/>
        </w:rPr>
      </w:pPr>
    </w:p>
    <w:p>
      <w:pPr>
        <w:spacing w:line="240" w:lineRule="auto"/>
        <w:ind w:left="113" w:right="0" w:firstLine="0"/>
        <w:rPr>
          <w:sz w:val="20"/>
        </w:rPr>
      </w:pPr>
      <w:r>
        <w:rPr>
          <w:sz w:val="20"/>
        </w:rPr>
        <mc:AlternateContent>
          <mc:Choice Requires="wps">
            <w:drawing>
              <wp:inline distT="0" distB="0" distL="0" distR="0">
                <wp:extent cx="2665730" cy="1837055"/>
                <wp:effectExtent l="0" t="0" r="0" b="1269"/>
                <wp:docPr id="720" name="Group 720"/>
                <wp:cNvGraphicFramePr>
                  <a:graphicFrameLocks/>
                </wp:cNvGraphicFramePr>
                <a:graphic>
                  <a:graphicData uri="http://schemas.microsoft.com/office/word/2010/wordprocessingGroup">
                    <wpg:wgp>
                      <wpg:cNvPr id="720" name="Group 720"/>
                      <wpg:cNvGrpSpPr/>
                      <wpg:grpSpPr>
                        <a:xfrm>
                          <a:off x="0" y="0"/>
                          <a:ext cx="2665730" cy="1837055"/>
                          <a:chExt cx="2665730" cy="1837055"/>
                        </a:xfrm>
                      </wpg:grpSpPr>
                      <wps:wsp>
                        <wps:cNvPr id="721" name="Graphic 721"/>
                        <wps:cNvSpPr/>
                        <wps:spPr>
                          <a:xfrm>
                            <a:off x="635" y="380"/>
                            <a:ext cx="2665095" cy="1837055"/>
                          </a:xfrm>
                          <a:custGeom>
                            <a:avLst/>
                            <a:gdLst/>
                            <a:ahLst/>
                            <a:cxnLst/>
                            <a:rect l="l" t="t" r="r" b="b"/>
                            <a:pathLst>
                              <a:path w="2665095" h="1837055">
                                <a:moveTo>
                                  <a:pt x="2664587" y="0"/>
                                </a:moveTo>
                                <a:lnTo>
                                  <a:pt x="0" y="0"/>
                                </a:lnTo>
                                <a:lnTo>
                                  <a:pt x="0" y="1620266"/>
                                </a:lnTo>
                                <a:lnTo>
                                  <a:pt x="0" y="1836674"/>
                                </a:lnTo>
                                <a:lnTo>
                                  <a:pt x="2664587" y="1836674"/>
                                </a:lnTo>
                                <a:lnTo>
                                  <a:pt x="2664587" y="1620266"/>
                                </a:lnTo>
                                <a:lnTo>
                                  <a:pt x="2664587" y="0"/>
                                </a:lnTo>
                                <a:close/>
                              </a:path>
                            </a:pathLst>
                          </a:custGeom>
                          <a:solidFill>
                            <a:srgbClr val="D9D9D9"/>
                          </a:solidFill>
                        </wps:spPr>
                        <wps:bodyPr wrap="square" lIns="0" tIns="0" rIns="0" bIns="0" rtlCol="0">
                          <a:prstTxWarp prst="textNoShape">
                            <a:avLst/>
                          </a:prstTxWarp>
                          <a:noAutofit/>
                        </wps:bodyPr>
                      </wps:wsp>
                      <pic:pic>
                        <pic:nvPicPr>
                          <pic:cNvPr id="722" name="Image 722"/>
                          <pic:cNvPicPr/>
                        </pic:nvPicPr>
                        <pic:blipFill>
                          <a:blip r:embed="rId122" cstate="print"/>
                          <a:stretch>
                            <a:fillRect/>
                          </a:stretch>
                        </pic:blipFill>
                        <pic:spPr>
                          <a:xfrm>
                            <a:off x="0" y="0"/>
                            <a:ext cx="2663952" cy="1569212"/>
                          </a:xfrm>
                          <a:prstGeom prst="rect">
                            <a:avLst/>
                          </a:prstGeom>
                        </pic:spPr>
                      </pic:pic>
                      <wps:wsp>
                        <wps:cNvPr id="723" name="Textbox 723"/>
                        <wps:cNvSpPr txBox="1"/>
                        <wps:spPr>
                          <a:xfrm>
                            <a:off x="635" y="380"/>
                            <a:ext cx="2665095" cy="183705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4"/>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09.9pt;height:144.65pt;mso-position-horizontal-relative:char;mso-position-vertical-relative:line" id="docshapegroup675" coordorigin="0,0" coordsize="4198,2893">
                <v:shape style="position:absolute;left:1;top:0;width:4197;height:2893" id="docshape676" coordorigin="1,1" coordsize="4197,2893" path="m4197,1l1,1,1,2552,1,2893,4197,2893,4197,2552,4197,1xe" filled="true" fillcolor="#d9d9d9" stroked="false">
                  <v:path arrowok="t"/>
                  <v:fill type="solid"/>
                </v:shape>
                <v:shape style="position:absolute;left:0;top:0;width:4196;height:2472" type="#_x0000_t75" id="docshape677" stroked="false">
                  <v:imagedata r:id="rId122" o:title=""/>
                </v:shape>
                <v:shape style="position:absolute;left:1;top:0;width:4197;height:2893" type="#_x0000_t202" id="docshape678"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4"/>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291" w:space="60"/>
            <w:col w:w="5292"/>
          </w:cols>
        </w:sectPr>
      </w:pPr>
    </w:p>
    <w:p>
      <w:pPr>
        <w:pStyle w:val="BodyText"/>
        <w:spacing w:line="248" w:lineRule="exact"/>
        <w:ind w:left="172"/>
      </w:pPr>
      <w:r>
        <w:rPr/>
        <w:t>σχέση</w:t>
      </w:r>
      <w:r>
        <w:rPr>
          <w:spacing w:val="-4"/>
        </w:rPr>
        <w:t> </w:t>
      </w:r>
      <w:r>
        <w:rPr/>
        <w:t>με</w:t>
      </w:r>
      <w:r>
        <w:rPr>
          <w:spacing w:val="-4"/>
        </w:rPr>
        <w:t> </w:t>
      </w:r>
      <w:r>
        <w:rPr/>
        <w:t>το</w:t>
      </w:r>
      <w:r>
        <w:rPr>
          <w:spacing w:val="-3"/>
        </w:rPr>
        <w:t> </w:t>
      </w:r>
      <w:r>
        <w:rPr/>
        <w:t>2024</w:t>
      </w:r>
      <w:r>
        <w:rPr>
          <w:spacing w:val="-4"/>
        </w:rPr>
        <w:t> </w:t>
      </w:r>
      <w:r>
        <w:rPr/>
        <w:t>διαπιστώνεται</w:t>
      </w:r>
      <w:r>
        <w:rPr>
          <w:spacing w:val="-3"/>
        </w:rPr>
        <w:t> </w:t>
      </w:r>
      <w:r>
        <w:rPr/>
        <w:t>αύξηση</w:t>
      </w:r>
      <w:r>
        <w:rPr>
          <w:spacing w:val="-3"/>
        </w:rPr>
        <w:t> </w:t>
      </w:r>
      <w:r>
        <w:rPr/>
        <w:t>της</w:t>
      </w:r>
      <w:r>
        <w:rPr>
          <w:spacing w:val="-4"/>
        </w:rPr>
        <w:t> </w:t>
      </w:r>
      <w:r>
        <w:rPr/>
        <w:t>τάξεως</w:t>
      </w:r>
      <w:r>
        <w:rPr>
          <w:spacing w:val="-4"/>
        </w:rPr>
        <w:t> </w:t>
      </w:r>
      <w:r>
        <w:rPr/>
        <w:t>του</w:t>
      </w:r>
      <w:r>
        <w:rPr>
          <w:spacing w:val="-3"/>
        </w:rPr>
        <w:t> </w:t>
      </w:r>
      <w:r>
        <w:rPr/>
        <w:t>5,6%</w:t>
      </w:r>
      <w:r>
        <w:rPr>
          <w:spacing w:val="-3"/>
        </w:rPr>
        <w:t> </w:t>
      </w:r>
      <w:r>
        <w:rPr/>
        <w:t>(βλ.</w:t>
      </w:r>
      <w:r>
        <w:rPr>
          <w:spacing w:val="-5"/>
        </w:rPr>
        <w:t> </w:t>
      </w:r>
      <w:r>
        <w:rPr/>
        <w:t>Διάγραμμα</w:t>
      </w:r>
      <w:r>
        <w:rPr>
          <w:spacing w:val="-3"/>
        </w:rPr>
        <w:t> </w:t>
      </w:r>
      <w:r>
        <w:rPr>
          <w:spacing w:val="-2"/>
        </w:rPr>
        <w:t>V.20).</w:t>
      </w:r>
    </w:p>
    <w:p>
      <w:pPr>
        <w:pStyle w:val="BodyText"/>
        <w:spacing w:line="285" w:lineRule="auto" w:before="107"/>
        <w:ind w:left="172" w:right="956"/>
      </w:pPr>
      <w:r>
        <w:rPr/>
        <w:t>Το υπόλοιπο ποσό 2,3 δισεκ. ευρώ της αξίας πληρωμών αφορά κυρίως υπηρεσίες εμβασμάτων οι οποίες αυξήθηκαν σε σχέση με το 2024 κατά 19,7% (1,9 δισεκ. ευρώ, βλ. Διάγραμμα V.21).</w:t>
      </w:r>
    </w:p>
    <w:p>
      <w:pPr>
        <w:pStyle w:val="BodyText"/>
        <w:spacing w:before="153"/>
        <w:rPr>
          <w:sz w:val="20"/>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2"/>
        <w:gridCol w:w="30"/>
        <w:gridCol w:w="4294"/>
      </w:tblGrid>
      <w:tr>
        <w:trPr>
          <w:trHeight w:val="532" w:hRule="atLeast"/>
        </w:trPr>
        <w:tc>
          <w:tcPr>
            <w:tcW w:w="4182" w:type="dxa"/>
            <w:shd w:val="clear" w:color="auto" w:fill="1F487C"/>
          </w:tcPr>
          <w:p>
            <w:pPr>
              <w:pStyle w:val="TableParagraph"/>
              <w:spacing w:before="60"/>
              <w:ind w:left="112" w:right="29"/>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V.20</w:t>
            </w:r>
            <w:r>
              <w:rPr>
                <w:b/>
                <w:smallCaps w:val="0"/>
                <w:color w:val="FFFFFF"/>
                <w:spacing w:val="-5"/>
                <w:sz w:val="18"/>
              </w:rPr>
              <w:t> </w:t>
            </w:r>
            <w:r>
              <w:rPr>
                <w:b/>
                <w:smallCaps w:val="0"/>
                <w:color w:val="FFFFFF"/>
                <w:sz w:val="18"/>
              </w:rPr>
              <w:t>Ετήσ</w:t>
            </w:r>
            <w:r>
              <w:rPr>
                <w:b/>
                <w:smallCaps/>
                <w:color w:val="FFFFFF"/>
                <w:sz w:val="18"/>
              </w:rPr>
              <w:t>ι</w:t>
            </w:r>
            <w:r>
              <w:rPr>
                <w:b/>
                <w:smallCaps w:val="0"/>
                <w:color w:val="FFFFFF"/>
                <w:sz w:val="18"/>
              </w:rPr>
              <w:t>α</w:t>
            </w:r>
            <w:r>
              <w:rPr>
                <w:b/>
                <w:smallCaps w:val="0"/>
                <w:color w:val="FFFFFF"/>
                <w:spacing w:val="-8"/>
                <w:sz w:val="18"/>
              </w:rPr>
              <w:t> </w:t>
            </w:r>
            <w:r>
              <w:rPr>
                <w:b/>
                <w:smallCaps w:val="0"/>
                <w:color w:val="FFFFFF"/>
                <w:sz w:val="18"/>
              </w:rPr>
              <w:t>αξία</w:t>
            </w:r>
            <w:r>
              <w:rPr>
                <w:b/>
                <w:smallCaps w:val="0"/>
                <w:color w:val="FFFFFF"/>
                <w:spacing w:val="-6"/>
                <w:sz w:val="18"/>
              </w:rPr>
              <w:t> </w:t>
            </w:r>
            <w:r>
              <w:rPr>
                <w:b/>
                <w:smallCaps w:val="0"/>
                <w:color w:val="FFFFFF"/>
                <w:sz w:val="18"/>
              </w:rPr>
              <w:t>πράξεων</w:t>
            </w:r>
            <w:r>
              <w:rPr>
                <w:b/>
                <w:smallCaps w:val="0"/>
                <w:color w:val="FFFFFF"/>
                <w:spacing w:val="-5"/>
                <w:sz w:val="18"/>
              </w:rPr>
              <w:t> </w:t>
            </w:r>
            <w:r>
              <w:rPr>
                <w:b/>
                <w:smallCaps w:val="0"/>
                <w:color w:val="FFFFFF"/>
                <w:sz w:val="18"/>
              </w:rPr>
              <w:t>πληρωμών</w:t>
            </w:r>
            <w:r>
              <w:rPr>
                <w:b/>
                <w:smallCaps w:val="0"/>
                <w:color w:val="FFFFFF"/>
                <w:spacing w:val="-3"/>
                <w:sz w:val="18"/>
              </w:rPr>
              <w:t> </w:t>
            </w:r>
            <w:r>
              <w:rPr>
                <w:b/>
                <w:smallCaps w:val="0"/>
                <w:color w:val="FFFFFF"/>
                <w:sz w:val="18"/>
              </w:rPr>
              <w:t>α-ποδοχής καρτών από Ιδρύματα Πληρωμών</w:t>
            </w:r>
          </w:p>
        </w:tc>
        <w:tc>
          <w:tcPr>
            <w:tcW w:w="30" w:type="dxa"/>
            <w:tcBorders>
              <w:right w:val="single" w:sz="6" w:space="0" w:color="1F487C"/>
            </w:tcBorders>
            <w:shd w:val="clear" w:color="auto" w:fill="1F487C"/>
          </w:tcPr>
          <w:p>
            <w:pPr>
              <w:pStyle w:val="TableParagraph"/>
              <w:rPr>
                <w:sz w:val="18"/>
              </w:rPr>
            </w:pPr>
          </w:p>
        </w:tc>
        <w:tc>
          <w:tcPr>
            <w:tcW w:w="4294" w:type="dxa"/>
            <w:tcBorders>
              <w:left w:val="single" w:sz="6" w:space="0" w:color="1F487C"/>
            </w:tcBorders>
            <w:shd w:val="clear" w:color="auto" w:fill="1F487C"/>
          </w:tcPr>
          <w:p>
            <w:pPr>
              <w:pStyle w:val="TableParagraph"/>
              <w:spacing w:before="60"/>
              <w:ind w:left="139" w:right="32"/>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V.21</w:t>
            </w:r>
            <w:r>
              <w:rPr>
                <w:b/>
                <w:smallCaps w:val="0"/>
                <w:color w:val="FFFFFF"/>
                <w:spacing w:val="-5"/>
                <w:sz w:val="18"/>
              </w:rPr>
              <w:t> </w:t>
            </w:r>
            <w:r>
              <w:rPr>
                <w:b/>
                <w:smallCaps w:val="0"/>
                <w:color w:val="FFFFFF"/>
                <w:sz w:val="18"/>
              </w:rPr>
              <w:t>Ετήσ</w:t>
            </w:r>
            <w:r>
              <w:rPr>
                <w:b/>
                <w:smallCaps/>
                <w:color w:val="FFFFFF"/>
                <w:sz w:val="18"/>
              </w:rPr>
              <w:t>ι</w:t>
            </w:r>
            <w:r>
              <w:rPr>
                <w:b/>
                <w:smallCaps w:val="0"/>
                <w:color w:val="FFFFFF"/>
                <w:sz w:val="18"/>
              </w:rPr>
              <w:t>α</w:t>
            </w:r>
            <w:r>
              <w:rPr>
                <w:b/>
                <w:smallCaps w:val="0"/>
                <w:color w:val="FFFFFF"/>
                <w:spacing w:val="-8"/>
                <w:sz w:val="18"/>
              </w:rPr>
              <w:t> </w:t>
            </w:r>
            <w:r>
              <w:rPr>
                <w:b/>
                <w:smallCaps w:val="0"/>
                <w:color w:val="FFFFFF"/>
                <w:sz w:val="18"/>
              </w:rPr>
              <w:t>αξία</w:t>
            </w:r>
            <w:r>
              <w:rPr>
                <w:b/>
                <w:smallCaps w:val="0"/>
                <w:color w:val="FFFFFF"/>
                <w:spacing w:val="-6"/>
                <w:sz w:val="18"/>
              </w:rPr>
              <w:t> </w:t>
            </w:r>
            <w:r>
              <w:rPr>
                <w:b/>
                <w:smallCaps w:val="0"/>
                <w:color w:val="FFFFFF"/>
                <w:sz w:val="18"/>
              </w:rPr>
              <w:t>πράξεων</w:t>
            </w:r>
            <w:r>
              <w:rPr>
                <w:b/>
                <w:smallCaps w:val="0"/>
                <w:color w:val="FFFFFF"/>
                <w:spacing w:val="-5"/>
                <w:sz w:val="18"/>
              </w:rPr>
              <w:t> </w:t>
            </w:r>
            <w:r>
              <w:rPr>
                <w:b/>
                <w:smallCaps w:val="0"/>
                <w:color w:val="FFFFFF"/>
                <w:sz w:val="18"/>
              </w:rPr>
              <w:t>πληρωμών</w:t>
            </w:r>
            <w:r>
              <w:rPr>
                <w:b/>
                <w:smallCaps w:val="0"/>
                <w:color w:val="FFFFFF"/>
                <w:spacing w:val="-5"/>
                <w:sz w:val="18"/>
              </w:rPr>
              <w:t> </w:t>
            </w:r>
            <w:r>
              <w:rPr>
                <w:b/>
                <w:smallCaps w:val="0"/>
                <w:color w:val="FFFFFF"/>
                <w:sz w:val="18"/>
              </w:rPr>
              <w:t>εμ-βασμάτων από Ιδρύματα Πληρωμών</w:t>
            </w:r>
          </w:p>
        </w:tc>
      </w:tr>
      <w:tr>
        <w:trPr>
          <w:trHeight w:val="340" w:hRule="atLeast"/>
        </w:trPr>
        <w:tc>
          <w:tcPr>
            <w:tcW w:w="4182" w:type="dxa"/>
          </w:tcPr>
          <w:p>
            <w:pPr>
              <w:pStyle w:val="TableParagraph"/>
              <w:spacing w:before="119"/>
              <w:ind w:left="57"/>
              <w:rPr>
                <w:sz w:val="14"/>
              </w:rPr>
            </w:pPr>
            <w:r>
              <w:rPr>
                <w:color w:val="1F487C"/>
                <w:sz w:val="14"/>
              </w:rPr>
              <w:t>(δισεκ.</w:t>
            </w:r>
            <w:r>
              <w:rPr>
                <w:color w:val="1F487C"/>
                <w:spacing w:val="-5"/>
                <w:sz w:val="14"/>
              </w:rPr>
              <w:t> </w:t>
            </w:r>
            <w:r>
              <w:rPr>
                <w:color w:val="1F487C"/>
                <w:spacing w:val="-2"/>
                <w:sz w:val="14"/>
              </w:rPr>
              <w:t>ευρώ)</w:t>
            </w:r>
          </w:p>
        </w:tc>
        <w:tc>
          <w:tcPr>
            <w:tcW w:w="30" w:type="dxa"/>
          </w:tcPr>
          <w:p>
            <w:pPr>
              <w:pStyle w:val="TableParagraph"/>
              <w:rPr>
                <w:sz w:val="18"/>
              </w:rPr>
            </w:pPr>
          </w:p>
        </w:tc>
        <w:tc>
          <w:tcPr>
            <w:tcW w:w="4294" w:type="dxa"/>
          </w:tcPr>
          <w:p>
            <w:pPr>
              <w:pStyle w:val="TableParagraph"/>
              <w:spacing w:before="119"/>
              <w:ind w:left="91"/>
              <w:rPr>
                <w:sz w:val="14"/>
              </w:rPr>
            </w:pPr>
            <w:r>
              <w:rPr>
                <w:color w:val="1F487C"/>
                <w:sz w:val="14"/>
              </w:rPr>
              <w:t>(δισεκ.</w:t>
            </w:r>
            <w:r>
              <w:rPr>
                <w:color w:val="1F487C"/>
                <w:spacing w:val="-5"/>
                <w:sz w:val="14"/>
              </w:rPr>
              <w:t> </w:t>
            </w:r>
            <w:r>
              <w:rPr>
                <w:color w:val="1F487C"/>
                <w:spacing w:val="-2"/>
                <w:sz w:val="14"/>
              </w:rPr>
              <w:t>ευρώ)</w:t>
            </w:r>
          </w:p>
        </w:tc>
      </w:tr>
      <w:tr>
        <w:trPr>
          <w:trHeight w:val="2585" w:hRule="atLeast"/>
        </w:trPr>
        <w:tc>
          <w:tcPr>
            <w:tcW w:w="4182" w:type="dxa"/>
            <w:shd w:val="clear" w:color="auto" w:fill="D9D9D9"/>
          </w:tcPr>
          <w:p>
            <w:pPr>
              <w:pStyle w:val="TableParagraph"/>
              <w:ind w:left="-1"/>
              <w:rPr>
                <w:sz w:val="20"/>
              </w:rPr>
            </w:pPr>
            <w:r>
              <w:rPr>
                <w:sz w:val="20"/>
              </w:rPr>
              <w:drawing>
                <wp:inline distT="0" distB="0" distL="0" distR="0">
                  <wp:extent cx="2621782" cy="1559052"/>
                  <wp:effectExtent l="0" t="0" r="0" b="0"/>
                  <wp:docPr id="724" name="Image 724"/>
                  <wp:cNvGraphicFramePr>
                    <a:graphicFrameLocks/>
                  </wp:cNvGraphicFramePr>
                  <a:graphic>
                    <a:graphicData uri="http://schemas.openxmlformats.org/drawingml/2006/picture">
                      <pic:pic>
                        <pic:nvPicPr>
                          <pic:cNvPr id="724" name="Image 724"/>
                          <pic:cNvPicPr/>
                        </pic:nvPicPr>
                        <pic:blipFill>
                          <a:blip r:embed="rId123" cstate="print"/>
                          <a:stretch>
                            <a:fillRect/>
                          </a:stretch>
                        </pic:blipFill>
                        <pic:spPr>
                          <a:xfrm>
                            <a:off x="0" y="0"/>
                            <a:ext cx="2621782" cy="1559052"/>
                          </a:xfrm>
                          <a:prstGeom prst="rect">
                            <a:avLst/>
                          </a:prstGeom>
                        </pic:spPr>
                      </pic:pic>
                    </a:graphicData>
                  </a:graphic>
                </wp:inline>
              </w:drawing>
            </w:r>
            <w:r>
              <w:rPr>
                <w:sz w:val="20"/>
              </w:rPr>
            </w:r>
          </w:p>
        </w:tc>
        <w:tc>
          <w:tcPr>
            <w:tcW w:w="30" w:type="dxa"/>
            <w:shd w:val="clear" w:color="auto" w:fill="D9D9D9"/>
          </w:tcPr>
          <w:p>
            <w:pPr>
              <w:pStyle w:val="TableParagraph"/>
              <w:rPr>
                <w:sz w:val="18"/>
              </w:rPr>
            </w:pPr>
          </w:p>
        </w:tc>
        <w:tc>
          <w:tcPr>
            <w:tcW w:w="4294" w:type="dxa"/>
            <w:shd w:val="clear" w:color="auto" w:fill="D9D9D9"/>
          </w:tcPr>
          <w:p>
            <w:pPr>
              <w:pStyle w:val="TableParagraph"/>
              <w:ind w:left="91" w:right="-44"/>
              <w:rPr>
                <w:sz w:val="20"/>
              </w:rPr>
            </w:pPr>
            <w:r>
              <w:rPr>
                <w:sz w:val="20"/>
              </w:rPr>
              <w:drawing>
                <wp:inline distT="0" distB="0" distL="0" distR="0">
                  <wp:extent cx="2662161" cy="1581912"/>
                  <wp:effectExtent l="0" t="0" r="0" b="0"/>
                  <wp:docPr id="725" name="Image 725"/>
                  <wp:cNvGraphicFramePr>
                    <a:graphicFrameLocks/>
                  </wp:cNvGraphicFramePr>
                  <a:graphic>
                    <a:graphicData uri="http://schemas.openxmlformats.org/drawingml/2006/picture">
                      <pic:pic>
                        <pic:nvPicPr>
                          <pic:cNvPr id="725" name="Image 725"/>
                          <pic:cNvPicPr/>
                        </pic:nvPicPr>
                        <pic:blipFill>
                          <a:blip r:embed="rId124" cstate="print"/>
                          <a:stretch>
                            <a:fillRect/>
                          </a:stretch>
                        </pic:blipFill>
                        <pic:spPr>
                          <a:xfrm>
                            <a:off x="0" y="0"/>
                            <a:ext cx="2662161" cy="1581912"/>
                          </a:xfrm>
                          <a:prstGeom prst="rect">
                            <a:avLst/>
                          </a:prstGeom>
                        </pic:spPr>
                      </pic:pic>
                    </a:graphicData>
                  </a:graphic>
                </wp:inline>
              </w:drawing>
            </w:r>
            <w:r>
              <w:rPr>
                <w:sz w:val="20"/>
              </w:rPr>
            </w:r>
          </w:p>
        </w:tc>
      </w:tr>
      <w:tr>
        <w:trPr>
          <w:trHeight w:val="307" w:hRule="atLeast"/>
        </w:trPr>
        <w:tc>
          <w:tcPr>
            <w:tcW w:w="4182" w:type="dxa"/>
            <w:shd w:val="clear" w:color="auto" w:fill="D9D9D9"/>
          </w:tcPr>
          <w:p>
            <w:pPr>
              <w:pStyle w:val="TableParagraph"/>
              <w:spacing w:before="86"/>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c>
          <w:tcPr>
            <w:tcW w:w="30" w:type="dxa"/>
            <w:shd w:val="clear" w:color="auto" w:fill="D9D9D9"/>
          </w:tcPr>
          <w:p>
            <w:pPr>
              <w:pStyle w:val="TableParagraph"/>
              <w:rPr>
                <w:sz w:val="18"/>
              </w:rPr>
            </w:pPr>
          </w:p>
        </w:tc>
        <w:tc>
          <w:tcPr>
            <w:tcW w:w="4294" w:type="dxa"/>
            <w:shd w:val="clear" w:color="auto" w:fill="D9D9D9"/>
          </w:tcPr>
          <w:p>
            <w:pPr>
              <w:pStyle w:val="TableParagraph"/>
              <w:spacing w:before="86"/>
              <w:ind w:left="146"/>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2"/>
        <w:rPr>
          <w:sz w:val="20"/>
        </w:rPr>
      </w:pPr>
      <w:r>
        <w:rPr>
          <w:sz w:val="20"/>
        </w:rPr>
        <mc:AlternateContent>
          <mc:Choice Requires="wps">
            <w:drawing>
              <wp:anchor distT="0" distB="0" distL="0" distR="0" allowOverlap="1" layoutInCell="1" locked="0" behindDoc="1" simplePos="0" relativeHeight="487662080">
                <wp:simplePos x="0" y="0"/>
                <wp:positionH relativeFrom="page">
                  <wp:posOffset>1009192</wp:posOffset>
                </wp:positionH>
                <wp:positionV relativeFrom="paragraph">
                  <wp:posOffset>232586</wp:posOffset>
                </wp:positionV>
                <wp:extent cx="1829435" cy="7620"/>
                <wp:effectExtent l="0" t="0" r="0" b="0"/>
                <wp:wrapTopAndBottom/>
                <wp:docPr id="726" name="Graphic 726"/>
                <wp:cNvGraphicFramePr>
                  <a:graphicFrameLocks/>
                </wp:cNvGraphicFramePr>
                <a:graphic>
                  <a:graphicData uri="http://schemas.microsoft.com/office/word/2010/wordprocessingShape">
                    <wps:wsp>
                      <wps:cNvPr id="726" name="Graphic 726"/>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8.313927pt;width:144.020pt;height:.599980pt;mso-position-horizontal-relative:page;mso-position-vertical-relative:paragraph;z-index:-15654400;mso-wrap-distance-left:0;mso-wrap-distance-right:0" id="docshape679" filled="true" fillcolor="#000000" stroked="false">
                <v:fill type="solid"/>
                <w10:wrap type="topAndBottom"/>
              </v:rect>
            </w:pict>
          </mc:Fallback>
        </mc:AlternateContent>
      </w:r>
    </w:p>
    <w:p>
      <w:pPr>
        <w:spacing w:before="167"/>
        <w:ind w:left="172" w:right="955" w:firstLine="0"/>
        <w:jc w:val="both"/>
        <w:rPr>
          <w:sz w:val="16"/>
        </w:rPr>
      </w:pPr>
      <w:bookmarkStart w:name="_bookmark132" w:id="133"/>
      <w:bookmarkEnd w:id="133"/>
      <w:r>
        <w:rPr/>
      </w:r>
      <w:r>
        <w:rPr>
          <w:sz w:val="16"/>
          <w:vertAlign w:val="superscript"/>
        </w:rPr>
        <w:t>91</w:t>
      </w:r>
      <w:r>
        <w:rPr>
          <w:spacing w:val="-2"/>
          <w:sz w:val="16"/>
          <w:vertAlign w:val="baseline"/>
        </w:rPr>
        <w:t> </w:t>
      </w:r>
      <w:r>
        <w:rPr>
          <w:sz w:val="16"/>
          <w:vertAlign w:val="baseline"/>
        </w:rPr>
        <w:t>Το</w:t>
      </w:r>
      <w:r>
        <w:rPr>
          <w:spacing w:val="-3"/>
          <w:sz w:val="16"/>
          <w:vertAlign w:val="baseline"/>
        </w:rPr>
        <w:t> </w:t>
      </w:r>
      <w:r>
        <w:rPr>
          <w:sz w:val="16"/>
          <w:vertAlign w:val="baseline"/>
        </w:rPr>
        <w:t>μητρώο</w:t>
      </w:r>
      <w:r>
        <w:rPr>
          <w:spacing w:val="-1"/>
          <w:sz w:val="16"/>
          <w:vertAlign w:val="baseline"/>
        </w:rPr>
        <w:t> </w:t>
      </w:r>
      <w:r>
        <w:rPr>
          <w:sz w:val="16"/>
          <w:vertAlign w:val="baseline"/>
        </w:rPr>
        <w:t>του</w:t>
      </w:r>
      <w:r>
        <w:rPr>
          <w:spacing w:val="-1"/>
          <w:sz w:val="16"/>
          <w:vertAlign w:val="baseline"/>
        </w:rPr>
        <w:t> </w:t>
      </w:r>
      <w:r>
        <w:rPr>
          <w:sz w:val="16"/>
          <w:vertAlign w:val="baseline"/>
        </w:rPr>
        <w:t>άρθρου</w:t>
      </w:r>
      <w:r>
        <w:rPr>
          <w:spacing w:val="-4"/>
          <w:sz w:val="16"/>
          <w:vertAlign w:val="baseline"/>
        </w:rPr>
        <w:t> </w:t>
      </w:r>
      <w:r>
        <w:rPr>
          <w:sz w:val="16"/>
          <w:vertAlign w:val="baseline"/>
        </w:rPr>
        <w:t>14</w:t>
      </w:r>
      <w:r>
        <w:rPr>
          <w:spacing w:val="-1"/>
          <w:sz w:val="16"/>
          <w:vertAlign w:val="baseline"/>
        </w:rPr>
        <w:t> </w:t>
      </w:r>
      <w:r>
        <w:rPr>
          <w:sz w:val="16"/>
          <w:vertAlign w:val="baseline"/>
        </w:rPr>
        <w:t>του</w:t>
      </w:r>
      <w:r>
        <w:rPr>
          <w:spacing w:val="-2"/>
          <w:sz w:val="16"/>
          <w:vertAlign w:val="baseline"/>
        </w:rPr>
        <w:t> </w:t>
      </w:r>
      <w:r>
        <w:rPr>
          <w:sz w:val="16"/>
          <w:vertAlign w:val="baseline"/>
        </w:rPr>
        <w:t>ν.</w:t>
      </w:r>
      <w:r>
        <w:rPr>
          <w:spacing w:val="-4"/>
          <w:sz w:val="16"/>
          <w:vertAlign w:val="baseline"/>
        </w:rPr>
        <w:t> </w:t>
      </w:r>
      <w:r>
        <w:rPr>
          <w:sz w:val="16"/>
          <w:vertAlign w:val="baseline"/>
        </w:rPr>
        <w:t>4537/2018 που</w:t>
      </w:r>
      <w:r>
        <w:rPr>
          <w:spacing w:val="-2"/>
          <w:sz w:val="16"/>
          <w:vertAlign w:val="baseline"/>
        </w:rPr>
        <w:t> </w:t>
      </w:r>
      <w:r>
        <w:rPr>
          <w:sz w:val="16"/>
          <w:vertAlign w:val="baseline"/>
        </w:rPr>
        <w:t>έχει</w:t>
      </w:r>
      <w:r>
        <w:rPr>
          <w:spacing w:val="-2"/>
          <w:sz w:val="16"/>
          <w:vertAlign w:val="baseline"/>
        </w:rPr>
        <w:t> </w:t>
      </w:r>
      <w:r>
        <w:rPr>
          <w:sz w:val="16"/>
          <w:vertAlign w:val="baseline"/>
        </w:rPr>
        <w:t>αναρτηθεί</w:t>
      </w:r>
      <w:r>
        <w:rPr>
          <w:spacing w:val="-1"/>
          <w:sz w:val="16"/>
          <w:vertAlign w:val="baseline"/>
        </w:rPr>
        <w:t> </w:t>
      </w:r>
      <w:r>
        <w:rPr>
          <w:sz w:val="16"/>
          <w:vertAlign w:val="baseline"/>
        </w:rPr>
        <w:t>στην</w:t>
      </w:r>
      <w:r>
        <w:rPr>
          <w:spacing w:val="-2"/>
          <w:sz w:val="16"/>
          <w:vertAlign w:val="baseline"/>
        </w:rPr>
        <w:t> </w:t>
      </w:r>
      <w:r>
        <w:rPr>
          <w:sz w:val="16"/>
          <w:vertAlign w:val="baseline"/>
        </w:rPr>
        <w:t>ιστοσελίδα</w:t>
      </w:r>
      <w:r>
        <w:rPr>
          <w:spacing w:val="-5"/>
          <w:sz w:val="16"/>
          <w:vertAlign w:val="baseline"/>
        </w:rPr>
        <w:t> </w:t>
      </w:r>
      <w:r>
        <w:rPr>
          <w:sz w:val="16"/>
          <w:vertAlign w:val="baseline"/>
        </w:rPr>
        <w:t>της</w:t>
      </w:r>
      <w:r>
        <w:rPr>
          <w:spacing w:val="-1"/>
          <w:sz w:val="16"/>
          <w:vertAlign w:val="baseline"/>
        </w:rPr>
        <w:t> </w:t>
      </w:r>
      <w:r>
        <w:rPr>
          <w:sz w:val="16"/>
          <w:vertAlign w:val="baseline"/>
        </w:rPr>
        <w:t>Τράπεζας</w:t>
      </w:r>
      <w:r>
        <w:rPr>
          <w:spacing w:val="-3"/>
          <w:sz w:val="16"/>
          <w:vertAlign w:val="baseline"/>
        </w:rPr>
        <w:t> </w:t>
      </w:r>
      <w:r>
        <w:rPr>
          <w:sz w:val="16"/>
          <w:vertAlign w:val="baseline"/>
        </w:rPr>
        <w:t>της</w:t>
      </w:r>
      <w:r>
        <w:rPr>
          <w:spacing w:val="-3"/>
          <w:sz w:val="16"/>
          <w:vertAlign w:val="baseline"/>
        </w:rPr>
        <w:t> </w:t>
      </w:r>
      <w:r>
        <w:rPr>
          <w:sz w:val="16"/>
          <w:vertAlign w:val="baseline"/>
        </w:rPr>
        <w:t>Ελλάδος περιλάμβανε</w:t>
      </w:r>
      <w:r>
        <w:rPr>
          <w:spacing w:val="-4"/>
          <w:sz w:val="16"/>
          <w:vertAlign w:val="baseline"/>
        </w:rPr>
        <w:t> </w:t>
      </w:r>
      <w:r>
        <w:rPr>
          <w:sz w:val="16"/>
          <w:vertAlign w:val="baseline"/>
        </w:rPr>
        <w:t>κατά</w:t>
      </w:r>
      <w:r>
        <w:rPr>
          <w:spacing w:val="-2"/>
          <w:sz w:val="16"/>
          <w:vertAlign w:val="baseline"/>
        </w:rPr>
        <w:t> </w:t>
      </w:r>
      <w:r>
        <w:rPr>
          <w:sz w:val="16"/>
          <w:vertAlign w:val="baseline"/>
        </w:rPr>
        <w:t>τη</w:t>
      </w:r>
      <w:r>
        <w:rPr>
          <w:spacing w:val="40"/>
          <w:sz w:val="16"/>
          <w:vertAlign w:val="baseline"/>
        </w:rPr>
        <w:t> </w:t>
      </w:r>
      <w:r>
        <w:rPr>
          <w:sz w:val="16"/>
          <w:vertAlign w:val="baseline"/>
        </w:rPr>
        <w:t>στιγμή της συγγραφής 13 ΙΠ λόγω ανάκλησης της άδειας λειτουργίας ενός</w:t>
      </w:r>
      <w:r>
        <w:rPr>
          <w:spacing w:val="-1"/>
          <w:sz w:val="16"/>
          <w:vertAlign w:val="baseline"/>
        </w:rPr>
        <w:t> </w:t>
      </w:r>
      <w:r>
        <w:rPr>
          <w:sz w:val="16"/>
          <w:vertAlign w:val="baseline"/>
        </w:rPr>
        <w:t>εκ των αδειοδοτημένων ιδρυμάτων τον Φεβρουάριο του</w:t>
      </w:r>
      <w:r>
        <w:rPr>
          <w:spacing w:val="40"/>
          <w:sz w:val="16"/>
          <w:vertAlign w:val="baseline"/>
        </w:rPr>
        <w:t> </w:t>
      </w:r>
      <w:r>
        <w:rPr>
          <w:spacing w:val="-2"/>
          <w:sz w:val="16"/>
          <w:vertAlign w:val="baseline"/>
        </w:rPr>
        <w:t>2026.</w:t>
      </w:r>
    </w:p>
    <w:p>
      <w:pPr>
        <w:spacing w:before="19"/>
        <w:ind w:left="172" w:right="960" w:firstLine="0"/>
        <w:jc w:val="both"/>
        <w:rPr>
          <w:sz w:val="16"/>
        </w:rPr>
      </w:pPr>
      <w:bookmarkStart w:name="_bookmark133" w:id="134"/>
      <w:bookmarkEnd w:id="134"/>
      <w:r>
        <w:rPr/>
      </w:r>
      <w:r>
        <w:rPr>
          <w:sz w:val="16"/>
          <w:vertAlign w:val="superscript"/>
        </w:rPr>
        <w:t>92</w:t>
      </w:r>
      <w:r>
        <w:rPr>
          <w:spacing w:val="-7"/>
          <w:sz w:val="16"/>
          <w:vertAlign w:val="baseline"/>
        </w:rPr>
        <w:t> </w:t>
      </w:r>
      <w:r>
        <w:rPr>
          <w:sz w:val="16"/>
          <w:vertAlign w:val="baseline"/>
        </w:rPr>
        <w:t>Με</w:t>
      </w:r>
      <w:r>
        <w:rPr>
          <w:spacing w:val="-7"/>
          <w:sz w:val="16"/>
          <w:vertAlign w:val="baseline"/>
        </w:rPr>
        <w:t> </w:t>
      </w:r>
      <w:r>
        <w:rPr>
          <w:sz w:val="16"/>
          <w:vertAlign w:val="baseline"/>
        </w:rPr>
        <w:t>τον</w:t>
      </w:r>
      <w:r>
        <w:rPr>
          <w:spacing w:val="-7"/>
          <w:sz w:val="16"/>
          <w:vertAlign w:val="baseline"/>
        </w:rPr>
        <w:t> </w:t>
      </w:r>
      <w:r>
        <w:rPr>
          <w:sz w:val="16"/>
          <w:vertAlign w:val="baseline"/>
        </w:rPr>
        <w:t>ν.</w:t>
      </w:r>
      <w:r>
        <w:rPr>
          <w:spacing w:val="-8"/>
          <w:sz w:val="16"/>
          <w:vertAlign w:val="baseline"/>
        </w:rPr>
        <w:t> </w:t>
      </w:r>
      <w:r>
        <w:rPr>
          <w:sz w:val="16"/>
          <w:vertAlign w:val="baseline"/>
        </w:rPr>
        <w:t>4537/2018</w:t>
      </w:r>
      <w:r>
        <w:rPr>
          <w:spacing w:val="-8"/>
          <w:sz w:val="16"/>
          <w:vertAlign w:val="baseline"/>
        </w:rPr>
        <w:t> </w:t>
      </w:r>
      <w:r>
        <w:rPr>
          <w:sz w:val="16"/>
          <w:vertAlign w:val="baseline"/>
        </w:rPr>
        <w:t>ενσωματώθηκε</w:t>
      </w:r>
      <w:r>
        <w:rPr>
          <w:spacing w:val="-9"/>
          <w:sz w:val="16"/>
          <w:vertAlign w:val="baseline"/>
        </w:rPr>
        <w:t> </w:t>
      </w:r>
      <w:r>
        <w:rPr>
          <w:sz w:val="16"/>
          <w:vertAlign w:val="baseline"/>
        </w:rPr>
        <w:t>στην</w:t>
      </w:r>
      <w:r>
        <w:rPr>
          <w:spacing w:val="-7"/>
          <w:sz w:val="16"/>
          <w:vertAlign w:val="baseline"/>
        </w:rPr>
        <w:t> </w:t>
      </w:r>
      <w:r>
        <w:rPr>
          <w:sz w:val="16"/>
          <w:vertAlign w:val="baseline"/>
        </w:rPr>
        <w:t>ελληνική</w:t>
      </w:r>
      <w:r>
        <w:rPr>
          <w:spacing w:val="-9"/>
          <w:sz w:val="16"/>
          <w:vertAlign w:val="baseline"/>
        </w:rPr>
        <w:t> </w:t>
      </w:r>
      <w:r>
        <w:rPr>
          <w:sz w:val="16"/>
          <w:vertAlign w:val="baseline"/>
        </w:rPr>
        <w:t>έννομη</w:t>
      </w:r>
      <w:r>
        <w:rPr>
          <w:spacing w:val="-9"/>
          <w:sz w:val="16"/>
          <w:vertAlign w:val="baseline"/>
        </w:rPr>
        <w:t> </w:t>
      </w:r>
      <w:r>
        <w:rPr>
          <w:sz w:val="16"/>
          <w:vertAlign w:val="baseline"/>
        </w:rPr>
        <w:t>τάξη</w:t>
      </w:r>
      <w:r>
        <w:rPr>
          <w:spacing w:val="-9"/>
          <w:sz w:val="16"/>
          <w:vertAlign w:val="baseline"/>
        </w:rPr>
        <w:t> </w:t>
      </w:r>
      <w:r>
        <w:rPr>
          <w:sz w:val="16"/>
          <w:vertAlign w:val="baseline"/>
        </w:rPr>
        <w:t>η</w:t>
      </w:r>
      <w:r>
        <w:rPr>
          <w:spacing w:val="-7"/>
          <w:sz w:val="16"/>
          <w:vertAlign w:val="baseline"/>
        </w:rPr>
        <w:t> </w:t>
      </w:r>
      <w:r>
        <w:rPr>
          <w:sz w:val="16"/>
          <w:vertAlign w:val="baseline"/>
        </w:rPr>
        <w:t>Οδηγία</w:t>
      </w:r>
      <w:r>
        <w:rPr>
          <w:spacing w:val="-10"/>
          <w:sz w:val="16"/>
          <w:vertAlign w:val="baseline"/>
        </w:rPr>
        <w:t> </w:t>
      </w:r>
      <w:r>
        <w:rPr>
          <w:sz w:val="16"/>
          <w:vertAlign w:val="baseline"/>
        </w:rPr>
        <w:t>2015/2366/ΕΕ</w:t>
      </w:r>
      <w:r>
        <w:rPr>
          <w:spacing w:val="-6"/>
          <w:sz w:val="16"/>
          <w:vertAlign w:val="baseline"/>
        </w:rPr>
        <w:t> </w:t>
      </w:r>
      <w:r>
        <w:rPr>
          <w:sz w:val="16"/>
          <w:vertAlign w:val="baseline"/>
        </w:rPr>
        <w:t>(Payment</w:t>
      </w:r>
      <w:r>
        <w:rPr>
          <w:spacing w:val="-6"/>
          <w:sz w:val="16"/>
          <w:vertAlign w:val="baseline"/>
        </w:rPr>
        <w:t> </w:t>
      </w:r>
      <w:r>
        <w:rPr>
          <w:sz w:val="16"/>
          <w:vertAlign w:val="baseline"/>
        </w:rPr>
        <w:t>Services</w:t>
      </w:r>
      <w:r>
        <w:rPr>
          <w:spacing w:val="-7"/>
          <w:sz w:val="16"/>
          <w:vertAlign w:val="baseline"/>
        </w:rPr>
        <w:t> </w:t>
      </w:r>
      <w:r>
        <w:rPr>
          <w:sz w:val="16"/>
          <w:vertAlign w:val="baseline"/>
        </w:rPr>
        <w:t>Directive</w:t>
      </w:r>
      <w:r>
        <w:rPr>
          <w:spacing w:val="-6"/>
          <w:sz w:val="16"/>
          <w:vertAlign w:val="baseline"/>
        </w:rPr>
        <w:t> </w:t>
      </w:r>
      <w:r>
        <w:rPr>
          <w:sz w:val="16"/>
          <w:vertAlign w:val="baseline"/>
        </w:rPr>
        <w:t>II</w:t>
      </w:r>
      <w:r>
        <w:rPr>
          <w:spacing w:val="-5"/>
          <w:sz w:val="16"/>
          <w:vertAlign w:val="baseline"/>
        </w:rPr>
        <w:t> </w:t>
      </w:r>
      <w:r>
        <w:rPr>
          <w:sz w:val="16"/>
          <w:vertAlign w:val="baseline"/>
        </w:rPr>
        <w:t>–</w:t>
      </w:r>
      <w:r>
        <w:rPr>
          <w:spacing w:val="-5"/>
          <w:sz w:val="16"/>
          <w:vertAlign w:val="baseline"/>
        </w:rPr>
        <w:t> </w:t>
      </w:r>
      <w:r>
        <w:rPr>
          <w:sz w:val="16"/>
          <w:vertAlign w:val="baseline"/>
        </w:rPr>
        <w:t>PSDII),</w:t>
      </w:r>
      <w:r>
        <w:rPr>
          <w:spacing w:val="40"/>
          <w:sz w:val="16"/>
          <w:vertAlign w:val="baseline"/>
        </w:rPr>
        <w:t> </w:t>
      </w:r>
      <w:r>
        <w:rPr>
          <w:sz w:val="16"/>
          <w:vertAlign w:val="baseline"/>
        </w:rPr>
        <w:t>με την οποία θεσπίζεται το κανονιστικό πλαίσιο για τις υπηρεσίες πληρωμών στην εσωτερική αγορά. Περαιτέρω, σύμφωνα με το</w:t>
      </w:r>
      <w:r>
        <w:rPr>
          <w:spacing w:val="40"/>
          <w:sz w:val="16"/>
          <w:vertAlign w:val="baseline"/>
        </w:rPr>
        <w:t> </w:t>
      </w:r>
      <w:r>
        <w:rPr>
          <w:sz w:val="16"/>
          <w:vertAlign w:val="baseline"/>
        </w:rPr>
        <w:t>άρθρο 14 του ν.</w:t>
      </w:r>
      <w:r>
        <w:rPr>
          <w:spacing w:val="-1"/>
          <w:sz w:val="16"/>
          <w:vertAlign w:val="baseline"/>
        </w:rPr>
        <w:t> </w:t>
      </w:r>
      <w:r>
        <w:rPr>
          <w:sz w:val="16"/>
          <w:vertAlign w:val="baseline"/>
        </w:rPr>
        <w:t>4537/2018, η Τράπεζα της Ελλάδος αναρτά στον επίσημο</w:t>
      </w:r>
      <w:r>
        <w:rPr>
          <w:spacing w:val="-1"/>
          <w:sz w:val="16"/>
          <w:vertAlign w:val="baseline"/>
        </w:rPr>
        <w:t> </w:t>
      </w:r>
      <w:r>
        <w:rPr>
          <w:sz w:val="16"/>
          <w:vertAlign w:val="baseline"/>
        </w:rPr>
        <w:t>διαδικτυακό της τόπο δημόσιο μητρώο, στο οποίο κατα-χωρίζονται τα αδειοδοτημένα ΙΠ και οι ΠΥΠΛ με έδρα στην Ελλάδα </w:t>
      </w:r>
      <w:hyperlink r:id="rId125">
        <w:r>
          <w:rPr>
            <w:sz w:val="16"/>
            <w:vertAlign w:val="baseline"/>
          </w:rPr>
          <w:t>(</w:t>
        </w:r>
        <w:r>
          <w:rPr>
            <w:color w:val="0000FF"/>
            <w:sz w:val="16"/>
            <w:u w:val="single" w:color="0000FF"/>
            <w:vertAlign w:val="baseline"/>
          </w:rPr>
          <w:t>Εποπτευόμενα ιδρύματα</w:t>
        </w:r>
        <w:r>
          <w:rPr>
            <w:sz w:val="16"/>
            <w:vertAlign w:val="baseline"/>
          </w:rPr>
          <w:t>)</w:t>
        </w:r>
      </w:hyperlink>
      <w:r>
        <w:rPr>
          <w:sz w:val="16"/>
          <w:vertAlign w:val="baseline"/>
        </w:rPr>
        <w:t>.</w:t>
      </w:r>
    </w:p>
    <w:p>
      <w:pPr>
        <w:spacing w:after="0"/>
        <w:jc w:val="both"/>
        <w:rPr>
          <w:sz w:val="16"/>
        </w:rPr>
        <w:sectPr>
          <w:type w:val="continuous"/>
          <w:pgSz w:w="11910" w:h="16850"/>
          <w:pgMar w:header="0" w:footer="1108" w:top="1320" w:bottom="280" w:left="1417" w:right="850"/>
        </w:sectPr>
      </w:pPr>
    </w:p>
    <w:p>
      <w:pPr>
        <w:pStyle w:val="BodyText"/>
        <w:spacing w:before="64"/>
        <w:rPr>
          <w:sz w:val="20"/>
        </w:rPr>
      </w:pPr>
    </w:p>
    <w:p>
      <w:pPr>
        <w:pStyle w:val="BodyText"/>
        <w:spacing w:after="0"/>
        <w:rPr>
          <w:sz w:val="20"/>
        </w:rPr>
        <w:sectPr>
          <w:pgSz w:w="11910" w:h="16850"/>
          <w:pgMar w:header="0" w:footer="1108" w:top="1940" w:bottom="1300" w:left="1417" w:right="850"/>
        </w:sectPr>
      </w:pPr>
    </w:p>
    <w:p>
      <w:pPr>
        <w:pStyle w:val="BodyText"/>
        <w:spacing w:line="285" w:lineRule="auto" w:before="92"/>
        <w:ind w:left="172" w:right="120"/>
        <w:jc w:val="both"/>
      </w:pPr>
      <w:r>
        <w:rPr/>
        <w:t>Τον</w:t>
      </w:r>
      <w:r>
        <w:rPr>
          <w:spacing w:val="-13"/>
        </w:rPr>
        <w:t> </w:t>
      </w:r>
      <w:r>
        <w:rPr/>
        <w:t>Δεκέμβριο</w:t>
      </w:r>
      <w:r>
        <w:rPr>
          <w:spacing w:val="-14"/>
        </w:rPr>
        <w:t> </w:t>
      </w:r>
      <w:r>
        <w:rPr/>
        <w:t>του</w:t>
      </w:r>
      <w:r>
        <w:rPr>
          <w:spacing w:val="-13"/>
        </w:rPr>
        <w:t> </w:t>
      </w:r>
      <w:r>
        <w:rPr/>
        <w:t>2025</w:t>
      </w:r>
      <w:hyperlink w:history="true" w:anchor="_bookmark134">
        <w:r>
          <w:rPr>
            <w:position w:val="6"/>
            <w:sz w:val="10"/>
          </w:rPr>
          <w:t>93</w:t>
        </w:r>
      </w:hyperlink>
      <w:r>
        <w:rPr>
          <w:spacing w:val="16"/>
          <w:position w:val="6"/>
          <w:sz w:val="10"/>
        </w:rPr>
        <w:t> </w:t>
      </w:r>
      <w:r>
        <w:rPr/>
        <w:t>το</w:t>
      </w:r>
      <w:r>
        <w:rPr>
          <w:spacing w:val="-14"/>
        </w:rPr>
        <w:t> </w:t>
      </w:r>
      <w:r>
        <w:rPr/>
        <w:t>σύνολο</w:t>
      </w:r>
      <w:r>
        <w:rPr>
          <w:spacing w:val="-14"/>
        </w:rPr>
        <w:t> </w:t>
      </w:r>
      <w:r>
        <w:rPr/>
        <w:t>των</w:t>
      </w:r>
      <w:r>
        <w:rPr>
          <w:spacing w:val="-13"/>
        </w:rPr>
        <w:t> </w:t>
      </w:r>
      <w:r>
        <w:rPr/>
        <w:t>ιδίων κεφαλαίων των ΙΠ ανήλθε σε 150 εκατ. ευρώ, αυξημένα</w:t>
      </w:r>
      <w:r>
        <w:rPr>
          <w:spacing w:val="-8"/>
        </w:rPr>
        <w:t> </w:t>
      </w:r>
      <w:r>
        <w:rPr/>
        <w:t>κατά</w:t>
      </w:r>
      <w:r>
        <w:rPr>
          <w:spacing w:val="-9"/>
        </w:rPr>
        <w:t> </w:t>
      </w:r>
      <w:r>
        <w:rPr/>
        <w:t>12,2%</w:t>
      </w:r>
      <w:r>
        <w:rPr>
          <w:spacing w:val="-9"/>
        </w:rPr>
        <w:t> </w:t>
      </w:r>
      <w:r>
        <w:rPr/>
        <w:t>σε</w:t>
      </w:r>
      <w:r>
        <w:rPr>
          <w:spacing w:val="-9"/>
        </w:rPr>
        <w:t> </w:t>
      </w:r>
      <w:r>
        <w:rPr/>
        <w:t>σχέση</w:t>
      </w:r>
      <w:r>
        <w:rPr>
          <w:spacing w:val="-9"/>
        </w:rPr>
        <w:t> </w:t>
      </w:r>
      <w:r>
        <w:rPr/>
        <w:t>με</w:t>
      </w:r>
      <w:r>
        <w:rPr>
          <w:spacing w:val="-8"/>
        </w:rPr>
        <w:t> </w:t>
      </w:r>
      <w:r>
        <w:rPr/>
        <w:t>τον</w:t>
      </w:r>
      <w:r>
        <w:rPr>
          <w:spacing w:val="-9"/>
        </w:rPr>
        <w:t> </w:t>
      </w:r>
      <w:r>
        <w:rPr/>
        <w:t>Δεκέμ-βριο</w:t>
      </w:r>
      <w:r>
        <w:rPr>
          <w:spacing w:val="-14"/>
        </w:rPr>
        <w:t> </w:t>
      </w:r>
      <w:r>
        <w:rPr/>
        <w:t>του</w:t>
      </w:r>
      <w:r>
        <w:rPr>
          <w:spacing w:val="-14"/>
        </w:rPr>
        <w:t> </w:t>
      </w:r>
      <w:r>
        <w:rPr/>
        <w:t>2024.</w:t>
      </w:r>
      <w:r>
        <w:rPr>
          <w:spacing w:val="-14"/>
        </w:rPr>
        <w:t> </w:t>
      </w:r>
      <w:r>
        <w:rPr/>
        <w:t>Η</w:t>
      </w:r>
      <w:r>
        <w:rPr>
          <w:spacing w:val="-13"/>
        </w:rPr>
        <w:t> </w:t>
      </w:r>
      <w:r>
        <w:rPr/>
        <w:t>άνοδος</w:t>
      </w:r>
      <w:r>
        <w:rPr>
          <w:spacing w:val="-14"/>
        </w:rPr>
        <w:t> </w:t>
      </w:r>
      <w:r>
        <w:rPr/>
        <w:t>αποδίδεται</w:t>
      </w:r>
      <w:r>
        <w:rPr>
          <w:spacing w:val="-14"/>
        </w:rPr>
        <w:t> </w:t>
      </w:r>
      <w:r>
        <w:rPr/>
        <w:t>ιδίως</w:t>
      </w:r>
      <w:r>
        <w:rPr>
          <w:spacing w:val="-14"/>
        </w:rPr>
        <w:t> </w:t>
      </w:r>
      <w:r>
        <w:rPr/>
        <w:t>στην αύξηση της καθαρής θέσης των ΙΠ που δρα-στηριοποιούνται στον κλάδο αποδοχής πρά-ξεων πληρωμής, κυρίως λόγω της λειτουργι-κής κερδοφορίας τους. Ο κλάδος των ΙΠ το 2025 εμφάνισε κέρδη (προ έκτακτων εσό-δων/εξόδων) 53,8 εκατ. ευρώ έναντι κερδών 35,4 εκατ. ευρώ το 2024 (βλ. Διάγραμμα </w:t>
      </w:r>
      <w:r>
        <w:rPr>
          <w:spacing w:val="-2"/>
        </w:rPr>
        <w:t>V.22).</w:t>
      </w:r>
    </w:p>
    <w:p>
      <w:pPr>
        <w:pStyle w:val="BodyText"/>
      </w:pPr>
    </w:p>
    <w:p>
      <w:pPr>
        <w:pStyle w:val="BodyText"/>
        <w:spacing w:before="106"/>
      </w:pPr>
    </w:p>
    <w:p>
      <w:pPr>
        <w:pStyle w:val="Heading4"/>
      </w:pPr>
      <w:r>
        <w:rPr>
          <w:color w:val="1F487C"/>
        </w:rPr>
        <w:t>(β)</w:t>
      </w:r>
      <w:r>
        <w:rPr>
          <w:color w:val="1F487C"/>
          <w:spacing w:val="-7"/>
        </w:rPr>
        <w:t> </w:t>
      </w:r>
      <w:r>
        <w:rPr>
          <w:color w:val="1F487C"/>
        </w:rPr>
        <w:t>Ιδρύματα</w:t>
      </w:r>
      <w:r>
        <w:rPr>
          <w:color w:val="1F487C"/>
          <w:spacing w:val="-7"/>
        </w:rPr>
        <w:t> </w:t>
      </w:r>
      <w:r>
        <w:rPr>
          <w:color w:val="1F487C"/>
        </w:rPr>
        <w:t>Ηλεκτρον</w:t>
      </w:r>
      <w:r>
        <w:rPr>
          <w:smallCaps/>
          <w:color w:val="1F487C"/>
        </w:rPr>
        <w:t>ι</w:t>
      </w:r>
      <w:r>
        <w:rPr>
          <w:smallCaps w:val="0"/>
          <w:color w:val="1F487C"/>
        </w:rPr>
        <w:t>κού</w:t>
      </w:r>
      <w:r>
        <w:rPr>
          <w:smallCaps w:val="0"/>
          <w:color w:val="1F487C"/>
          <w:spacing w:val="-7"/>
        </w:rPr>
        <w:t> </w:t>
      </w:r>
      <w:r>
        <w:rPr>
          <w:smallCaps w:val="0"/>
          <w:color w:val="1F487C"/>
        </w:rPr>
        <w:t>Χρήματος</w:t>
      </w:r>
      <w:r>
        <w:rPr>
          <w:smallCaps w:val="0"/>
          <w:color w:val="1F487C"/>
          <w:spacing w:val="-7"/>
        </w:rPr>
        <w:t> </w:t>
      </w:r>
      <w:r>
        <w:rPr>
          <w:smallCaps w:val="0"/>
          <w:color w:val="1F487C"/>
          <w:spacing w:val="-4"/>
        </w:rPr>
        <w:t>(ΙΗΧ)</w:t>
      </w:r>
    </w:p>
    <w:p>
      <w:pPr>
        <w:pStyle w:val="BodyText"/>
        <w:spacing w:line="285" w:lineRule="auto" w:before="167"/>
        <w:ind w:left="172" w:right="122"/>
        <w:jc w:val="both"/>
      </w:pPr>
      <w:r>
        <w:rPr/>
        <w:t>Η Τράπεζα της Ελλάδος έχει χορηγήσει άδεια λειτουργίας</w:t>
      </w:r>
      <w:r>
        <w:rPr>
          <w:spacing w:val="-14"/>
        </w:rPr>
        <w:t> </w:t>
      </w:r>
      <w:r>
        <w:rPr/>
        <w:t>σε</w:t>
      </w:r>
      <w:r>
        <w:rPr>
          <w:spacing w:val="-10"/>
        </w:rPr>
        <w:t> </w:t>
      </w:r>
      <w:r>
        <w:rPr/>
        <w:t>τέσσερα</w:t>
      </w:r>
      <w:r>
        <w:rPr>
          <w:spacing w:val="-11"/>
        </w:rPr>
        <w:t> </w:t>
      </w:r>
      <w:r>
        <w:rPr/>
        <w:t>(4)</w:t>
      </w:r>
      <w:r>
        <w:rPr>
          <w:spacing w:val="-13"/>
        </w:rPr>
        <w:t> </w:t>
      </w:r>
      <w:r>
        <w:rPr/>
        <w:t>ιδρύματα</w:t>
      </w:r>
      <w:r>
        <w:rPr>
          <w:spacing w:val="-12"/>
        </w:rPr>
        <w:t> </w:t>
      </w:r>
      <w:r>
        <w:rPr/>
        <w:t>ηλεκτρο-νικού χρήματος (ΙΗΧ).</w:t>
      </w:r>
    </w:p>
    <w:p>
      <w:pPr>
        <w:pStyle w:val="BodyText"/>
        <w:spacing w:line="285" w:lineRule="auto" w:before="57"/>
        <w:ind w:left="172" w:right="119"/>
        <w:jc w:val="both"/>
      </w:pPr>
      <w:r>
        <w:rPr/>
        <w:t>H συνολική ετήσια αξία των πράξεων πληρω-μών που πραγματοποιήθηκαν το 2025 από τα ΙΗΧ ανήλθε σε 10,8 δισεκ. ευρώ, μειωμένη κατά</w:t>
      </w:r>
      <w:r>
        <w:rPr>
          <w:spacing w:val="-7"/>
        </w:rPr>
        <w:t> </w:t>
      </w:r>
      <w:r>
        <w:rPr/>
        <w:t>68,4%</w:t>
      </w:r>
      <w:r>
        <w:rPr>
          <w:spacing w:val="-5"/>
        </w:rPr>
        <w:t> </w:t>
      </w:r>
      <w:r>
        <w:rPr/>
        <w:t>(23,5</w:t>
      </w:r>
      <w:r>
        <w:rPr>
          <w:spacing w:val="-6"/>
        </w:rPr>
        <w:t> </w:t>
      </w:r>
      <w:r>
        <w:rPr/>
        <w:t>δισεκ.</w:t>
      </w:r>
      <w:r>
        <w:rPr>
          <w:spacing w:val="-6"/>
        </w:rPr>
        <w:t> </w:t>
      </w:r>
      <w:r>
        <w:rPr/>
        <w:t>ευρώ)</w:t>
      </w:r>
      <w:r>
        <w:rPr>
          <w:spacing w:val="-7"/>
        </w:rPr>
        <w:t> </w:t>
      </w:r>
      <w:r>
        <w:rPr/>
        <w:t>σε</w:t>
      </w:r>
      <w:r>
        <w:rPr>
          <w:spacing w:val="-7"/>
        </w:rPr>
        <w:t> </w:t>
      </w:r>
      <w:r>
        <w:rPr/>
        <w:t>σχέση</w:t>
      </w:r>
      <w:r>
        <w:rPr>
          <w:spacing w:val="-6"/>
        </w:rPr>
        <w:t> </w:t>
      </w:r>
      <w:r>
        <w:rPr/>
        <w:t>με</w:t>
      </w:r>
      <w:r>
        <w:rPr>
          <w:spacing w:val="-5"/>
        </w:rPr>
        <w:t> </w:t>
      </w:r>
      <w:r>
        <w:rPr/>
        <w:t>το 2024 (βλ. Διάγραμμα V.23). Η μείωση της α-ξίας των πληρωμών οφείλεται στη συγχώ-νευση με απορρόφηση του μεγαλύτερου ΙΗΧ από</w:t>
      </w:r>
      <w:r>
        <w:rPr>
          <w:spacing w:val="-10"/>
        </w:rPr>
        <w:t> </w:t>
      </w:r>
      <w:r>
        <w:rPr/>
        <w:t>πιστωτικό</w:t>
      </w:r>
      <w:r>
        <w:rPr>
          <w:spacing w:val="-10"/>
        </w:rPr>
        <w:t> </w:t>
      </w:r>
      <w:r>
        <w:rPr/>
        <w:t>ίδρυμα</w:t>
      </w:r>
      <w:r>
        <w:rPr>
          <w:spacing w:val="-11"/>
        </w:rPr>
        <w:t> </w:t>
      </w:r>
      <w:r>
        <w:rPr/>
        <w:t>του</w:t>
      </w:r>
      <w:r>
        <w:rPr>
          <w:spacing w:val="-9"/>
        </w:rPr>
        <w:t> </w:t>
      </w:r>
      <w:r>
        <w:rPr/>
        <w:t>ίδιου</w:t>
      </w:r>
      <w:r>
        <w:rPr>
          <w:spacing w:val="-9"/>
        </w:rPr>
        <w:t> </w:t>
      </w:r>
      <w:r>
        <w:rPr/>
        <w:t>ομίλου</w:t>
      </w:r>
      <w:hyperlink w:history="true" w:anchor="_bookmark135">
        <w:r>
          <w:rPr/>
          <w:t>.</w:t>
        </w:r>
        <w:r>
          <w:rPr>
            <w:position w:val="6"/>
            <w:sz w:val="10"/>
          </w:rPr>
          <w:t>94</w:t>
        </w:r>
      </w:hyperlink>
      <w:r>
        <w:rPr>
          <w:spacing w:val="20"/>
          <w:position w:val="6"/>
          <w:sz w:val="10"/>
        </w:rPr>
        <w:t> </w:t>
      </w:r>
      <w:r>
        <w:rPr/>
        <w:t>Οι</w:t>
      </w:r>
      <w:r>
        <w:rPr>
          <w:spacing w:val="-9"/>
        </w:rPr>
        <w:t> </w:t>
      </w:r>
      <w:r>
        <w:rPr/>
        <w:t>υ-πηρεσίες πληρωμών προσφέρονται πλέον από το πιστωτικό ίδρυμα.</w:t>
      </w:r>
    </w:p>
    <w:p>
      <w:pPr>
        <w:spacing w:line="240" w:lineRule="auto"/>
        <w:ind w:left="15" w:right="0" w:firstLine="0"/>
        <w:rPr>
          <w:sz w:val="20"/>
        </w:rPr>
      </w:pPr>
      <w:r>
        <w:rPr/>
        <w:br w:type="column"/>
      </w:r>
      <w:r>
        <w:rPr>
          <w:sz w:val="20"/>
        </w:rPr>
        <mc:AlternateContent>
          <mc:Choice Requires="wps">
            <w:drawing>
              <wp:inline distT="0" distB="0" distL="0" distR="0">
                <wp:extent cx="2665095" cy="338455"/>
                <wp:effectExtent l="0" t="0" r="0" b="0"/>
                <wp:docPr id="727" name="Textbox 727"/>
                <wp:cNvGraphicFramePr>
                  <a:graphicFrameLocks/>
                </wp:cNvGraphicFramePr>
                <a:graphic>
                  <a:graphicData uri="http://schemas.microsoft.com/office/word/2010/wordprocessingShape">
                    <wps:wsp>
                      <wps:cNvPr id="727" name="Textbox 727"/>
                      <wps:cNvSpPr txBox="1"/>
                      <wps:spPr>
                        <a:xfrm>
                          <a:off x="0" y="0"/>
                          <a:ext cx="2665095" cy="338455"/>
                        </a:xfrm>
                        <a:prstGeom prst="rect">
                          <a:avLst/>
                        </a:prstGeom>
                        <a:solidFill>
                          <a:srgbClr val="1F487C"/>
                        </a:solidFill>
                      </wps:spPr>
                      <wps:txbx>
                        <w:txbxContent>
                          <w:p>
                            <w:pPr>
                              <w:spacing w:before="60"/>
                              <w:ind w:left="112" w:right="117"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V.22</w:t>
                            </w:r>
                            <w:r>
                              <w:rPr>
                                <w:b/>
                                <w:smallCaps w:val="0"/>
                                <w:color w:val="FFFFFF"/>
                                <w:spacing w:val="-5"/>
                                <w:sz w:val="18"/>
                              </w:rPr>
                              <w:t> </w:t>
                            </w:r>
                            <w:r>
                              <w:rPr>
                                <w:b/>
                                <w:smallCaps w:val="0"/>
                                <w:color w:val="FFFFFF"/>
                                <w:sz w:val="18"/>
                              </w:rPr>
                              <w:t>Αποτελέσματα</w:t>
                            </w:r>
                            <w:r>
                              <w:rPr>
                                <w:b/>
                                <w:smallCaps w:val="0"/>
                                <w:color w:val="FFFFFF"/>
                                <w:spacing w:val="-8"/>
                                <w:sz w:val="18"/>
                              </w:rPr>
                              <w:t> </w:t>
                            </w:r>
                            <w:r>
                              <w:rPr>
                                <w:b/>
                                <w:smallCaps w:val="0"/>
                                <w:color w:val="FFFFFF"/>
                                <w:sz w:val="18"/>
                              </w:rPr>
                              <w:t>χρήσης</w:t>
                            </w:r>
                            <w:r>
                              <w:rPr>
                                <w:b/>
                                <w:smallCaps w:val="0"/>
                                <w:color w:val="FFFFFF"/>
                                <w:spacing w:val="-5"/>
                                <w:sz w:val="18"/>
                              </w:rPr>
                              <w:t> </w:t>
                            </w:r>
                            <w:r>
                              <w:rPr>
                                <w:b/>
                                <w:smallCaps w:val="0"/>
                                <w:color w:val="FFFFFF"/>
                                <w:sz w:val="18"/>
                              </w:rPr>
                              <w:t>κα</w:t>
                            </w:r>
                            <w:r>
                              <w:rPr>
                                <w:b/>
                                <w:smallCaps/>
                                <w:color w:val="FFFFFF"/>
                                <w:sz w:val="18"/>
                              </w:rPr>
                              <w:t>ι</w:t>
                            </w:r>
                            <w:r>
                              <w:rPr>
                                <w:b/>
                                <w:smallCaps w:val="0"/>
                                <w:color w:val="FFFFFF"/>
                                <w:spacing w:val="-6"/>
                                <w:sz w:val="18"/>
                              </w:rPr>
                              <w:t> </w:t>
                            </w:r>
                            <w:r>
                              <w:rPr>
                                <w:b/>
                                <w:smallCaps w:val="0"/>
                                <w:color w:val="FFFFFF"/>
                                <w:sz w:val="18"/>
                              </w:rPr>
                              <w:t>ίδ</w:t>
                            </w:r>
                            <w:r>
                              <w:rPr>
                                <w:b/>
                                <w:smallCaps/>
                                <w:color w:val="FFFFFF"/>
                                <w:sz w:val="18"/>
                              </w:rPr>
                              <w:t>ι</w:t>
                            </w:r>
                            <w:r>
                              <w:rPr>
                                <w:b/>
                                <w:smallCaps w:val="0"/>
                                <w:color w:val="FFFFFF"/>
                                <w:sz w:val="18"/>
                              </w:rPr>
                              <w:t>α</w:t>
                            </w:r>
                            <w:r>
                              <w:rPr>
                                <w:b/>
                                <w:smallCaps w:val="0"/>
                                <w:color w:val="FFFFFF"/>
                                <w:spacing w:val="-6"/>
                                <w:sz w:val="18"/>
                              </w:rPr>
                              <w:t> </w:t>
                            </w:r>
                            <w:r>
                              <w:rPr>
                                <w:b/>
                                <w:smallCaps w:val="0"/>
                                <w:color w:val="FFFFFF"/>
                                <w:sz w:val="18"/>
                              </w:rPr>
                              <w:t>κε-φάλα</w:t>
                            </w:r>
                            <w:r>
                              <w:rPr>
                                <w:b/>
                                <w:smallCaps/>
                                <w:color w:val="FFFFFF"/>
                                <w:sz w:val="18"/>
                              </w:rPr>
                              <w:t>ι</w:t>
                            </w:r>
                            <w:r>
                              <w:rPr>
                                <w:b/>
                                <w:smallCaps w:val="0"/>
                                <w:color w:val="FFFFFF"/>
                                <w:sz w:val="18"/>
                              </w:rPr>
                              <w:t>α των Ιδρυμάτων Πληρωμών</w:t>
                            </w:r>
                          </w:p>
                        </w:txbxContent>
                      </wps:txbx>
                      <wps:bodyPr wrap="square" lIns="0" tIns="0" rIns="0" bIns="0" rtlCol="0">
                        <a:noAutofit/>
                      </wps:bodyPr>
                    </wps:wsp>
                  </a:graphicData>
                </a:graphic>
              </wp:inline>
            </w:drawing>
          </mc:Choice>
          <mc:Fallback>
            <w:pict>
              <v:shape style="width:209.85pt;height:26.65pt;mso-position-horizontal-relative:char;mso-position-vertical-relative:line" type="#_x0000_t202" id="docshape680" filled="true" fillcolor="#1f487c" stroked="false">
                <w10:anchorlock/>
                <v:textbox inset="0,0,0,0">
                  <w:txbxContent>
                    <w:p>
                      <w:pPr>
                        <w:spacing w:before="60"/>
                        <w:ind w:left="112" w:right="117"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V.22</w:t>
                      </w:r>
                      <w:r>
                        <w:rPr>
                          <w:b/>
                          <w:smallCaps w:val="0"/>
                          <w:color w:val="FFFFFF"/>
                          <w:spacing w:val="-5"/>
                          <w:sz w:val="18"/>
                        </w:rPr>
                        <w:t> </w:t>
                      </w:r>
                      <w:r>
                        <w:rPr>
                          <w:b/>
                          <w:smallCaps w:val="0"/>
                          <w:color w:val="FFFFFF"/>
                          <w:sz w:val="18"/>
                        </w:rPr>
                        <w:t>Αποτελέσματα</w:t>
                      </w:r>
                      <w:r>
                        <w:rPr>
                          <w:b/>
                          <w:smallCaps w:val="0"/>
                          <w:color w:val="FFFFFF"/>
                          <w:spacing w:val="-8"/>
                          <w:sz w:val="18"/>
                        </w:rPr>
                        <w:t> </w:t>
                      </w:r>
                      <w:r>
                        <w:rPr>
                          <w:b/>
                          <w:smallCaps w:val="0"/>
                          <w:color w:val="FFFFFF"/>
                          <w:sz w:val="18"/>
                        </w:rPr>
                        <w:t>χρήσης</w:t>
                      </w:r>
                      <w:r>
                        <w:rPr>
                          <w:b/>
                          <w:smallCaps w:val="0"/>
                          <w:color w:val="FFFFFF"/>
                          <w:spacing w:val="-5"/>
                          <w:sz w:val="18"/>
                        </w:rPr>
                        <w:t> </w:t>
                      </w:r>
                      <w:r>
                        <w:rPr>
                          <w:b/>
                          <w:smallCaps w:val="0"/>
                          <w:color w:val="FFFFFF"/>
                          <w:sz w:val="18"/>
                        </w:rPr>
                        <w:t>κα</w:t>
                      </w:r>
                      <w:r>
                        <w:rPr>
                          <w:b/>
                          <w:smallCaps/>
                          <w:color w:val="FFFFFF"/>
                          <w:sz w:val="18"/>
                        </w:rPr>
                        <w:t>ι</w:t>
                      </w:r>
                      <w:r>
                        <w:rPr>
                          <w:b/>
                          <w:smallCaps w:val="0"/>
                          <w:color w:val="FFFFFF"/>
                          <w:spacing w:val="-6"/>
                          <w:sz w:val="18"/>
                        </w:rPr>
                        <w:t> </w:t>
                      </w:r>
                      <w:r>
                        <w:rPr>
                          <w:b/>
                          <w:smallCaps w:val="0"/>
                          <w:color w:val="FFFFFF"/>
                          <w:sz w:val="18"/>
                        </w:rPr>
                        <w:t>ίδ</w:t>
                      </w:r>
                      <w:r>
                        <w:rPr>
                          <w:b/>
                          <w:smallCaps/>
                          <w:color w:val="FFFFFF"/>
                          <w:sz w:val="18"/>
                        </w:rPr>
                        <w:t>ι</w:t>
                      </w:r>
                      <w:r>
                        <w:rPr>
                          <w:b/>
                          <w:smallCaps w:val="0"/>
                          <w:color w:val="FFFFFF"/>
                          <w:sz w:val="18"/>
                        </w:rPr>
                        <w:t>α</w:t>
                      </w:r>
                      <w:r>
                        <w:rPr>
                          <w:b/>
                          <w:smallCaps w:val="0"/>
                          <w:color w:val="FFFFFF"/>
                          <w:spacing w:val="-6"/>
                          <w:sz w:val="18"/>
                        </w:rPr>
                        <w:t> </w:t>
                      </w:r>
                      <w:r>
                        <w:rPr>
                          <w:b/>
                          <w:smallCaps w:val="0"/>
                          <w:color w:val="FFFFFF"/>
                          <w:sz w:val="18"/>
                        </w:rPr>
                        <w:t>κε-φάλα</w:t>
                      </w:r>
                      <w:r>
                        <w:rPr>
                          <w:b/>
                          <w:smallCaps/>
                          <w:color w:val="FFFFFF"/>
                          <w:sz w:val="18"/>
                        </w:rPr>
                        <w:t>ι</w:t>
                      </w:r>
                      <w:r>
                        <w:rPr>
                          <w:b/>
                          <w:smallCaps w:val="0"/>
                          <w:color w:val="FFFFFF"/>
                          <w:sz w:val="18"/>
                        </w:rPr>
                        <w:t>α των Ιδρυμάτων Πληρωμών</w:t>
                      </w:r>
                    </w:p>
                  </w:txbxContent>
                </v:textbox>
                <v:fill type="solid"/>
              </v:shape>
            </w:pict>
          </mc:Fallback>
        </mc:AlternateContent>
      </w:r>
      <w:r>
        <w:rPr>
          <w:sz w:val="20"/>
        </w:rPr>
      </w:r>
    </w:p>
    <w:p>
      <w:pPr>
        <w:spacing w:before="94"/>
        <w:ind w:left="72" w:right="0" w:firstLine="0"/>
        <w:jc w:val="left"/>
        <w:rPr>
          <w:sz w:val="14"/>
        </w:rPr>
      </w:pPr>
      <w:r>
        <w:rPr>
          <w:color w:val="1F487C"/>
          <w:sz w:val="14"/>
        </w:rPr>
        <w:t>(εκατ.</w:t>
      </w:r>
      <w:r>
        <w:rPr>
          <w:color w:val="1F487C"/>
          <w:spacing w:val="-5"/>
          <w:sz w:val="14"/>
        </w:rPr>
        <w:t> </w:t>
      </w:r>
      <w:r>
        <w:rPr>
          <w:color w:val="1F487C"/>
          <w:spacing w:val="-2"/>
          <w:sz w:val="14"/>
        </w:rPr>
        <w:t>ευρώ)</w:t>
      </w:r>
    </w:p>
    <w:p>
      <w:pPr>
        <w:pStyle w:val="BodyText"/>
        <w:spacing w:before="5"/>
        <w:rPr>
          <w:sz w:val="5"/>
        </w:rPr>
      </w:pPr>
    </w:p>
    <w:p>
      <w:pPr>
        <w:spacing w:line="240" w:lineRule="auto"/>
        <w:ind w:left="14" w:right="0" w:firstLine="0"/>
        <w:rPr>
          <w:sz w:val="20"/>
        </w:rPr>
      </w:pPr>
      <w:r>
        <w:rPr>
          <w:sz w:val="20"/>
        </w:rPr>
        <mc:AlternateContent>
          <mc:Choice Requires="wps">
            <w:drawing>
              <wp:inline distT="0" distB="0" distL="0" distR="0">
                <wp:extent cx="2665730" cy="2084070"/>
                <wp:effectExtent l="0" t="0" r="0" b="1905"/>
                <wp:docPr id="728" name="Group 728"/>
                <wp:cNvGraphicFramePr>
                  <a:graphicFrameLocks/>
                </wp:cNvGraphicFramePr>
                <a:graphic>
                  <a:graphicData uri="http://schemas.microsoft.com/office/word/2010/wordprocessingGroup">
                    <wpg:wgp>
                      <wpg:cNvPr id="728" name="Group 728"/>
                      <wpg:cNvGrpSpPr/>
                      <wpg:grpSpPr>
                        <a:xfrm>
                          <a:off x="0" y="0"/>
                          <a:ext cx="2665730" cy="2084070"/>
                          <a:chExt cx="2665730" cy="2084070"/>
                        </a:xfrm>
                      </wpg:grpSpPr>
                      <wps:wsp>
                        <wps:cNvPr id="729" name="Graphic 729"/>
                        <wps:cNvSpPr/>
                        <wps:spPr>
                          <a:xfrm>
                            <a:off x="635" y="380"/>
                            <a:ext cx="2665095" cy="2084070"/>
                          </a:xfrm>
                          <a:custGeom>
                            <a:avLst/>
                            <a:gdLst/>
                            <a:ahLst/>
                            <a:cxnLst/>
                            <a:rect l="l" t="t" r="r" b="b"/>
                            <a:pathLst>
                              <a:path w="2665095" h="2084070">
                                <a:moveTo>
                                  <a:pt x="2664587" y="1867166"/>
                                </a:moveTo>
                                <a:lnTo>
                                  <a:pt x="0" y="1867166"/>
                                </a:lnTo>
                                <a:lnTo>
                                  <a:pt x="0" y="2083574"/>
                                </a:lnTo>
                                <a:lnTo>
                                  <a:pt x="2664587" y="2083574"/>
                                </a:lnTo>
                                <a:lnTo>
                                  <a:pt x="2664587" y="1867166"/>
                                </a:lnTo>
                                <a:close/>
                              </a:path>
                              <a:path w="2665095" h="2084070">
                                <a:moveTo>
                                  <a:pt x="2664587" y="0"/>
                                </a:moveTo>
                                <a:lnTo>
                                  <a:pt x="0" y="0"/>
                                </a:lnTo>
                                <a:lnTo>
                                  <a:pt x="0" y="1867154"/>
                                </a:lnTo>
                                <a:lnTo>
                                  <a:pt x="2664587" y="1867154"/>
                                </a:lnTo>
                                <a:lnTo>
                                  <a:pt x="2664587" y="0"/>
                                </a:lnTo>
                                <a:close/>
                              </a:path>
                            </a:pathLst>
                          </a:custGeom>
                          <a:solidFill>
                            <a:srgbClr val="D9D9D9"/>
                          </a:solidFill>
                        </wps:spPr>
                        <wps:bodyPr wrap="square" lIns="0" tIns="0" rIns="0" bIns="0" rtlCol="0">
                          <a:prstTxWarp prst="textNoShape">
                            <a:avLst/>
                          </a:prstTxWarp>
                          <a:noAutofit/>
                        </wps:bodyPr>
                      </wps:wsp>
                      <pic:pic>
                        <pic:nvPicPr>
                          <pic:cNvPr id="730" name="Image 730"/>
                          <pic:cNvPicPr/>
                        </pic:nvPicPr>
                        <pic:blipFill>
                          <a:blip r:embed="rId126" cstate="print"/>
                          <a:stretch>
                            <a:fillRect/>
                          </a:stretch>
                        </pic:blipFill>
                        <pic:spPr>
                          <a:xfrm>
                            <a:off x="0" y="0"/>
                            <a:ext cx="2663317" cy="1866265"/>
                          </a:xfrm>
                          <a:prstGeom prst="rect">
                            <a:avLst/>
                          </a:prstGeom>
                        </pic:spPr>
                      </pic:pic>
                      <wps:wsp>
                        <wps:cNvPr id="731" name="Textbox 731"/>
                        <wps:cNvSpPr txBox="1"/>
                        <wps:spPr>
                          <a:xfrm>
                            <a:off x="635" y="380"/>
                            <a:ext cx="2665095" cy="208407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09.9pt;height:164.1pt;mso-position-horizontal-relative:char;mso-position-vertical-relative:line" id="docshapegroup681" coordorigin="0,0" coordsize="4198,3282">
                <v:shape style="position:absolute;left:1;top:0;width:4197;height:3282" id="docshape682" coordorigin="1,1" coordsize="4197,3282" path="m4197,2941l1,2941,1,3282,4197,3282,4197,2941xm4197,1l1,1,1,2941,4197,2941,4197,1xe" filled="true" fillcolor="#d9d9d9" stroked="false">
                  <v:path arrowok="t"/>
                  <v:fill type="solid"/>
                </v:shape>
                <v:shape style="position:absolute;left:0;top:0;width:4195;height:2939" type="#_x0000_t75" id="docshape683" stroked="false">
                  <v:imagedata r:id="rId126" o:title=""/>
                </v:shape>
                <v:shape style="position:absolute;left:1;top:0;width:4197;height:3282" type="#_x0000_t202" id="docshape684"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pStyle w:val="BodyText"/>
        <w:spacing w:before="208"/>
        <w:rPr>
          <w:sz w:val="20"/>
        </w:rPr>
      </w:pPr>
      <w:r>
        <w:rPr>
          <w:sz w:val="20"/>
        </w:rPr>
        <mc:AlternateContent>
          <mc:Choice Requires="wps">
            <w:drawing>
              <wp:anchor distT="0" distB="0" distL="0" distR="0" allowOverlap="1" layoutInCell="1" locked="0" behindDoc="1" simplePos="0" relativeHeight="487664128">
                <wp:simplePos x="0" y="0"/>
                <wp:positionH relativeFrom="page">
                  <wp:posOffset>3735959</wp:posOffset>
                </wp:positionH>
                <wp:positionV relativeFrom="paragraph">
                  <wp:posOffset>293457</wp:posOffset>
                </wp:positionV>
                <wp:extent cx="2665095" cy="338455"/>
                <wp:effectExtent l="0" t="0" r="0" b="0"/>
                <wp:wrapTopAndBottom/>
                <wp:docPr id="732" name="Textbox 732"/>
                <wp:cNvGraphicFramePr>
                  <a:graphicFrameLocks/>
                </wp:cNvGraphicFramePr>
                <a:graphic>
                  <a:graphicData uri="http://schemas.microsoft.com/office/word/2010/wordprocessingShape">
                    <wps:wsp>
                      <wps:cNvPr id="732" name="Textbox 732"/>
                      <wps:cNvSpPr txBox="1"/>
                      <wps:spPr>
                        <a:xfrm>
                          <a:off x="0" y="0"/>
                          <a:ext cx="2665095" cy="338455"/>
                        </a:xfrm>
                        <a:prstGeom prst="rect">
                          <a:avLst/>
                        </a:prstGeom>
                        <a:solidFill>
                          <a:srgbClr val="1F487C"/>
                        </a:solidFill>
                      </wps:spPr>
                      <wps:txbx>
                        <w:txbxContent>
                          <w:p>
                            <w:pPr>
                              <w:spacing w:before="60"/>
                              <w:ind w:left="112" w:right="96"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V.23</w:t>
                            </w:r>
                            <w:r>
                              <w:rPr>
                                <w:b/>
                                <w:smallCaps w:val="0"/>
                                <w:color w:val="FFFFFF"/>
                                <w:spacing w:val="-6"/>
                                <w:sz w:val="18"/>
                              </w:rPr>
                              <w:t> </w:t>
                            </w:r>
                            <w:r>
                              <w:rPr>
                                <w:b/>
                                <w:smallCaps w:val="0"/>
                                <w:color w:val="FFFFFF"/>
                                <w:sz w:val="18"/>
                              </w:rPr>
                              <w:t>Ετήσ</w:t>
                            </w:r>
                            <w:r>
                              <w:rPr>
                                <w:b/>
                                <w:smallCaps/>
                                <w:color w:val="FFFFFF"/>
                                <w:sz w:val="18"/>
                              </w:rPr>
                              <w:t>ι</w:t>
                            </w:r>
                            <w:r>
                              <w:rPr>
                                <w:b/>
                                <w:smallCaps w:val="0"/>
                                <w:color w:val="FFFFFF"/>
                                <w:sz w:val="18"/>
                              </w:rPr>
                              <w:t>α</w:t>
                            </w:r>
                            <w:r>
                              <w:rPr>
                                <w:b/>
                                <w:smallCaps w:val="0"/>
                                <w:color w:val="FFFFFF"/>
                                <w:spacing w:val="-9"/>
                                <w:sz w:val="18"/>
                              </w:rPr>
                              <w:t> </w:t>
                            </w:r>
                            <w:r>
                              <w:rPr>
                                <w:b/>
                                <w:smallCaps w:val="0"/>
                                <w:color w:val="FFFFFF"/>
                                <w:sz w:val="18"/>
                              </w:rPr>
                              <w:t>αξία</w:t>
                            </w:r>
                            <w:r>
                              <w:rPr>
                                <w:b/>
                                <w:smallCaps w:val="0"/>
                                <w:color w:val="FFFFFF"/>
                                <w:spacing w:val="-7"/>
                                <w:sz w:val="18"/>
                              </w:rPr>
                              <w:t> </w:t>
                            </w:r>
                            <w:r>
                              <w:rPr>
                                <w:b/>
                                <w:smallCaps w:val="0"/>
                                <w:color w:val="FFFFFF"/>
                                <w:sz w:val="18"/>
                              </w:rPr>
                              <w:t>πράξεων</w:t>
                            </w:r>
                            <w:r>
                              <w:rPr>
                                <w:b/>
                                <w:smallCaps w:val="0"/>
                                <w:color w:val="FFFFFF"/>
                                <w:spacing w:val="-6"/>
                                <w:sz w:val="18"/>
                              </w:rPr>
                              <w:t> </w:t>
                            </w:r>
                            <w:r>
                              <w:rPr>
                                <w:b/>
                                <w:smallCaps w:val="0"/>
                                <w:color w:val="FFFFFF"/>
                                <w:sz w:val="18"/>
                              </w:rPr>
                              <w:t>πληρωμών από Ιδρύματα Ηλεκτρον</w:t>
                            </w:r>
                            <w:r>
                              <w:rPr>
                                <w:b/>
                                <w:smallCaps/>
                                <w:color w:val="FFFFFF"/>
                                <w:sz w:val="18"/>
                              </w:rPr>
                              <w:t>ι</w:t>
                            </w:r>
                            <w:r>
                              <w:rPr>
                                <w:b/>
                                <w:smallCaps w:val="0"/>
                                <w:color w:val="FFFFFF"/>
                                <w:sz w:val="18"/>
                              </w:rPr>
                              <w:t>κού Χρήματος</w:t>
                            </w:r>
                          </w:p>
                        </w:txbxContent>
                      </wps:txbx>
                      <wps:bodyPr wrap="square" lIns="0" tIns="0" rIns="0" bIns="0" rtlCol="0">
                        <a:noAutofit/>
                      </wps:bodyPr>
                    </wps:wsp>
                  </a:graphicData>
                </a:graphic>
              </wp:anchor>
            </w:drawing>
          </mc:Choice>
          <mc:Fallback>
            <w:pict>
              <v:shape style="position:absolute;margin-left:294.170013pt;margin-top:23.106905pt;width:209.85pt;height:26.65pt;mso-position-horizontal-relative:page;mso-position-vertical-relative:paragraph;z-index:-15652352;mso-wrap-distance-left:0;mso-wrap-distance-right:0" type="#_x0000_t202" id="docshape685" filled="true" fillcolor="#1f487c" stroked="false">
                <v:textbox inset="0,0,0,0">
                  <w:txbxContent>
                    <w:p>
                      <w:pPr>
                        <w:spacing w:before="60"/>
                        <w:ind w:left="112" w:right="96"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V.23</w:t>
                      </w:r>
                      <w:r>
                        <w:rPr>
                          <w:b/>
                          <w:smallCaps w:val="0"/>
                          <w:color w:val="FFFFFF"/>
                          <w:spacing w:val="-6"/>
                          <w:sz w:val="18"/>
                        </w:rPr>
                        <w:t> </w:t>
                      </w:r>
                      <w:r>
                        <w:rPr>
                          <w:b/>
                          <w:smallCaps w:val="0"/>
                          <w:color w:val="FFFFFF"/>
                          <w:sz w:val="18"/>
                        </w:rPr>
                        <w:t>Ετήσ</w:t>
                      </w:r>
                      <w:r>
                        <w:rPr>
                          <w:b/>
                          <w:smallCaps/>
                          <w:color w:val="FFFFFF"/>
                          <w:sz w:val="18"/>
                        </w:rPr>
                        <w:t>ι</w:t>
                      </w:r>
                      <w:r>
                        <w:rPr>
                          <w:b/>
                          <w:smallCaps w:val="0"/>
                          <w:color w:val="FFFFFF"/>
                          <w:sz w:val="18"/>
                        </w:rPr>
                        <w:t>α</w:t>
                      </w:r>
                      <w:r>
                        <w:rPr>
                          <w:b/>
                          <w:smallCaps w:val="0"/>
                          <w:color w:val="FFFFFF"/>
                          <w:spacing w:val="-9"/>
                          <w:sz w:val="18"/>
                        </w:rPr>
                        <w:t> </w:t>
                      </w:r>
                      <w:r>
                        <w:rPr>
                          <w:b/>
                          <w:smallCaps w:val="0"/>
                          <w:color w:val="FFFFFF"/>
                          <w:sz w:val="18"/>
                        </w:rPr>
                        <w:t>αξία</w:t>
                      </w:r>
                      <w:r>
                        <w:rPr>
                          <w:b/>
                          <w:smallCaps w:val="0"/>
                          <w:color w:val="FFFFFF"/>
                          <w:spacing w:val="-7"/>
                          <w:sz w:val="18"/>
                        </w:rPr>
                        <w:t> </w:t>
                      </w:r>
                      <w:r>
                        <w:rPr>
                          <w:b/>
                          <w:smallCaps w:val="0"/>
                          <w:color w:val="FFFFFF"/>
                          <w:sz w:val="18"/>
                        </w:rPr>
                        <w:t>πράξεων</w:t>
                      </w:r>
                      <w:r>
                        <w:rPr>
                          <w:b/>
                          <w:smallCaps w:val="0"/>
                          <w:color w:val="FFFFFF"/>
                          <w:spacing w:val="-6"/>
                          <w:sz w:val="18"/>
                        </w:rPr>
                        <w:t> </w:t>
                      </w:r>
                      <w:r>
                        <w:rPr>
                          <w:b/>
                          <w:smallCaps w:val="0"/>
                          <w:color w:val="FFFFFF"/>
                          <w:sz w:val="18"/>
                        </w:rPr>
                        <w:t>πληρωμών από Ιδρύματα Ηλεκτρον</w:t>
                      </w:r>
                      <w:r>
                        <w:rPr>
                          <w:b/>
                          <w:smallCaps/>
                          <w:color w:val="FFFFFF"/>
                          <w:sz w:val="18"/>
                        </w:rPr>
                        <w:t>ι</w:t>
                      </w:r>
                      <w:r>
                        <w:rPr>
                          <w:b/>
                          <w:smallCaps w:val="0"/>
                          <w:color w:val="FFFFFF"/>
                          <w:sz w:val="18"/>
                        </w:rPr>
                        <w:t>κού Χρήματος</w:t>
                      </w:r>
                    </w:p>
                  </w:txbxContent>
                </v:textbox>
                <v:fill type="solid"/>
                <w10:wrap type="topAndBottom"/>
              </v:shape>
            </w:pict>
          </mc:Fallback>
        </mc:AlternateContent>
      </w:r>
    </w:p>
    <w:p>
      <w:pPr>
        <w:spacing w:before="119"/>
        <w:ind w:left="72" w:right="0" w:firstLine="0"/>
        <w:jc w:val="left"/>
        <w:rPr>
          <w:sz w:val="14"/>
        </w:rPr>
      </w:pPr>
      <w:r>
        <w:rPr>
          <w:color w:val="1F487C"/>
          <w:sz w:val="14"/>
        </w:rPr>
        <w:t>(δισεκ.</w:t>
      </w:r>
      <w:r>
        <w:rPr>
          <w:color w:val="1F487C"/>
          <w:spacing w:val="-5"/>
          <w:sz w:val="14"/>
        </w:rPr>
        <w:t> </w:t>
      </w:r>
      <w:r>
        <w:rPr>
          <w:color w:val="1F487C"/>
          <w:spacing w:val="-2"/>
          <w:sz w:val="14"/>
        </w:rPr>
        <w:t>ευρώ)</w:t>
      </w:r>
    </w:p>
    <w:p>
      <w:pPr>
        <w:pStyle w:val="BodyText"/>
        <w:spacing w:before="3"/>
        <w:rPr>
          <w:sz w:val="5"/>
        </w:rPr>
      </w:pPr>
    </w:p>
    <w:p>
      <w:pPr>
        <w:spacing w:line="240" w:lineRule="auto"/>
        <w:ind w:left="14" w:right="0" w:firstLine="0"/>
        <w:rPr>
          <w:sz w:val="20"/>
        </w:rPr>
      </w:pPr>
      <w:r>
        <w:rPr>
          <w:sz w:val="20"/>
        </w:rPr>
        <mc:AlternateContent>
          <mc:Choice Requires="wps">
            <w:drawing>
              <wp:inline distT="0" distB="0" distL="0" distR="0">
                <wp:extent cx="2665730" cy="1837055"/>
                <wp:effectExtent l="0" t="0" r="0" b="1269"/>
                <wp:docPr id="733" name="Group 733"/>
                <wp:cNvGraphicFramePr>
                  <a:graphicFrameLocks/>
                </wp:cNvGraphicFramePr>
                <a:graphic>
                  <a:graphicData uri="http://schemas.microsoft.com/office/word/2010/wordprocessingGroup">
                    <wpg:wgp>
                      <wpg:cNvPr id="733" name="Group 733"/>
                      <wpg:cNvGrpSpPr/>
                      <wpg:grpSpPr>
                        <a:xfrm>
                          <a:off x="0" y="0"/>
                          <a:ext cx="2665730" cy="1837055"/>
                          <a:chExt cx="2665730" cy="1837055"/>
                        </a:xfrm>
                      </wpg:grpSpPr>
                      <wps:wsp>
                        <wps:cNvPr id="734" name="Graphic 734"/>
                        <wps:cNvSpPr/>
                        <wps:spPr>
                          <a:xfrm>
                            <a:off x="635" y="0"/>
                            <a:ext cx="2665095" cy="1837055"/>
                          </a:xfrm>
                          <a:custGeom>
                            <a:avLst/>
                            <a:gdLst/>
                            <a:ahLst/>
                            <a:cxnLst/>
                            <a:rect l="l" t="t" r="r" b="b"/>
                            <a:pathLst>
                              <a:path w="2665095" h="1837055">
                                <a:moveTo>
                                  <a:pt x="2664587" y="0"/>
                                </a:moveTo>
                                <a:lnTo>
                                  <a:pt x="0" y="0"/>
                                </a:lnTo>
                                <a:lnTo>
                                  <a:pt x="0" y="1620266"/>
                                </a:lnTo>
                                <a:lnTo>
                                  <a:pt x="0" y="1836674"/>
                                </a:lnTo>
                                <a:lnTo>
                                  <a:pt x="2664587" y="1836674"/>
                                </a:lnTo>
                                <a:lnTo>
                                  <a:pt x="2664587" y="1620266"/>
                                </a:lnTo>
                                <a:lnTo>
                                  <a:pt x="2664587" y="0"/>
                                </a:lnTo>
                                <a:close/>
                              </a:path>
                            </a:pathLst>
                          </a:custGeom>
                          <a:solidFill>
                            <a:srgbClr val="D9D9D9"/>
                          </a:solidFill>
                        </wps:spPr>
                        <wps:bodyPr wrap="square" lIns="0" tIns="0" rIns="0" bIns="0" rtlCol="0">
                          <a:prstTxWarp prst="textNoShape">
                            <a:avLst/>
                          </a:prstTxWarp>
                          <a:noAutofit/>
                        </wps:bodyPr>
                      </wps:wsp>
                      <pic:pic>
                        <pic:nvPicPr>
                          <pic:cNvPr id="735" name="Image 735"/>
                          <pic:cNvPicPr/>
                        </pic:nvPicPr>
                        <pic:blipFill>
                          <a:blip r:embed="rId127" cstate="print"/>
                          <a:stretch>
                            <a:fillRect/>
                          </a:stretch>
                        </pic:blipFill>
                        <pic:spPr>
                          <a:xfrm>
                            <a:off x="0" y="0"/>
                            <a:ext cx="2663444" cy="1617344"/>
                          </a:xfrm>
                          <a:prstGeom prst="rect">
                            <a:avLst/>
                          </a:prstGeom>
                        </pic:spPr>
                      </pic:pic>
                      <wps:wsp>
                        <wps:cNvPr id="736" name="Textbox 736"/>
                        <wps:cNvSpPr txBox="1"/>
                        <wps:spPr>
                          <a:xfrm>
                            <a:off x="635" y="0"/>
                            <a:ext cx="2665095" cy="183705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4"/>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09.9pt;height:144.65pt;mso-position-horizontal-relative:char;mso-position-vertical-relative:line" id="docshapegroup686" coordorigin="0,0" coordsize="4198,2893">
                <v:shape style="position:absolute;left:1;top:0;width:4197;height:2893" id="docshape687" coordorigin="1,0" coordsize="4197,2893" path="m4197,0l1,0,1,2552,1,2892,4197,2892,4197,2552,4197,0xe" filled="true" fillcolor="#d9d9d9" stroked="false">
                  <v:path arrowok="t"/>
                  <v:fill type="solid"/>
                </v:shape>
                <v:shape style="position:absolute;left:0;top:0;width:4195;height:2547" type="#_x0000_t75" id="docshape688" stroked="false">
                  <v:imagedata r:id="rId127" o:title=""/>
                </v:shape>
                <v:shape style="position:absolute;left:1;top:0;width:4197;height:2893" type="#_x0000_t202" id="docshape689"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4"/>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108" w:top="1320" w:bottom="280" w:left="1417" w:right="850"/>
          <w:cols w:num="2" w:equalWidth="0">
            <w:col w:w="4412" w:space="40"/>
            <w:col w:w="5191"/>
          </w:cols>
        </w:sectPr>
      </w:pPr>
    </w:p>
    <w:p>
      <w:pPr>
        <w:pStyle w:val="BodyText"/>
        <w:spacing w:line="285" w:lineRule="auto" w:before="50"/>
        <w:ind w:left="172" w:right="955"/>
        <w:jc w:val="both"/>
      </w:pPr>
      <w:r>
        <w:rPr/>
        <w:t>Ωστόσο, τα τέσσερα ιδρύματα τα οποία συνεχίζουν τη λειτουργεία τους ως ΙΗΧ αύξησαν κατά 67,2% την αξία των πληρωμών που εκτέλεσαν η οποία ανήλθε σε 10,8 δισεκ. ευρώ το 2025, έναντι 6,5 δισεκ. ευρώ το 2024. Από τα ιδρύματα αυτά, τα δύο μόνο παρέχουν υπηρεσίες ηλε-κτρονικού χρήματος παράλληλα με τις υπηρεσίες πληρωμών.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6"/>
        <w:rPr>
          <w:sz w:val="20"/>
        </w:rPr>
      </w:pPr>
      <w:r>
        <w:rPr>
          <w:sz w:val="20"/>
        </w:rPr>
        <mc:AlternateContent>
          <mc:Choice Requires="wps">
            <w:drawing>
              <wp:anchor distT="0" distB="0" distL="0" distR="0" allowOverlap="1" layoutInCell="1" locked="0" behindDoc="1" simplePos="0" relativeHeight="487665152">
                <wp:simplePos x="0" y="0"/>
                <wp:positionH relativeFrom="page">
                  <wp:posOffset>1009192</wp:posOffset>
                </wp:positionH>
                <wp:positionV relativeFrom="paragraph">
                  <wp:posOffset>299028</wp:posOffset>
                </wp:positionV>
                <wp:extent cx="1829435" cy="7620"/>
                <wp:effectExtent l="0" t="0" r="0" b="0"/>
                <wp:wrapTopAndBottom/>
                <wp:docPr id="737" name="Graphic 737"/>
                <wp:cNvGraphicFramePr>
                  <a:graphicFrameLocks/>
                </wp:cNvGraphicFramePr>
                <a:graphic>
                  <a:graphicData uri="http://schemas.microsoft.com/office/word/2010/wordprocessingShape">
                    <wps:wsp>
                      <wps:cNvPr id="737" name="Graphic 73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3.545589pt;width:144.020pt;height:.60004pt;mso-position-horizontal-relative:page;mso-position-vertical-relative:paragraph;z-index:-15651328;mso-wrap-distance-left:0;mso-wrap-distance-right:0" id="docshape690" filled="true" fillcolor="#000000" stroked="false">
                <v:fill type="solid"/>
                <w10:wrap type="topAndBottom"/>
              </v:rect>
            </w:pict>
          </mc:Fallback>
        </mc:AlternateContent>
      </w:r>
    </w:p>
    <w:p>
      <w:pPr>
        <w:spacing w:before="167"/>
        <w:ind w:left="172" w:right="963" w:firstLine="0"/>
        <w:jc w:val="both"/>
        <w:rPr>
          <w:sz w:val="16"/>
        </w:rPr>
      </w:pPr>
      <w:bookmarkStart w:name="_bookmark134" w:id="135"/>
      <w:bookmarkEnd w:id="135"/>
      <w:r>
        <w:rPr/>
      </w:r>
      <w:r>
        <w:rPr>
          <w:sz w:val="16"/>
          <w:vertAlign w:val="superscript"/>
        </w:rPr>
        <w:t>93</w:t>
      </w:r>
      <w:r>
        <w:rPr>
          <w:sz w:val="16"/>
          <w:vertAlign w:val="baseline"/>
        </w:rPr>
        <w:t> Τα ιδρύματα πληρωμών έχουν υποβάλει ανέλεγκτες οικονομικές καταστάσεις στην Τράπεζα της Ελλάδος για το 2025 κατά την</w:t>
      </w:r>
      <w:r>
        <w:rPr>
          <w:spacing w:val="40"/>
          <w:sz w:val="16"/>
          <w:vertAlign w:val="baseline"/>
        </w:rPr>
        <w:t> </w:t>
      </w:r>
      <w:r>
        <w:rPr>
          <w:sz w:val="16"/>
          <w:vertAlign w:val="baseline"/>
        </w:rPr>
        <w:t>ημερομηνία έκδοσης της παρούσας Έκθεσης.</w:t>
      </w:r>
    </w:p>
    <w:p>
      <w:pPr>
        <w:spacing w:before="19"/>
        <w:ind w:left="172" w:right="961" w:firstLine="0"/>
        <w:jc w:val="both"/>
        <w:rPr>
          <w:sz w:val="16"/>
        </w:rPr>
      </w:pPr>
      <w:bookmarkStart w:name="_bookmark135" w:id="136"/>
      <w:bookmarkEnd w:id="136"/>
      <w:r>
        <w:rPr/>
      </w:r>
      <w:r>
        <w:rPr>
          <w:sz w:val="16"/>
          <w:vertAlign w:val="superscript"/>
        </w:rPr>
        <w:t>94</w:t>
      </w:r>
      <w:r>
        <w:rPr>
          <w:spacing w:val="-2"/>
          <w:sz w:val="16"/>
          <w:vertAlign w:val="baseline"/>
        </w:rPr>
        <w:t> </w:t>
      </w:r>
      <w:r>
        <w:rPr>
          <w:sz w:val="16"/>
          <w:vertAlign w:val="baseline"/>
        </w:rPr>
        <w:t>Στις</w:t>
      </w:r>
      <w:r>
        <w:rPr>
          <w:spacing w:val="-3"/>
          <w:sz w:val="16"/>
          <w:vertAlign w:val="baseline"/>
        </w:rPr>
        <w:t> </w:t>
      </w:r>
      <w:r>
        <w:rPr>
          <w:sz w:val="16"/>
          <w:vertAlign w:val="baseline"/>
        </w:rPr>
        <w:t>31.01.2025,</w:t>
      </w:r>
      <w:r>
        <w:rPr>
          <w:spacing w:val="-4"/>
          <w:sz w:val="16"/>
          <w:vertAlign w:val="baseline"/>
        </w:rPr>
        <w:t> </w:t>
      </w:r>
      <w:r>
        <w:rPr>
          <w:sz w:val="16"/>
          <w:vertAlign w:val="baseline"/>
        </w:rPr>
        <w:t>σε</w:t>
      </w:r>
      <w:r>
        <w:rPr>
          <w:spacing w:val="-5"/>
          <w:sz w:val="16"/>
          <w:vertAlign w:val="baseline"/>
        </w:rPr>
        <w:t> </w:t>
      </w:r>
      <w:r>
        <w:rPr>
          <w:sz w:val="16"/>
          <w:vertAlign w:val="baseline"/>
        </w:rPr>
        <w:t>συνέχεια</w:t>
      </w:r>
      <w:r>
        <w:rPr>
          <w:spacing w:val="-5"/>
          <w:sz w:val="16"/>
          <w:vertAlign w:val="baseline"/>
        </w:rPr>
        <w:t> </w:t>
      </w:r>
      <w:r>
        <w:rPr>
          <w:sz w:val="16"/>
          <w:vertAlign w:val="baseline"/>
        </w:rPr>
        <w:t>της</w:t>
      </w:r>
      <w:r>
        <w:rPr>
          <w:spacing w:val="-3"/>
          <w:sz w:val="16"/>
          <w:vertAlign w:val="baseline"/>
        </w:rPr>
        <w:t> </w:t>
      </w:r>
      <w:r>
        <w:rPr>
          <w:sz w:val="16"/>
          <w:vertAlign w:val="baseline"/>
        </w:rPr>
        <w:t>υπ’</w:t>
      </w:r>
      <w:r>
        <w:rPr>
          <w:spacing w:val="-5"/>
          <w:sz w:val="16"/>
          <w:vertAlign w:val="baseline"/>
        </w:rPr>
        <w:t> </w:t>
      </w:r>
      <w:r>
        <w:rPr>
          <w:sz w:val="16"/>
          <w:vertAlign w:val="baseline"/>
        </w:rPr>
        <w:t>αριθ.</w:t>
      </w:r>
      <w:r>
        <w:rPr>
          <w:spacing w:val="-4"/>
          <w:sz w:val="16"/>
          <w:vertAlign w:val="baseline"/>
        </w:rPr>
        <w:t> </w:t>
      </w:r>
      <w:r>
        <w:rPr>
          <w:sz w:val="16"/>
          <w:vertAlign w:val="baseline"/>
        </w:rPr>
        <w:t>516/19.11.2024</w:t>
      </w:r>
      <w:r>
        <w:rPr>
          <w:spacing w:val="-3"/>
          <w:sz w:val="16"/>
          <w:vertAlign w:val="baseline"/>
        </w:rPr>
        <w:t> </w:t>
      </w:r>
      <w:r>
        <w:rPr>
          <w:sz w:val="16"/>
          <w:vertAlign w:val="baseline"/>
        </w:rPr>
        <w:t>απόφασης</w:t>
      </w:r>
      <w:r>
        <w:rPr>
          <w:spacing w:val="-3"/>
          <w:sz w:val="16"/>
          <w:vertAlign w:val="baseline"/>
        </w:rPr>
        <w:t> </w:t>
      </w:r>
      <w:r>
        <w:rPr>
          <w:sz w:val="16"/>
          <w:vertAlign w:val="baseline"/>
        </w:rPr>
        <w:t>της</w:t>
      </w:r>
      <w:r>
        <w:rPr>
          <w:spacing w:val="-5"/>
          <w:sz w:val="16"/>
          <w:vertAlign w:val="baseline"/>
        </w:rPr>
        <w:t> </w:t>
      </w:r>
      <w:r>
        <w:rPr>
          <w:sz w:val="16"/>
          <w:vertAlign w:val="baseline"/>
        </w:rPr>
        <w:t>Επιτροπής</w:t>
      </w:r>
      <w:r>
        <w:rPr>
          <w:spacing w:val="-3"/>
          <w:sz w:val="16"/>
          <w:vertAlign w:val="baseline"/>
        </w:rPr>
        <w:t> </w:t>
      </w:r>
      <w:r>
        <w:rPr>
          <w:sz w:val="16"/>
          <w:vertAlign w:val="baseline"/>
        </w:rPr>
        <w:t>Πιστωτικών</w:t>
      </w:r>
      <w:r>
        <w:rPr>
          <w:spacing w:val="-5"/>
          <w:sz w:val="16"/>
          <w:vertAlign w:val="baseline"/>
        </w:rPr>
        <w:t> </w:t>
      </w:r>
      <w:r>
        <w:rPr>
          <w:sz w:val="16"/>
          <w:vertAlign w:val="baseline"/>
        </w:rPr>
        <w:t>και</w:t>
      </w:r>
      <w:r>
        <w:rPr>
          <w:spacing w:val="-5"/>
          <w:sz w:val="16"/>
          <w:vertAlign w:val="baseline"/>
        </w:rPr>
        <w:t> </w:t>
      </w:r>
      <w:r>
        <w:rPr>
          <w:sz w:val="16"/>
          <w:vertAlign w:val="baseline"/>
        </w:rPr>
        <w:t>Ασφαλιστικών</w:t>
      </w:r>
      <w:r>
        <w:rPr>
          <w:spacing w:val="-3"/>
          <w:sz w:val="16"/>
          <w:vertAlign w:val="baseline"/>
        </w:rPr>
        <w:t> </w:t>
      </w:r>
      <w:r>
        <w:rPr>
          <w:sz w:val="16"/>
          <w:vertAlign w:val="baseline"/>
        </w:rPr>
        <w:t>Θεμάτων</w:t>
      </w:r>
      <w:r>
        <w:rPr>
          <w:spacing w:val="-5"/>
          <w:sz w:val="16"/>
          <w:vertAlign w:val="baseline"/>
        </w:rPr>
        <w:t> </w:t>
      </w:r>
      <w:r>
        <w:rPr>
          <w:sz w:val="16"/>
          <w:vertAlign w:val="baseline"/>
        </w:rPr>
        <w:t>της</w:t>
      </w:r>
      <w:r>
        <w:rPr>
          <w:spacing w:val="40"/>
          <w:sz w:val="16"/>
          <w:vertAlign w:val="baseline"/>
        </w:rPr>
        <w:t> </w:t>
      </w:r>
      <w:r>
        <w:rPr>
          <w:sz w:val="16"/>
          <w:vertAlign w:val="baseline"/>
        </w:rPr>
        <w:t>Τράπεζας της Ελλάδος, ανακοινώθηκε στο ΓΕΜΗ η συγχώνευση με απορρόφηση του ΙΗΧ με την επωνυμία “VIVA ΥΠΗΡΕΣΙΕΣ</w:t>
      </w:r>
      <w:r>
        <w:rPr>
          <w:spacing w:val="40"/>
          <w:sz w:val="16"/>
          <w:vertAlign w:val="baseline"/>
        </w:rPr>
        <w:t> </w:t>
      </w:r>
      <w:r>
        <w:rPr>
          <w:sz w:val="16"/>
          <w:vertAlign w:val="baseline"/>
        </w:rPr>
        <w:t>ΠΛΗΡΩΜΩΝ</w:t>
      </w:r>
      <w:r>
        <w:rPr>
          <w:spacing w:val="-10"/>
          <w:sz w:val="16"/>
          <w:vertAlign w:val="baseline"/>
        </w:rPr>
        <w:t> </w:t>
      </w:r>
      <w:r>
        <w:rPr>
          <w:sz w:val="16"/>
          <w:vertAlign w:val="baseline"/>
        </w:rPr>
        <w:t>ΜΟΝΟΠΡΟΣΩΠΗ</w:t>
      </w:r>
      <w:r>
        <w:rPr>
          <w:spacing w:val="-7"/>
          <w:sz w:val="16"/>
          <w:vertAlign w:val="baseline"/>
        </w:rPr>
        <w:t> </w:t>
      </w:r>
      <w:r>
        <w:rPr>
          <w:sz w:val="16"/>
          <w:vertAlign w:val="baseline"/>
        </w:rPr>
        <w:t>ΑΝΩΝΥΜΗ</w:t>
      </w:r>
      <w:r>
        <w:rPr>
          <w:spacing w:val="-7"/>
          <w:sz w:val="16"/>
          <w:vertAlign w:val="baseline"/>
        </w:rPr>
        <w:t> </w:t>
      </w:r>
      <w:r>
        <w:rPr>
          <w:sz w:val="16"/>
          <w:vertAlign w:val="baseline"/>
        </w:rPr>
        <w:t>ΕΤΑΙΡΕΙΑ”</w:t>
      </w:r>
      <w:r>
        <w:rPr>
          <w:spacing w:val="-6"/>
          <w:sz w:val="16"/>
          <w:vertAlign w:val="baseline"/>
        </w:rPr>
        <w:t> </w:t>
      </w:r>
      <w:r>
        <w:rPr>
          <w:sz w:val="16"/>
          <w:vertAlign w:val="baseline"/>
        </w:rPr>
        <w:t>από</w:t>
      </w:r>
      <w:r>
        <w:rPr>
          <w:spacing w:val="-5"/>
          <w:sz w:val="16"/>
          <w:vertAlign w:val="baseline"/>
        </w:rPr>
        <w:t> </w:t>
      </w:r>
      <w:r>
        <w:rPr>
          <w:sz w:val="16"/>
          <w:vertAlign w:val="baseline"/>
        </w:rPr>
        <w:t>το</w:t>
      </w:r>
      <w:r>
        <w:rPr>
          <w:spacing w:val="-8"/>
          <w:sz w:val="16"/>
          <w:vertAlign w:val="baseline"/>
        </w:rPr>
        <w:t> </w:t>
      </w:r>
      <w:r>
        <w:rPr>
          <w:sz w:val="16"/>
          <w:vertAlign w:val="baseline"/>
        </w:rPr>
        <w:t>πιστωτικό</w:t>
      </w:r>
      <w:r>
        <w:rPr>
          <w:spacing w:val="-6"/>
          <w:sz w:val="16"/>
          <w:vertAlign w:val="baseline"/>
        </w:rPr>
        <w:t> </w:t>
      </w:r>
      <w:r>
        <w:rPr>
          <w:sz w:val="16"/>
          <w:vertAlign w:val="baseline"/>
        </w:rPr>
        <w:t>ίδρυμα</w:t>
      </w:r>
      <w:r>
        <w:rPr>
          <w:spacing w:val="-7"/>
          <w:sz w:val="16"/>
          <w:vertAlign w:val="baseline"/>
        </w:rPr>
        <w:t> </w:t>
      </w:r>
      <w:r>
        <w:rPr>
          <w:sz w:val="16"/>
          <w:vertAlign w:val="baseline"/>
        </w:rPr>
        <w:t>με</w:t>
      </w:r>
      <w:r>
        <w:rPr>
          <w:spacing w:val="-9"/>
          <w:sz w:val="16"/>
          <w:vertAlign w:val="baseline"/>
        </w:rPr>
        <w:t> </w:t>
      </w:r>
      <w:r>
        <w:rPr>
          <w:sz w:val="16"/>
          <w:vertAlign w:val="baseline"/>
        </w:rPr>
        <w:t>την</w:t>
      </w:r>
      <w:r>
        <w:rPr>
          <w:spacing w:val="-7"/>
          <w:sz w:val="16"/>
          <w:vertAlign w:val="baseline"/>
        </w:rPr>
        <w:t> </w:t>
      </w:r>
      <w:r>
        <w:rPr>
          <w:sz w:val="16"/>
          <w:vertAlign w:val="baseline"/>
        </w:rPr>
        <w:t>επωνυμία</w:t>
      </w:r>
      <w:r>
        <w:rPr>
          <w:spacing w:val="-9"/>
          <w:sz w:val="16"/>
          <w:vertAlign w:val="baseline"/>
        </w:rPr>
        <w:t> </w:t>
      </w:r>
      <w:r>
        <w:rPr>
          <w:sz w:val="16"/>
          <w:vertAlign w:val="baseline"/>
        </w:rPr>
        <w:t>“VIVABANK</w:t>
      </w:r>
      <w:r>
        <w:rPr>
          <w:spacing w:val="-8"/>
          <w:sz w:val="16"/>
          <w:vertAlign w:val="baseline"/>
        </w:rPr>
        <w:t> </w:t>
      </w:r>
      <w:r>
        <w:rPr>
          <w:sz w:val="16"/>
          <w:vertAlign w:val="baseline"/>
        </w:rPr>
        <w:t>ΜΟΝΟΠΡΟ-ΣΩΠΗ ΑΝΩΝΥΜΗ ΤΡΑΠΕΖΙΚΗ ΕΤΑΙΡΕΙΑ”</w:t>
      </w:r>
    </w:p>
    <w:p>
      <w:pPr>
        <w:spacing w:after="0"/>
        <w:jc w:val="both"/>
        <w:rPr>
          <w:sz w:val="16"/>
        </w:rPr>
        <w:sectPr>
          <w:type w:val="continuous"/>
          <w:pgSz w:w="11910" w:h="16850"/>
          <w:pgMar w:header="0" w:footer="1108" w:top="1320" w:bottom="280" w:left="1417" w:right="850"/>
        </w:sectPr>
      </w:pPr>
    </w:p>
    <w:p>
      <w:pPr>
        <w:pStyle w:val="BodyText"/>
        <w:spacing w:line="285" w:lineRule="auto" w:before="66"/>
        <w:ind w:left="172"/>
        <w:jc w:val="both"/>
      </w:pPr>
      <w:r>
        <w:rPr/>
        <w:t>Τον</w:t>
      </w:r>
      <w:r>
        <w:rPr>
          <w:spacing w:val="-13"/>
        </w:rPr>
        <w:t> </w:t>
      </w:r>
      <w:r>
        <w:rPr/>
        <w:t>Δεκέμβριο</w:t>
      </w:r>
      <w:r>
        <w:rPr>
          <w:spacing w:val="-14"/>
        </w:rPr>
        <w:t> </w:t>
      </w:r>
      <w:r>
        <w:rPr/>
        <w:t>του</w:t>
      </w:r>
      <w:r>
        <w:rPr>
          <w:spacing w:val="-13"/>
        </w:rPr>
        <w:t> </w:t>
      </w:r>
      <w:r>
        <w:rPr/>
        <w:t>2025</w:t>
      </w:r>
      <w:hyperlink w:history="true" w:anchor="_bookmark136">
        <w:r>
          <w:rPr>
            <w:position w:val="6"/>
            <w:sz w:val="10"/>
          </w:rPr>
          <w:t>95</w:t>
        </w:r>
      </w:hyperlink>
      <w:r>
        <w:rPr>
          <w:spacing w:val="16"/>
          <w:position w:val="6"/>
          <w:sz w:val="10"/>
        </w:rPr>
        <w:t> </w:t>
      </w:r>
      <w:r>
        <w:rPr/>
        <w:t>το</w:t>
      </w:r>
      <w:r>
        <w:rPr>
          <w:spacing w:val="-14"/>
        </w:rPr>
        <w:t> </w:t>
      </w:r>
      <w:r>
        <w:rPr/>
        <w:t>σύνολο</w:t>
      </w:r>
      <w:r>
        <w:rPr>
          <w:spacing w:val="-14"/>
        </w:rPr>
        <w:t> </w:t>
      </w:r>
      <w:r>
        <w:rPr/>
        <w:t>των</w:t>
      </w:r>
      <w:r>
        <w:rPr>
          <w:spacing w:val="-13"/>
        </w:rPr>
        <w:t> </w:t>
      </w:r>
      <w:r>
        <w:rPr/>
        <w:t>ιδίων κεφαλαίων των ΙΗΧ ανήλθε σε 20,7 εκατ. ευρώ,</w:t>
      </w:r>
      <w:r>
        <w:rPr>
          <w:spacing w:val="-14"/>
        </w:rPr>
        <w:t> </w:t>
      </w:r>
      <w:r>
        <w:rPr/>
        <w:t>παρουσιάζοντας</w:t>
      </w:r>
      <w:r>
        <w:rPr>
          <w:spacing w:val="-14"/>
        </w:rPr>
        <w:t> </w:t>
      </w:r>
      <w:r>
        <w:rPr/>
        <w:t>μείωση</w:t>
      </w:r>
      <w:r>
        <w:rPr>
          <w:spacing w:val="-14"/>
        </w:rPr>
        <w:t> </w:t>
      </w:r>
      <w:r>
        <w:rPr/>
        <w:t>κατά</w:t>
      </w:r>
      <w:r>
        <w:rPr>
          <w:spacing w:val="-13"/>
        </w:rPr>
        <w:t> </w:t>
      </w:r>
      <w:r>
        <w:rPr/>
        <w:t>47,3</w:t>
      </w:r>
      <w:r>
        <w:rPr>
          <w:spacing w:val="-14"/>
        </w:rPr>
        <w:t> </w:t>
      </w:r>
      <w:r>
        <w:rPr/>
        <w:t>εκατ. ευρώ σε σχέση με τον Δεκέμβριο του 2024 (Διάγραμμα</w:t>
      </w:r>
      <w:r>
        <w:rPr>
          <w:spacing w:val="-14"/>
        </w:rPr>
        <w:t> </w:t>
      </w:r>
      <w:r>
        <w:rPr/>
        <w:t>V.24),</w:t>
      </w:r>
      <w:r>
        <w:rPr>
          <w:spacing w:val="-14"/>
        </w:rPr>
        <w:t> </w:t>
      </w:r>
      <w:r>
        <w:rPr/>
        <w:t>λόγω</w:t>
      </w:r>
      <w:r>
        <w:rPr>
          <w:spacing w:val="-14"/>
        </w:rPr>
        <w:t> </w:t>
      </w:r>
      <w:r>
        <w:rPr/>
        <w:t>της</w:t>
      </w:r>
      <w:r>
        <w:rPr>
          <w:spacing w:val="-13"/>
        </w:rPr>
        <w:t> </w:t>
      </w:r>
      <w:r>
        <w:rPr/>
        <w:t>προαναφερθείσας εταιρικής</w:t>
      </w:r>
      <w:r>
        <w:rPr>
          <w:spacing w:val="-12"/>
        </w:rPr>
        <w:t> </w:t>
      </w:r>
      <w:r>
        <w:rPr/>
        <w:t>μεταβολής.</w:t>
      </w:r>
      <w:r>
        <w:rPr>
          <w:spacing w:val="-10"/>
        </w:rPr>
        <w:t> </w:t>
      </w:r>
      <w:r>
        <w:rPr/>
        <w:t>Το</w:t>
      </w:r>
      <w:r>
        <w:rPr>
          <w:spacing w:val="-11"/>
        </w:rPr>
        <w:t> </w:t>
      </w:r>
      <w:r>
        <w:rPr/>
        <w:t>σύνολο</w:t>
      </w:r>
      <w:r>
        <w:rPr>
          <w:spacing w:val="-10"/>
        </w:rPr>
        <w:t> </w:t>
      </w:r>
      <w:r>
        <w:rPr/>
        <w:t>των</w:t>
      </w:r>
      <w:r>
        <w:rPr>
          <w:spacing w:val="-12"/>
        </w:rPr>
        <w:t> </w:t>
      </w:r>
      <w:r>
        <w:rPr/>
        <w:t>ιδίων</w:t>
      </w:r>
      <w:r>
        <w:rPr>
          <w:spacing w:val="-9"/>
        </w:rPr>
        <w:t> </w:t>
      </w:r>
      <w:r>
        <w:rPr/>
        <w:t>κε-φαλαίων</w:t>
      </w:r>
      <w:r>
        <w:rPr>
          <w:spacing w:val="-11"/>
        </w:rPr>
        <w:t> </w:t>
      </w:r>
      <w:r>
        <w:rPr/>
        <w:t>των</w:t>
      </w:r>
      <w:r>
        <w:rPr>
          <w:spacing w:val="-14"/>
        </w:rPr>
        <w:t> </w:t>
      </w:r>
      <w:r>
        <w:rPr/>
        <w:t>λοιπών</w:t>
      </w:r>
      <w:r>
        <w:rPr>
          <w:spacing w:val="-11"/>
        </w:rPr>
        <w:t> </w:t>
      </w:r>
      <w:r>
        <w:rPr/>
        <w:t>ΙΗΧ</w:t>
      </w:r>
      <w:r>
        <w:rPr>
          <w:spacing w:val="-12"/>
        </w:rPr>
        <w:t> </w:t>
      </w:r>
      <w:r>
        <w:rPr/>
        <w:t>(μη</w:t>
      </w:r>
      <w:r>
        <w:rPr>
          <w:spacing w:val="-12"/>
        </w:rPr>
        <w:t> </w:t>
      </w:r>
      <w:r>
        <w:rPr/>
        <w:t>περιλαμβανομέ-νου του απορροφηθέντος) κατέγραψε αύξηση κατά 1,1</w:t>
      </w:r>
      <w:r>
        <w:rPr>
          <w:spacing w:val="-2"/>
        </w:rPr>
        <w:t> </w:t>
      </w:r>
      <w:r>
        <w:rPr/>
        <w:t>εκατ.</w:t>
      </w:r>
      <w:r>
        <w:rPr>
          <w:spacing w:val="-3"/>
        </w:rPr>
        <w:t> </w:t>
      </w:r>
      <w:r>
        <w:rPr/>
        <w:t>ευρώ</w:t>
      </w:r>
      <w:r>
        <w:rPr>
          <w:spacing w:val="-1"/>
        </w:rPr>
        <w:t> </w:t>
      </w:r>
      <w:r>
        <w:rPr/>
        <w:t>(σε 20,7 εκατ.</w:t>
      </w:r>
      <w:r>
        <w:rPr>
          <w:spacing w:val="-3"/>
        </w:rPr>
        <w:t> </w:t>
      </w:r>
      <w:r>
        <w:rPr/>
        <w:t>ευρώ,</w:t>
      </w:r>
      <w:r>
        <w:rPr>
          <w:spacing w:val="-2"/>
        </w:rPr>
        <w:t> </w:t>
      </w:r>
      <w:r>
        <w:rPr/>
        <w:t>ένα-ντι 19,6 εκατ. ευρώ τον Δεκέμβριο του 2024).</w:t>
      </w:r>
    </w:p>
    <w:p>
      <w:pPr>
        <w:pStyle w:val="BodyText"/>
        <w:spacing w:line="285" w:lineRule="auto" w:before="49"/>
        <w:ind w:left="172"/>
        <w:jc w:val="both"/>
      </w:pPr>
      <w:r>
        <w:rPr/>
        <w:t>Το</w:t>
      </w:r>
      <w:r>
        <w:rPr>
          <w:spacing w:val="-7"/>
        </w:rPr>
        <w:t> </w:t>
      </w:r>
      <w:r>
        <w:rPr/>
        <w:t>έτος</w:t>
      </w:r>
      <w:r>
        <w:rPr>
          <w:spacing w:val="-8"/>
        </w:rPr>
        <w:t> </w:t>
      </w:r>
      <w:r>
        <w:rPr/>
        <w:t>2025</w:t>
      </w:r>
      <w:r>
        <w:rPr>
          <w:spacing w:val="-9"/>
        </w:rPr>
        <w:t> </w:t>
      </w:r>
      <w:r>
        <w:rPr/>
        <w:t>τα</w:t>
      </w:r>
      <w:r>
        <w:rPr>
          <w:spacing w:val="-10"/>
        </w:rPr>
        <w:t> </w:t>
      </w:r>
      <w:r>
        <w:rPr/>
        <w:t>τέσσερα</w:t>
      </w:r>
      <w:r>
        <w:rPr>
          <w:spacing w:val="-9"/>
        </w:rPr>
        <w:t> </w:t>
      </w:r>
      <w:r>
        <w:rPr/>
        <w:t>ΙΗΧ</w:t>
      </w:r>
      <w:r>
        <w:rPr>
          <w:spacing w:val="-8"/>
        </w:rPr>
        <w:t> </w:t>
      </w:r>
      <w:r>
        <w:rPr/>
        <w:t>κατέγραψαν</w:t>
      </w:r>
      <w:r>
        <w:rPr>
          <w:spacing w:val="-9"/>
        </w:rPr>
        <w:t> </w:t>
      </w:r>
      <w:r>
        <w:rPr/>
        <w:t>ζη-μίες</w:t>
      </w:r>
      <w:r>
        <w:rPr>
          <w:spacing w:val="-13"/>
        </w:rPr>
        <w:t> </w:t>
      </w:r>
      <w:r>
        <w:rPr/>
        <w:t>ύψους</w:t>
      </w:r>
      <w:r>
        <w:rPr>
          <w:spacing w:val="-12"/>
        </w:rPr>
        <w:t> </w:t>
      </w:r>
      <w:r>
        <w:rPr/>
        <w:t>4,2</w:t>
      </w:r>
      <w:r>
        <w:rPr>
          <w:spacing w:val="-14"/>
        </w:rPr>
        <w:t> </w:t>
      </w:r>
      <w:r>
        <w:rPr/>
        <w:t>εκατ.</w:t>
      </w:r>
      <w:r>
        <w:rPr>
          <w:spacing w:val="-14"/>
        </w:rPr>
        <w:t> </w:t>
      </w:r>
      <w:r>
        <w:rPr/>
        <w:t>ευρώ,</w:t>
      </w:r>
      <w:r>
        <w:rPr>
          <w:spacing w:val="-14"/>
        </w:rPr>
        <w:t> </w:t>
      </w:r>
      <w:r>
        <w:rPr/>
        <w:t>έναντι</w:t>
      </w:r>
      <w:r>
        <w:rPr>
          <w:spacing w:val="-13"/>
        </w:rPr>
        <w:t> </w:t>
      </w:r>
      <w:r>
        <w:rPr/>
        <w:t>ζημιών</w:t>
      </w:r>
      <w:r>
        <w:rPr>
          <w:spacing w:val="-11"/>
        </w:rPr>
        <w:t> </w:t>
      </w:r>
      <w:r>
        <w:rPr/>
        <w:t>περί-που 5,3 εκατ. ευρώ το 2024 (27,2 εκατ. ευρώ, συμπεριλαμβανομένου</w:t>
      </w:r>
      <w:r>
        <w:rPr>
          <w:spacing w:val="-13"/>
        </w:rPr>
        <w:t> </w:t>
      </w:r>
      <w:r>
        <w:rPr/>
        <w:t>του</w:t>
      </w:r>
      <w:r>
        <w:rPr>
          <w:spacing w:val="-13"/>
        </w:rPr>
        <w:t> </w:t>
      </w:r>
      <w:r>
        <w:rPr/>
        <w:t>απορροφηθέντος</w:t>
      </w:r>
      <w:r>
        <w:rPr>
          <w:spacing w:val="-14"/>
        </w:rPr>
        <w:t> </w:t>
      </w:r>
      <w:r>
        <w:rPr/>
        <w:t>ι-δρύματος,</w:t>
      </w:r>
      <w:r>
        <w:rPr>
          <w:spacing w:val="15"/>
        </w:rPr>
        <w:t> </w:t>
      </w:r>
      <w:r>
        <w:rPr/>
        <w:t>βλ.</w:t>
      </w:r>
      <w:r>
        <w:rPr>
          <w:spacing w:val="15"/>
        </w:rPr>
        <w:t> </w:t>
      </w:r>
      <w:r>
        <w:rPr/>
        <w:t>Διάγραμμα</w:t>
      </w:r>
      <w:r>
        <w:rPr>
          <w:spacing w:val="12"/>
        </w:rPr>
        <w:t> </w:t>
      </w:r>
      <w:r>
        <w:rPr/>
        <w:t>V.24).</w:t>
      </w:r>
      <w:r>
        <w:rPr>
          <w:spacing w:val="16"/>
        </w:rPr>
        <w:t> </w:t>
      </w:r>
      <w:r>
        <w:rPr>
          <w:spacing w:val="-2"/>
        </w:rPr>
        <w:t>Επισημαίνε-</w:t>
      </w:r>
    </w:p>
    <w:p>
      <w:pPr>
        <w:pStyle w:val="BodyText"/>
        <w:spacing w:before="8"/>
        <w:rPr>
          <w:sz w:val="2"/>
        </w:rPr>
      </w:pPr>
      <w:r>
        <w:rPr/>
        <w:br w:type="column"/>
      </w:r>
      <w:r>
        <w:rPr>
          <w:sz w:val="2"/>
        </w:rPr>
      </w:r>
    </w:p>
    <w:p>
      <w:pPr>
        <w:spacing w:line="240" w:lineRule="auto"/>
        <w:ind w:left="114" w:right="0" w:firstLine="0"/>
        <w:rPr>
          <w:sz w:val="20"/>
        </w:rPr>
      </w:pPr>
      <w:r>
        <w:rPr>
          <w:sz w:val="20"/>
        </w:rPr>
        <mc:AlternateContent>
          <mc:Choice Requires="wps">
            <w:drawing>
              <wp:inline distT="0" distB="0" distL="0" distR="0">
                <wp:extent cx="2665095" cy="338455"/>
                <wp:effectExtent l="0" t="0" r="0" b="0"/>
                <wp:docPr id="738" name="Textbox 738"/>
                <wp:cNvGraphicFramePr>
                  <a:graphicFrameLocks/>
                </wp:cNvGraphicFramePr>
                <a:graphic>
                  <a:graphicData uri="http://schemas.microsoft.com/office/word/2010/wordprocessingShape">
                    <wps:wsp>
                      <wps:cNvPr id="738" name="Textbox 738"/>
                      <wps:cNvSpPr txBox="1"/>
                      <wps:spPr>
                        <a:xfrm>
                          <a:off x="0" y="0"/>
                          <a:ext cx="2665095" cy="338455"/>
                        </a:xfrm>
                        <a:prstGeom prst="rect">
                          <a:avLst/>
                        </a:prstGeom>
                        <a:solidFill>
                          <a:srgbClr val="1F487C"/>
                        </a:solidFill>
                      </wps:spPr>
                      <wps:txbx>
                        <w:txbxContent>
                          <w:p>
                            <w:pPr>
                              <w:spacing w:before="60"/>
                              <w:ind w:left="112" w:right="117"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V.24</w:t>
                            </w:r>
                            <w:r>
                              <w:rPr>
                                <w:b/>
                                <w:smallCaps w:val="0"/>
                                <w:color w:val="FFFFFF"/>
                                <w:spacing w:val="-5"/>
                                <w:sz w:val="18"/>
                              </w:rPr>
                              <w:t> </w:t>
                            </w:r>
                            <w:r>
                              <w:rPr>
                                <w:b/>
                                <w:smallCaps w:val="0"/>
                                <w:color w:val="FFFFFF"/>
                                <w:sz w:val="18"/>
                              </w:rPr>
                              <w:t>Αποτελέσματα</w:t>
                            </w:r>
                            <w:r>
                              <w:rPr>
                                <w:b/>
                                <w:smallCaps w:val="0"/>
                                <w:color w:val="FFFFFF"/>
                                <w:spacing w:val="-8"/>
                                <w:sz w:val="18"/>
                              </w:rPr>
                              <w:t> </w:t>
                            </w:r>
                            <w:r>
                              <w:rPr>
                                <w:b/>
                                <w:smallCaps w:val="0"/>
                                <w:color w:val="FFFFFF"/>
                                <w:sz w:val="18"/>
                              </w:rPr>
                              <w:t>χρήσης</w:t>
                            </w:r>
                            <w:r>
                              <w:rPr>
                                <w:b/>
                                <w:smallCaps w:val="0"/>
                                <w:color w:val="FFFFFF"/>
                                <w:spacing w:val="-5"/>
                                <w:sz w:val="18"/>
                              </w:rPr>
                              <w:t> </w:t>
                            </w:r>
                            <w:r>
                              <w:rPr>
                                <w:b/>
                                <w:smallCaps w:val="0"/>
                                <w:color w:val="FFFFFF"/>
                                <w:sz w:val="18"/>
                              </w:rPr>
                              <w:t>κα</w:t>
                            </w:r>
                            <w:r>
                              <w:rPr>
                                <w:b/>
                                <w:smallCaps/>
                                <w:color w:val="FFFFFF"/>
                                <w:sz w:val="18"/>
                              </w:rPr>
                              <w:t>ι</w:t>
                            </w:r>
                            <w:r>
                              <w:rPr>
                                <w:b/>
                                <w:smallCaps w:val="0"/>
                                <w:color w:val="FFFFFF"/>
                                <w:spacing w:val="-6"/>
                                <w:sz w:val="18"/>
                              </w:rPr>
                              <w:t> </w:t>
                            </w:r>
                            <w:r>
                              <w:rPr>
                                <w:b/>
                                <w:smallCaps w:val="0"/>
                                <w:color w:val="FFFFFF"/>
                                <w:sz w:val="18"/>
                              </w:rPr>
                              <w:t>ίδ</w:t>
                            </w:r>
                            <w:r>
                              <w:rPr>
                                <w:b/>
                                <w:smallCaps/>
                                <w:color w:val="FFFFFF"/>
                                <w:sz w:val="18"/>
                              </w:rPr>
                              <w:t>ι</w:t>
                            </w:r>
                            <w:r>
                              <w:rPr>
                                <w:b/>
                                <w:smallCaps w:val="0"/>
                                <w:color w:val="FFFFFF"/>
                                <w:sz w:val="18"/>
                              </w:rPr>
                              <w:t>α</w:t>
                            </w:r>
                            <w:r>
                              <w:rPr>
                                <w:b/>
                                <w:smallCaps w:val="0"/>
                                <w:color w:val="FFFFFF"/>
                                <w:spacing w:val="-6"/>
                                <w:sz w:val="18"/>
                              </w:rPr>
                              <w:t> </w:t>
                            </w:r>
                            <w:r>
                              <w:rPr>
                                <w:b/>
                                <w:smallCaps w:val="0"/>
                                <w:color w:val="FFFFFF"/>
                                <w:sz w:val="18"/>
                              </w:rPr>
                              <w:t>κε-φάλα</w:t>
                            </w:r>
                            <w:r>
                              <w:rPr>
                                <w:b/>
                                <w:smallCaps/>
                                <w:color w:val="FFFFFF"/>
                                <w:sz w:val="18"/>
                              </w:rPr>
                              <w:t>ι</w:t>
                            </w:r>
                            <w:r>
                              <w:rPr>
                                <w:b/>
                                <w:smallCaps w:val="0"/>
                                <w:color w:val="FFFFFF"/>
                                <w:sz w:val="18"/>
                              </w:rPr>
                              <w:t>α των Ιδρυμάτων Ηλεκτρον</w:t>
                            </w:r>
                            <w:r>
                              <w:rPr>
                                <w:b/>
                                <w:smallCaps/>
                                <w:color w:val="FFFFFF"/>
                                <w:sz w:val="18"/>
                              </w:rPr>
                              <w:t>ι</w:t>
                            </w:r>
                            <w:r>
                              <w:rPr>
                                <w:b/>
                                <w:smallCaps w:val="0"/>
                                <w:color w:val="FFFFFF"/>
                                <w:sz w:val="18"/>
                              </w:rPr>
                              <w:t>κού Χρήματος</w:t>
                            </w:r>
                          </w:p>
                        </w:txbxContent>
                      </wps:txbx>
                      <wps:bodyPr wrap="square" lIns="0" tIns="0" rIns="0" bIns="0" rtlCol="0">
                        <a:noAutofit/>
                      </wps:bodyPr>
                    </wps:wsp>
                  </a:graphicData>
                </a:graphic>
              </wp:inline>
            </w:drawing>
          </mc:Choice>
          <mc:Fallback>
            <w:pict>
              <v:shape style="width:209.85pt;height:26.65pt;mso-position-horizontal-relative:char;mso-position-vertical-relative:line" type="#_x0000_t202" id="docshape691" filled="true" fillcolor="#1f487c" stroked="false">
                <w10:anchorlock/>
                <v:textbox inset="0,0,0,0">
                  <w:txbxContent>
                    <w:p>
                      <w:pPr>
                        <w:spacing w:before="60"/>
                        <w:ind w:left="112" w:right="117"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V.24</w:t>
                      </w:r>
                      <w:r>
                        <w:rPr>
                          <w:b/>
                          <w:smallCaps w:val="0"/>
                          <w:color w:val="FFFFFF"/>
                          <w:spacing w:val="-5"/>
                          <w:sz w:val="18"/>
                        </w:rPr>
                        <w:t> </w:t>
                      </w:r>
                      <w:r>
                        <w:rPr>
                          <w:b/>
                          <w:smallCaps w:val="0"/>
                          <w:color w:val="FFFFFF"/>
                          <w:sz w:val="18"/>
                        </w:rPr>
                        <w:t>Αποτελέσματα</w:t>
                      </w:r>
                      <w:r>
                        <w:rPr>
                          <w:b/>
                          <w:smallCaps w:val="0"/>
                          <w:color w:val="FFFFFF"/>
                          <w:spacing w:val="-8"/>
                          <w:sz w:val="18"/>
                        </w:rPr>
                        <w:t> </w:t>
                      </w:r>
                      <w:r>
                        <w:rPr>
                          <w:b/>
                          <w:smallCaps w:val="0"/>
                          <w:color w:val="FFFFFF"/>
                          <w:sz w:val="18"/>
                        </w:rPr>
                        <w:t>χρήσης</w:t>
                      </w:r>
                      <w:r>
                        <w:rPr>
                          <w:b/>
                          <w:smallCaps w:val="0"/>
                          <w:color w:val="FFFFFF"/>
                          <w:spacing w:val="-5"/>
                          <w:sz w:val="18"/>
                        </w:rPr>
                        <w:t> </w:t>
                      </w:r>
                      <w:r>
                        <w:rPr>
                          <w:b/>
                          <w:smallCaps w:val="0"/>
                          <w:color w:val="FFFFFF"/>
                          <w:sz w:val="18"/>
                        </w:rPr>
                        <w:t>κα</w:t>
                      </w:r>
                      <w:r>
                        <w:rPr>
                          <w:b/>
                          <w:smallCaps/>
                          <w:color w:val="FFFFFF"/>
                          <w:sz w:val="18"/>
                        </w:rPr>
                        <w:t>ι</w:t>
                      </w:r>
                      <w:r>
                        <w:rPr>
                          <w:b/>
                          <w:smallCaps w:val="0"/>
                          <w:color w:val="FFFFFF"/>
                          <w:spacing w:val="-6"/>
                          <w:sz w:val="18"/>
                        </w:rPr>
                        <w:t> </w:t>
                      </w:r>
                      <w:r>
                        <w:rPr>
                          <w:b/>
                          <w:smallCaps w:val="0"/>
                          <w:color w:val="FFFFFF"/>
                          <w:sz w:val="18"/>
                        </w:rPr>
                        <w:t>ίδ</w:t>
                      </w:r>
                      <w:r>
                        <w:rPr>
                          <w:b/>
                          <w:smallCaps/>
                          <w:color w:val="FFFFFF"/>
                          <w:sz w:val="18"/>
                        </w:rPr>
                        <w:t>ι</w:t>
                      </w:r>
                      <w:r>
                        <w:rPr>
                          <w:b/>
                          <w:smallCaps w:val="0"/>
                          <w:color w:val="FFFFFF"/>
                          <w:sz w:val="18"/>
                        </w:rPr>
                        <w:t>α</w:t>
                      </w:r>
                      <w:r>
                        <w:rPr>
                          <w:b/>
                          <w:smallCaps w:val="0"/>
                          <w:color w:val="FFFFFF"/>
                          <w:spacing w:val="-6"/>
                          <w:sz w:val="18"/>
                        </w:rPr>
                        <w:t> </w:t>
                      </w:r>
                      <w:r>
                        <w:rPr>
                          <w:b/>
                          <w:smallCaps w:val="0"/>
                          <w:color w:val="FFFFFF"/>
                          <w:sz w:val="18"/>
                        </w:rPr>
                        <w:t>κε-φάλα</w:t>
                      </w:r>
                      <w:r>
                        <w:rPr>
                          <w:b/>
                          <w:smallCaps/>
                          <w:color w:val="FFFFFF"/>
                          <w:sz w:val="18"/>
                        </w:rPr>
                        <w:t>ι</w:t>
                      </w:r>
                      <w:r>
                        <w:rPr>
                          <w:b/>
                          <w:smallCaps w:val="0"/>
                          <w:color w:val="FFFFFF"/>
                          <w:sz w:val="18"/>
                        </w:rPr>
                        <w:t>α των Ιδρυμάτων Ηλεκτρον</w:t>
                      </w:r>
                      <w:r>
                        <w:rPr>
                          <w:b/>
                          <w:smallCaps/>
                          <w:color w:val="FFFFFF"/>
                          <w:sz w:val="18"/>
                        </w:rPr>
                        <w:t>ι</w:t>
                      </w:r>
                      <w:r>
                        <w:rPr>
                          <w:b/>
                          <w:smallCaps w:val="0"/>
                          <w:color w:val="FFFFFF"/>
                          <w:sz w:val="18"/>
                        </w:rPr>
                        <w:t>κού Χρήματος</w:t>
                      </w:r>
                    </w:p>
                  </w:txbxContent>
                </v:textbox>
                <v:fill type="solid"/>
              </v:shape>
            </w:pict>
          </mc:Fallback>
        </mc:AlternateContent>
      </w:r>
      <w:r>
        <w:rPr>
          <w:sz w:val="20"/>
        </w:rPr>
      </w:r>
    </w:p>
    <w:p>
      <w:pPr>
        <w:spacing w:before="97"/>
        <w:ind w:left="172" w:right="0" w:firstLine="0"/>
        <w:jc w:val="left"/>
        <w:rPr>
          <w:sz w:val="14"/>
        </w:rPr>
      </w:pPr>
      <w:r>
        <w:rPr>
          <w:color w:val="1F487C"/>
          <w:sz w:val="14"/>
        </w:rPr>
        <w:t>(εκατ.</w:t>
      </w:r>
      <w:r>
        <w:rPr>
          <w:color w:val="1F487C"/>
          <w:spacing w:val="-5"/>
          <w:sz w:val="14"/>
        </w:rPr>
        <w:t> </w:t>
      </w:r>
      <w:r>
        <w:rPr>
          <w:color w:val="1F487C"/>
          <w:spacing w:val="-2"/>
          <w:sz w:val="14"/>
        </w:rPr>
        <w:t>ευρώ)</w:t>
      </w:r>
    </w:p>
    <w:p>
      <w:pPr>
        <w:pStyle w:val="BodyText"/>
        <w:spacing w:before="5"/>
        <w:rPr>
          <w:sz w:val="5"/>
        </w:rPr>
      </w:pPr>
    </w:p>
    <w:p>
      <w:pPr>
        <w:spacing w:line="240" w:lineRule="auto"/>
        <w:ind w:left="113" w:right="0" w:firstLine="0"/>
        <w:rPr>
          <w:sz w:val="20"/>
        </w:rPr>
      </w:pPr>
      <w:r>
        <w:rPr>
          <w:sz w:val="20"/>
        </w:rPr>
        <mc:AlternateContent>
          <mc:Choice Requires="wps">
            <w:drawing>
              <wp:inline distT="0" distB="0" distL="0" distR="0">
                <wp:extent cx="2665730" cy="2331085"/>
                <wp:effectExtent l="0" t="0" r="0" b="2539"/>
                <wp:docPr id="739" name="Group 739"/>
                <wp:cNvGraphicFramePr>
                  <a:graphicFrameLocks/>
                </wp:cNvGraphicFramePr>
                <a:graphic>
                  <a:graphicData uri="http://schemas.microsoft.com/office/word/2010/wordprocessingGroup">
                    <wpg:wgp>
                      <wpg:cNvPr id="739" name="Group 739"/>
                      <wpg:cNvGrpSpPr/>
                      <wpg:grpSpPr>
                        <a:xfrm>
                          <a:off x="0" y="0"/>
                          <a:ext cx="2665730" cy="2331085"/>
                          <a:chExt cx="2665730" cy="2331085"/>
                        </a:xfrm>
                      </wpg:grpSpPr>
                      <wps:wsp>
                        <wps:cNvPr id="740" name="Graphic 740"/>
                        <wps:cNvSpPr/>
                        <wps:spPr>
                          <a:xfrm>
                            <a:off x="635" y="380"/>
                            <a:ext cx="2665095" cy="2330450"/>
                          </a:xfrm>
                          <a:custGeom>
                            <a:avLst/>
                            <a:gdLst/>
                            <a:ahLst/>
                            <a:cxnLst/>
                            <a:rect l="l" t="t" r="r" b="b"/>
                            <a:pathLst>
                              <a:path w="2665095" h="2330450">
                                <a:moveTo>
                                  <a:pt x="2664587" y="0"/>
                                </a:moveTo>
                                <a:lnTo>
                                  <a:pt x="0" y="0"/>
                                </a:lnTo>
                                <a:lnTo>
                                  <a:pt x="0" y="2114042"/>
                                </a:lnTo>
                                <a:lnTo>
                                  <a:pt x="0" y="2330450"/>
                                </a:lnTo>
                                <a:lnTo>
                                  <a:pt x="2664587" y="2330450"/>
                                </a:lnTo>
                                <a:lnTo>
                                  <a:pt x="2664587" y="2114042"/>
                                </a:lnTo>
                                <a:lnTo>
                                  <a:pt x="2664587" y="0"/>
                                </a:lnTo>
                                <a:close/>
                              </a:path>
                            </a:pathLst>
                          </a:custGeom>
                          <a:solidFill>
                            <a:srgbClr val="D9D9D9"/>
                          </a:solidFill>
                        </wps:spPr>
                        <wps:bodyPr wrap="square" lIns="0" tIns="0" rIns="0" bIns="0" rtlCol="0">
                          <a:prstTxWarp prst="textNoShape">
                            <a:avLst/>
                          </a:prstTxWarp>
                          <a:noAutofit/>
                        </wps:bodyPr>
                      </wps:wsp>
                      <pic:pic>
                        <pic:nvPicPr>
                          <pic:cNvPr id="741" name="Image 741"/>
                          <pic:cNvPicPr/>
                        </pic:nvPicPr>
                        <pic:blipFill>
                          <a:blip r:embed="rId128" cstate="print"/>
                          <a:stretch>
                            <a:fillRect/>
                          </a:stretch>
                        </pic:blipFill>
                        <pic:spPr>
                          <a:xfrm>
                            <a:off x="0" y="0"/>
                            <a:ext cx="2663444" cy="2107565"/>
                          </a:xfrm>
                          <a:prstGeom prst="rect">
                            <a:avLst/>
                          </a:prstGeom>
                        </pic:spPr>
                      </pic:pic>
                      <wps:wsp>
                        <wps:cNvPr id="742" name="Textbox 742"/>
                        <wps:cNvSpPr txBox="1"/>
                        <wps:spPr>
                          <a:xfrm>
                            <a:off x="635" y="380"/>
                            <a:ext cx="2665095" cy="233045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67"/>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09.9pt;height:183.55pt;mso-position-horizontal-relative:char;mso-position-vertical-relative:line" id="docshapegroup692" coordorigin="0,0" coordsize="4198,3671">
                <v:shape style="position:absolute;left:1;top:0;width:4197;height:3670" id="docshape693" coordorigin="1,1" coordsize="4197,3670" path="m4197,1l1,1,1,3330,1,3671,4197,3671,4197,3330,4197,1xe" filled="true" fillcolor="#d9d9d9" stroked="false">
                  <v:path arrowok="t"/>
                  <v:fill type="solid"/>
                </v:shape>
                <v:shape style="position:absolute;left:0;top:0;width:4195;height:3319" type="#_x0000_t75" id="docshape694" stroked="false">
                  <v:imagedata r:id="rId128" o:title=""/>
                </v:shape>
                <v:shape style="position:absolute;left:1;top:0;width:4197;height:3670" type="#_x0000_t202" id="docshape695"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67"/>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pgSz w:w="11910" w:h="16850"/>
          <w:pgMar w:header="0" w:footer="1108" w:top="1840" w:bottom="1300" w:left="1417" w:right="850"/>
          <w:cols w:num="2" w:equalWidth="0">
            <w:col w:w="4292" w:space="60"/>
            <w:col w:w="5291"/>
          </w:cols>
        </w:sectPr>
      </w:pPr>
    </w:p>
    <w:p>
      <w:pPr>
        <w:pStyle w:val="BodyText"/>
        <w:spacing w:line="285" w:lineRule="auto"/>
        <w:ind w:left="172" w:right="959"/>
        <w:jc w:val="both"/>
      </w:pPr>
      <w:r>
        <w:rPr/>
        <w:t>ται ότι οι επιδόσεις του κλάδου εμφανίζουν διαφοροποιήσεις, καθώς δύο από τα ιδρύματα πα-ρουσιάζουν κερδοφορία αξίας 4,8 εκατ.</w:t>
      </w:r>
      <w:r>
        <w:rPr>
          <w:spacing w:val="-1"/>
        </w:rPr>
        <w:t> </w:t>
      </w:r>
      <w:r>
        <w:rPr/>
        <w:t>ευρώ, ενώ τα</w:t>
      </w:r>
      <w:r>
        <w:rPr>
          <w:spacing w:val="-2"/>
        </w:rPr>
        <w:t> </w:t>
      </w:r>
      <w:r>
        <w:rPr/>
        <w:t>υπόλοιπα</w:t>
      </w:r>
      <w:r>
        <w:rPr>
          <w:spacing w:val="-1"/>
        </w:rPr>
        <w:t> </w:t>
      </w:r>
      <w:r>
        <w:rPr/>
        <w:t>δύο καταγράφουν ζημίες</w:t>
      </w:r>
      <w:r>
        <w:rPr>
          <w:spacing w:val="-1"/>
        </w:rPr>
        <w:t> </w:t>
      </w:r>
      <w:r>
        <w:rPr/>
        <w:t>ύψους 8,9 εκατ. ευρώ.</w:t>
      </w:r>
    </w:p>
    <w:p>
      <w:pPr>
        <w:pStyle w:val="BodyText"/>
        <w:spacing w:line="285" w:lineRule="auto" w:before="53"/>
        <w:ind w:left="172" w:right="955"/>
        <w:jc w:val="both"/>
      </w:pPr>
      <w:r>
        <w:rPr/>
        <w:t>Περαιτέρω, έχουν γνωστοποιήσει στην Τράπεζα της Ελλάδος την πρόθεσή τους να παρέχουν υπηρεσίες</w:t>
      </w:r>
      <w:r>
        <w:rPr>
          <w:spacing w:val="-14"/>
        </w:rPr>
        <w:t> </w:t>
      </w:r>
      <w:r>
        <w:rPr/>
        <w:t>πληρωμών</w:t>
      </w:r>
      <w:r>
        <w:rPr>
          <w:spacing w:val="-14"/>
        </w:rPr>
        <w:t> </w:t>
      </w:r>
      <w:r>
        <w:rPr/>
        <w:t>στην</w:t>
      </w:r>
      <w:r>
        <w:rPr>
          <w:spacing w:val="-14"/>
        </w:rPr>
        <w:t> </w:t>
      </w:r>
      <w:r>
        <w:rPr/>
        <w:t>Ελλάδα</w:t>
      </w:r>
      <w:r>
        <w:rPr>
          <w:spacing w:val="-13"/>
        </w:rPr>
        <w:t> </w:t>
      </w:r>
      <w:r>
        <w:rPr/>
        <w:t>με</w:t>
      </w:r>
      <w:r>
        <w:rPr>
          <w:spacing w:val="-14"/>
        </w:rPr>
        <w:t> </w:t>
      </w:r>
      <w:r>
        <w:rPr/>
        <w:t>κοινοτικό</w:t>
      </w:r>
      <w:r>
        <w:rPr>
          <w:spacing w:val="-14"/>
        </w:rPr>
        <w:t> </w:t>
      </w:r>
      <w:r>
        <w:rPr/>
        <w:t>διαβατήριο</w:t>
      </w:r>
      <w:r>
        <w:rPr>
          <w:spacing w:val="-14"/>
        </w:rPr>
        <w:t> </w:t>
      </w:r>
      <w:r>
        <w:rPr/>
        <w:t>336</w:t>
      </w:r>
      <w:r>
        <w:rPr>
          <w:spacing w:val="-13"/>
        </w:rPr>
        <w:t> </w:t>
      </w:r>
      <w:r>
        <w:rPr/>
        <w:t>ΙΠ</w:t>
      </w:r>
      <w:r>
        <w:rPr>
          <w:spacing w:val="-14"/>
        </w:rPr>
        <w:t> </w:t>
      </w:r>
      <w:r>
        <w:rPr/>
        <w:t>και</w:t>
      </w:r>
      <w:r>
        <w:rPr>
          <w:spacing w:val="-14"/>
        </w:rPr>
        <w:t> </w:t>
      </w:r>
      <w:r>
        <w:rPr/>
        <w:t>260</w:t>
      </w:r>
      <w:r>
        <w:rPr>
          <w:spacing w:val="-14"/>
        </w:rPr>
        <w:t> </w:t>
      </w:r>
      <w:r>
        <w:rPr/>
        <w:t>IHX</w:t>
      </w:r>
      <w:r>
        <w:rPr>
          <w:spacing w:val="-13"/>
        </w:rPr>
        <w:t> </w:t>
      </w:r>
      <w:r>
        <w:rPr/>
        <w:t>με</w:t>
      </w:r>
      <w:r>
        <w:rPr>
          <w:spacing w:val="-14"/>
        </w:rPr>
        <w:t> </w:t>
      </w:r>
      <w:r>
        <w:rPr/>
        <w:t>έδρα</w:t>
      </w:r>
      <w:r>
        <w:rPr>
          <w:spacing w:val="-12"/>
        </w:rPr>
        <w:t> </w:t>
      </w:r>
      <w:r>
        <w:rPr/>
        <w:t>σε</w:t>
      </w:r>
      <w:r>
        <w:rPr>
          <w:spacing w:val="-12"/>
        </w:rPr>
        <w:t> </w:t>
      </w:r>
      <w:r>
        <w:rPr/>
        <w:t>άλλο κράτος-μέλος του Ευρωπαϊκού Οικονομικού Χώρου, η πλειοψηφία των οποίων ασκεί το δικαί-ωμα</w:t>
      </w:r>
      <w:r>
        <w:rPr>
          <w:spacing w:val="-5"/>
        </w:rPr>
        <w:t> </w:t>
      </w:r>
      <w:r>
        <w:rPr/>
        <w:t>της</w:t>
      </w:r>
      <w:r>
        <w:rPr>
          <w:spacing w:val="-8"/>
        </w:rPr>
        <w:t> </w:t>
      </w:r>
      <w:r>
        <w:rPr/>
        <w:t>ελεύθερης</w:t>
      </w:r>
      <w:r>
        <w:rPr>
          <w:spacing w:val="-8"/>
        </w:rPr>
        <w:t> </w:t>
      </w:r>
      <w:r>
        <w:rPr/>
        <w:t>παροχής</w:t>
      </w:r>
      <w:r>
        <w:rPr>
          <w:spacing w:val="-6"/>
        </w:rPr>
        <w:t> </w:t>
      </w:r>
      <w:r>
        <w:rPr/>
        <w:t>υπηρεσιών</w:t>
      </w:r>
      <w:r>
        <w:rPr>
          <w:spacing w:val="-6"/>
        </w:rPr>
        <w:t> </w:t>
      </w:r>
      <w:r>
        <w:rPr/>
        <w:t>χωρίς</w:t>
      </w:r>
      <w:r>
        <w:rPr>
          <w:spacing w:val="-8"/>
        </w:rPr>
        <w:t> </w:t>
      </w:r>
      <w:r>
        <w:rPr/>
        <w:t>εγκατάσταση.</w:t>
      </w:r>
      <w:r>
        <w:rPr>
          <w:spacing w:val="-4"/>
        </w:rPr>
        <w:t> </w:t>
      </w:r>
      <w:r>
        <w:rPr/>
        <w:t>Ως</w:t>
      </w:r>
      <w:r>
        <w:rPr>
          <w:spacing w:val="-6"/>
        </w:rPr>
        <w:t> </w:t>
      </w:r>
      <w:r>
        <w:rPr/>
        <w:t>προς</w:t>
      </w:r>
      <w:r>
        <w:rPr>
          <w:spacing w:val="-8"/>
        </w:rPr>
        <w:t> </w:t>
      </w:r>
      <w:r>
        <w:rPr/>
        <w:t>τις</w:t>
      </w:r>
      <w:r>
        <w:rPr>
          <w:spacing w:val="-5"/>
        </w:rPr>
        <w:t> </w:t>
      </w:r>
      <w:r>
        <w:rPr/>
        <w:t>παρεχόμενες</w:t>
      </w:r>
      <w:r>
        <w:rPr>
          <w:spacing w:val="-8"/>
        </w:rPr>
        <w:t> </w:t>
      </w:r>
      <w:r>
        <w:rPr/>
        <w:t>υπηρεσίες πληρωμών, η πλειονότητα των παραπάνω ιδρυμάτων δραστηριοποιείται στην έκδοση μέσων πληρωμής</w:t>
      </w:r>
      <w:r>
        <w:rPr>
          <w:spacing w:val="-11"/>
        </w:rPr>
        <w:t> </w:t>
      </w:r>
      <w:r>
        <w:rPr/>
        <w:t>ή/και</w:t>
      </w:r>
      <w:r>
        <w:rPr>
          <w:spacing w:val="-9"/>
        </w:rPr>
        <w:t> </w:t>
      </w:r>
      <w:r>
        <w:rPr/>
        <w:t>στην</w:t>
      </w:r>
      <w:r>
        <w:rPr>
          <w:spacing w:val="-9"/>
        </w:rPr>
        <w:t> </w:t>
      </w:r>
      <w:r>
        <w:rPr/>
        <w:t>αποδοχή</w:t>
      </w:r>
      <w:r>
        <w:rPr>
          <w:spacing w:val="-9"/>
        </w:rPr>
        <w:t> </w:t>
      </w:r>
      <w:r>
        <w:rPr/>
        <w:t>πράξεων</w:t>
      </w:r>
      <w:r>
        <w:rPr>
          <w:spacing w:val="-9"/>
        </w:rPr>
        <w:t> </w:t>
      </w:r>
      <w:r>
        <w:rPr/>
        <w:t>πληρωμής,</w:t>
      </w:r>
      <w:r>
        <w:rPr>
          <w:spacing w:val="-10"/>
        </w:rPr>
        <w:t> </w:t>
      </w:r>
      <w:r>
        <w:rPr/>
        <w:t>στη</w:t>
      </w:r>
      <w:r>
        <w:rPr>
          <w:spacing w:val="-10"/>
        </w:rPr>
        <w:t> </w:t>
      </w:r>
      <w:r>
        <w:rPr/>
        <w:t>μεταφορά</w:t>
      </w:r>
      <w:r>
        <w:rPr>
          <w:spacing w:val="-10"/>
        </w:rPr>
        <w:t> </w:t>
      </w:r>
      <w:r>
        <w:rPr/>
        <w:t>κεφαλαίων</w:t>
      </w:r>
      <w:r>
        <w:rPr>
          <w:spacing w:val="-9"/>
        </w:rPr>
        <w:t> </w:t>
      </w:r>
      <w:r>
        <w:rPr/>
        <w:t>και</w:t>
      </w:r>
      <w:r>
        <w:rPr>
          <w:spacing w:val="-12"/>
        </w:rPr>
        <w:t> </w:t>
      </w:r>
      <w:r>
        <w:rPr/>
        <w:t>στην</w:t>
      </w:r>
      <w:r>
        <w:rPr>
          <w:spacing w:val="-11"/>
        </w:rPr>
        <w:t> </w:t>
      </w:r>
      <w:r>
        <w:rPr/>
        <w:t>εκτέλεση </w:t>
      </w:r>
      <w:r>
        <w:rPr>
          <w:spacing w:val="-2"/>
        </w:rPr>
        <w:t>εμβασμάτων.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4"/>
        <w:rPr>
          <w:sz w:val="20"/>
        </w:rPr>
      </w:pPr>
      <w:r>
        <w:rPr>
          <w:sz w:val="20"/>
        </w:rPr>
        <mc:AlternateContent>
          <mc:Choice Requires="wps">
            <w:drawing>
              <wp:anchor distT="0" distB="0" distL="0" distR="0" allowOverlap="1" layoutInCell="1" locked="0" behindDoc="1" simplePos="0" relativeHeight="487666688">
                <wp:simplePos x="0" y="0"/>
                <wp:positionH relativeFrom="page">
                  <wp:posOffset>1009192</wp:posOffset>
                </wp:positionH>
                <wp:positionV relativeFrom="paragraph">
                  <wp:posOffset>278319</wp:posOffset>
                </wp:positionV>
                <wp:extent cx="1829435" cy="7620"/>
                <wp:effectExtent l="0" t="0" r="0" b="0"/>
                <wp:wrapTopAndBottom/>
                <wp:docPr id="743" name="Graphic 743"/>
                <wp:cNvGraphicFramePr>
                  <a:graphicFrameLocks/>
                </wp:cNvGraphicFramePr>
                <a:graphic>
                  <a:graphicData uri="http://schemas.microsoft.com/office/word/2010/wordprocessingShape">
                    <wps:wsp>
                      <wps:cNvPr id="743" name="Graphic 74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1.914927pt;width:144.020pt;height:.60004pt;mso-position-horizontal-relative:page;mso-position-vertical-relative:paragraph;z-index:-15649792;mso-wrap-distance-left:0;mso-wrap-distance-right:0" id="docshape696" filled="true" fillcolor="#000000" stroked="false">
                <v:fill type="solid"/>
                <w10:wrap type="topAndBottom"/>
              </v:rect>
            </w:pict>
          </mc:Fallback>
        </mc:AlternateContent>
      </w:r>
    </w:p>
    <w:p>
      <w:pPr>
        <w:spacing w:before="167"/>
        <w:ind w:left="172" w:right="956" w:firstLine="0"/>
        <w:jc w:val="left"/>
        <w:rPr>
          <w:sz w:val="16"/>
        </w:rPr>
      </w:pPr>
      <w:bookmarkStart w:name="_bookmark136" w:id="137"/>
      <w:bookmarkEnd w:id="137"/>
      <w:r>
        <w:rPr/>
      </w:r>
      <w:r>
        <w:rPr>
          <w:sz w:val="16"/>
          <w:vertAlign w:val="superscript"/>
        </w:rPr>
        <w:t>95</w:t>
      </w:r>
      <w:r>
        <w:rPr>
          <w:spacing w:val="-10"/>
          <w:sz w:val="16"/>
          <w:vertAlign w:val="baseline"/>
        </w:rPr>
        <w:t> </w:t>
      </w:r>
      <w:r>
        <w:rPr>
          <w:sz w:val="16"/>
          <w:vertAlign w:val="baseline"/>
        </w:rPr>
        <w:t>Τα</w:t>
      </w:r>
      <w:r>
        <w:rPr>
          <w:spacing w:val="-10"/>
          <w:sz w:val="16"/>
          <w:vertAlign w:val="baseline"/>
        </w:rPr>
        <w:t> </w:t>
      </w:r>
      <w:r>
        <w:rPr>
          <w:sz w:val="16"/>
          <w:vertAlign w:val="baseline"/>
        </w:rPr>
        <w:t>ΙΗΧ</w:t>
      </w:r>
      <w:r>
        <w:rPr>
          <w:spacing w:val="-10"/>
          <w:sz w:val="16"/>
          <w:vertAlign w:val="baseline"/>
        </w:rPr>
        <w:t> </w:t>
      </w:r>
      <w:r>
        <w:rPr>
          <w:sz w:val="16"/>
          <w:vertAlign w:val="baseline"/>
        </w:rPr>
        <w:t>έχουν</w:t>
      </w:r>
      <w:r>
        <w:rPr>
          <w:spacing w:val="-10"/>
          <w:sz w:val="16"/>
          <w:vertAlign w:val="baseline"/>
        </w:rPr>
        <w:t> </w:t>
      </w:r>
      <w:r>
        <w:rPr>
          <w:sz w:val="16"/>
          <w:vertAlign w:val="baseline"/>
        </w:rPr>
        <w:t>υποβάλει</w:t>
      </w:r>
      <w:r>
        <w:rPr>
          <w:spacing w:val="-10"/>
          <w:sz w:val="16"/>
          <w:vertAlign w:val="baseline"/>
        </w:rPr>
        <w:t> </w:t>
      </w:r>
      <w:r>
        <w:rPr>
          <w:sz w:val="16"/>
          <w:vertAlign w:val="baseline"/>
        </w:rPr>
        <w:t>ανέλεγκτες</w:t>
      </w:r>
      <w:r>
        <w:rPr>
          <w:spacing w:val="-11"/>
          <w:sz w:val="16"/>
          <w:vertAlign w:val="baseline"/>
        </w:rPr>
        <w:t> </w:t>
      </w:r>
      <w:r>
        <w:rPr>
          <w:sz w:val="16"/>
          <w:vertAlign w:val="baseline"/>
        </w:rPr>
        <w:t>οικονομικές</w:t>
      </w:r>
      <w:r>
        <w:rPr>
          <w:spacing w:val="-11"/>
          <w:sz w:val="16"/>
          <w:vertAlign w:val="baseline"/>
        </w:rPr>
        <w:t> </w:t>
      </w:r>
      <w:r>
        <w:rPr>
          <w:sz w:val="16"/>
          <w:vertAlign w:val="baseline"/>
        </w:rPr>
        <w:t>καταστάσεις</w:t>
      </w:r>
      <w:r>
        <w:rPr>
          <w:spacing w:val="-11"/>
          <w:sz w:val="16"/>
          <w:vertAlign w:val="baseline"/>
        </w:rPr>
        <w:t> </w:t>
      </w:r>
      <w:r>
        <w:rPr>
          <w:sz w:val="16"/>
          <w:vertAlign w:val="baseline"/>
        </w:rPr>
        <w:t>για</w:t>
      </w:r>
      <w:r>
        <w:rPr>
          <w:spacing w:val="-10"/>
          <w:sz w:val="16"/>
          <w:vertAlign w:val="baseline"/>
        </w:rPr>
        <w:t> </w:t>
      </w:r>
      <w:r>
        <w:rPr>
          <w:sz w:val="16"/>
          <w:vertAlign w:val="baseline"/>
        </w:rPr>
        <w:t>το</w:t>
      </w:r>
      <w:r>
        <w:rPr>
          <w:spacing w:val="-11"/>
          <w:sz w:val="16"/>
          <w:vertAlign w:val="baseline"/>
        </w:rPr>
        <w:t> </w:t>
      </w:r>
      <w:r>
        <w:rPr>
          <w:sz w:val="16"/>
          <w:vertAlign w:val="baseline"/>
        </w:rPr>
        <w:t>2025</w:t>
      </w:r>
      <w:r>
        <w:rPr>
          <w:spacing w:val="-10"/>
          <w:sz w:val="16"/>
          <w:vertAlign w:val="baseline"/>
        </w:rPr>
        <w:t> </w:t>
      </w:r>
      <w:r>
        <w:rPr>
          <w:sz w:val="16"/>
          <w:vertAlign w:val="baseline"/>
        </w:rPr>
        <w:t>στην</w:t>
      </w:r>
      <w:r>
        <w:rPr>
          <w:spacing w:val="-10"/>
          <w:sz w:val="16"/>
          <w:vertAlign w:val="baseline"/>
        </w:rPr>
        <w:t> </w:t>
      </w:r>
      <w:r>
        <w:rPr>
          <w:sz w:val="16"/>
          <w:vertAlign w:val="baseline"/>
        </w:rPr>
        <w:t>Τράπεζα</w:t>
      </w:r>
      <w:r>
        <w:rPr>
          <w:spacing w:val="-12"/>
          <w:sz w:val="16"/>
          <w:vertAlign w:val="baseline"/>
        </w:rPr>
        <w:t> </w:t>
      </w:r>
      <w:r>
        <w:rPr>
          <w:sz w:val="16"/>
          <w:vertAlign w:val="baseline"/>
        </w:rPr>
        <w:t>της</w:t>
      </w:r>
      <w:r>
        <w:rPr>
          <w:spacing w:val="-11"/>
          <w:sz w:val="16"/>
          <w:vertAlign w:val="baseline"/>
        </w:rPr>
        <w:t> </w:t>
      </w:r>
      <w:r>
        <w:rPr>
          <w:sz w:val="16"/>
          <w:vertAlign w:val="baseline"/>
        </w:rPr>
        <w:t>Ελλάδος</w:t>
      </w:r>
      <w:r>
        <w:rPr>
          <w:spacing w:val="-11"/>
          <w:sz w:val="16"/>
          <w:vertAlign w:val="baseline"/>
        </w:rPr>
        <w:t> </w:t>
      </w:r>
      <w:r>
        <w:rPr>
          <w:sz w:val="16"/>
          <w:vertAlign w:val="baseline"/>
        </w:rPr>
        <w:t>κατά</w:t>
      </w:r>
      <w:r>
        <w:rPr>
          <w:spacing w:val="-12"/>
          <w:sz w:val="16"/>
          <w:vertAlign w:val="baseline"/>
        </w:rPr>
        <w:t> </w:t>
      </w:r>
      <w:r>
        <w:rPr>
          <w:sz w:val="16"/>
          <w:vertAlign w:val="baseline"/>
        </w:rPr>
        <w:t>την</w:t>
      </w:r>
      <w:r>
        <w:rPr>
          <w:spacing w:val="-10"/>
          <w:sz w:val="16"/>
          <w:vertAlign w:val="baseline"/>
        </w:rPr>
        <w:t> </w:t>
      </w:r>
      <w:r>
        <w:rPr>
          <w:sz w:val="16"/>
          <w:vertAlign w:val="baseline"/>
        </w:rPr>
        <w:t>ημερομηνία</w:t>
      </w:r>
      <w:r>
        <w:rPr>
          <w:spacing w:val="-10"/>
          <w:sz w:val="16"/>
          <w:vertAlign w:val="baseline"/>
        </w:rPr>
        <w:t> </w:t>
      </w:r>
      <w:r>
        <w:rPr>
          <w:sz w:val="16"/>
          <w:vertAlign w:val="baseline"/>
        </w:rPr>
        <w:t>έκδοσης</w:t>
      </w:r>
      <w:r>
        <w:rPr>
          <w:spacing w:val="40"/>
          <w:sz w:val="16"/>
          <w:vertAlign w:val="baseline"/>
        </w:rPr>
        <w:t> </w:t>
      </w:r>
      <w:r>
        <w:rPr>
          <w:sz w:val="16"/>
          <w:vertAlign w:val="baseline"/>
        </w:rPr>
        <w:t>της παρούσας Έκθεσης</w:t>
      </w:r>
    </w:p>
    <w:p>
      <w:pPr>
        <w:spacing w:after="0"/>
        <w:jc w:val="left"/>
        <w:rPr>
          <w:sz w:val="16"/>
        </w:rPr>
        <w:sectPr>
          <w:type w:val="continuous"/>
          <w:pgSz w:w="11910" w:h="16850"/>
          <w:pgMar w:header="0" w:footer="1108" w:top="1320" w:bottom="280" w:left="1417" w:right="850"/>
        </w:sectPr>
      </w:pPr>
    </w:p>
    <w:p>
      <w:pPr>
        <w:pStyle w:val="Heading1"/>
        <w:numPr>
          <w:ilvl w:val="0"/>
          <w:numId w:val="2"/>
        </w:numPr>
        <w:tabs>
          <w:tab w:pos="529" w:val="left" w:leader="none"/>
          <w:tab w:pos="892" w:val="left" w:leader="none"/>
        </w:tabs>
        <w:spacing w:line="240" w:lineRule="auto" w:before="71" w:after="0"/>
        <w:ind w:left="529" w:right="1221" w:hanging="358"/>
        <w:jc w:val="left"/>
      </w:pPr>
      <w:bookmarkStart w:name="_bookmark137" w:id="138"/>
      <w:bookmarkEnd w:id="138"/>
      <w:r>
        <w:rPr>
          <w:b w:val="0"/>
        </w:rPr>
      </w:r>
      <w:r>
        <w:rPr>
          <w:color w:val="1F487C"/>
          <w:spacing w:val="24"/>
        </w:rPr>
        <w:t>ΥΠΟΔΟΜΕΣ</w:t>
      </w:r>
      <w:r>
        <w:rPr>
          <w:color w:val="1F487C"/>
          <w:spacing w:val="24"/>
        </w:rPr>
        <w:t> </w:t>
      </w:r>
      <w:r>
        <w:rPr>
          <w:color w:val="1F487C"/>
          <w:spacing w:val="19"/>
        </w:rPr>
        <w:t>ΤΩΝ</w:t>
      </w:r>
      <w:r>
        <w:rPr>
          <w:color w:val="1F487C"/>
          <w:spacing w:val="19"/>
        </w:rPr>
        <w:t> </w:t>
      </w:r>
      <w:r>
        <w:rPr>
          <w:color w:val="1F487C"/>
          <w:spacing w:val="27"/>
        </w:rPr>
        <w:t>ΧΡΗΜΑΤΟΠΙΣΤΩΤΙΚΩΝ</w:t>
      </w:r>
      <w:r>
        <w:rPr>
          <w:color w:val="1F487C"/>
          <w:spacing w:val="27"/>
        </w:rPr>
        <w:t> </w:t>
      </w:r>
      <w:r>
        <w:rPr>
          <w:color w:val="1F487C"/>
          <w:spacing w:val="21"/>
        </w:rPr>
        <w:t>ΑΓΟ-</w:t>
      </w:r>
      <w:r>
        <w:rPr>
          <w:color w:val="1F487C"/>
          <w:spacing w:val="15"/>
        </w:rPr>
        <w:t>ΡΩΝ</w:t>
      </w:r>
    </w:p>
    <w:p>
      <w:pPr>
        <w:pStyle w:val="BodyText"/>
        <w:spacing w:line="285" w:lineRule="auto" w:before="94"/>
        <w:ind w:left="172" w:right="956"/>
        <w:jc w:val="both"/>
      </w:pPr>
      <w:r>
        <w:rPr/>
        <w:t>Tα συστήματα πληρωμών, εκκαθάρισης και διακανονισμού λειτούργησαν αποτελεσματικά</w:t>
      </w:r>
      <w:r>
        <w:rPr>
          <w:spacing w:val="80"/>
        </w:rPr>
        <w:t> </w:t>
      </w:r>
      <w:r>
        <w:rPr/>
        <w:t>καθ’</w:t>
      </w:r>
      <w:r>
        <w:rPr>
          <w:spacing w:val="-1"/>
        </w:rPr>
        <w:t> </w:t>
      </w:r>
      <w:r>
        <w:rPr/>
        <w:t>όλη τη διάρκεια του 2025 διασφαλίζοντας την ασφαλή και αξιόπιστη λειτουργία του χρη-ματοπιστωτικού</w:t>
      </w:r>
      <w:r>
        <w:rPr>
          <w:spacing w:val="-4"/>
        </w:rPr>
        <w:t> </w:t>
      </w:r>
      <w:r>
        <w:rPr/>
        <w:t>συστήματος</w:t>
      </w:r>
      <w:r>
        <w:rPr>
          <w:spacing w:val="-4"/>
        </w:rPr>
        <w:t> </w:t>
      </w:r>
      <w:r>
        <w:rPr/>
        <w:t>και</w:t>
      </w:r>
      <w:r>
        <w:rPr>
          <w:spacing w:val="-5"/>
        </w:rPr>
        <w:t> </w:t>
      </w:r>
      <w:r>
        <w:rPr/>
        <w:t>συμβάλλοντας</w:t>
      </w:r>
      <w:r>
        <w:rPr>
          <w:spacing w:val="-6"/>
        </w:rPr>
        <w:t> </w:t>
      </w:r>
      <w:r>
        <w:rPr/>
        <w:t>στην</w:t>
      </w:r>
      <w:r>
        <w:rPr>
          <w:spacing w:val="-5"/>
        </w:rPr>
        <w:t> </w:t>
      </w:r>
      <w:r>
        <w:rPr/>
        <w:t>εφαρμογή</w:t>
      </w:r>
      <w:r>
        <w:rPr>
          <w:spacing w:val="-5"/>
        </w:rPr>
        <w:t> </w:t>
      </w:r>
      <w:r>
        <w:rPr/>
        <w:t>της</w:t>
      </w:r>
      <w:r>
        <w:rPr>
          <w:spacing w:val="-6"/>
        </w:rPr>
        <w:t> </w:t>
      </w:r>
      <w:r>
        <w:rPr/>
        <w:t>νομισματικής</w:t>
      </w:r>
      <w:r>
        <w:rPr>
          <w:spacing w:val="-6"/>
        </w:rPr>
        <w:t> </w:t>
      </w:r>
      <w:r>
        <w:rPr/>
        <w:t>πολιτικής</w:t>
      </w:r>
      <w:r>
        <w:rPr>
          <w:spacing w:val="-6"/>
        </w:rPr>
        <w:t> </w:t>
      </w:r>
      <w:r>
        <w:rPr/>
        <w:t>του Ευρωσυστήματος και τη διατήρηση της εμπιστοσύνης στο κοινό νόμισμα.</w:t>
      </w:r>
    </w:p>
    <w:p>
      <w:pPr>
        <w:pStyle w:val="Heading2"/>
        <w:numPr>
          <w:ilvl w:val="1"/>
          <w:numId w:val="2"/>
        </w:numPr>
        <w:tabs>
          <w:tab w:pos="568" w:val="left" w:leader="none"/>
        </w:tabs>
        <w:spacing w:line="240" w:lineRule="auto" w:before="201" w:after="0"/>
        <w:ind w:left="568" w:right="0" w:hanging="396"/>
        <w:jc w:val="left"/>
        <w:rPr>
          <w:color w:val="1F487C"/>
        </w:rPr>
      </w:pPr>
      <w:bookmarkStart w:name="_bookmark138" w:id="139"/>
      <w:bookmarkEnd w:id="139"/>
      <w:r>
        <w:rPr>
          <w:b w:val="0"/>
        </w:rPr>
      </w:r>
      <w:r>
        <w:rPr>
          <w:color w:val="1F487C"/>
        </w:rPr>
        <w:t>ΣΥΣΤΗΜΑΤΑ</w:t>
      </w:r>
      <w:r>
        <w:rPr>
          <w:color w:val="1F487C"/>
          <w:spacing w:val="-7"/>
        </w:rPr>
        <w:t> </w:t>
      </w:r>
      <w:r>
        <w:rPr>
          <w:color w:val="1F487C"/>
          <w:spacing w:val="-2"/>
        </w:rPr>
        <w:t>ΠΛΗΡΩΜΩΝ</w:t>
      </w:r>
    </w:p>
    <w:p>
      <w:pPr>
        <w:pStyle w:val="Heading3"/>
        <w:numPr>
          <w:ilvl w:val="2"/>
          <w:numId w:val="2"/>
        </w:numPr>
        <w:tabs>
          <w:tab w:pos="738" w:val="left" w:leader="none"/>
        </w:tabs>
        <w:spacing w:line="240" w:lineRule="auto" w:before="121" w:after="0"/>
        <w:ind w:left="738" w:right="0" w:hanging="566"/>
        <w:jc w:val="left"/>
        <w:rPr>
          <w:color w:val="1F487C"/>
        </w:rPr>
      </w:pPr>
      <w:bookmarkStart w:name="_bookmark139" w:id="140"/>
      <w:bookmarkEnd w:id="140"/>
      <w:r>
        <w:rPr>
          <w:b w:val="0"/>
        </w:rPr>
      </w:r>
      <w:r>
        <w:rPr>
          <w:color w:val="1F487C"/>
          <w:spacing w:val="-2"/>
        </w:rPr>
        <w:t>TARGET2-</w:t>
      </w:r>
      <w:r>
        <w:rPr>
          <w:color w:val="1F487C"/>
          <w:spacing w:val="-5"/>
        </w:rPr>
        <w:t>GR</w:t>
      </w:r>
    </w:p>
    <w:p>
      <w:pPr>
        <w:pStyle w:val="BodyText"/>
        <w:spacing w:line="285" w:lineRule="auto" w:before="93"/>
        <w:ind w:left="172" w:right="957"/>
        <w:jc w:val="both"/>
      </w:pPr>
      <w:r>
        <w:rPr/>
        <w:t>Το TARGET-GR, η ελληνική συνιστώσα, του πανευρωπαϊκού συστήματος πληρωμών μεγάλης αξίας σε συνεχή χρόνο, λειτούργησε αποτελεσματικά και με επάρκεια. Το 2025 ο αριθμός των διατραπεζικών και πελατειακών εντολών πληρωμών που διαβιβάστηκαν εγχώρια και διασυνο-ριακά</w:t>
      </w:r>
      <w:r>
        <w:rPr>
          <w:spacing w:val="-16"/>
        </w:rPr>
        <w:t> </w:t>
      </w:r>
      <w:r>
        <w:rPr/>
        <w:t>μέσω</w:t>
      </w:r>
      <w:r>
        <w:rPr>
          <w:spacing w:val="-14"/>
        </w:rPr>
        <w:t> </w:t>
      </w:r>
      <w:r>
        <w:rPr/>
        <w:t>του</w:t>
      </w:r>
      <w:r>
        <w:rPr>
          <w:spacing w:val="-14"/>
        </w:rPr>
        <w:t> </w:t>
      </w:r>
      <w:r>
        <w:rPr/>
        <w:t>συστήματος</w:t>
      </w:r>
      <w:r>
        <w:rPr>
          <w:spacing w:val="-13"/>
        </w:rPr>
        <w:t> </w:t>
      </w:r>
      <w:r>
        <w:rPr/>
        <w:t>ανήλθε</w:t>
      </w:r>
      <w:r>
        <w:rPr>
          <w:spacing w:val="-14"/>
        </w:rPr>
        <w:t> </w:t>
      </w:r>
      <w:r>
        <w:rPr/>
        <w:t>σε</w:t>
      </w:r>
      <w:r>
        <w:rPr>
          <w:spacing w:val="-14"/>
        </w:rPr>
        <w:t> </w:t>
      </w:r>
      <w:r>
        <w:rPr/>
        <w:t>1.320,7</w:t>
      </w:r>
      <w:r>
        <w:rPr>
          <w:spacing w:val="-14"/>
        </w:rPr>
        <w:t> </w:t>
      </w:r>
      <w:r>
        <w:rPr/>
        <w:t>χιλ.</w:t>
      </w:r>
      <w:r>
        <w:rPr>
          <w:spacing w:val="-13"/>
        </w:rPr>
        <w:t> </w:t>
      </w:r>
      <w:r>
        <w:rPr/>
        <w:t>συναλλαγές,</w:t>
      </w:r>
      <w:r>
        <w:rPr>
          <w:spacing w:val="-14"/>
        </w:rPr>
        <w:t> </w:t>
      </w:r>
      <w:r>
        <w:rPr/>
        <w:t>σημαντικά</w:t>
      </w:r>
      <w:r>
        <w:rPr>
          <w:spacing w:val="-14"/>
        </w:rPr>
        <w:t> </w:t>
      </w:r>
      <w:r>
        <w:rPr/>
        <w:t>αυξημένος</w:t>
      </w:r>
      <w:r>
        <w:rPr>
          <w:spacing w:val="-14"/>
        </w:rPr>
        <w:t> </w:t>
      </w:r>
      <w:r>
        <w:rPr/>
        <w:t>κατά</w:t>
      </w:r>
      <w:r>
        <w:rPr>
          <w:spacing w:val="-13"/>
        </w:rPr>
        <w:t> </w:t>
      </w:r>
      <w:r>
        <w:rPr/>
        <w:t>22% σε σχέση με το 2024, ενώ η αξία των εντολών πληρωμών παρέμεινε σχεδόν αμετάβλητη σε 1,2 τρισεκ. ευρώ.</w:t>
      </w:r>
    </w:p>
    <w:p>
      <w:pPr>
        <w:pStyle w:val="BodyText"/>
        <w:spacing w:before="20"/>
      </w:pPr>
    </w:p>
    <w:p>
      <w:pPr>
        <w:pStyle w:val="Heading3"/>
        <w:numPr>
          <w:ilvl w:val="2"/>
          <w:numId w:val="2"/>
        </w:numPr>
        <w:tabs>
          <w:tab w:pos="738" w:val="left" w:leader="none"/>
        </w:tabs>
        <w:spacing w:line="240" w:lineRule="auto" w:before="0" w:after="0"/>
        <w:ind w:left="738" w:right="0" w:hanging="566"/>
        <w:jc w:val="left"/>
        <w:rPr>
          <w:color w:val="1F487C"/>
        </w:rPr>
      </w:pPr>
      <w:r>
        <w:rPr/>
        <mc:AlternateContent>
          <mc:Choice Requires="wps">
            <w:drawing>
              <wp:anchor distT="0" distB="0" distL="0" distR="0" allowOverlap="1" layoutInCell="1" locked="0" behindDoc="0" simplePos="0" relativeHeight="15808000">
                <wp:simplePos x="0" y="0"/>
                <wp:positionH relativeFrom="page">
                  <wp:posOffset>3735959</wp:posOffset>
                </wp:positionH>
                <wp:positionV relativeFrom="paragraph">
                  <wp:posOffset>191437</wp:posOffset>
                </wp:positionV>
                <wp:extent cx="2665095" cy="34036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2665095" cy="340360"/>
                        </a:xfrm>
                        <a:prstGeom prst="rect">
                          <a:avLst/>
                        </a:prstGeom>
                        <a:solidFill>
                          <a:srgbClr val="1F487C"/>
                        </a:solidFill>
                      </wps:spPr>
                      <wps:txbx>
                        <w:txbxContent>
                          <w:p>
                            <w:pPr>
                              <w:spacing w:before="60"/>
                              <w:ind w:left="112" w:right="192" w:firstLine="0"/>
                              <w:jc w:val="left"/>
                              <w:rPr>
                                <w:b/>
                                <w:color w:val="000000"/>
                                <w:sz w:val="18"/>
                              </w:rPr>
                            </w:pPr>
                            <w:r>
                              <w:rPr>
                                <w:b/>
                                <w:color w:val="FFFFFF"/>
                                <w:sz w:val="18"/>
                              </w:rPr>
                              <w:t>Πίνακας</w:t>
                            </w:r>
                            <w:r>
                              <w:rPr>
                                <w:b/>
                                <w:color w:val="FFFFFF"/>
                                <w:spacing w:val="-6"/>
                                <w:sz w:val="18"/>
                              </w:rPr>
                              <w:t> </w:t>
                            </w:r>
                            <w:r>
                              <w:rPr>
                                <w:b/>
                                <w:color w:val="FFFFFF"/>
                                <w:sz w:val="18"/>
                              </w:rPr>
                              <w:t>VI.1</w:t>
                            </w:r>
                            <w:r>
                              <w:rPr>
                                <w:b/>
                                <w:color w:val="FFFFFF"/>
                                <w:spacing w:val="-7"/>
                                <w:sz w:val="18"/>
                              </w:rPr>
                              <w:t> </w:t>
                            </w:r>
                            <w:r>
                              <w:rPr>
                                <w:b/>
                                <w:color w:val="FFFFFF"/>
                                <w:sz w:val="18"/>
                              </w:rPr>
                              <w:t>Συναλλαγές</w:t>
                            </w:r>
                            <w:r>
                              <w:rPr>
                                <w:b/>
                                <w:color w:val="FFFFFF"/>
                                <w:spacing w:val="-9"/>
                                <w:sz w:val="18"/>
                              </w:rPr>
                              <w:t> </w:t>
                            </w:r>
                            <w:r>
                              <w:rPr>
                                <w:b/>
                                <w:color w:val="FFFFFF"/>
                                <w:sz w:val="18"/>
                              </w:rPr>
                              <w:t>του</w:t>
                            </w:r>
                            <w:r>
                              <w:rPr>
                                <w:b/>
                                <w:color w:val="FFFFFF"/>
                                <w:spacing w:val="-9"/>
                                <w:sz w:val="18"/>
                              </w:rPr>
                              <w:t> </w:t>
                            </w:r>
                            <w:r>
                              <w:rPr>
                                <w:b/>
                                <w:color w:val="FFFFFF"/>
                                <w:sz w:val="18"/>
                              </w:rPr>
                              <w:t>συστήματος</w:t>
                            </w:r>
                            <w:r>
                              <w:rPr>
                                <w:b/>
                                <w:color w:val="FFFFFF"/>
                                <w:spacing w:val="-7"/>
                                <w:sz w:val="18"/>
                              </w:rPr>
                              <w:t> </w:t>
                            </w:r>
                            <w:r>
                              <w:rPr>
                                <w:b/>
                                <w:color w:val="FFFFFF"/>
                                <w:sz w:val="18"/>
                              </w:rPr>
                              <w:t>πληρω-μών ΔΙΑΣ</w:t>
                            </w:r>
                          </w:p>
                        </w:txbxContent>
                      </wps:txbx>
                      <wps:bodyPr wrap="square" lIns="0" tIns="0" rIns="0" bIns="0" rtlCol="0">
                        <a:noAutofit/>
                      </wps:bodyPr>
                    </wps:wsp>
                  </a:graphicData>
                </a:graphic>
              </wp:anchor>
            </w:drawing>
          </mc:Choice>
          <mc:Fallback>
            <w:pict>
              <v:shape style="position:absolute;margin-left:294.170013pt;margin-top:15.073838pt;width:209.85pt;height:26.8pt;mso-position-horizontal-relative:page;mso-position-vertical-relative:paragraph;z-index:15808000" type="#_x0000_t202" id="docshape699" filled="true" fillcolor="#1f487c" stroked="false">
                <v:textbox inset="0,0,0,0">
                  <w:txbxContent>
                    <w:p>
                      <w:pPr>
                        <w:spacing w:before="60"/>
                        <w:ind w:left="112" w:right="192" w:firstLine="0"/>
                        <w:jc w:val="left"/>
                        <w:rPr>
                          <w:b/>
                          <w:color w:val="000000"/>
                          <w:sz w:val="18"/>
                        </w:rPr>
                      </w:pPr>
                      <w:r>
                        <w:rPr>
                          <w:b/>
                          <w:color w:val="FFFFFF"/>
                          <w:sz w:val="18"/>
                        </w:rPr>
                        <w:t>Πίνακας</w:t>
                      </w:r>
                      <w:r>
                        <w:rPr>
                          <w:b/>
                          <w:color w:val="FFFFFF"/>
                          <w:spacing w:val="-6"/>
                          <w:sz w:val="18"/>
                        </w:rPr>
                        <w:t> </w:t>
                      </w:r>
                      <w:r>
                        <w:rPr>
                          <w:b/>
                          <w:color w:val="FFFFFF"/>
                          <w:sz w:val="18"/>
                        </w:rPr>
                        <w:t>VI.1</w:t>
                      </w:r>
                      <w:r>
                        <w:rPr>
                          <w:b/>
                          <w:color w:val="FFFFFF"/>
                          <w:spacing w:val="-7"/>
                          <w:sz w:val="18"/>
                        </w:rPr>
                        <w:t> </w:t>
                      </w:r>
                      <w:r>
                        <w:rPr>
                          <w:b/>
                          <w:color w:val="FFFFFF"/>
                          <w:sz w:val="18"/>
                        </w:rPr>
                        <w:t>Συναλλαγές</w:t>
                      </w:r>
                      <w:r>
                        <w:rPr>
                          <w:b/>
                          <w:color w:val="FFFFFF"/>
                          <w:spacing w:val="-9"/>
                          <w:sz w:val="18"/>
                        </w:rPr>
                        <w:t> </w:t>
                      </w:r>
                      <w:r>
                        <w:rPr>
                          <w:b/>
                          <w:color w:val="FFFFFF"/>
                          <w:sz w:val="18"/>
                        </w:rPr>
                        <w:t>του</w:t>
                      </w:r>
                      <w:r>
                        <w:rPr>
                          <w:b/>
                          <w:color w:val="FFFFFF"/>
                          <w:spacing w:val="-9"/>
                          <w:sz w:val="18"/>
                        </w:rPr>
                        <w:t> </w:t>
                      </w:r>
                      <w:r>
                        <w:rPr>
                          <w:b/>
                          <w:color w:val="FFFFFF"/>
                          <w:sz w:val="18"/>
                        </w:rPr>
                        <w:t>συστήματος</w:t>
                      </w:r>
                      <w:r>
                        <w:rPr>
                          <w:b/>
                          <w:color w:val="FFFFFF"/>
                          <w:spacing w:val="-7"/>
                          <w:sz w:val="18"/>
                        </w:rPr>
                        <w:t> </w:t>
                      </w:r>
                      <w:r>
                        <w:rPr>
                          <w:b/>
                          <w:color w:val="FFFFFF"/>
                          <w:sz w:val="18"/>
                        </w:rPr>
                        <w:t>πληρω-μών ΔΙΑΣ</w:t>
                      </w:r>
                    </w:p>
                  </w:txbxContent>
                </v:textbox>
                <v:fill type="solid"/>
                <w10:wrap type="none"/>
              </v:shape>
            </w:pict>
          </mc:Fallback>
        </mc:AlternateContent>
      </w:r>
      <w:bookmarkStart w:name="_bookmark140" w:id="141"/>
      <w:bookmarkEnd w:id="141"/>
      <w:r>
        <w:rPr>
          <w:b w:val="0"/>
        </w:rPr>
      </w:r>
      <w:r>
        <w:rPr>
          <w:color w:val="1F487C"/>
        </w:rPr>
        <w:t>ΔΙΑΤΡΑΠΕΖΙΚΑ</w:t>
      </w:r>
      <w:r>
        <w:rPr>
          <w:color w:val="1F487C"/>
          <w:spacing w:val="-8"/>
        </w:rPr>
        <w:t> </w:t>
      </w:r>
      <w:r>
        <w:rPr>
          <w:color w:val="1F487C"/>
        </w:rPr>
        <w:t>ΣΥΣΤΗΜΑΤΑ</w:t>
      </w:r>
      <w:r>
        <w:rPr>
          <w:color w:val="1F487C"/>
          <w:spacing w:val="-7"/>
        </w:rPr>
        <w:t> </w:t>
      </w:r>
      <w:r>
        <w:rPr>
          <w:color w:val="1F487C"/>
        </w:rPr>
        <w:t>Α.Ε.</w:t>
      </w:r>
      <w:r>
        <w:rPr>
          <w:color w:val="1F487C"/>
          <w:spacing w:val="-6"/>
        </w:rPr>
        <w:t> </w:t>
      </w:r>
      <w:r>
        <w:rPr>
          <w:color w:val="1F487C"/>
          <w:spacing w:val="-2"/>
        </w:rPr>
        <w:t>(ΔΙΑΣ)</w:t>
      </w:r>
    </w:p>
    <w:p>
      <w:pPr>
        <w:pStyle w:val="BodyText"/>
        <w:spacing w:line="302" w:lineRule="auto" w:before="110"/>
        <w:ind w:left="172" w:right="5347"/>
      </w:pPr>
      <w:r>
        <w:rPr/>
        <w:t>Το</w:t>
      </w:r>
      <w:r>
        <w:rPr>
          <w:spacing w:val="40"/>
        </w:rPr>
        <w:t> </w:t>
      </w:r>
      <w:r>
        <w:rPr/>
        <w:t>σύστημα</w:t>
      </w:r>
      <w:r>
        <w:rPr>
          <w:spacing w:val="40"/>
        </w:rPr>
        <w:t> </w:t>
      </w:r>
      <w:r>
        <w:rPr/>
        <w:t>πολυμερούς</w:t>
      </w:r>
      <w:r>
        <w:rPr>
          <w:spacing w:val="40"/>
        </w:rPr>
        <w:t> </w:t>
      </w:r>
      <w:r>
        <w:rPr/>
        <w:t>συμψηφισμού</w:t>
      </w:r>
      <w:r>
        <w:rPr>
          <w:spacing w:val="40"/>
        </w:rPr>
        <w:t> </w:t>
      </w:r>
      <w:r>
        <w:rPr/>
        <w:t>για πληρωμές</w:t>
      </w:r>
      <w:r>
        <w:rPr>
          <w:spacing w:val="-6"/>
        </w:rPr>
        <w:t> </w:t>
      </w:r>
      <w:r>
        <w:rPr/>
        <w:t>λιανικής</w:t>
      </w:r>
      <w:r>
        <w:rPr>
          <w:spacing w:val="-6"/>
        </w:rPr>
        <w:t> </w:t>
      </w:r>
      <w:r>
        <w:rPr/>
        <w:t>ΔΙΑΣ</w:t>
      </w:r>
      <w:r>
        <w:rPr>
          <w:spacing w:val="-2"/>
        </w:rPr>
        <w:t> </w:t>
      </w:r>
      <w:r>
        <w:rPr/>
        <w:t>ανταποκρίθηκε</w:t>
      </w:r>
      <w:r>
        <w:rPr>
          <w:spacing w:val="-5"/>
        </w:rPr>
        <w:t> </w:t>
      </w:r>
      <w:r>
        <w:rPr>
          <w:spacing w:val="-4"/>
        </w:rPr>
        <w:t>πλή-</w:t>
      </w:r>
    </w:p>
    <w:p>
      <w:pPr>
        <w:pStyle w:val="BodyText"/>
        <w:spacing w:after="0" w:line="302" w:lineRule="auto"/>
        <w:sectPr>
          <w:footerReference w:type="default" r:id="rId129"/>
          <w:pgSz w:w="11910" w:h="16850"/>
          <w:pgMar w:header="0" w:footer="1262" w:top="1860" w:bottom="1460" w:left="1417" w:right="850"/>
        </w:sectPr>
      </w:pPr>
    </w:p>
    <w:p>
      <w:pPr>
        <w:pStyle w:val="BodyText"/>
        <w:spacing w:line="302" w:lineRule="auto" w:before="19"/>
        <w:ind w:left="172"/>
        <w:jc w:val="both"/>
      </w:pPr>
      <w:r>
        <w:rPr/>
        <w:t>ρως</w:t>
      </w:r>
      <w:r>
        <w:rPr>
          <w:spacing w:val="-6"/>
        </w:rPr>
        <w:t> </w:t>
      </w:r>
      <w:r>
        <w:rPr/>
        <w:t>στις</w:t>
      </w:r>
      <w:r>
        <w:rPr>
          <w:spacing w:val="-5"/>
        </w:rPr>
        <w:t> </w:t>
      </w:r>
      <w:r>
        <w:rPr/>
        <w:t>απαιτήσεις</w:t>
      </w:r>
      <w:r>
        <w:rPr>
          <w:spacing w:val="-5"/>
        </w:rPr>
        <w:t> </w:t>
      </w:r>
      <w:r>
        <w:rPr/>
        <w:t>της</w:t>
      </w:r>
      <w:r>
        <w:rPr>
          <w:spacing w:val="-7"/>
        </w:rPr>
        <w:t> </w:t>
      </w:r>
      <w:r>
        <w:rPr/>
        <w:t>διατραπεζικής</w:t>
      </w:r>
      <w:r>
        <w:rPr>
          <w:spacing w:val="-6"/>
        </w:rPr>
        <w:t> </w:t>
      </w:r>
      <w:r>
        <w:rPr/>
        <w:t>και</w:t>
      </w:r>
      <w:r>
        <w:rPr>
          <w:spacing w:val="-5"/>
        </w:rPr>
        <w:t> </w:t>
      </w:r>
      <w:r>
        <w:rPr/>
        <w:t>της λιανικής αγοράς πληρωμών, με την τεχνική διαθεσιμότητά</w:t>
      </w:r>
      <w:r>
        <w:rPr>
          <w:spacing w:val="-14"/>
        </w:rPr>
        <w:t> </w:t>
      </w:r>
      <w:r>
        <w:rPr/>
        <w:t>να</w:t>
      </w:r>
      <w:r>
        <w:rPr>
          <w:spacing w:val="-14"/>
        </w:rPr>
        <w:t> </w:t>
      </w:r>
      <w:r>
        <w:rPr/>
        <w:t>διαμορφώνεται</w:t>
      </w:r>
      <w:r>
        <w:rPr>
          <w:spacing w:val="-14"/>
        </w:rPr>
        <w:t> </w:t>
      </w:r>
      <w:r>
        <w:rPr/>
        <w:t>στο</w:t>
      </w:r>
      <w:r>
        <w:rPr>
          <w:spacing w:val="-13"/>
        </w:rPr>
        <w:t> </w:t>
      </w:r>
      <w:r>
        <w:rPr/>
        <w:t>100%</w:t>
      </w:r>
      <w:r>
        <w:rPr>
          <w:spacing w:val="-14"/>
        </w:rPr>
        <w:t> </w:t>
      </w:r>
      <w:r>
        <w:rPr/>
        <w:t>το 2025. Ο αριθμός των εντολών πληρωμών που επεξεργάστηκε</w:t>
      </w:r>
      <w:r>
        <w:rPr>
          <w:spacing w:val="-2"/>
        </w:rPr>
        <w:t> </w:t>
      </w:r>
      <w:r>
        <w:rPr/>
        <w:t>το</w:t>
      </w:r>
      <w:r>
        <w:rPr>
          <w:spacing w:val="-3"/>
        </w:rPr>
        <w:t> </w:t>
      </w:r>
      <w:r>
        <w:rPr/>
        <w:t>σύστημα</w:t>
      </w:r>
      <w:r>
        <w:rPr>
          <w:spacing w:val="-3"/>
        </w:rPr>
        <w:t> </w:t>
      </w:r>
      <w:r>
        <w:rPr/>
        <w:t>το</w:t>
      </w:r>
      <w:r>
        <w:rPr>
          <w:spacing w:val="-3"/>
        </w:rPr>
        <w:t> </w:t>
      </w:r>
      <w:r>
        <w:rPr/>
        <w:t>2025</w:t>
      </w:r>
      <w:r>
        <w:rPr>
          <w:spacing w:val="-3"/>
        </w:rPr>
        <w:t> </w:t>
      </w:r>
      <w:r>
        <w:rPr/>
        <w:t>αυξήθηκε κατά 16% σε σχέση με το 2024 (βλ. Πίνακας VI.1).</w:t>
      </w:r>
      <w:r>
        <w:rPr>
          <w:spacing w:val="-12"/>
        </w:rPr>
        <w:t> </w:t>
      </w:r>
      <w:r>
        <w:rPr/>
        <w:t>Ανά</w:t>
      </w:r>
      <w:r>
        <w:rPr>
          <w:spacing w:val="-12"/>
        </w:rPr>
        <w:t> </w:t>
      </w:r>
      <w:r>
        <w:rPr/>
        <w:t>διατραπεζική</w:t>
      </w:r>
      <w:r>
        <w:rPr>
          <w:spacing w:val="-14"/>
        </w:rPr>
        <w:t> </w:t>
      </w:r>
      <w:r>
        <w:rPr/>
        <w:t>υπηρεσία</w:t>
      </w:r>
      <w:r>
        <w:rPr>
          <w:spacing w:val="-11"/>
        </w:rPr>
        <w:t> </w:t>
      </w:r>
      <w:r>
        <w:rPr/>
        <w:t>πληρωμών, σημαντική αύξηση καταγράφηκε στις συναλ-λαγές μεταφορών πιστώσεων κατά 16%, στις συναλλαγές σε τερματικά POS για πληρωμές σε</w:t>
      </w:r>
      <w:r>
        <w:rPr>
          <w:spacing w:val="-4"/>
        </w:rPr>
        <w:t> </w:t>
      </w:r>
      <w:r>
        <w:rPr/>
        <w:t>φορείς</w:t>
      </w:r>
      <w:r>
        <w:rPr>
          <w:spacing w:val="-6"/>
        </w:rPr>
        <w:t> </w:t>
      </w:r>
      <w:r>
        <w:rPr/>
        <w:t>του</w:t>
      </w:r>
      <w:r>
        <w:rPr>
          <w:spacing w:val="-4"/>
        </w:rPr>
        <w:t> </w:t>
      </w:r>
      <w:r>
        <w:rPr/>
        <w:t>Ελληνικού</w:t>
      </w:r>
      <w:r>
        <w:rPr>
          <w:spacing w:val="-4"/>
        </w:rPr>
        <w:t> </w:t>
      </w:r>
      <w:r>
        <w:rPr/>
        <w:t>Δημοσίου</w:t>
      </w:r>
      <w:r>
        <w:rPr>
          <w:spacing w:val="-2"/>
        </w:rPr>
        <w:t> </w:t>
      </w:r>
      <w:r>
        <w:rPr/>
        <w:t>κατά</w:t>
      </w:r>
      <w:r>
        <w:rPr>
          <w:spacing w:val="-6"/>
        </w:rPr>
        <w:t> </w:t>
      </w:r>
      <w:r>
        <w:rPr/>
        <w:t>17% και στις συναλλαγές σε τερματικά ΑΤΜ κατά 32% σε σχέση με το 2024. Αντιθέτως, οι επι-ταγές</w:t>
      </w:r>
      <w:r>
        <w:rPr>
          <w:spacing w:val="7"/>
        </w:rPr>
        <w:t> </w:t>
      </w:r>
      <w:r>
        <w:rPr/>
        <w:t>σε</w:t>
      </w:r>
      <w:r>
        <w:rPr>
          <w:spacing w:val="9"/>
        </w:rPr>
        <w:t> </w:t>
      </w:r>
      <w:r>
        <w:rPr/>
        <w:t>άυλη</w:t>
      </w:r>
      <w:r>
        <w:rPr>
          <w:spacing w:val="9"/>
        </w:rPr>
        <w:t> </w:t>
      </w:r>
      <w:r>
        <w:rPr/>
        <w:t>μορφή</w:t>
      </w:r>
      <w:r>
        <w:rPr>
          <w:spacing w:val="8"/>
        </w:rPr>
        <w:t> </w:t>
      </w:r>
      <w:r>
        <w:rPr/>
        <w:t>μειώθηκαν</w:t>
      </w:r>
      <w:r>
        <w:rPr>
          <w:spacing w:val="10"/>
        </w:rPr>
        <w:t> </w:t>
      </w:r>
      <w:r>
        <w:rPr/>
        <w:t>κατά</w:t>
      </w:r>
      <w:r>
        <w:rPr>
          <w:spacing w:val="8"/>
        </w:rPr>
        <w:t> </w:t>
      </w:r>
      <w:r>
        <w:rPr/>
        <w:t>7%,</w:t>
      </w:r>
      <w:r>
        <w:rPr>
          <w:spacing w:val="9"/>
        </w:rPr>
        <w:t> </w:t>
      </w:r>
      <w:r>
        <w:rPr>
          <w:spacing w:val="-5"/>
        </w:rPr>
        <w:t>α-</w:t>
      </w:r>
    </w:p>
    <w:p>
      <w:pPr>
        <w:spacing w:line="154" w:lineRule="exact" w:before="0"/>
        <w:ind w:left="172" w:right="0" w:firstLine="0"/>
        <w:jc w:val="left"/>
        <w:rPr>
          <w:sz w:val="14"/>
        </w:rPr>
      </w:pPr>
      <w:r>
        <w:rPr/>
        <w:br w:type="column"/>
      </w:r>
      <w:r>
        <w:rPr>
          <w:color w:val="1F487C"/>
          <w:sz w:val="14"/>
        </w:rPr>
        <w:t>(εκατ.</w:t>
      </w:r>
      <w:r>
        <w:rPr>
          <w:color w:val="1F487C"/>
          <w:spacing w:val="-5"/>
          <w:sz w:val="14"/>
        </w:rPr>
        <w:t> </w:t>
      </w:r>
      <w:r>
        <w:rPr>
          <w:color w:val="1F487C"/>
          <w:spacing w:val="-2"/>
          <w:sz w:val="14"/>
        </w:rPr>
        <w:t>συναλλαγές)</w:t>
      </w:r>
    </w:p>
    <w:p>
      <w:pPr>
        <w:pStyle w:val="BodyText"/>
        <w:spacing w:before="10"/>
        <w:rPr>
          <w:sz w:val="5"/>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2"/>
        <w:gridCol w:w="741"/>
        <w:gridCol w:w="795"/>
        <w:gridCol w:w="600"/>
      </w:tblGrid>
      <w:tr>
        <w:trPr>
          <w:trHeight w:val="386" w:hRule="atLeast"/>
        </w:trPr>
        <w:tc>
          <w:tcPr>
            <w:tcW w:w="2062" w:type="dxa"/>
            <w:shd w:val="clear" w:color="auto" w:fill="BEBEBE"/>
          </w:tcPr>
          <w:p>
            <w:pPr>
              <w:pStyle w:val="TableParagraph"/>
              <w:spacing w:before="120"/>
              <w:rPr>
                <w:b/>
                <w:sz w:val="18"/>
              </w:rPr>
            </w:pPr>
            <w:r>
              <w:rPr>
                <w:b/>
                <w:color w:val="1F487C"/>
                <w:sz w:val="18"/>
              </w:rPr>
              <w:t>Τύπος</w:t>
            </w:r>
            <w:r>
              <w:rPr>
                <w:b/>
                <w:color w:val="1F487C"/>
                <w:spacing w:val="1"/>
                <w:sz w:val="18"/>
              </w:rPr>
              <w:t> </w:t>
            </w:r>
            <w:r>
              <w:rPr>
                <w:b/>
                <w:color w:val="1F487C"/>
                <w:spacing w:val="-2"/>
                <w:sz w:val="18"/>
              </w:rPr>
              <w:t>Συναλλαγών</w:t>
            </w:r>
          </w:p>
        </w:tc>
        <w:tc>
          <w:tcPr>
            <w:tcW w:w="741" w:type="dxa"/>
            <w:shd w:val="clear" w:color="auto" w:fill="BEBEBE"/>
          </w:tcPr>
          <w:p>
            <w:pPr>
              <w:pStyle w:val="TableParagraph"/>
              <w:spacing w:before="120"/>
              <w:ind w:left="124" w:right="132"/>
              <w:jc w:val="center"/>
              <w:rPr>
                <w:b/>
                <w:sz w:val="18"/>
              </w:rPr>
            </w:pPr>
            <w:r>
              <w:rPr>
                <w:b/>
                <w:color w:val="1F487C"/>
                <w:spacing w:val="-4"/>
                <w:sz w:val="18"/>
              </w:rPr>
              <w:t>2025</w:t>
            </w:r>
          </w:p>
        </w:tc>
        <w:tc>
          <w:tcPr>
            <w:tcW w:w="795" w:type="dxa"/>
            <w:shd w:val="clear" w:color="auto" w:fill="BEBEBE"/>
          </w:tcPr>
          <w:p>
            <w:pPr>
              <w:pStyle w:val="TableParagraph"/>
              <w:spacing w:before="120"/>
              <w:ind w:left="176" w:right="134"/>
              <w:jc w:val="center"/>
              <w:rPr>
                <w:b/>
                <w:sz w:val="18"/>
              </w:rPr>
            </w:pPr>
            <w:r>
              <w:rPr>
                <w:b/>
                <w:color w:val="1F487C"/>
                <w:spacing w:val="-4"/>
                <w:sz w:val="18"/>
              </w:rPr>
              <w:t>2024</w:t>
            </w:r>
          </w:p>
        </w:tc>
        <w:tc>
          <w:tcPr>
            <w:tcW w:w="600" w:type="dxa"/>
            <w:shd w:val="clear" w:color="auto" w:fill="BEBEBE"/>
          </w:tcPr>
          <w:p>
            <w:pPr>
              <w:pStyle w:val="TableParagraph"/>
              <w:spacing w:before="120"/>
              <w:jc w:val="right"/>
              <w:rPr>
                <w:b/>
                <w:sz w:val="18"/>
              </w:rPr>
            </w:pPr>
            <w:r>
              <w:rPr>
                <w:b/>
                <w:color w:val="1F487C"/>
                <w:spacing w:val="-4"/>
                <w:sz w:val="18"/>
              </w:rPr>
              <w:t>2023</w:t>
            </w:r>
          </w:p>
        </w:tc>
      </w:tr>
      <w:tr>
        <w:trPr>
          <w:trHeight w:val="802" w:hRule="atLeast"/>
        </w:trPr>
        <w:tc>
          <w:tcPr>
            <w:tcW w:w="2062" w:type="dxa"/>
            <w:shd w:val="clear" w:color="auto" w:fill="D9D9D9"/>
          </w:tcPr>
          <w:p>
            <w:pPr>
              <w:pStyle w:val="TableParagraph"/>
              <w:spacing w:before="120"/>
              <w:ind w:right="139"/>
              <w:jc w:val="both"/>
              <w:rPr>
                <w:sz w:val="18"/>
              </w:rPr>
            </w:pPr>
            <w:r>
              <w:rPr>
                <w:sz w:val="18"/>
              </w:rPr>
              <w:t>Μεταφορές πιστώσεων</w:t>
            </w:r>
            <w:r>
              <w:rPr>
                <w:spacing w:val="40"/>
                <w:sz w:val="18"/>
              </w:rPr>
              <w:t> </w:t>
            </w:r>
            <w:r>
              <w:rPr>
                <w:sz w:val="18"/>
              </w:rPr>
              <w:t>και λοιπές κινήσεις κεφα-</w:t>
            </w:r>
            <w:r>
              <w:rPr>
                <w:spacing w:val="-2"/>
                <w:sz w:val="18"/>
              </w:rPr>
              <w:t>λαίων</w:t>
            </w:r>
          </w:p>
        </w:tc>
        <w:tc>
          <w:tcPr>
            <w:tcW w:w="741" w:type="dxa"/>
            <w:shd w:val="clear" w:color="auto" w:fill="D9D9D9"/>
          </w:tcPr>
          <w:p>
            <w:pPr>
              <w:pStyle w:val="TableParagraph"/>
              <w:spacing w:before="119"/>
              <w:rPr>
                <w:sz w:val="18"/>
              </w:rPr>
            </w:pPr>
          </w:p>
          <w:p>
            <w:pPr>
              <w:pStyle w:val="TableParagraph"/>
              <w:spacing w:before="1"/>
              <w:ind w:left="124" w:right="178"/>
              <w:jc w:val="center"/>
              <w:rPr>
                <w:sz w:val="18"/>
              </w:rPr>
            </w:pPr>
            <w:r>
              <w:rPr>
                <w:spacing w:val="-2"/>
                <w:sz w:val="18"/>
              </w:rPr>
              <w:t>452,3</w:t>
            </w:r>
          </w:p>
        </w:tc>
        <w:tc>
          <w:tcPr>
            <w:tcW w:w="795" w:type="dxa"/>
            <w:shd w:val="clear" w:color="auto" w:fill="D9D9D9"/>
          </w:tcPr>
          <w:p>
            <w:pPr>
              <w:pStyle w:val="TableParagraph"/>
              <w:spacing w:before="119"/>
              <w:rPr>
                <w:sz w:val="18"/>
              </w:rPr>
            </w:pPr>
          </w:p>
          <w:p>
            <w:pPr>
              <w:pStyle w:val="TableParagraph"/>
              <w:spacing w:before="1"/>
              <w:ind w:left="176" w:right="177"/>
              <w:jc w:val="center"/>
              <w:rPr>
                <w:sz w:val="18"/>
              </w:rPr>
            </w:pPr>
            <w:r>
              <w:rPr>
                <w:spacing w:val="-2"/>
                <w:sz w:val="18"/>
              </w:rPr>
              <w:t>390,4</w:t>
            </w:r>
          </w:p>
        </w:tc>
        <w:tc>
          <w:tcPr>
            <w:tcW w:w="600" w:type="dxa"/>
            <w:shd w:val="clear" w:color="auto" w:fill="D9D9D9"/>
          </w:tcPr>
          <w:p>
            <w:pPr>
              <w:pStyle w:val="TableParagraph"/>
              <w:spacing w:before="119"/>
              <w:rPr>
                <w:sz w:val="18"/>
              </w:rPr>
            </w:pPr>
          </w:p>
          <w:p>
            <w:pPr>
              <w:pStyle w:val="TableParagraph"/>
              <w:spacing w:before="1"/>
              <w:ind w:right="1"/>
              <w:jc w:val="right"/>
              <w:rPr>
                <w:sz w:val="18"/>
              </w:rPr>
            </w:pPr>
            <w:r>
              <w:rPr>
                <w:spacing w:val="-2"/>
                <w:sz w:val="18"/>
              </w:rPr>
              <w:t>342,3</w:t>
            </w:r>
          </w:p>
        </w:tc>
      </w:tr>
      <w:tr>
        <w:trPr>
          <w:trHeight w:val="592" w:hRule="atLeast"/>
        </w:trPr>
        <w:tc>
          <w:tcPr>
            <w:tcW w:w="2062" w:type="dxa"/>
            <w:shd w:val="clear" w:color="auto" w:fill="BEBEBE"/>
          </w:tcPr>
          <w:p>
            <w:pPr>
              <w:pStyle w:val="TableParagraph"/>
              <w:spacing w:before="120"/>
              <w:ind w:left="141"/>
              <w:rPr>
                <w:i/>
                <w:sz w:val="18"/>
              </w:rPr>
            </w:pPr>
            <w:r>
              <w:rPr>
                <w:i/>
                <w:sz w:val="18"/>
              </w:rPr>
              <w:t>Εκ</w:t>
            </w:r>
            <w:r>
              <w:rPr>
                <w:i/>
                <w:spacing w:val="40"/>
                <w:sz w:val="18"/>
              </w:rPr>
              <w:t> </w:t>
            </w:r>
            <w:r>
              <w:rPr>
                <w:i/>
                <w:sz w:val="18"/>
              </w:rPr>
              <w:t>των</w:t>
            </w:r>
            <w:r>
              <w:rPr>
                <w:i/>
                <w:spacing w:val="40"/>
                <w:sz w:val="18"/>
              </w:rPr>
              <w:t> </w:t>
            </w:r>
            <w:r>
              <w:rPr>
                <w:i/>
                <w:sz w:val="18"/>
              </w:rPr>
              <w:t>οποίων</w:t>
            </w:r>
            <w:r>
              <w:rPr>
                <w:i/>
                <w:spacing w:val="40"/>
                <w:sz w:val="18"/>
              </w:rPr>
              <w:t> </w:t>
            </w:r>
            <w:r>
              <w:rPr>
                <w:i/>
                <w:sz w:val="18"/>
              </w:rPr>
              <w:t>άμεσες μεταφορές πίστωσης</w:t>
            </w:r>
          </w:p>
        </w:tc>
        <w:tc>
          <w:tcPr>
            <w:tcW w:w="741" w:type="dxa"/>
            <w:shd w:val="clear" w:color="auto" w:fill="BEBEBE"/>
          </w:tcPr>
          <w:p>
            <w:pPr>
              <w:pStyle w:val="TableParagraph"/>
              <w:spacing w:before="16"/>
              <w:rPr>
                <w:sz w:val="18"/>
              </w:rPr>
            </w:pPr>
          </w:p>
          <w:p>
            <w:pPr>
              <w:pStyle w:val="TableParagraph"/>
              <w:ind w:left="124" w:right="178"/>
              <w:jc w:val="center"/>
              <w:rPr>
                <w:sz w:val="18"/>
              </w:rPr>
            </w:pPr>
            <w:r>
              <w:rPr>
                <w:spacing w:val="-2"/>
                <w:sz w:val="18"/>
              </w:rPr>
              <w:t>122,0</w:t>
            </w:r>
          </w:p>
        </w:tc>
        <w:tc>
          <w:tcPr>
            <w:tcW w:w="795" w:type="dxa"/>
            <w:shd w:val="clear" w:color="auto" w:fill="BEBEBE"/>
          </w:tcPr>
          <w:p>
            <w:pPr>
              <w:pStyle w:val="TableParagraph"/>
              <w:spacing w:before="16"/>
              <w:rPr>
                <w:sz w:val="18"/>
              </w:rPr>
            </w:pPr>
          </w:p>
          <w:p>
            <w:pPr>
              <w:pStyle w:val="TableParagraph"/>
              <w:ind w:left="176" w:right="89"/>
              <w:jc w:val="center"/>
              <w:rPr>
                <w:sz w:val="18"/>
              </w:rPr>
            </w:pPr>
            <w:r>
              <w:rPr>
                <w:spacing w:val="-4"/>
                <w:sz w:val="18"/>
              </w:rPr>
              <w:t>70,6</w:t>
            </w:r>
          </w:p>
        </w:tc>
        <w:tc>
          <w:tcPr>
            <w:tcW w:w="600" w:type="dxa"/>
            <w:shd w:val="clear" w:color="auto" w:fill="BEBEBE"/>
          </w:tcPr>
          <w:p>
            <w:pPr>
              <w:pStyle w:val="TableParagraph"/>
              <w:spacing w:before="16"/>
              <w:rPr>
                <w:sz w:val="18"/>
              </w:rPr>
            </w:pPr>
          </w:p>
          <w:p>
            <w:pPr>
              <w:pStyle w:val="TableParagraph"/>
              <w:jc w:val="right"/>
              <w:rPr>
                <w:sz w:val="18"/>
              </w:rPr>
            </w:pPr>
            <w:r>
              <w:rPr>
                <w:spacing w:val="-4"/>
                <w:sz w:val="18"/>
              </w:rPr>
              <w:t>36,8</w:t>
            </w:r>
          </w:p>
        </w:tc>
      </w:tr>
      <w:tr>
        <w:trPr>
          <w:trHeight w:val="388" w:hRule="atLeast"/>
        </w:trPr>
        <w:tc>
          <w:tcPr>
            <w:tcW w:w="2062" w:type="dxa"/>
            <w:shd w:val="clear" w:color="auto" w:fill="D9D9D9"/>
          </w:tcPr>
          <w:p>
            <w:pPr>
              <w:pStyle w:val="TableParagraph"/>
              <w:spacing w:before="120"/>
              <w:rPr>
                <w:sz w:val="18"/>
              </w:rPr>
            </w:pPr>
            <w:r>
              <w:rPr>
                <w:sz w:val="18"/>
              </w:rPr>
              <w:t>Άμεσες</w:t>
            </w:r>
            <w:r>
              <w:rPr>
                <w:spacing w:val="-2"/>
                <w:sz w:val="18"/>
              </w:rPr>
              <w:t> χρεώσεις</w:t>
            </w:r>
          </w:p>
        </w:tc>
        <w:tc>
          <w:tcPr>
            <w:tcW w:w="741" w:type="dxa"/>
            <w:shd w:val="clear" w:color="auto" w:fill="D9D9D9"/>
          </w:tcPr>
          <w:p>
            <w:pPr>
              <w:pStyle w:val="TableParagraph"/>
              <w:spacing w:before="120"/>
              <w:ind w:left="124" w:right="89"/>
              <w:jc w:val="center"/>
              <w:rPr>
                <w:sz w:val="18"/>
              </w:rPr>
            </w:pPr>
            <w:r>
              <w:rPr>
                <w:spacing w:val="-4"/>
                <w:sz w:val="18"/>
              </w:rPr>
              <w:t>35,6</w:t>
            </w:r>
          </w:p>
        </w:tc>
        <w:tc>
          <w:tcPr>
            <w:tcW w:w="795" w:type="dxa"/>
            <w:shd w:val="clear" w:color="auto" w:fill="D9D9D9"/>
          </w:tcPr>
          <w:p>
            <w:pPr>
              <w:pStyle w:val="TableParagraph"/>
              <w:spacing w:before="120"/>
              <w:ind w:left="176" w:right="89"/>
              <w:jc w:val="center"/>
              <w:rPr>
                <w:sz w:val="18"/>
              </w:rPr>
            </w:pPr>
            <w:r>
              <w:rPr>
                <w:spacing w:val="-4"/>
                <w:sz w:val="18"/>
              </w:rPr>
              <w:t>32,2</w:t>
            </w:r>
          </w:p>
        </w:tc>
        <w:tc>
          <w:tcPr>
            <w:tcW w:w="600" w:type="dxa"/>
            <w:shd w:val="clear" w:color="auto" w:fill="D9D9D9"/>
          </w:tcPr>
          <w:p>
            <w:pPr>
              <w:pStyle w:val="TableParagraph"/>
              <w:spacing w:before="120"/>
              <w:jc w:val="right"/>
              <w:rPr>
                <w:sz w:val="18"/>
              </w:rPr>
            </w:pPr>
            <w:r>
              <w:rPr>
                <w:spacing w:val="-4"/>
                <w:sz w:val="18"/>
              </w:rPr>
              <w:t>28,0</w:t>
            </w:r>
          </w:p>
        </w:tc>
      </w:tr>
      <w:tr>
        <w:trPr>
          <w:trHeight w:val="386" w:hRule="atLeast"/>
        </w:trPr>
        <w:tc>
          <w:tcPr>
            <w:tcW w:w="2062" w:type="dxa"/>
            <w:shd w:val="clear" w:color="auto" w:fill="BEBEBE"/>
          </w:tcPr>
          <w:p>
            <w:pPr>
              <w:pStyle w:val="TableParagraph"/>
              <w:spacing w:before="120"/>
              <w:rPr>
                <w:sz w:val="18"/>
              </w:rPr>
            </w:pPr>
            <w:r>
              <w:rPr>
                <w:spacing w:val="-2"/>
                <w:sz w:val="18"/>
              </w:rPr>
              <w:t>Επιταγές</w:t>
            </w:r>
          </w:p>
        </w:tc>
        <w:tc>
          <w:tcPr>
            <w:tcW w:w="741" w:type="dxa"/>
            <w:shd w:val="clear" w:color="auto" w:fill="BEBEBE"/>
          </w:tcPr>
          <w:p>
            <w:pPr>
              <w:pStyle w:val="TableParagraph"/>
              <w:spacing w:before="120"/>
              <w:ind w:left="124"/>
              <w:jc w:val="center"/>
              <w:rPr>
                <w:sz w:val="18"/>
              </w:rPr>
            </w:pPr>
            <w:r>
              <w:rPr>
                <w:spacing w:val="-5"/>
                <w:sz w:val="18"/>
              </w:rPr>
              <w:t>1,9</w:t>
            </w:r>
          </w:p>
        </w:tc>
        <w:tc>
          <w:tcPr>
            <w:tcW w:w="795" w:type="dxa"/>
            <w:shd w:val="clear" w:color="auto" w:fill="BEBEBE"/>
          </w:tcPr>
          <w:p>
            <w:pPr>
              <w:pStyle w:val="TableParagraph"/>
              <w:spacing w:before="120"/>
              <w:ind w:left="177" w:right="1"/>
              <w:jc w:val="center"/>
              <w:rPr>
                <w:sz w:val="18"/>
              </w:rPr>
            </w:pPr>
            <w:r>
              <w:rPr>
                <w:spacing w:val="-5"/>
                <w:sz w:val="18"/>
              </w:rPr>
              <w:t>2,0</w:t>
            </w:r>
          </w:p>
        </w:tc>
        <w:tc>
          <w:tcPr>
            <w:tcW w:w="600" w:type="dxa"/>
            <w:shd w:val="clear" w:color="auto" w:fill="BEBEBE"/>
          </w:tcPr>
          <w:p>
            <w:pPr>
              <w:pStyle w:val="TableParagraph"/>
              <w:spacing w:before="120"/>
              <w:jc w:val="right"/>
              <w:rPr>
                <w:sz w:val="18"/>
              </w:rPr>
            </w:pPr>
            <w:r>
              <w:rPr>
                <w:spacing w:val="-5"/>
                <w:sz w:val="18"/>
              </w:rPr>
              <w:t>2,1</w:t>
            </w:r>
          </w:p>
        </w:tc>
      </w:tr>
      <w:tr>
        <w:trPr>
          <w:trHeight w:val="386" w:hRule="atLeast"/>
        </w:trPr>
        <w:tc>
          <w:tcPr>
            <w:tcW w:w="2062" w:type="dxa"/>
            <w:shd w:val="clear" w:color="auto" w:fill="D9D9D9"/>
          </w:tcPr>
          <w:p>
            <w:pPr>
              <w:pStyle w:val="TableParagraph"/>
              <w:spacing w:before="120"/>
              <w:rPr>
                <w:sz w:val="18"/>
              </w:rPr>
            </w:pPr>
            <w:r>
              <w:rPr>
                <w:sz w:val="18"/>
              </w:rPr>
              <w:t>Αναλήψεις</w:t>
            </w:r>
            <w:r>
              <w:rPr>
                <w:spacing w:val="-2"/>
                <w:sz w:val="18"/>
              </w:rPr>
              <w:t> </w:t>
            </w:r>
            <w:r>
              <w:rPr>
                <w:sz w:val="18"/>
              </w:rPr>
              <w:t>σε</w:t>
            </w:r>
            <w:r>
              <w:rPr>
                <w:spacing w:val="-1"/>
                <w:sz w:val="18"/>
              </w:rPr>
              <w:t> </w:t>
            </w:r>
            <w:r>
              <w:rPr>
                <w:spacing w:val="-5"/>
                <w:sz w:val="18"/>
              </w:rPr>
              <w:t>ATM</w:t>
            </w:r>
          </w:p>
        </w:tc>
        <w:tc>
          <w:tcPr>
            <w:tcW w:w="741" w:type="dxa"/>
            <w:shd w:val="clear" w:color="auto" w:fill="D9D9D9"/>
          </w:tcPr>
          <w:p>
            <w:pPr>
              <w:pStyle w:val="TableParagraph"/>
              <w:spacing w:before="120"/>
              <w:ind w:left="124"/>
              <w:jc w:val="center"/>
              <w:rPr>
                <w:sz w:val="18"/>
              </w:rPr>
            </w:pPr>
            <w:r>
              <w:rPr>
                <w:spacing w:val="-5"/>
                <w:sz w:val="18"/>
              </w:rPr>
              <w:t>5,4</w:t>
            </w:r>
          </w:p>
        </w:tc>
        <w:tc>
          <w:tcPr>
            <w:tcW w:w="795" w:type="dxa"/>
            <w:shd w:val="clear" w:color="auto" w:fill="D9D9D9"/>
          </w:tcPr>
          <w:p>
            <w:pPr>
              <w:pStyle w:val="TableParagraph"/>
              <w:spacing w:before="120"/>
              <w:ind w:left="177" w:right="1"/>
              <w:jc w:val="center"/>
              <w:rPr>
                <w:sz w:val="18"/>
              </w:rPr>
            </w:pPr>
            <w:r>
              <w:rPr>
                <w:spacing w:val="-5"/>
                <w:sz w:val="18"/>
              </w:rPr>
              <w:t>4,1</w:t>
            </w:r>
          </w:p>
        </w:tc>
        <w:tc>
          <w:tcPr>
            <w:tcW w:w="600" w:type="dxa"/>
            <w:shd w:val="clear" w:color="auto" w:fill="D9D9D9"/>
          </w:tcPr>
          <w:p>
            <w:pPr>
              <w:pStyle w:val="TableParagraph"/>
              <w:spacing w:before="120"/>
              <w:jc w:val="right"/>
              <w:rPr>
                <w:sz w:val="18"/>
              </w:rPr>
            </w:pPr>
            <w:r>
              <w:rPr>
                <w:spacing w:val="-5"/>
                <w:sz w:val="18"/>
              </w:rPr>
              <w:t>3,9</w:t>
            </w:r>
          </w:p>
        </w:tc>
      </w:tr>
      <w:tr>
        <w:trPr>
          <w:trHeight w:val="386" w:hRule="atLeast"/>
        </w:trPr>
        <w:tc>
          <w:tcPr>
            <w:tcW w:w="2062" w:type="dxa"/>
            <w:shd w:val="clear" w:color="auto" w:fill="BEBEBE"/>
          </w:tcPr>
          <w:p>
            <w:pPr>
              <w:pStyle w:val="TableParagraph"/>
              <w:spacing w:before="120"/>
              <w:rPr>
                <w:sz w:val="18"/>
              </w:rPr>
            </w:pPr>
            <w:r>
              <w:rPr>
                <w:sz w:val="18"/>
              </w:rPr>
              <w:t>Συναλλαγές</w:t>
            </w:r>
            <w:r>
              <w:rPr>
                <w:spacing w:val="-3"/>
                <w:sz w:val="18"/>
              </w:rPr>
              <w:t> </w:t>
            </w:r>
            <w:r>
              <w:rPr>
                <w:sz w:val="18"/>
              </w:rPr>
              <w:t>σε</w:t>
            </w:r>
            <w:r>
              <w:rPr>
                <w:spacing w:val="-2"/>
                <w:sz w:val="18"/>
              </w:rPr>
              <w:t> </w:t>
            </w:r>
            <w:r>
              <w:rPr>
                <w:spacing w:val="-5"/>
                <w:sz w:val="18"/>
              </w:rPr>
              <w:t>POS</w:t>
            </w:r>
          </w:p>
        </w:tc>
        <w:tc>
          <w:tcPr>
            <w:tcW w:w="741" w:type="dxa"/>
            <w:shd w:val="clear" w:color="auto" w:fill="BEBEBE"/>
          </w:tcPr>
          <w:p>
            <w:pPr>
              <w:pStyle w:val="TableParagraph"/>
              <w:spacing w:before="120"/>
              <w:ind w:left="124" w:right="89"/>
              <w:jc w:val="center"/>
              <w:rPr>
                <w:sz w:val="18"/>
              </w:rPr>
            </w:pPr>
            <w:r>
              <w:rPr>
                <w:spacing w:val="-4"/>
                <w:sz w:val="18"/>
              </w:rPr>
              <w:t>43,2</w:t>
            </w:r>
          </w:p>
        </w:tc>
        <w:tc>
          <w:tcPr>
            <w:tcW w:w="795" w:type="dxa"/>
            <w:shd w:val="clear" w:color="auto" w:fill="BEBEBE"/>
          </w:tcPr>
          <w:p>
            <w:pPr>
              <w:pStyle w:val="TableParagraph"/>
              <w:spacing w:before="120"/>
              <w:ind w:left="176" w:right="89"/>
              <w:jc w:val="center"/>
              <w:rPr>
                <w:sz w:val="18"/>
              </w:rPr>
            </w:pPr>
            <w:r>
              <w:rPr>
                <w:spacing w:val="-4"/>
                <w:sz w:val="18"/>
              </w:rPr>
              <w:t>36,8</w:t>
            </w:r>
          </w:p>
        </w:tc>
        <w:tc>
          <w:tcPr>
            <w:tcW w:w="600" w:type="dxa"/>
            <w:shd w:val="clear" w:color="auto" w:fill="BEBEBE"/>
          </w:tcPr>
          <w:p>
            <w:pPr>
              <w:pStyle w:val="TableParagraph"/>
              <w:spacing w:before="120"/>
              <w:jc w:val="right"/>
              <w:rPr>
                <w:sz w:val="18"/>
              </w:rPr>
            </w:pPr>
            <w:r>
              <w:rPr>
                <w:spacing w:val="-4"/>
                <w:sz w:val="18"/>
              </w:rPr>
              <w:t>28,0</w:t>
            </w:r>
          </w:p>
        </w:tc>
      </w:tr>
      <w:tr>
        <w:trPr>
          <w:trHeight w:val="388" w:hRule="atLeast"/>
        </w:trPr>
        <w:tc>
          <w:tcPr>
            <w:tcW w:w="2062" w:type="dxa"/>
            <w:shd w:val="clear" w:color="auto" w:fill="D9D9D9"/>
          </w:tcPr>
          <w:p>
            <w:pPr>
              <w:pStyle w:val="TableParagraph"/>
              <w:spacing w:before="120"/>
              <w:rPr>
                <w:b/>
                <w:sz w:val="18"/>
              </w:rPr>
            </w:pPr>
            <w:r>
              <w:rPr>
                <w:b/>
                <w:color w:val="1F487C"/>
                <w:spacing w:val="-2"/>
                <w:sz w:val="18"/>
              </w:rPr>
              <w:t>Σύνολο</w:t>
            </w:r>
          </w:p>
        </w:tc>
        <w:tc>
          <w:tcPr>
            <w:tcW w:w="741" w:type="dxa"/>
            <w:shd w:val="clear" w:color="auto" w:fill="D9D9D9"/>
          </w:tcPr>
          <w:p>
            <w:pPr>
              <w:pStyle w:val="TableParagraph"/>
              <w:spacing w:before="120"/>
              <w:ind w:left="124" w:right="177"/>
              <w:jc w:val="center"/>
              <w:rPr>
                <w:b/>
                <w:sz w:val="18"/>
              </w:rPr>
            </w:pPr>
            <w:r>
              <w:rPr>
                <w:b/>
                <w:color w:val="1F487C"/>
                <w:spacing w:val="-2"/>
                <w:sz w:val="18"/>
              </w:rPr>
              <w:t>538,4</w:t>
            </w:r>
          </w:p>
        </w:tc>
        <w:tc>
          <w:tcPr>
            <w:tcW w:w="795" w:type="dxa"/>
            <w:shd w:val="clear" w:color="auto" w:fill="D9D9D9"/>
          </w:tcPr>
          <w:p>
            <w:pPr>
              <w:pStyle w:val="TableParagraph"/>
              <w:spacing w:before="120"/>
              <w:ind w:left="176" w:right="177"/>
              <w:jc w:val="center"/>
              <w:rPr>
                <w:b/>
                <w:sz w:val="18"/>
              </w:rPr>
            </w:pPr>
            <w:r>
              <w:rPr>
                <w:b/>
                <w:color w:val="1F487C"/>
                <w:spacing w:val="-2"/>
                <w:sz w:val="18"/>
              </w:rPr>
              <w:t>465,5</w:t>
            </w:r>
          </w:p>
        </w:tc>
        <w:tc>
          <w:tcPr>
            <w:tcW w:w="600" w:type="dxa"/>
            <w:shd w:val="clear" w:color="auto" w:fill="D9D9D9"/>
          </w:tcPr>
          <w:p>
            <w:pPr>
              <w:pStyle w:val="TableParagraph"/>
              <w:spacing w:before="120"/>
              <w:ind w:right="1"/>
              <w:jc w:val="right"/>
              <w:rPr>
                <w:b/>
                <w:sz w:val="18"/>
              </w:rPr>
            </w:pPr>
            <w:r>
              <w:rPr>
                <w:b/>
                <w:color w:val="1F487C"/>
                <w:spacing w:val="-2"/>
                <w:sz w:val="18"/>
              </w:rPr>
              <w:t>404,4</w:t>
            </w:r>
          </w:p>
        </w:tc>
      </w:tr>
      <w:tr>
        <w:trPr>
          <w:trHeight w:val="340" w:hRule="atLeast"/>
        </w:trPr>
        <w:tc>
          <w:tcPr>
            <w:tcW w:w="4198" w:type="dxa"/>
            <w:gridSpan w:val="4"/>
            <w:shd w:val="clear" w:color="auto" w:fill="BEBEBE"/>
          </w:tcPr>
          <w:p>
            <w:pPr>
              <w:pStyle w:val="TableParagraph"/>
              <w:spacing w:before="119"/>
              <w:ind w:left="112"/>
              <w:rPr>
                <w:sz w:val="14"/>
              </w:rPr>
            </w:pPr>
            <w:r>
              <w:rPr>
                <w:sz w:val="14"/>
              </w:rPr>
              <w:t>Πηγή:</w:t>
            </w:r>
            <w:r>
              <w:rPr>
                <w:spacing w:val="-5"/>
                <w:sz w:val="14"/>
              </w:rPr>
              <w:t> </w:t>
            </w:r>
            <w:r>
              <w:rPr>
                <w:sz w:val="14"/>
              </w:rPr>
              <w:t>ΔΙΑΣ</w:t>
            </w:r>
            <w:r>
              <w:rPr>
                <w:spacing w:val="-3"/>
                <w:sz w:val="14"/>
              </w:rPr>
              <w:t> </w:t>
            </w:r>
            <w:r>
              <w:rPr>
                <w:spacing w:val="-4"/>
                <w:sz w:val="14"/>
              </w:rPr>
              <w:t>Α.Ε.</w:t>
            </w:r>
          </w:p>
        </w:tc>
      </w:tr>
    </w:tbl>
    <w:p>
      <w:pPr>
        <w:pStyle w:val="TableParagraph"/>
        <w:spacing w:after="0"/>
        <w:rPr>
          <w:sz w:val="14"/>
        </w:rPr>
        <w:sectPr>
          <w:type w:val="continuous"/>
          <w:pgSz w:w="11910" w:h="16850"/>
          <w:pgMar w:header="0" w:footer="1262" w:top="1320" w:bottom="280" w:left="1417" w:right="850"/>
          <w:cols w:num="2" w:equalWidth="0">
            <w:col w:w="4290" w:space="62"/>
            <w:col w:w="5291"/>
          </w:cols>
        </w:sectPr>
      </w:pPr>
    </w:p>
    <w:p>
      <w:pPr>
        <w:pStyle w:val="BodyText"/>
        <w:spacing w:line="307" w:lineRule="auto" w:before="17"/>
        <w:ind w:left="172" w:right="960"/>
        <w:jc w:val="both"/>
      </w:pPr>
      <w:r>
        <w:rPr/>
        <w:t>κολουθώντας</w:t>
      </w:r>
      <w:r>
        <w:rPr>
          <w:spacing w:val="-2"/>
        </w:rPr>
        <w:t> </w:t>
      </w:r>
      <w:r>
        <w:rPr/>
        <w:t>την πτωτική</w:t>
      </w:r>
      <w:r>
        <w:rPr>
          <w:spacing w:val="-2"/>
        </w:rPr>
        <w:t> </w:t>
      </w:r>
      <w:r>
        <w:rPr/>
        <w:t>τάση των τελευταίων</w:t>
      </w:r>
      <w:r>
        <w:rPr>
          <w:spacing w:val="-1"/>
        </w:rPr>
        <w:t> </w:t>
      </w:r>
      <w:r>
        <w:rPr/>
        <w:t>ετών. Αντίστοιχα,</w:t>
      </w:r>
      <w:r>
        <w:rPr>
          <w:spacing w:val="-1"/>
        </w:rPr>
        <w:t> </w:t>
      </w:r>
      <w:r>
        <w:rPr/>
        <w:t>η αξία</w:t>
      </w:r>
      <w:r>
        <w:rPr>
          <w:spacing w:val="-1"/>
        </w:rPr>
        <w:t> </w:t>
      </w:r>
      <w:r>
        <w:rPr/>
        <w:t>των συναλλαγών δια-μορφώθηκε στα 544 δισεκ. ευρώ, αυξημένη κατά 8% σε σχέση με το 2024.</w:t>
      </w:r>
    </w:p>
    <w:p>
      <w:pPr>
        <w:pStyle w:val="BodyText"/>
        <w:spacing w:line="304" w:lineRule="auto" w:before="53"/>
        <w:ind w:left="172" w:right="956"/>
        <w:jc w:val="both"/>
      </w:pPr>
      <w:r>
        <w:rPr/>
        <w:t>Λαμβάνοντας υπόψη τον κρίσιμο ρόλο των άμεσων μεταφορών πίστωσης με σκοπό τη διασφά-λιση</w:t>
      </w:r>
      <w:r>
        <w:rPr>
          <w:spacing w:val="-2"/>
        </w:rPr>
        <w:t> </w:t>
      </w:r>
      <w:r>
        <w:rPr/>
        <w:t>της</w:t>
      </w:r>
      <w:r>
        <w:rPr>
          <w:spacing w:val="-4"/>
        </w:rPr>
        <w:t> </w:t>
      </w:r>
      <w:r>
        <w:rPr/>
        <w:t>ταχύτητας</w:t>
      </w:r>
      <w:r>
        <w:rPr>
          <w:spacing w:val="-3"/>
        </w:rPr>
        <w:t> </w:t>
      </w:r>
      <w:r>
        <w:rPr/>
        <w:t>και</w:t>
      </w:r>
      <w:r>
        <w:rPr>
          <w:spacing w:val="-2"/>
        </w:rPr>
        <w:t> </w:t>
      </w:r>
      <w:r>
        <w:rPr/>
        <w:t>της</w:t>
      </w:r>
      <w:r>
        <w:rPr>
          <w:spacing w:val="-5"/>
        </w:rPr>
        <w:t> </w:t>
      </w:r>
      <w:r>
        <w:rPr/>
        <w:t>αξιοπιστίας</w:t>
      </w:r>
      <w:r>
        <w:rPr>
          <w:spacing w:val="-3"/>
        </w:rPr>
        <w:t> </w:t>
      </w:r>
      <w:r>
        <w:rPr/>
        <w:t>των</w:t>
      </w:r>
      <w:r>
        <w:rPr>
          <w:spacing w:val="-1"/>
        </w:rPr>
        <w:t> </w:t>
      </w:r>
      <w:r>
        <w:rPr/>
        <w:t>συναλλαγών</w:t>
      </w:r>
      <w:r>
        <w:rPr>
          <w:spacing w:val="-1"/>
        </w:rPr>
        <w:t> </w:t>
      </w:r>
      <w:r>
        <w:rPr/>
        <w:t>πληρωμής,</w:t>
      </w:r>
      <w:r>
        <w:rPr>
          <w:spacing w:val="-5"/>
        </w:rPr>
        <w:t> </w:t>
      </w:r>
      <w:r>
        <w:rPr/>
        <w:t>επισημαίνεται</w:t>
      </w:r>
      <w:r>
        <w:rPr>
          <w:spacing w:val="-2"/>
        </w:rPr>
        <w:t> </w:t>
      </w:r>
      <w:r>
        <w:rPr/>
        <w:t>η</w:t>
      </w:r>
      <w:r>
        <w:rPr>
          <w:spacing w:val="-2"/>
        </w:rPr>
        <w:t> </w:t>
      </w:r>
      <w:r>
        <w:rPr/>
        <w:t>σημαντική αύξηση</w:t>
      </w:r>
      <w:r>
        <w:rPr>
          <w:spacing w:val="-6"/>
        </w:rPr>
        <w:t> </w:t>
      </w:r>
      <w:r>
        <w:rPr/>
        <w:t>του</w:t>
      </w:r>
      <w:r>
        <w:rPr>
          <w:spacing w:val="-5"/>
        </w:rPr>
        <w:t> </w:t>
      </w:r>
      <w:r>
        <w:rPr/>
        <w:t>αριθμού</w:t>
      </w:r>
      <w:r>
        <w:rPr>
          <w:spacing w:val="-5"/>
        </w:rPr>
        <w:t> </w:t>
      </w:r>
      <w:r>
        <w:rPr/>
        <w:t>των</w:t>
      </w:r>
      <w:r>
        <w:rPr>
          <w:spacing w:val="-5"/>
        </w:rPr>
        <w:t> </w:t>
      </w:r>
      <w:r>
        <w:rPr/>
        <w:t>συναλλαγών</w:t>
      </w:r>
      <w:r>
        <w:rPr>
          <w:spacing w:val="-2"/>
        </w:rPr>
        <w:t> </w:t>
      </w:r>
      <w:r>
        <w:rPr/>
        <w:t>άμεσων</w:t>
      </w:r>
      <w:r>
        <w:rPr>
          <w:spacing w:val="-5"/>
        </w:rPr>
        <w:t> </w:t>
      </w:r>
      <w:r>
        <w:rPr/>
        <w:t>μεταφορών</w:t>
      </w:r>
      <w:r>
        <w:rPr>
          <w:spacing w:val="-5"/>
        </w:rPr>
        <w:t> </w:t>
      </w:r>
      <w:r>
        <w:rPr/>
        <w:t>πιστώσεων</w:t>
      </w:r>
      <w:r>
        <w:rPr>
          <w:spacing w:val="-2"/>
        </w:rPr>
        <w:t> </w:t>
      </w:r>
      <w:r>
        <w:rPr/>
        <w:t>κατά</w:t>
      </w:r>
      <w:r>
        <w:rPr>
          <w:spacing w:val="-7"/>
        </w:rPr>
        <w:t> </w:t>
      </w:r>
      <w:r>
        <w:rPr/>
        <w:t>73%</w:t>
      </w:r>
      <w:r>
        <w:rPr>
          <w:spacing w:val="-7"/>
        </w:rPr>
        <w:t> </w:t>
      </w:r>
      <w:r>
        <w:rPr/>
        <w:t>σε</w:t>
      </w:r>
      <w:r>
        <w:rPr>
          <w:spacing w:val="-7"/>
        </w:rPr>
        <w:t> </w:t>
      </w:r>
      <w:r>
        <w:rPr/>
        <w:t>σχέση</w:t>
      </w:r>
      <w:r>
        <w:rPr>
          <w:spacing w:val="-6"/>
        </w:rPr>
        <w:t> </w:t>
      </w:r>
      <w:r>
        <w:rPr/>
        <w:t>με</w:t>
      </w:r>
      <w:r>
        <w:rPr>
          <w:spacing w:val="-5"/>
        </w:rPr>
        <w:t> </w:t>
      </w:r>
      <w:r>
        <w:rPr/>
        <w:t>το 2024. Ο αριθμός τους ανήλθε σε 122 εκατ.</w:t>
      </w:r>
      <w:r>
        <w:rPr>
          <w:spacing w:val="-1"/>
        </w:rPr>
        <w:t> </w:t>
      </w:r>
      <w:r>
        <w:rPr/>
        <w:t>συναλλαγές, από 70,6 εκατ. συναλλαγές το 2024. Οι περισσότερες</w:t>
      </w:r>
      <w:r>
        <w:rPr>
          <w:spacing w:val="-14"/>
        </w:rPr>
        <w:t> </w:t>
      </w:r>
      <w:r>
        <w:rPr/>
        <w:t>από</w:t>
      </w:r>
      <w:r>
        <w:rPr>
          <w:spacing w:val="-12"/>
        </w:rPr>
        <w:t> </w:t>
      </w:r>
      <w:r>
        <w:rPr/>
        <w:t>τις</w:t>
      </w:r>
      <w:r>
        <w:rPr>
          <w:spacing w:val="-13"/>
        </w:rPr>
        <w:t> </w:t>
      </w:r>
      <w:r>
        <w:rPr/>
        <w:t>συναλλαγές</w:t>
      </w:r>
      <w:r>
        <w:rPr>
          <w:spacing w:val="-14"/>
        </w:rPr>
        <w:t> </w:t>
      </w:r>
      <w:r>
        <w:rPr/>
        <w:t>αυτές</w:t>
      </w:r>
      <w:r>
        <w:rPr>
          <w:spacing w:val="-13"/>
        </w:rPr>
        <w:t> </w:t>
      </w:r>
      <w:r>
        <w:rPr/>
        <w:t>πραγματοποιήθηκαν</w:t>
      </w:r>
      <w:r>
        <w:rPr>
          <w:spacing w:val="-12"/>
        </w:rPr>
        <w:t> </w:t>
      </w:r>
      <w:r>
        <w:rPr/>
        <w:t>μέσω</w:t>
      </w:r>
      <w:r>
        <w:rPr>
          <w:spacing w:val="-12"/>
        </w:rPr>
        <w:t> </w:t>
      </w:r>
      <w:r>
        <w:rPr/>
        <w:t>της</w:t>
      </w:r>
      <w:r>
        <w:rPr>
          <w:spacing w:val="-14"/>
        </w:rPr>
        <w:t> </w:t>
      </w:r>
      <w:r>
        <w:rPr/>
        <w:t>υπηρεσίας</w:t>
      </w:r>
      <w:r>
        <w:rPr>
          <w:spacing w:val="-11"/>
        </w:rPr>
        <w:t> </w:t>
      </w:r>
      <w:r>
        <w:rPr/>
        <w:t>IRIS</w:t>
      </w:r>
      <w:r>
        <w:rPr>
          <w:spacing w:val="-13"/>
        </w:rPr>
        <w:t> </w:t>
      </w:r>
      <w:r>
        <w:rPr/>
        <w:t>payments (IRIS). Η υπηρεσία IRIS αποτελεί την εθνική λύση πληρωμών που έχει αναπτυχθεί από το σύ-</w:t>
      </w:r>
    </w:p>
    <w:p>
      <w:pPr>
        <w:pStyle w:val="BodyText"/>
        <w:spacing w:after="0" w:line="304" w:lineRule="auto"/>
        <w:jc w:val="both"/>
        <w:sectPr>
          <w:type w:val="continuous"/>
          <w:pgSz w:w="11910" w:h="16850"/>
          <w:pgMar w:header="0" w:footer="1262" w:top="1320" w:bottom="280" w:left="1417" w:right="850"/>
        </w:sectPr>
      </w:pPr>
    </w:p>
    <w:p>
      <w:pPr>
        <w:pStyle w:val="BodyText"/>
        <w:spacing w:line="304" w:lineRule="auto" w:before="77"/>
        <w:ind w:left="172" w:right="955"/>
        <w:jc w:val="both"/>
      </w:pPr>
      <w:r>
        <w:rPr/>
        <w:t>στημα</w:t>
      </w:r>
      <w:r>
        <w:rPr>
          <w:spacing w:val="-6"/>
        </w:rPr>
        <w:t> </w:t>
      </w:r>
      <w:r>
        <w:rPr/>
        <w:t>πληρωμών</w:t>
      </w:r>
      <w:r>
        <w:rPr>
          <w:spacing w:val="-5"/>
        </w:rPr>
        <w:t> </w:t>
      </w:r>
      <w:r>
        <w:rPr/>
        <w:t>ΔΙΑΣ</w:t>
      </w:r>
      <w:r>
        <w:rPr>
          <w:spacing w:val="-7"/>
        </w:rPr>
        <w:t> </w:t>
      </w:r>
      <w:r>
        <w:rPr/>
        <w:t>με</w:t>
      </w:r>
      <w:r>
        <w:rPr>
          <w:spacing w:val="-7"/>
        </w:rPr>
        <w:t> </w:t>
      </w:r>
      <w:r>
        <w:rPr/>
        <w:t>σκοπό</w:t>
      </w:r>
      <w:r>
        <w:rPr>
          <w:spacing w:val="-6"/>
        </w:rPr>
        <w:t> </w:t>
      </w:r>
      <w:r>
        <w:rPr/>
        <w:t>την</w:t>
      </w:r>
      <w:r>
        <w:rPr>
          <w:spacing w:val="-7"/>
        </w:rPr>
        <w:t> </w:t>
      </w:r>
      <w:r>
        <w:rPr/>
        <w:t>εναρμόνιση</w:t>
      </w:r>
      <w:r>
        <w:rPr>
          <w:spacing w:val="-6"/>
        </w:rPr>
        <w:t> </w:t>
      </w:r>
      <w:r>
        <w:rPr/>
        <w:t>των</w:t>
      </w:r>
      <w:r>
        <w:rPr>
          <w:spacing w:val="-7"/>
        </w:rPr>
        <w:t> </w:t>
      </w:r>
      <w:r>
        <w:rPr/>
        <w:t>παρόχων</w:t>
      </w:r>
      <w:r>
        <w:rPr>
          <w:spacing w:val="-5"/>
        </w:rPr>
        <w:t> </w:t>
      </w:r>
      <w:r>
        <w:rPr/>
        <w:t>υπηρεσιών</w:t>
      </w:r>
      <w:r>
        <w:rPr>
          <w:spacing w:val="-5"/>
        </w:rPr>
        <w:t> </w:t>
      </w:r>
      <w:r>
        <w:rPr/>
        <w:t>πληρωμών</w:t>
      </w:r>
      <w:r>
        <w:rPr>
          <w:spacing w:val="-5"/>
        </w:rPr>
        <w:t> </w:t>
      </w:r>
      <w:r>
        <w:rPr/>
        <w:t>που</w:t>
      </w:r>
      <w:r>
        <w:rPr>
          <w:spacing w:val="-5"/>
        </w:rPr>
        <w:t> </w:t>
      </w:r>
      <w:r>
        <w:rPr/>
        <w:t>δρα-στηριοποιούνται στην Ελλάδα με τις απαιτήσεις του νέου ευρωπαϊκού ρυθμιστικού πλαισίου (Κανονισμός (ΕΕ) 2024/886</w:t>
      </w:r>
      <w:hyperlink w:history="true" w:anchor="_bookmark141">
        <w:r>
          <w:rPr>
            <w:position w:val="6"/>
            <w:sz w:val="10"/>
          </w:rPr>
          <w:t>96</w:t>
        </w:r>
      </w:hyperlink>
      <w:r>
        <w:rPr/>
        <w:t>) για τη διεύρυνση της χρήσης των άμεσων πληρωμών με σκοπό την</w:t>
      </w:r>
      <w:r>
        <w:rPr>
          <w:spacing w:val="-7"/>
        </w:rPr>
        <w:t> </w:t>
      </w:r>
      <w:r>
        <w:rPr/>
        <w:t>άμεση</w:t>
      </w:r>
      <w:r>
        <w:rPr>
          <w:spacing w:val="-7"/>
        </w:rPr>
        <w:t> </w:t>
      </w:r>
      <w:r>
        <w:rPr/>
        <w:t>και</w:t>
      </w:r>
      <w:r>
        <w:rPr>
          <w:spacing w:val="-9"/>
        </w:rPr>
        <w:t> </w:t>
      </w:r>
      <w:r>
        <w:rPr/>
        <w:t>ασφαλή</w:t>
      </w:r>
      <w:r>
        <w:rPr>
          <w:spacing w:val="-10"/>
        </w:rPr>
        <w:t> </w:t>
      </w:r>
      <w:r>
        <w:rPr/>
        <w:t>εξυπηρέτηση</w:t>
      </w:r>
      <w:r>
        <w:rPr>
          <w:spacing w:val="-7"/>
        </w:rPr>
        <w:t> </w:t>
      </w:r>
      <w:r>
        <w:rPr/>
        <w:t>των</w:t>
      </w:r>
      <w:r>
        <w:rPr>
          <w:spacing w:val="-9"/>
        </w:rPr>
        <w:t> </w:t>
      </w:r>
      <w:r>
        <w:rPr/>
        <w:t>χρηστών</w:t>
      </w:r>
      <w:r>
        <w:rPr>
          <w:spacing w:val="-6"/>
        </w:rPr>
        <w:t> </w:t>
      </w:r>
      <w:r>
        <w:rPr/>
        <w:t>των</w:t>
      </w:r>
      <w:r>
        <w:rPr>
          <w:spacing w:val="-9"/>
        </w:rPr>
        <w:t> </w:t>
      </w:r>
      <w:r>
        <w:rPr/>
        <w:t>μέσων</w:t>
      </w:r>
      <w:r>
        <w:rPr>
          <w:spacing w:val="-6"/>
        </w:rPr>
        <w:t> </w:t>
      </w:r>
      <w:r>
        <w:rPr/>
        <w:t>πληρωμής.</w:t>
      </w:r>
      <w:r>
        <w:rPr>
          <w:spacing w:val="-7"/>
        </w:rPr>
        <w:t> </w:t>
      </w:r>
      <w:r>
        <w:rPr/>
        <w:t>Σημειώνεται</w:t>
      </w:r>
      <w:r>
        <w:rPr>
          <w:spacing w:val="-7"/>
        </w:rPr>
        <w:t> </w:t>
      </w:r>
      <w:r>
        <w:rPr/>
        <w:t>ότι,</w:t>
      </w:r>
      <w:r>
        <w:rPr>
          <w:spacing w:val="-9"/>
        </w:rPr>
        <w:t> </w:t>
      </w:r>
      <w:r>
        <w:rPr/>
        <w:t>βάσει των</w:t>
      </w:r>
      <w:r>
        <w:rPr>
          <w:spacing w:val="-14"/>
        </w:rPr>
        <w:t> </w:t>
      </w:r>
      <w:r>
        <w:rPr/>
        <w:t>απαιτήσεων</w:t>
      </w:r>
      <w:r>
        <w:rPr>
          <w:spacing w:val="-13"/>
        </w:rPr>
        <w:t> </w:t>
      </w:r>
      <w:r>
        <w:rPr/>
        <w:t>του</w:t>
      </w:r>
      <w:r>
        <w:rPr>
          <w:spacing w:val="-11"/>
        </w:rPr>
        <w:t> </w:t>
      </w:r>
      <w:r>
        <w:rPr/>
        <w:t>Κανονισμού,</w:t>
      </w:r>
      <w:r>
        <w:rPr>
          <w:spacing w:val="-12"/>
        </w:rPr>
        <w:t> </w:t>
      </w:r>
      <w:r>
        <w:rPr/>
        <w:t>μια</w:t>
      </w:r>
      <w:r>
        <w:rPr>
          <w:spacing w:val="-12"/>
        </w:rPr>
        <w:t> </w:t>
      </w:r>
      <w:r>
        <w:rPr/>
        <w:t>άμεση</w:t>
      </w:r>
      <w:r>
        <w:rPr>
          <w:spacing w:val="-12"/>
        </w:rPr>
        <w:t> </w:t>
      </w:r>
      <w:r>
        <w:rPr/>
        <w:t>μεταφορά</w:t>
      </w:r>
      <w:r>
        <w:rPr>
          <w:spacing w:val="-14"/>
        </w:rPr>
        <w:t> </w:t>
      </w:r>
      <w:r>
        <w:rPr/>
        <w:t>πίστωσης</w:t>
      </w:r>
      <w:r>
        <w:rPr>
          <w:spacing w:val="-14"/>
        </w:rPr>
        <w:t> </w:t>
      </w:r>
      <w:r>
        <w:rPr/>
        <w:t>σε</w:t>
      </w:r>
      <w:r>
        <w:rPr>
          <w:spacing w:val="-13"/>
        </w:rPr>
        <w:t> </w:t>
      </w:r>
      <w:r>
        <w:rPr/>
        <w:t>ευρώ</w:t>
      </w:r>
      <w:r>
        <w:rPr>
          <w:spacing w:val="-11"/>
        </w:rPr>
        <w:t> </w:t>
      </w:r>
      <w:r>
        <w:rPr/>
        <w:t>επιτρέπει</w:t>
      </w:r>
      <w:r>
        <w:rPr>
          <w:spacing w:val="-12"/>
        </w:rPr>
        <w:t> </w:t>
      </w:r>
      <w:r>
        <w:rPr/>
        <w:t>την</w:t>
      </w:r>
      <w:r>
        <w:rPr>
          <w:spacing w:val="-13"/>
        </w:rPr>
        <w:t> </w:t>
      </w:r>
      <w:r>
        <w:rPr/>
        <w:t>πίστωση χρηματικών ποσών στον λογαριασμό του δικαιούχου εντός 10 δευτερολέπτων και σε 24ωρη </w:t>
      </w:r>
      <w:r>
        <w:rPr>
          <w:spacing w:val="-2"/>
        </w:rPr>
        <w:t>βάση.</w:t>
      </w:r>
    </w:p>
    <w:p>
      <w:pPr>
        <w:pStyle w:val="BodyText"/>
        <w:spacing w:line="304" w:lineRule="auto" w:before="50"/>
        <w:ind w:left="172" w:right="955"/>
        <w:jc w:val="both"/>
      </w:pPr>
      <w:r>
        <w:rPr/>
        <w:t>Αναλυτικότερα,</w:t>
      </w:r>
      <w:r>
        <w:rPr>
          <w:spacing w:val="-10"/>
        </w:rPr>
        <w:t> </w:t>
      </w:r>
      <w:r>
        <w:rPr/>
        <w:t>το</w:t>
      </w:r>
      <w:r>
        <w:rPr>
          <w:spacing w:val="-9"/>
        </w:rPr>
        <w:t> </w:t>
      </w:r>
      <w:r>
        <w:rPr/>
        <w:t>2025</w:t>
      </w:r>
      <w:r>
        <w:rPr>
          <w:spacing w:val="-10"/>
        </w:rPr>
        <w:t> </w:t>
      </w:r>
      <w:r>
        <w:rPr/>
        <w:t>καταγράφηκαν</w:t>
      </w:r>
      <w:r>
        <w:rPr>
          <w:spacing w:val="-9"/>
        </w:rPr>
        <w:t> </w:t>
      </w:r>
      <w:r>
        <w:rPr/>
        <w:t>95,4</w:t>
      </w:r>
      <w:r>
        <w:rPr>
          <w:spacing w:val="-10"/>
        </w:rPr>
        <w:t> </w:t>
      </w:r>
      <w:r>
        <w:rPr/>
        <w:t>εκατ.</w:t>
      </w:r>
      <w:r>
        <w:rPr>
          <w:spacing w:val="-10"/>
        </w:rPr>
        <w:t> </w:t>
      </w:r>
      <w:r>
        <w:rPr/>
        <w:t>συναλλαγές</w:t>
      </w:r>
      <w:r>
        <w:rPr>
          <w:spacing w:val="-8"/>
        </w:rPr>
        <w:t> </w:t>
      </w:r>
      <w:r>
        <w:rPr/>
        <w:t>IRIS,</w:t>
      </w:r>
      <w:r>
        <w:rPr>
          <w:spacing w:val="-10"/>
        </w:rPr>
        <w:t> </w:t>
      </w:r>
      <w:r>
        <w:rPr/>
        <w:t>από</w:t>
      </w:r>
      <w:r>
        <w:rPr>
          <w:spacing w:val="-10"/>
        </w:rPr>
        <w:t> </w:t>
      </w:r>
      <w:r>
        <w:rPr/>
        <w:t>57,3</w:t>
      </w:r>
      <w:r>
        <w:rPr>
          <w:spacing w:val="-10"/>
        </w:rPr>
        <w:t> </w:t>
      </w:r>
      <w:r>
        <w:rPr/>
        <w:t>εκατ.</w:t>
      </w:r>
      <w:r>
        <w:rPr>
          <w:spacing w:val="-10"/>
        </w:rPr>
        <w:t> </w:t>
      </w:r>
      <w:r>
        <w:rPr/>
        <w:t>συναλλαγές το</w:t>
      </w:r>
      <w:r>
        <w:rPr>
          <w:spacing w:val="-14"/>
        </w:rPr>
        <w:t> </w:t>
      </w:r>
      <w:r>
        <w:rPr/>
        <w:t>2024,</w:t>
      </w:r>
      <w:r>
        <w:rPr>
          <w:spacing w:val="-14"/>
        </w:rPr>
        <w:t> </w:t>
      </w:r>
      <w:r>
        <w:rPr/>
        <w:t>αυξημένες</w:t>
      </w:r>
      <w:r>
        <w:rPr>
          <w:spacing w:val="-14"/>
        </w:rPr>
        <w:t> </w:t>
      </w:r>
      <w:r>
        <w:rPr/>
        <w:t>κατά</w:t>
      </w:r>
      <w:r>
        <w:rPr>
          <w:spacing w:val="-13"/>
        </w:rPr>
        <w:t> </w:t>
      </w:r>
      <w:r>
        <w:rPr/>
        <w:t>66%,</w:t>
      </w:r>
      <w:r>
        <w:rPr>
          <w:spacing w:val="-14"/>
        </w:rPr>
        <w:t> </w:t>
      </w:r>
      <w:r>
        <w:rPr/>
        <w:t>οι</w:t>
      </w:r>
      <w:r>
        <w:rPr>
          <w:spacing w:val="-14"/>
        </w:rPr>
        <w:t> </w:t>
      </w:r>
      <w:r>
        <w:rPr/>
        <w:t>οποίες</w:t>
      </w:r>
      <w:r>
        <w:rPr>
          <w:spacing w:val="-14"/>
        </w:rPr>
        <w:t> </w:t>
      </w:r>
      <w:r>
        <w:rPr/>
        <w:t>αντιπροσωπεύουν</w:t>
      </w:r>
      <w:r>
        <w:rPr>
          <w:spacing w:val="-13"/>
        </w:rPr>
        <w:t> </w:t>
      </w:r>
      <w:r>
        <w:rPr/>
        <w:t>το</w:t>
      </w:r>
      <w:r>
        <w:rPr>
          <w:spacing w:val="-14"/>
        </w:rPr>
        <w:t> </w:t>
      </w:r>
      <w:r>
        <w:rPr/>
        <w:t>78%</w:t>
      </w:r>
      <w:r>
        <w:rPr>
          <w:spacing w:val="-14"/>
        </w:rPr>
        <w:t> </w:t>
      </w:r>
      <w:r>
        <w:rPr/>
        <w:t>του</w:t>
      </w:r>
      <w:r>
        <w:rPr>
          <w:spacing w:val="-14"/>
        </w:rPr>
        <w:t> </w:t>
      </w:r>
      <w:r>
        <w:rPr/>
        <w:t>συνόλου</w:t>
      </w:r>
      <w:r>
        <w:rPr>
          <w:spacing w:val="-13"/>
        </w:rPr>
        <w:t> </w:t>
      </w:r>
      <w:r>
        <w:rPr/>
        <w:t>των</w:t>
      </w:r>
      <w:r>
        <w:rPr>
          <w:spacing w:val="-14"/>
        </w:rPr>
        <w:t> </w:t>
      </w:r>
      <w:r>
        <w:rPr/>
        <w:t>συναλλαγών άμεσης μεταφοράς πίστωσης. Το γεγονός αυτό καταδεικνύει τη σημασία της υπηρεσίας για την ομαλή και σταδιακή διεύρυνση της χρήσης των άμεσων πληρωμών στις μεταφορές χρημάτων μεταξύ</w:t>
      </w:r>
      <w:r>
        <w:rPr>
          <w:spacing w:val="-11"/>
        </w:rPr>
        <w:t> </w:t>
      </w:r>
      <w:r>
        <w:rPr/>
        <w:t>ιδιωτών</w:t>
      </w:r>
      <w:r>
        <w:rPr>
          <w:spacing w:val="-10"/>
        </w:rPr>
        <w:t> </w:t>
      </w:r>
      <w:r>
        <w:rPr/>
        <w:t>(Person</w:t>
      </w:r>
      <w:r>
        <w:rPr>
          <w:spacing w:val="-11"/>
        </w:rPr>
        <w:t> </w:t>
      </w:r>
      <w:r>
        <w:rPr/>
        <w:t>to</w:t>
      </w:r>
      <w:r>
        <w:rPr>
          <w:spacing w:val="-11"/>
        </w:rPr>
        <w:t> </w:t>
      </w:r>
      <w:r>
        <w:rPr/>
        <w:t>Person</w:t>
      </w:r>
      <w:r>
        <w:rPr>
          <w:spacing w:val="-11"/>
        </w:rPr>
        <w:t> </w:t>
      </w:r>
      <w:r>
        <w:rPr/>
        <w:t>–</w:t>
      </w:r>
      <w:r>
        <w:rPr>
          <w:spacing w:val="-9"/>
        </w:rPr>
        <w:t> </w:t>
      </w:r>
      <w:r>
        <w:rPr/>
        <w:t>P2P)</w:t>
      </w:r>
      <w:r>
        <w:rPr>
          <w:spacing w:val="-11"/>
        </w:rPr>
        <w:t> </w:t>
      </w:r>
      <w:r>
        <w:rPr/>
        <w:t>και</w:t>
      </w:r>
      <w:r>
        <w:rPr>
          <w:spacing w:val="-12"/>
        </w:rPr>
        <w:t> </w:t>
      </w:r>
      <w:r>
        <w:rPr/>
        <w:t>στις</w:t>
      </w:r>
      <w:r>
        <w:rPr>
          <w:spacing w:val="-10"/>
        </w:rPr>
        <w:t> </w:t>
      </w:r>
      <w:r>
        <w:rPr/>
        <w:t>πληρωμές</w:t>
      </w:r>
      <w:r>
        <w:rPr>
          <w:spacing w:val="-11"/>
        </w:rPr>
        <w:t> </w:t>
      </w:r>
      <w:r>
        <w:rPr/>
        <w:t>προς</w:t>
      </w:r>
      <w:r>
        <w:rPr>
          <w:spacing w:val="-13"/>
        </w:rPr>
        <w:t> </w:t>
      </w:r>
      <w:r>
        <w:rPr/>
        <w:t>επαγγελματίες</w:t>
      </w:r>
      <w:r>
        <w:rPr>
          <w:spacing w:val="-11"/>
        </w:rPr>
        <w:t> </w:t>
      </w:r>
      <w:r>
        <w:rPr/>
        <w:t>και</w:t>
      </w:r>
      <w:r>
        <w:rPr>
          <w:spacing w:val="-9"/>
        </w:rPr>
        <w:t> </w:t>
      </w:r>
      <w:r>
        <w:rPr/>
        <w:t>επιχειρήσεις (Person to Professionals – P2Pro), τόσο στο φυσικό όσο και στο ηλεκτρονικό εμπόριο (Commerce). Εξετάζοντας περαιτέρω τον αριθμό και την αξία των συναλλαγών ανά επιμέρους υπηρεσία IRIS, παρατηρείται ότι το μεγαλύτερο ποσοστό συναλλαγών διενεργήθηκε μέσω της υπηρεσίας άμεσων μεταφορών χρημάτων μεταξύ ιδιωτών (P2P), με τον αριθμό αυτών να ανέρ-χεται</w:t>
      </w:r>
      <w:r>
        <w:rPr>
          <w:spacing w:val="-13"/>
        </w:rPr>
        <w:t> </w:t>
      </w:r>
      <w:r>
        <w:rPr/>
        <w:t>σε</w:t>
      </w:r>
      <w:r>
        <w:rPr>
          <w:spacing w:val="-11"/>
        </w:rPr>
        <w:t> </w:t>
      </w:r>
      <w:r>
        <w:rPr/>
        <w:t>81</w:t>
      </w:r>
      <w:r>
        <w:rPr>
          <w:spacing w:val="-11"/>
        </w:rPr>
        <w:t> </w:t>
      </w:r>
      <w:r>
        <w:rPr/>
        <w:t>εκατ.</w:t>
      </w:r>
      <w:r>
        <w:rPr>
          <w:spacing w:val="-11"/>
        </w:rPr>
        <w:t> </w:t>
      </w:r>
      <w:r>
        <w:rPr/>
        <w:t>συναλλαγές</w:t>
      </w:r>
      <w:r>
        <w:rPr>
          <w:spacing w:val="-12"/>
        </w:rPr>
        <w:t> </w:t>
      </w:r>
      <w:r>
        <w:rPr/>
        <w:t>το</w:t>
      </w:r>
      <w:r>
        <w:rPr>
          <w:spacing w:val="-11"/>
        </w:rPr>
        <w:t> </w:t>
      </w:r>
      <w:r>
        <w:rPr/>
        <w:t>2025,</w:t>
      </w:r>
      <w:r>
        <w:rPr>
          <w:spacing w:val="-11"/>
        </w:rPr>
        <w:t> </w:t>
      </w:r>
      <w:r>
        <w:rPr/>
        <w:t>από</w:t>
      </w:r>
      <w:r>
        <w:rPr>
          <w:spacing w:val="-11"/>
        </w:rPr>
        <w:t> </w:t>
      </w:r>
      <w:r>
        <w:rPr/>
        <w:t>49,3</w:t>
      </w:r>
      <w:r>
        <w:rPr>
          <w:spacing w:val="-13"/>
        </w:rPr>
        <w:t> </w:t>
      </w:r>
      <w:r>
        <w:rPr/>
        <w:t>εκατ.</w:t>
      </w:r>
      <w:r>
        <w:rPr>
          <w:spacing w:val="-11"/>
        </w:rPr>
        <w:t> </w:t>
      </w:r>
      <w:r>
        <w:rPr/>
        <w:t>συναλλαγές</w:t>
      </w:r>
      <w:r>
        <w:rPr>
          <w:spacing w:val="-12"/>
        </w:rPr>
        <w:t> </w:t>
      </w:r>
      <w:r>
        <w:rPr/>
        <w:t>το</w:t>
      </w:r>
      <w:r>
        <w:rPr>
          <w:spacing w:val="-11"/>
        </w:rPr>
        <w:t> </w:t>
      </w:r>
      <w:r>
        <w:rPr/>
        <w:t>2024</w:t>
      </w:r>
      <w:r>
        <w:rPr>
          <w:spacing w:val="-10"/>
        </w:rPr>
        <w:t> </w:t>
      </w:r>
      <w:r>
        <w:rPr/>
        <w:t>(βλ.</w:t>
      </w:r>
      <w:r>
        <w:rPr>
          <w:spacing w:val="-11"/>
        </w:rPr>
        <w:t> </w:t>
      </w:r>
      <w:r>
        <w:rPr/>
        <w:t>Διάγραμμα</w:t>
      </w:r>
      <w:r>
        <w:rPr>
          <w:spacing w:val="-11"/>
        </w:rPr>
        <w:t> </w:t>
      </w:r>
      <w:r>
        <w:rPr/>
        <w:t>VΙ.1). Η</w:t>
      </w:r>
      <w:r>
        <w:rPr>
          <w:spacing w:val="-1"/>
        </w:rPr>
        <w:t> </w:t>
      </w:r>
      <w:r>
        <w:rPr/>
        <w:t>αντίστοιχη αξία</w:t>
      </w:r>
      <w:r>
        <w:rPr>
          <w:spacing w:val="-1"/>
        </w:rPr>
        <w:t> </w:t>
      </w:r>
      <w:r>
        <w:rPr/>
        <w:t>τους</w:t>
      </w:r>
      <w:r>
        <w:rPr>
          <w:spacing w:val="-1"/>
        </w:rPr>
        <w:t> </w:t>
      </w:r>
      <w:r>
        <w:rPr/>
        <w:t>ανήλθε</w:t>
      </w:r>
      <w:r>
        <w:rPr>
          <w:spacing w:val="-2"/>
        </w:rPr>
        <w:t> </w:t>
      </w:r>
      <w:r>
        <w:rPr/>
        <w:t>σε</w:t>
      </w:r>
      <w:r>
        <w:rPr>
          <w:spacing w:val="-2"/>
        </w:rPr>
        <w:t> </w:t>
      </w:r>
      <w:r>
        <w:rPr/>
        <w:t>4,6 δισεκ.</w:t>
      </w:r>
      <w:r>
        <w:rPr>
          <w:spacing w:val="-2"/>
        </w:rPr>
        <w:t> </w:t>
      </w:r>
      <w:r>
        <w:rPr/>
        <w:t>ευρώ</w:t>
      </w:r>
      <w:r>
        <w:rPr>
          <w:spacing w:val="-1"/>
        </w:rPr>
        <w:t> </w:t>
      </w:r>
      <w:r>
        <w:rPr/>
        <w:t>από 2,6 δισεκ.</w:t>
      </w:r>
      <w:r>
        <w:rPr>
          <w:spacing w:val="-2"/>
        </w:rPr>
        <w:t> </w:t>
      </w:r>
      <w:r>
        <w:rPr/>
        <w:t>ευρώ το 2024 (βλ. Διάγραμμα VΙ.2), ενώ ο αριθμός των χρηστών της υπηρεσίας P2P αυξήθηκε κατά 24% και ανήλθε σε 4,2 εκατ.</w:t>
      </w:r>
      <w:r>
        <w:rPr>
          <w:spacing w:val="-12"/>
        </w:rPr>
        <w:t> </w:t>
      </w:r>
      <w:r>
        <w:rPr/>
        <w:t>χρήστες,</w:t>
      </w:r>
      <w:r>
        <w:rPr>
          <w:spacing w:val="-12"/>
        </w:rPr>
        <w:t> </w:t>
      </w:r>
      <w:r>
        <w:rPr/>
        <w:t>από</w:t>
      </w:r>
      <w:r>
        <w:rPr>
          <w:spacing w:val="-12"/>
        </w:rPr>
        <w:t> </w:t>
      </w:r>
      <w:r>
        <w:rPr/>
        <w:t>3,4</w:t>
      </w:r>
      <w:r>
        <w:rPr>
          <w:spacing w:val="-12"/>
        </w:rPr>
        <w:t> </w:t>
      </w:r>
      <w:r>
        <w:rPr/>
        <w:t>εκατ.</w:t>
      </w:r>
      <w:r>
        <w:rPr>
          <w:spacing w:val="-12"/>
        </w:rPr>
        <w:t> </w:t>
      </w:r>
      <w:r>
        <w:rPr/>
        <w:t>χρήστες</w:t>
      </w:r>
      <w:r>
        <w:rPr>
          <w:spacing w:val="-13"/>
        </w:rPr>
        <w:t> </w:t>
      </w:r>
      <w:r>
        <w:rPr/>
        <w:t>το</w:t>
      </w:r>
      <w:r>
        <w:rPr>
          <w:spacing w:val="-12"/>
        </w:rPr>
        <w:t> </w:t>
      </w:r>
      <w:r>
        <w:rPr/>
        <w:t>2024,</w:t>
      </w:r>
      <w:r>
        <w:rPr>
          <w:spacing w:val="-12"/>
        </w:rPr>
        <w:t> </w:t>
      </w:r>
      <w:r>
        <w:rPr/>
        <w:t>αποτυπώνοντας</w:t>
      </w:r>
      <w:r>
        <w:rPr>
          <w:spacing w:val="-13"/>
        </w:rPr>
        <w:t> </w:t>
      </w:r>
      <w:r>
        <w:rPr/>
        <w:t>την</w:t>
      </w:r>
      <w:r>
        <w:rPr>
          <w:spacing w:val="-11"/>
        </w:rPr>
        <w:t> </w:t>
      </w:r>
      <w:r>
        <w:rPr/>
        <w:t>αύξηση</w:t>
      </w:r>
      <w:r>
        <w:rPr>
          <w:spacing w:val="-14"/>
        </w:rPr>
        <w:t> </w:t>
      </w:r>
      <w:r>
        <w:rPr/>
        <w:t>της</w:t>
      </w:r>
      <w:r>
        <w:rPr>
          <w:spacing w:val="-13"/>
        </w:rPr>
        <w:t> </w:t>
      </w:r>
      <w:r>
        <w:rPr/>
        <w:t>εμπιστοσύνης</w:t>
      </w:r>
      <w:r>
        <w:rPr>
          <w:spacing w:val="-13"/>
        </w:rPr>
        <w:t> </w:t>
      </w:r>
      <w:r>
        <w:rPr/>
        <w:t>των χρηστών στην συγκεκριμένη υπηρεσία.</w:t>
      </w: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2"/>
        <w:gridCol w:w="4223"/>
      </w:tblGrid>
      <w:tr>
        <w:trPr>
          <w:trHeight w:val="533" w:hRule="atLeast"/>
        </w:trPr>
        <w:tc>
          <w:tcPr>
            <w:tcW w:w="4282" w:type="dxa"/>
            <w:tcBorders>
              <w:right w:val="single" w:sz="48" w:space="0" w:color="FFFFFF"/>
            </w:tcBorders>
            <w:shd w:val="clear" w:color="auto" w:fill="1F487C"/>
          </w:tcPr>
          <w:p>
            <w:pPr>
              <w:pStyle w:val="TableParagraph"/>
              <w:spacing w:before="38"/>
              <w:ind w:left="112"/>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VI.1</w:t>
            </w:r>
            <w:r>
              <w:rPr>
                <w:b/>
                <w:smallCaps w:val="0"/>
                <w:color w:val="FFFFFF"/>
                <w:spacing w:val="-7"/>
                <w:sz w:val="18"/>
              </w:rPr>
              <w:t> </w:t>
            </w:r>
            <w:r>
              <w:rPr>
                <w:b/>
                <w:smallCaps w:val="0"/>
                <w:color w:val="FFFFFF"/>
                <w:sz w:val="18"/>
              </w:rPr>
              <w:t>Αρ</w:t>
            </w:r>
            <w:r>
              <w:rPr>
                <w:b/>
                <w:smallCaps/>
                <w:color w:val="FFFFFF"/>
                <w:sz w:val="18"/>
              </w:rPr>
              <w:t>ι</w:t>
            </w:r>
            <w:r>
              <w:rPr>
                <w:b/>
                <w:smallCaps w:val="0"/>
                <w:color w:val="FFFFFF"/>
                <w:sz w:val="18"/>
              </w:rPr>
              <w:t>θμός</w:t>
            </w:r>
            <w:r>
              <w:rPr>
                <w:b/>
                <w:smallCaps w:val="0"/>
                <w:color w:val="FFFFFF"/>
                <w:spacing w:val="-10"/>
                <w:sz w:val="18"/>
              </w:rPr>
              <w:t> </w:t>
            </w:r>
            <w:r>
              <w:rPr>
                <w:b/>
                <w:smallCaps w:val="0"/>
                <w:color w:val="FFFFFF"/>
                <w:sz w:val="18"/>
              </w:rPr>
              <w:t>συναλλαγών</w:t>
            </w:r>
            <w:r>
              <w:rPr>
                <w:b/>
                <w:smallCaps w:val="0"/>
                <w:color w:val="FFFFFF"/>
                <w:spacing w:val="-7"/>
                <w:sz w:val="18"/>
              </w:rPr>
              <w:t> </w:t>
            </w:r>
            <w:r>
              <w:rPr>
                <w:b/>
                <w:smallCaps w:val="0"/>
                <w:color w:val="FFFFFF"/>
                <w:sz w:val="18"/>
              </w:rPr>
              <w:t>ανά</w:t>
            </w:r>
            <w:r>
              <w:rPr>
                <w:b/>
                <w:smallCaps w:val="0"/>
                <w:color w:val="FFFFFF"/>
                <w:spacing w:val="-8"/>
                <w:sz w:val="18"/>
              </w:rPr>
              <w:t> </w:t>
            </w:r>
            <w:r>
              <w:rPr>
                <w:b/>
                <w:smallCaps w:val="0"/>
                <w:color w:val="FFFFFF"/>
                <w:sz w:val="18"/>
              </w:rPr>
              <w:t>υπηρεσία </w:t>
            </w:r>
            <w:r>
              <w:rPr>
                <w:b/>
                <w:smallCaps w:val="0"/>
                <w:color w:val="FFFFFF"/>
                <w:spacing w:val="-2"/>
                <w:sz w:val="18"/>
              </w:rPr>
              <w:t>“IRIS”</w:t>
            </w:r>
          </w:p>
        </w:tc>
        <w:tc>
          <w:tcPr>
            <w:tcW w:w="4223" w:type="dxa"/>
            <w:tcBorders>
              <w:left w:val="single" w:sz="48" w:space="0" w:color="FFFFFF"/>
            </w:tcBorders>
            <w:shd w:val="clear" w:color="auto" w:fill="1F487C"/>
          </w:tcPr>
          <w:p>
            <w:pPr>
              <w:pStyle w:val="TableParagraph"/>
              <w:spacing w:before="38"/>
              <w:ind w:left="112"/>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VI.2</w:t>
            </w:r>
            <w:r>
              <w:rPr>
                <w:b/>
                <w:smallCaps w:val="0"/>
                <w:color w:val="FFFFFF"/>
                <w:spacing w:val="-7"/>
                <w:sz w:val="18"/>
              </w:rPr>
              <w:t> </w:t>
            </w:r>
            <w:r>
              <w:rPr>
                <w:b/>
                <w:smallCaps w:val="0"/>
                <w:color w:val="FFFFFF"/>
                <w:sz w:val="18"/>
              </w:rPr>
              <w:t>Αξία</w:t>
            </w:r>
            <w:r>
              <w:rPr>
                <w:b/>
                <w:smallCaps w:val="0"/>
                <w:color w:val="FFFFFF"/>
                <w:spacing w:val="-8"/>
                <w:sz w:val="18"/>
              </w:rPr>
              <w:t> </w:t>
            </w:r>
            <w:r>
              <w:rPr>
                <w:b/>
                <w:smallCaps w:val="0"/>
                <w:color w:val="FFFFFF"/>
                <w:sz w:val="18"/>
              </w:rPr>
              <w:t>συναλλαγών</w:t>
            </w:r>
            <w:r>
              <w:rPr>
                <w:b/>
                <w:smallCaps w:val="0"/>
                <w:color w:val="FFFFFF"/>
                <w:spacing w:val="-7"/>
                <w:sz w:val="18"/>
              </w:rPr>
              <w:t> </w:t>
            </w:r>
            <w:r>
              <w:rPr>
                <w:b/>
                <w:smallCaps w:val="0"/>
                <w:color w:val="FFFFFF"/>
                <w:sz w:val="18"/>
              </w:rPr>
              <w:t>ανά</w:t>
            </w:r>
            <w:r>
              <w:rPr>
                <w:b/>
                <w:smallCaps w:val="0"/>
                <w:color w:val="FFFFFF"/>
                <w:spacing w:val="-8"/>
                <w:sz w:val="18"/>
              </w:rPr>
              <w:t> </w:t>
            </w:r>
            <w:r>
              <w:rPr>
                <w:b/>
                <w:smallCaps w:val="0"/>
                <w:color w:val="FFFFFF"/>
                <w:sz w:val="18"/>
              </w:rPr>
              <w:t>υπηρεσία </w:t>
            </w:r>
            <w:r>
              <w:rPr>
                <w:b/>
                <w:smallCaps w:val="0"/>
                <w:color w:val="FFFFFF"/>
                <w:spacing w:val="-2"/>
                <w:sz w:val="18"/>
              </w:rPr>
              <w:t>“IRIS”</w:t>
            </w:r>
          </w:p>
        </w:tc>
      </w:tr>
      <w:tr>
        <w:trPr>
          <w:trHeight w:val="339" w:hRule="atLeast"/>
        </w:trPr>
        <w:tc>
          <w:tcPr>
            <w:tcW w:w="4282" w:type="dxa"/>
            <w:tcBorders>
              <w:right w:val="single" w:sz="48" w:space="0" w:color="FFFFFF"/>
            </w:tcBorders>
          </w:tcPr>
          <w:p>
            <w:pPr>
              <w:pStyle w:val="TableParagraph"/>
              <w:spacing w:before="97"/>
              <w:ind w:left="57"/>
              <w:rPr>
                <w:sz w:val="14"/>
              </w:rPr>
            </w:pPr>
            <w:r>
              <w:rPr>
                <w:color w:val="1F487C"/>
                <w:sz w:val="14"/>
              </w:rPr>
              <w:t>(σε</w:t>
            </w:r>
            <w:r>
              <w:rPr>
                <w:color w:val="1F487C"/>
                <w:spacing w:val="-4"/>
                <w:sz w:val="14"/>
              </w:rPr>
              <w:t> </w:t>
            </w:r>
            <w:r>
              <w:rPr>
                <w:color w:val="1F487C"/>
                <w:spacing w:val="-2"/>
                <w:sz w:val="14"/>
              </w:rPr>
              <w:t>εκατ.συναλλαγές)</w:t>
            </w:r>
          </w:p>
        </w:tc>
        <w:tc>
          <w:tcPr>
            <w:tcW w:w="4223" w:type="dxa"/>
            <w:tcBorders>
              <w:left w:val="single" w:sz="48" w:space="0" w:color="FFFFFF"/>
            </w:tcBorders>
          </w:tcPr>
          <w:p>
            <w:pPr>
              <w:pStyle w:val="TableParagraph"/>
              <w:spacing w:before="97"/>
              <w:ind w:left="57"/>
              <w:rPr>
                <w:sz w:val="14"/>
              </w:rPr>
            </w:pPr>
            <w:r>
              <w:rPr>
                <w:color w:val="1F487C"/>
                <w:sz w:val="14"/>
              </w:rPr>
              <w:t>(δισεκ.</w:t>
            </w:r>
            <w:r>
              <w:rPr>
                <w:color w:val="1F487C"/>
                <w:spacing w:val="-5"/>
                <w:sz w:val="14"/>
              </w:rPr>
              <w:t> </w:t>
            </w:r>
            <w:r>
              <w:rPr>
                <w:color w:val="1F487C"/>
                <w:spacing w:val="-2"/>
                <w:sz w:val="14"/>
              </w:rPr>
              <w:t>ευρώ)</w:t>
            </w:r>
          </w:p>
        </w:tc>
      </w:tr>
      <w:tr>
        <w:trPr>
          <w:trHeight w:val="3070" w:hRule="atLeast"/>
        </w:trPr>
        <w:tc>
          <w:tcPr>
            <w:tcW w:w="4282" w:type="dxa"/>
            <w:tcBorders>
              <w:right w:val="single" w:sz="48" w:space="0" w:color="FFFFFF"/>
            </w:tcBorders>
            <w:shd w:val="clear" w:color="auto" w:fill="D9D9D9"/>
          </w:tcPr>
          <w:p>
            <w:pPr>
              <w:pStyle w:val="TableParagraph"/>
              <w:ind w:left="55" w:right="-58"/>
              <w:rPr>
                <w:sz w:val="20"/>
              </w:rPr>
            </w:pPr>
            <w:r>
              <w:rPr>
                <w:sz w:val="20"/>
              </w:rPr>
              <w:drawing>
                <wp:inline distT="0" distB="0" distL="0" distR="0">
                  <wp:extent cx="2647653" cy="1908905"/>
                  <wp:effectExtent l="0" t="0" r="0" b="0"/>
                  <wp:docPr id="747" name="Image 747"/>
                  <wp:cNvGraphicFramePr>
                    <a:graphicFrameLocks/>
                  </wp:cNvGraphicFramePr>
                  <a:graphic>
                    <a:graphicData uri="http://schemas.openxmlformats.org/drawingml/2006/picture">
                      <pic:pic>
                        <pic:nvPicPr>
                          <pic:cNvPr id="747" name="Image 747"/>
                          <pic:cNvPicPr/>
                        </pic:nvPicPr>
                        <pic:blipFill>
                          <a:blip r:embed="rId130" cstate="print"/>
                          <a:stretch>
                            <a:fillRect/>
                          </a:stretch>
                        </pic:blipFill>
                        <pic:spPr>
                          <a:xfrm>
                            <a:off x="0" y="0"/>
                            <a:ext cx="2647653" cy="1908905"/>
                          </a:xfrm>
                          <a:prstGeom prst="rect">
                            <a:avLst/>
                          </a:prstGeom>
                        </pic:spPr>
                      </pic:pic>
                    </a:graphicData>
                  </a:graphic>
                </wp:inline>
              </w:drawing>
            </w:r>
            <w:r>
              <w:rPr>
                <w:sz w:val="20"/>
              </w:rPr>
            </w:r>
          </w:p>
        </w:tc>
        <w:tc>
          <w:tcPr>
            <w:tcW w:w="4223" w:type="dxa"/>
            <w:tcBorders>
              <w:left w:val="single" w:sz="48" w:space="0" w:color="FFFFFF"/>
            </w:tcBorders>
            <w:shd w:val="clear" w:color="auto" w:fill="D9D9D9"/>
          </w:tcPr>
          <w:p>
            <w:pPr>
              <w:pStyle w:val="TableParagraph"/>
              <w:ind w:left="56" w:right="-58"/>
              <w:rPr>
                <w:sz w:val="20"/>
              </w:rPr>
            </w:pPr>
            <w:r>
              <w:rPr>
                <w:sz w:val="20"/>
              </w:rPr>
              <w:drawing>
                <wp:inline distT="0" distB="0" distL="0" distR="0">
                  <wp:extent cx="2616856" cy="1883664"/>
                  <wp:effectExtent l="0" t="0" r="0" b="0"/>
                  <wp:docPr id="748" name="Image 748"/>
                  <wp:cNvGraphicFramePr>
                    <a:graphicFrameLocks/>
                  </wp:cNvGraphicFramePr>
                  <a:graphic>
                    <a:graphicData uri="http://schemas.openxmlformats.org/drawingml/2006/picture">
                      <pic:pic>
                        <pic:nvPicPr>
                          <pic:cNvPr id="748" name="Image 748"/>
                          <pic:cNvPicPr/>
                        </pic:nvPicPr>
                        <pic:blipFill>
                          <a:blip r:embed="rId131" cstate="print"/>
                          <a:stretch>
                            <a:fillRect/>
                          </a:stretch>
                        </pic:blipFill>
                        <pic:spPr>
                          <a:xfrm>
                            <a:off x="0" y="0"/>
                            <a:ext cx="2616856" cy="1883664"/>
                          </a:xfrm>
                          <a:prstGeom prst="rect">
                            <a:avLst/>
                          </a:prstGeom>
                        </pic:spPr>
                      </pic:pic>
                    </a:graphicData>
                  </a:graphic>
                </wp:inline>
              </w:drawing>
            </w:r>
            <w:r>
              <w:rPr>
                <w:sz w:val="20"/>
              </w:rPr>
            </w:r>
          </w:p>
        </w:tc>
      </w:tr>
      <w:tr>
        <w:trPr>
          <w:trHeight w:val="279" w:hRule="atLeast"/>
        </w:trPr>
        <w:tc>
          <w:tcPr>
            <w:tcW w:w="4282" w:type="dxa"/>
            <w:tcBorders>
              <w:right w:val="single" w:sz="48" w:space="0" w:color="FFFFFF"/>
            </w:tcBorders>
            <w:shd w:val="clear" w:color="auto" w:fill="D9D9D9"/>
          </w:tcPr>
          <w:p>
            <w:pPr>
              <w:pStyle w:val="TableParagraph"/>
              <w:spacing w:before="35"/>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c>
          <w:tcPr>
            <w:tcW w:w="4223" w:type="dxa"/>
            <w:tcBorders>
              <w:left w:val="single" w:sz="48" w:space="0" w:color="FFFFFF"/>
            </w:tcBorders>
            <w:shd w:val="clear" w:color="auto" w:fill="D9D9D9"/>
          </w:tcPr>
          <w:p>
            <w:pPr>
              <w:pStyle w:val="TableParagraph"/>
              <w:spacing w:before="35"/>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BodyText"/>
        <w:spacing w:before="200"/>
      </w:pPr>
    </w:p>
    <w:p>
      <w:pPr>
        <w:pStyle w:val="BodyText"/>
        <w:spacing w:line="285" w:lineRule="auto"/>
        <w:ind w:left="172" w:right="955"/>
        <w:jc w:val="both"/>
      </w:pPr>
      <w:r>
        <w:rPr/>
        <w:t>Η μέση αξία ανά συναλλαγή μεταξύ ιδιωτών (P2P) ανήλθε σε 57 ευρώ, από 54 ευρώ το 2024, παρουσιάζοντας αύξηση κατά 6%. Αντιθέτως η μέση αξία ανά συναλλαγή μεταξύ ιδιωτών και</w:t>
      </w:r>
    </w:p>
    <w:p>
      <w:pPr>
        <w:pStyle w:val="BodyText"/>
        <w:spacing w:before="98"/>
        <w:rPr>
          <w:sz w:val="20"/>
        </w:rPr>
      </w:pPr>
      <w:r>
        <w:rPr>
          <w:sz w:val="20"/>
        </w:rPr>
        <mc:AlternateContent>
          <mc:Choice Requires="wps">
            <w:drawing>
              <wp:anchor distT="0" distB="0" distL="0" distR="0" allowOverlap="1" layoutInCell="1" locked="0" behindDoc="1" simplePos="0" relativeHeight="487667712">
                <wp:simplePos x="0" y="0"/>
                <wp:positionH relativeFrom="page">
                  <wp:posOffset>1009192</wp:posOffset>
                </wp:positionH>
                <wp:positionV relativeFrom="paragraph">
                  <wp:posOffset>224025</wp:posOffset>
                </wp:positionV>
                <wp:extent cx="1829435" cy="7620"/>
                <wp:effectExtent l="0" t="0" r="0" b="0"/>
                <wp:wrapTopAndBottom/>
                <wp:docPr id="749" name="Graphic 749"/>
                <wp:cNvGraphicFramePr>
                  <a:graphicFrameLocks/>
                </wp:cNvGraphicFramePr>
                <a:graphic>
                  <a:graphicData uri="http://schemas.microsoft.com/office/word/2010/wordprocessingShape">
                    <wps:wsp>
                      <wps:cNvPr id="749" name="Graphic 74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7.639801pt;width:144.020pt;height:.599980pt;mso-position-horizontal-relative:page;mso-position-vertical-relative:paragraph;z-index:-15648768;mso-wrap-distance-left:0;mso-wrap-distance-right:0" id="docshape700" filled="true" fillcolor="#000000" stroked="false">
                <v:fill type="solid"/>
                <w10:wrap type="topAndBottom"/>
              </v:rect>
            </w:pict>
          </mc:Fallback>
        </mc:AlternateContent>
      </w:r>
    </w:p>
    <w:p>
      <w:pPr>
        <w:spacing w:before="167"/>
        <w:ind w:left="172" w:right="961" w:firstLine="0"/>
        <w:jc w:val="both"/>
        <w:rPr>
          <w:sz w:val="16"/>
        </w:rPr>
      </w:pPr>
      <w:bookmarkStart w:name="_bookmark141" w:id="142"/>
      <w:bookmarkEnd w:id="142"/>
      <w:r>
        <w:rPr/>
      </w:r>
      <w:r>
        <w:rPr>
          <w:sz w:val="16"/>
          <w:vertAlign w:val="superscript"/>
        </w:rPr>
        <w:t>96</w:t>
      </w:r>
      <w:r>
        <w:rPr>
          <w:sz w:val="16"/>
          <w:vertAlign w:val="baseline"/>
        </w:rPr>
        <w:t> </w:t>
      </w:r>
      <w:hyperlink r:id="rId132">
        <w:r>
          <w:rPr>
            <w:color w:val="0000FF"/>
            <w:sz w:val="16"/>
            <w:u w:val="single" w:color="0000FF"/>
            <w:vertAlign w:val="baseline"/>
          </w:rPr>
          <w:t>Κανονισμός (ΕΕ) 2024/88</w:t>
        </w:r>
      </w:hyperlink>
      <w:r>
        <w:rPr>
          <w:color w:val="0000FF"/>
          <w:sz w:val="16"/>
          <w:vertAlign w:val="baseline"/>
        </w:rPr>
        <w:t> </w:t>
      </w:r>
      <w:r>
        <w:rPr>
          <w:sz w:val="16"/>
          <w:vertAlign w:val="baseline"/>
        </w:rPr>
        <w:t>του Ευρωπαϊκού</w:t>
      </w:r>
      <w:r>
        <w:rPr>
          <w:spacing w:val="-1"/>
          <w:sz w:val="16"/>
          <w:vertAlign w:val="baseline"/>
        </w:rPr>
        <w:t> </w:t>
      </w:r>
      <w:r>
        <w:rPr>
          <w:sz w:val="16"/>
          <w:vertAlign w:val="baseline"/>
        </w:rPr>
        <w:t>Κοινοβουλίου και του Συμβουλίου</w:t>
      </w:r>
      <w:r>
        <w:rPr>
          <w:spacing w:val="-1"/>
          <w:sz w:val="16"/>
          <w:vertAlign w:val="baseline"/>
        </w:rPr>
        <w:t> </w:t>
      </w:r>
      <w:r>
        <w:rPr>
          <w:sz w:val="16"/>
          <w:vertAlign w:val="baseline"/>
        </w:rPr>
        <w:t>της 13ης Μαρτίου</w:t>
      </w:r>
      <w:r>
        <w:rPr>
          <w:spacing w:val="-1"/>
          <w:sz w:val="16"/>
          <w:vertAlign w:val="baseline"/>
        </w:rPr>
        <w:t> </w:t>
      </w:r>
      <w:r>
        <w:rPr>
          <w:sz w:val="16"/>
          <w:vertAlign w:val="baseline"/>
        </w:rPr>
        <w:t>2024 για την</w:t>
      </w:r>
      <w:r>
        <w:rPr>
          <w:spacing w:val="-1"/>
          <w:sz w:val="16"/>
          <w:vertAlign w:val="baseline"/>
        </w:rPr>
        <w:t> </w:t>
      </w:r>
      <w:r>
        <w:rPr>
          <w:sz w:val="16"/>
          <w:vertAlign w:val="baseline"/>
        </w:rPr>
        <w:t>τροποποίηση των</w:t>
      </w:r>
      <w:r>
        <w:rPr>
          <w:spacing w:val="40"/>
          <w:sz w:val="16"/>
          <w:vertAlign w:val="baseline"/>
        </w:rPr>
        <w:t> </w:t>
      </w:r>
      <w:r>
        <w:rPr>
          <w:sz w:val="16"/>
          <w:vertAlign w:val="baseline"/>
        </w:rPr>
        <w:t>κανονισμών (ΕΕ) αριθ. 260/2012 και</w:t>
      </w:r>
      <w:r>
        <w:rPr>
          <w:spacing w:val="-1"/>
          <w:sz w:val="16"/>
          <w:vertAlign w:val="baseline"/>
        </w:rPr>
        <w:t> </w:t>
      </w:r>
      <w:r>
        <w:rPr>
          <w:sz w:val="16"/>
          <w:vertAlign w:val="baseline"/>
        </w:rPr>
        <w:t>(ΕΕ) 2021/1230 και των</w:t>
      </w:r>
      <w:r>
        <w:rPr>
          <w:spacing w:val="-1"/>
          <w:sz w:val="16"/>
          <w:vertAlign w:val="baseline"/>
        </w:rPr>
        <w:t> </w:t>
      </w:r>
      <w:r>
        <w:rPr>
          <w:sz w:val="16"/>
          <w:vertAlign w:val="baseline"/>
        </w:rPr>
        <w:t>οδηγιών 98/26/ΕΚ και (ΕΕ)</w:t>
      </w:r>
      <w:r>
        <w:rPr>
          <w:spacing w:val="-1"/>
          <w:sz w:val="16"/>
          <w:vertAlign w:val="baseline"/>
        </w:rPr>
        <w:t> </w:t>
      </w:r>
      <w:r>
        <w:rPr>
          <w:sz w:val="16"/>
          <w:vertAlign w:val="baseline"/>
        </w:rPr>
        <w:t>2015/2366 όσον αφορά τις άμεσες μετα-φορές πίστωσης σε ευρώ.</w:t>
      </w:r>
    </w:p>
    <w:p>
      <w:pPr>
        <w:spacing w:after="0"/>
        <w:jc w:val="both"/>
        <w:rPr>
          <w:sz w:val="16"/>
        </w:rPr>
        <w:sectPr>
          <w:pgSz w:w="11910" w:h="16850"/>
          <w:pgMar w:header="0" w:footer="1262" w:top="1860" w:bottom="1500" w:left="1417" w:right="850"/>
        </w:sectPr>
      </w:pPr>
    </w:p>
    <w:p>
      <w:pPr>
        <w:pStyle w:val="BodyText"/>
        <w:spacing w:line="285" w:lineRule="auto" w:before="66"/>
        <w:ind w:left="172" w:right="956"/>
        <w:jc w:val="both"/>
      </w:pPr>
      <w:r>
        <w:rPr/>
        <w:t>επαγγελματιών/επιχειρήσεων ήταν 73 ευρώ, από 75 ευρώ το 2024, εμφανίζοντας μείωση κατά 3%. Τέλος, η μέση αξία των συναλλαγών ηλεκτρονικού εμπορίου (Commerce) ανήλθε σε 383 ευρώ</w:t>
      </w:r>
      <w:r>
        <w:rPr>
          <w:spacing w:val="-8"/>
        </w:rPr>
        <w:t> </w:t>
      </w:r>
      <w:r>
        <w:rPr/>
        <w:t>από</w:t>
      </w:r>
      <w:r>
        <w:rPr>
          <w:spacing w:val="-9"/>
        </w:rPr>
        <w:t> </w:t>
      </w:r>
      <w:r>
        <w:rPr/>
        <w:t>470</w:t>
      </w:r>
      <w:r>
        <w:rPr>
          <w:spacing w:val="-9"/>
        </w:rPr>
        <w:t> </w:t>
      </w:r>
      <w:r>
        <w:rPr/>
        <w:t>ευρώ</w:t>
      </w:r>
      <w:r>
        <w:rPr>
          <w:spacing w:val="-8"/>
        </w:rPr>
        <w:t> </w:t>
      </w:r>
      <w:r>
        <w:rPr/>
        <w:t>το</w:t>
      </w:r>
      <w:r>
        <w:rPr>
          <w:spacing w:val="-8"/>
        </w:rPr>
        <w:t> </w:t>
      </w:r>
      <w:r>
        <w:rPr/>
        <w:t>2024</w:t>
      </w:r>
      <w:r>
        <w:rPr>
          <w:spacing w:val="-9"/>
        </w:rPr>
        <w:t> </w:t>
      </w:r>
      <w:r>
        <w:rPr/>
        <w:t>καταγράφοντας</w:t>
      </w:r>
      <w:r>
        <w:rPr>
          <w:spacing w:val="-9"/>
        </w:rPr>
        <w:t> </w:t>
      </w:r>
      <w:r>
        <w:rPr/>
        <w:t>μείωση</w:t>
      </w:r>
      <w:r>
        <w:rPr>
          <w:spacing w:val="-9"/>
        </w:rPr>
        <w:t> </w:t>
      </w:r>
      <w:r>
        <w:rPr/>
        <w:t>18%,</w:t>
      </w:r>
      <w:r>
        <w:rPr>
          <w:spacing w:val="-8"/>
        </w:rPr>
        <w:t> </w:t>
      </w:r>
      <w:r>
        <w:rPr/>
        <w:t>εξέλιξη</w:t>
      </w:r>
      <w:r>
        <w:rPr>
          <w:spacing w:val="-8"/>
        </w:rPr>
        <w:t> </w:t>
      </w:r>
      <w:r>
        <w:rPr/>
        <w:t>που</w:t>
      </w:r>
      <w:r>
        <w:rPr>
          <w:spacing w:val="-8"/>
        </w:rPr>
        <w:t> </w:t>
      </w:r>
      <w:r>
        <w:rPr/>
        <w:t>συνάδει</w:t>
      </w:r>
      <w:r>
        <w:rPr>
          <w:spacing w:val="-8"/>
        </w:rPr>
        <w:t> </w:t>
      </w:r>
      <w:r>
        <w:rPr/>
        <w:t>με</w:t>
      </w:r>
      <w:r>
        <w:rPr>
          <w:spacing w:val="-10"/>
        </w:rPr>
        <w:t> </w:t>
      </w:r>
      <w:r>
        <w:rPr/>
        <w:t>την</w:t>
      </w:r>
      <w:r>
        <w:rPr>
          <w:spacing w:val="-8"/>
        </w:rPr>
        <w:t> </w:t>
      </w:r>
      <w:r>
        <w:rPr/>
        <w:t>διεύρυνση της χρήσης της υπηρεσίας σε ευρύτερο φάσμα συναλλαγών.</w:t>
      </w:r>
    </w:p>
    <w:p>
      <w:pPr>
        <w:pStyle w:val="BodyText"/>
        <w:spacing w:before="189"/>
      </w:pPr>
    </w:p>
    <w:p>
      <w:pPr>
        <w:pStyle w:val="Heading3"/>
        <w:numPr>
          <w:ilvl w:val="2"/>
          <w:numId w:val="2"/>
        </w:numPr>
        <w:tabs>
          <w:tab w:pos="738" w:val="left" w:leader="none"/>
        </w:tabs>
        <w:spacing w:line="240" w:lineRule="auto" w:before="0" w:after="0"/>
        <w:ind w:left="738" w:right="0" w:hanging="566"/>
        <w:jc w:val="left"/>
        <w:rPr>
          <w:color w:val="1F487C"/>
        </w:rPr>
      </w:pPr>
      <w:bookmarkStart w:name="_bookmark142" w:id="143"/>
      <w:bookmarkEnd w:id="143"/>
      <w:r>
        <w:rPr>
          <w:b w:val="0"/>
        </w:rPr>
      </w:r>
      <w:r>
        <w:rPr>
          <w:color w:val="1F487C"/>
        </w:rPr>
        <w:t>ΓΡΑΦΕΙΟ</w:t>
      </w:r>
      <w:r>
        <w:rPr>
          <w:color w:val="1F487C"/>
          <w:spacing w:val="-7"/>
        </w:rPr>
        <w:t> </w:t>
      </w:r>
      <w:r>
        <w:rPr>
          <w:color w:val="1F487C"/>
        </w:rPr>
        <w:t>ΣΥΜΨΗΦΙΣΜΟΥ</w:t>
      </w:r>
      <w:r>
        <w:rPr>
          <w:color w:val="1F487C"/>
          <w:spacing w:val="-8"/>
        </w:rPr>
        <w:t> </w:t>
      </w:r>
      <w:r>
        <w:rPr>
          <w:color w:val="1F487C"/>
        </w:rPr>
        <w:t>ΑΘΗΝΩΝ</w:t>
      </w:r>
      <w:r>
        <w:rPr>
          <w:color w:val="1F487C"/>
          <w:spacing w:val="-7"/>
        </w:rPr>
        <w:t> </w:t>
      </w:r>
      <w:r>
        <w:rPr>
          <w:color w:val="1F487C"/>
          <w:spacing w:val="-4"/>
        </w:rPr>
        <w:t>(ΓΣΑ)</w:t>
      </w:r>
    </w:p>
    <w:p>
      <w:pPr>
        <w:pStyle w:val="BodyText"/>
        <w:spacing w:line="285" w:lineRule="auto" w:before="93"/>
        <w:ind w:left="172" w:right="954"/>
        <w:jc w:val="both"/>
      </w:pPr>
      <w:r>
        <w:rPr/>
        <w:t>To 2025</w:t>
      </w:r>
      <w:r>
        <w:rPr>
          <w:spacing w:val="-3"/>
        </w:rPr>
        <w:t> </w:t>
      </w:r>
      <w:r>
        <w:rPr/>
        <w:t>το Γραφείο</w:t>
      </w:r>
      <w:r>
        <w:rPr>
          <w:spacing w:val="-2"/>
        </w:rPr>
        <w:t> </w:t>
      </w:r>
      <w:r>
        <w:rPr/>
        <w:t>Συμψηφισμού Αθηνών</w:t>
      </w:r>
      <w:r>
        <w:rPr>
          <w:spacing w:val="-1"/>
        </w:rPr>
        <w:t> </w:t>
      </w:r>
      <w:r>
        <w:rPr/>
        <w:t>(ΓΣΑ)</w:t>
      </w:r>
      <w:r>
        <w:rPr>
          <w:spacing w:val="-2"/>
        </w:rPr>
        <w:t> </w:t>
      </w:r>
      <w:r>
        <w:rPr/>
        <w:t>επεξεργάστηκε</w:t>
      </w:r>
      <w:r>
        <w:rPr>
          <w:spacing w:val="-2"/>
        </w:rPr>
        <w:t> </w:t>
      </w:r>
      <w:r>
        <w:rPr/>
        <w:t>24 χιλ.</w:t>
      </w:r>
      <w:r>
        <w:rPr>
          <w:spacing w:val="-3"/>
        </w:rPr>
        <w:t> </w:t>
      </w:r>
      <w:r>
        <w:rPr/>
        <w:t>λιγότερες</w:t>
      </w:r>
      <w:r>
        <w:rPr>
          <w:spacing w:val="-1"/>
        </w:rPr>
        <w:t> </w:t>
      </w:r>
      <w:r>
        <w:rPr/>
        <w:t>επιταγές</w:t>
      </w:r>
      <w:r>
        <w:rPr>
          <w:spacing w:val="-1"/>
        </w:rPr>
        <w:t> </w:t>
      </w:r>
      <w:r>
        <w:rPr/>
        <w:t>σε φυσική</w:t>
      </w:r>
      <w:r>
        <w:rPr>
          <w:spacing w:val="-5"/>
        </w:rPr>
        <w:t> </w:t>
      </w:r>
      <w:r>
        <w:rPr/>
        <w:t>μορφή,</w:t>
      </w:r>
      <w:r>
        <w:rPr>
          <w:spacing w:val="-7"/>
        </w:rPr>
        <w:t> </w:t>
      </w:r>
      <w:r>
        <w:rPr/>
        <w:t>μειωμένες</w:t>
      </w:r>
      <w:r>
        <w:rPr>
          <w:spacing w:val="-6"/>
        </w:rPr>
        <w:t> </w:t>
      </w:r>
      <w:r>
        <w:rPr/>
        <w:t>κατά</w:t>
      </w:r>
      <w:r>
        <w:rPr>
          <w:spacing w:val="-4"/>
        </w:rPr>
        <w:t> </w:t>
      </w:r>
      <w:r>
        <w:rPr/>
        <w:t>29%</w:t>
      </w:r>
      <w:r>
        <w:rPr>
          <w:spacing w:val="-8"/>
        </w:rPr>
        <w:t> </w:t>
      </w:r>
      <w:r>
        <w:rPr/>
        <w:t>σε</w:t>
      </w:r>
      <w:r>
        <w:rPr>
          <w:spacing w:val="-6"/>
        </w:rPr>
        <w:t> </w:t>
      </w:r>
      <w:r>
        <w:rPr/>
        <w:t>σχέση</w:t>
      </w:r>
      <w:r>
        <w:rPr>
          <w:spacing w:val="-7"/>
        </w:rPr>
        <w:t> </w:t>
      </w:r>
      <w:r>
        <w:rPr/>
        <w:t>με</w:t>
      </w:r>
      <w:r>
        <w:rPr>
          <w:spacing w:val="-6"/>
        </w:rPr>
        <w:t> </w:t>
      </w:r>
      <w:r>
        <w:rPr/>
        <w:t>το</w:t>
      </w:r>
      <w:r>
        <w:rPr>
          <w:spacing w:val="-7"/>
        </w:rPr>
        <w:t> </w:t>
      </w:r>
      <w:r>
        <w:rPr/>
        <w:t>2024.</w:t>
      </w:r>
      <w:r>
        <w:rPr>
          <w:spacing w:val="-5"/>
        </w:rPr>
        <w:t> </w:t>
      </w:r>
      <w:r>
        <w:rPr/>
        <w:t>Ο</w:t>
      </w:r>
      <w:r>
        <w:rPr>
          <w:spacing w:val="-6"/>
        </w:rPr>
        <w:t> </w:t>
      </w:r>
      <w:r>
        <w:rPr/>
        <w:t>ημερήσιος</w:t>
      </w:r>
      <w:r>
        <w:rPr>
          <w:spacing w:val="-5"/>
        </w:rPr>
        <w:t> </w:t>
      </w:r>
      <w:r>
        <w:rPr/>
        <w:t>μέσος</w:t>
      </w:r>
      <w:r>
        <w:rPr>
          <w:spacing w:val="-6"/>
        </w:rPr>
        <w:t> </w:t>
      </w:r>
      <w:r>
        <w:rPr/>
        <w:t>όρος</w:t>
      </w:r>
      <w:r>
        <w:rPr>
          <w:spacing w:val="-6"/>
        </w:rPr>
        <w:t> </w:t>
      </w:r>
      <w:r>
        <w:rPr/>
        <w:t>του</w:t>
      </w:r>
      <w:r>
        <w:rPr>
          <w:spacing w:val="-6"/>
        </w:rPr>
        <w:t> </w:t>
      </w:r>
      <w:r>
        <w:rPr/>
        <w:t>αριθμού των επιταγών που συμψηφίστηκαν ανήλθε σε 234, μειωμένος κατά 28% σε σχέση με το 2024. Μειωμένη</w:t>
      </w:r>
      <w:r>
        <w:rPr>
          <w:spacing w:val="-1"/>
        </w:rPr>
        <w:t> </w:t>
      </w:r>
      <w:r>
        <w:rPr/>
        <w:t>κατά</w:t>
      </w:r>
      <w:r>
        <w:rPr>
          <w:spacing w:val="-2"/>
        </w:rPr>
        <w:t> </w:t>
      </w:r>
      <w:r>
        <w:rPr/>
        <w:t>21%</w:t>
      </w:r>
      <w:r>
        <w:rPr>
          <w:spacing w:val="-1"/>
        </w:rPr>
        <w:t> </w:t>
      </w:r>
      <w:r>
        <w:rPr/>
        <w:t>ήταν</w:t>
      </w:r>
      <w:r>
        <w:rPr>
          <w:spacing w:val="-3"/>
        </w:rPr>
        <w:t> </w:t>
      </w:r>
      <w:r>
        <w:rPr/>
        <w:t>και</w:t>
      </w:r>
      <w:r>
        <w:rPr>
          <w:spacing w:val="-1"/>
        </w:rPr>
        <w:t> </w:t>
      </w:r>
      <w:r>
        <w:rPr/>
        <w:t>η</w:t>
      </w:r>
      <w:r>
        <w:rPr>
          <w:spacing w:val="-1"/>
        </w:rPr>
        <w:t> </w:t>
      </w:r>
      <w:r>
        <w:rPr/>
        <w:t>αξία</w:t>
      </w:r>
      <w:r>
        <w:rPr>
          <w:spacing w:val="-1"/>
        </w:rPr>
        <w:t> </w:t>
      </w:r>
      <w:r>
        <w:rPr/>
        <w:t>των</w:t>
      </w:r>
      <w:r>
        <w:rPr>
          <w:spacing w:val="-3"/>
        </w:rPr>
        <w:t> </w:t>
      </w:r>
      <w:r>
        <w:rPr/>
        <w:t>συμψηφισμένων</w:t>
      </w:r>
      <w:r>
        <w:rPr>
          <w:spacing w:val="-3"/>
        </w:rPr>
        <w:t> </w:t>
      </w:r>
      <w:r>
        <w:rPr/>
        <w:t>επιταγών,</w:t>
      </w:r>
      <w:r>
        <w:rPr>
          <w:spacing w:val="-1"/>
        </w:rPr>
        <w:t> </w:t>
      </w:r>
      <w:r>
        <w:rPr/>
        <w:t>με</w:t>
      </w:r>
      <w:r>
        <w:rPr>
          <w:spacing w:val="-1"/>
        </w:rPr>
        <w:t> </w:t>
      </w:r>
      <w:r>
        <w:rPr/>
        <w:t>τον ημερήσιο</w:t>
      </w:r>
      <w:r>
        <w:rPr>
          <w:spacing w:val="-1"/>
        </w:rPr>
        <w:t> </w:t>
      </w:r>
      <w:r>
        <w:rPr/>
        <w:t>μέσο</w:t>
      </w:r>
      <w:r>
        <w:rPr>
          <w:spacing w:val="-1"/>
        </w:rPr>
        <w:t> </w:t>
      </w:r>
      <w:r>
        <w:rPr/>
        <w:t>όρο της αξίας των επιταγών που συμψηφίστηκαν να διαμορφώνεται σε 15 εκατ. ευρώ. Διαχρονικά διαπιστώνεται σταδιακή μείωση τόσο του αριθμού όσο και της αξίας των επιταγών που επεξερ-γάζεται το ΓΣΑ, ως αποτέλεσμα της εντεινόμενης προτίμησης των συναλλασσομένων για ηλε-κτρονικά μέσα πληρωμής.</w:t>
      </w:r>
    </w:p>
    <w:p>
      <w:pPr>
        <w:pStyle w:val="BodyText"/>
        <w:spacing w:after="0" w:line="285" w:lineRule="auto"/>
        <w:jc w:val="both"/>
        <w:sectPr>
          <w:pgSz w:w="11910" w:h="16850"/>
          <w:pgMar w:header="0" w:footer="1262" w:top="1840" w:bottom="1500" w:left="1417" w:right="850"/>
        </w:sectPr>
      </w:pPr>
    </w:p>
    <w:p>
      <w:pPr>
        <w:pStyle w:val="Heading2"/>
        <w:numPr>
          <w:ilvl w:val="1"/>
          <w:numId w:val="2"/>
        </w:numPr>
        <w:tabs>
          <w:tab w:pos="568" w:val="left" w:leader="none"/>
        </w:tabs>
        <w:spacing w:line="240" w:lineRule="auto" w:before="70" w:after="0"/>
        <w:ind w:left="568" w:right="0" w:hanging="396"/>
        <w:jc w:val="left"/>
        <w:rPr>
          <w:color w:val="1F487C"/>
        </w:rPr>
      </w:pPr>
      <w:bookmarkStart w:name="_bookmark143" w:id="144"/>
      <w:bookmarkEnd w:id="144"/>
      <w:r>
        <w:rPr>
          <w:b w:val="0"/>
        </w:rPr>
      </w:r>
      <w:r>
        <w:rPr>
          <w:color w:val="1F487C"/>
        </w:rPr>
        <w:t>ΚΑΡΤΕΣ </w:t>
      </w:r>
      <w:r>
        <w:rPr>
          <w:color w:val="1F487C"/>
          <w:spacing w:val="-2"/>
        </w:rPr>
        <w:t>ΠΛΗΡΩΜΩΝ</w:t>
      </w:r>
    </w:p>
    <w:p>
      <w:pPr>
        <w:pStyle w:val="Heading3"/>
        <w:numPr>
          <w:ilvl w:val="2"/>
          <w:numId w:val="2"/>
        </w:numPr>
        <w:tabs>
          <w:tab w:pos="738" w:val="left" w:leader="none"/>
        </w:tabs>
        <w:spacing w:line="240" w:lineRule="auto" w:before="122" w:after="0"/>
        <w:ind w:left="738" w:right="0" w:hanging="566"/>
        <w:jc w:val="left"/>
        <w:rPr>
          <w:color w:val="1F487C"/>
        </w:rPr>
      </w:pPr>
      <w:bookmarkStart w:name="_bookmark144" w:id="145"/>
      <w:bookmarkEnd w:id="145"/>
      <w:r>
        <w:rPr>
          <w:b w:val="0"/>
        </w:rPr>
      </w:r>
      <w:r>
        <w:rPr>
          <w:color w:val="1F487C"/>
        </w:rPr>
        <w:t>ΑΡΙΘΜΟΣ</w:t>
      </w:r>
      <w:r>
        <w:rPr>
          <w:color w:val="1F487C"/>
          <w:spacing w:val="-7"/>
        </w:rPr>
        <w:t> </w:t>
      </w:r>
      <w:r>
        <w:rPr>
          <w:color w:val="1F487C"/>
        </w:rPr>
        <w:t>ΚΑΡΤΩΝ</w:t>
      </w:r>
      <w:r>
        <w:rPr>
          <w:color w:val="1F487C"/>
          <w:spacing w:val="-6"/>
        </w:rPr>
        <w:t> </w:t>
      </w:r>
      <w:r>
        <w:rPr>
          <w:color w:val="1F487C"/>
          <w:spacing w:val="-2"/>
        </w:rPr>
        <w:t>ΠΛΗΡΩΜΩΝ</w:t>
      </w:r>
    </w:p>
    <w:p>
      <w:pPr>
        <w:pStyle w:val="BodyText"/>
        <w:spacing w:line="285" w:lineRule="auto" w:before="93"/>
        <w:ind w:left="172" w:right="957"/>
        <w:jc w:val="both"/>
      </w:pPr>
      <w:r>
        <w:rPr/>
        <w:t>Τον Δεκέμβριο του 2025 ο συνολικός αριθμός των ενεργών καρτών πληρωμών σε κυκλοφορία ανήλθε</w:t>
      </w:r>
      <w:r>
        <w:rPr>
          <w:spacing w:val="-6"/>
        </w:rPr>
        <w:t> </w:t>
      </w:r>
      <w:r>
        <w:rPr/>
        <w:t>σε</w:t>
      </w:r>
      <w:r>
        <w:rPr>
          <w:spacing w:val="-6"/>
        </w:rPr>
        <w:t> </w:t>
      </w:r>
      <w:r>
        <w:rPr/>
        <w:t>22,9</w:t>
      </w:r>
      <w:r>
        <w:rPr>
          <w:spacing w:val="-7"/>
        </w:rPr>
        <w:t> </w:t>
      </w:r>
      <w:r>
        <w:rPr/>
        <w:t>εκατ.,</w:t>
      </w:r>
      <w:r>
        <w:rPr>
          <w:spacing w:val="-8"/>
        </w:rPr>
        <w:t> </w:t>
      </w:r>
      <w:r>
        <w:rPr/>
        <w:t>αυξημένος</w:t>
      </w:r>
      <w:r>
        <w:rPr>
          <w:spacing w:val="-8"/>
        </w:rPr>
        <w:t> </w:t>
      </w:r>
      <w:r>
        <w:rPr/>
        <w:t>κατά</w:t>
      </w:r>
      <w:r>
        <w:rPr>
          <w:spacing w:val="-8"/>
        </w:rPr>
        <w:t> </w:t>
      </w:r>
      <w:r>
        <w:rPr/>
        <w:t>12%</w:t>
      </w:r>
      <w:r>
        <w:rPr>
          <w:spacing w:val="-9"/>
        </w:rPr>
        <w:t> </w:t>
      </w:r>
      <w:r>
        <w:rPr/>
        <w:t>σε</w:t>
      </w:r>
      <w:r>
        <w:rPr>
          <w:spacing w:val="-9"/>
        </w:rPr>
        <w:t> </w:t>
      </w:r>
      <w:r>
        <w:rPr/>
        <w:t>σχέση</w:t>
      </w:r>
      <w:r>
        <w:rPr>
          <w:spacing w:val="-10"/>
        </w:rPr>
        <w:t> </w:t>
      </w:r>
      <w:r>
        <w:rPr/>
        <w:t>με</w:t>
      </w:r>
      <w:r>
        <w:rPr>
          <w:spacing w:val="-6"/>
        </w:rPr>
        <w:t> </w:t>
      </w:r>
      <w:r>
        <w:rPr/>
        <w:t>τον</w:t>
      </w:r>
      <w:r>
        <w:rPr>
          <w:spacing w:val="-9"/>
        </w:rPr>
        <w:t> </w:t>
      </w:r>
      <w:r>
        <w:rPr/>
        <w:t>Δεκέμβριο</w:t>
      </w:r>
      <w:r>
        <w:rPr>
          <w:spacing w:val="-10"/>
        </w:rPr>
        <w:t> </w:t>
      </w:r>
      <w:r>
        <w:rPr/>
        <w:t>του</w:t>
      </w:r>
      <w:r>
        <w:rPr>
          <w:spacing w:val="-9"/>
        </w:rPr>
        <w:t> </w:t>
      </w:r>
      <w:r>
        <w:rPr/>
        <w:t>2024.</w:t>
      </w:r>
      <w:r>
        <w:rPr>
          <w:spacing w:val="-7"/>
        </w:rPr>
        <w:t> </w:t>
      </w:r>
      <w:r>
        <w:rPr/>
        <w:t>Οι</w:t>
      </w:r>
      <w:r>
        <w:rPr>
          <w:spacing w:val="-6"/>
        </w:rPr>
        <w:t> </w:t>
      </w:r>
      <w:r>
        <w:rPr/>
        <w:t>χρεωστικές κάρτες</w:t>
      </w:r>
      <w:hyperlink w:history="true" w:anchor="_bookmark146">
        <w:r>
          <w:rPr>
            <w:position w:val="6"/>
            <w:sz w:val="10"/>
          </w:rPr>
          <w:t>97</w:t>
        </w:r>
      </w:hyperlink>
      <w:r>
        <w:rPr>
          <w:spacing w:val="40"/>
          <w:position w:val="6"/>
          <w:sz w:val="10"/>
        </w:rPr>
        <w:t> </w:t>
      </w:r>
      <w:r>
        <w:rPr/>
        <w:t>ανήλθαν σε 19,5 εκατ., αυξημένες κατά 13%.</w:t>
      </w:r>
    </w:p>
    <w:p>
      <w:pPr>
        <w:pStyle w:val="BodyText"/>
        <w:spacing w:line="285" w:lineRule="auto" w:before="57"/>
        <w:ind w:left="172" w:right="954"/>
        <w:jc w:val="both"/>
      </w:pPr>
      <w:r>
        <w:rPr/>
        <w:t>Εξετάζοντας</w:t>
      </w:r>
      <w:r>
        <w:rPr>
          <w:spacing w:val="-6"/>
        </w:rPr>
        <w:t> </w:t>
      </w:r>
      <w:r>
        <w:rPr/>
        <w:t>τις</w:t>
      </w:r>
      <w:r>
        <w:rPr>
          <w:spacing w:val="-5"/>
        </w:rPr>
        <w:t> </w:t>
      </w:r>
      <w:r>
        <w:rPr/>
        <w:t>επιμέρους</w:t>
      </w:r>
      <w:r>
        <w:rPr>
          <w:spacing w:val="-6"/>
        </w:rPr>
        <w:t> </w:t>
      </w:r>
      <w:r>
        <w:rPr/>
        <w:t>κατηγορίες</w:t>
      </w:r>
      <w:r>
        <w:rPr>
          <w:spacing w:val="-6"/>
        </w:rPr>
        <w:t> </w:t>
      </w:r>
      <w:r>
        <w:rPr/>
        <w:t>των</w:t>
      </w:r>
      <w:r>
        <w:rPr>
          <w:spacing w:val="-4"/>
        </w:rPr>
        <w:t> </w:t>
      </w:r>
      <w:r>
        <w:rPr/>
        <w:t>χρεωστικών</w:t>
      </w:r>
      <w:r>
        <w:rPr>
          <w:spacing w:val="-4"/>
        </w:rPr>
        <w:t> </w:t>
      </w:r>
      <w:r>
        <w:rPr/>
        <w:t>καρτών,</w:t>
      </w:r>
      <w:r>
        <w:rPr>
          <w:spacing w:val="-5"/>
        </w:rPr>
        <w:t> </w:t>
      </w:r>
      <w:r>
        <w:rPr/>
        <w:t>ο</w:t>
      </w:r>
      <w:r>
        <w:rPr>
          <w:spacing w:val="-5"/>
        </w:rPr>
        <w:t> </w:t>
      </w:r>
      <w:r>
        <w:rPr/>
        <w:t>αριθμός</w:t>
      </w:r>
      <w:r>
        <w:rPr>
          <w:spacing w:val="-6"/>
        </w:rPr>
        <w:t> </w:t>
      </w:r>
      <w:r>
        <w:rPr/>
        <w:t>των</w:t>
      </w:r>
      <w:r>
        <w:rPr>
          <w:spacing w:val="-4"/>
        </w:rPr>
        <w:t> </w:t>
      </w:r>
      <w:r>
        <w:rPr/>
        <w:t>προπληρωμένων καρτών εμφάνισε τη σημαντικότερη αύξηση (70%) σε σχέση με τον Δεκέμβριο του 2024 και ανήλθε σε 2,8 εκατ. κάρτες. Η αύξηση οφείλεται κυρίως στην από τις 15.3.2025 εφαρμογή του νέου τρόπου καταβολής των παροχών σε χρήμα, επιδομάτων και οικονομικών ενισχύσεων που καταβάλλονται</w:t>
      </w:r>
      <w:r>
        <w:rPr>
          <w:spacing w:val="-4"/>
        </w:rPr>
        <w:t> </w:t>
      </w:r>
      <w:r>
        <w:rPr/>
        <w:t>από</w:t>
      </w:r>
      <w:r>
        <w:rPr>
          <w:spacing w:val="-4"/>
        </w:rPr>
        <w:t> </w:t>
      </w:r>
      <w:r>
        <w:rPr/>
        <w:t>τη</w:t>
      </w:r>
      <w:r>
        <w:rPr>
          <w:spacing w:val="-4"/>
        </w:rPr>
        <w:t> </w:t>
      </w:r>
      <w:r>
        <w:rPr/>
        <w:t>Δημόσια</w:t>
      </w:r>
      <w:r>
        <w:rPr>
          <w:spacing w:val="-6"/>
        </w:rPr>
        <w:t> </w:t>
      </w:r>
      <w:r>
        <w:rPr/>
        <w:t>Υπηρεσία</w:t>
      </w:r>
      <w:r>
        <w:rPr>
          <w:spacing w:val="-4"/>
        </w:rPr>
        <w:t> </w:t>
      </w:r>
      <w:r>
        <w:rPr/>
        <w:t>Απασχόλησης</w:t>
      </w:r>
      <w:r>
        <w:rPr>
          <w:spacing w:val="-6"/>
        </w:rPr>
        <w:t> </w:t>
      </w:r>
      <w:r>
        <w:rPr/>
        <w:t>(ΔΥΠΑ)</w:t>
      </w:r>
      <w:r>
        <w:rPr>
          <w:spacing w:val="-4"/>
        </w:rPr>
        <w:t> </w:t>
      </w:r>
      <w:r>
        <w:rPr/>
        <w:t>και</w:t>
      </w:r>
      <w:r>
        <w:rPr>
          <w:spacing w:val="-6"/>
        </w:rPr>
        <w:t> </w:t>
      </w:r>
      <w:r>
        <w:rPr/>
        <w:t>τον</w:t>
      </w:r>
      <w:r>
        <w:rPr>
          <w:spacing w:val="-3"/>
        </w:rPr>
        <w:t> </w:t>
      </w:r>
      <w:r>
        <w:rPr/>
        <w:t>Οργανισμό</w:t>
      </w:r>
      <w:r>
        <w:rPr>
          <w:spacing w:val="-4"/>
        </w:rPr>
        <w:t> </w:t>
      </w:r>
      <w:r>
        <w:rPr/>
        <w:t>Προνοια-κών Επιδομάτων και Κοινωνικής Αλληλεγγύης (ΟΠΕΚΑ), βάσει του οποίου η καταβολή των παροχών</w:t>
      </w:r>
      <w:r>
        <w:rPr>
          <w:spacing w:val="-14"/>
        </w:rPr>
        <w:t> </w:t>
      </w:r>
      <w:r>
        <w:rPr/>
        <w:t>στον</w:t>
      </w:r>
      <w:r>
        <w:rPr>
          <w:spacing w:val="-14"/>
        </w:rPr>
        <w:t> </w:t>
      </w:r>
      <w:r>
        <w:rPr/>
        <w:t>δικαιούχο</w:t>
      </w:r>
      <w:r>
        <w:rPr>
          <w:spacing w:val="-14"/>
        </w:rPr>
        <w:t> </w:t>
      </w:r>
      <w:r>
        <w:rPr/>
        <w:t>θα</w:t>
      </w:r>
      <w:r>
        <w:rPr>
          <w:spacing w:val="-13"/>
        </w:rPr>
        <w:t> </w:t>
      </w:r>
      <w:r>
        <w:rPr/>
        <w:t>πρέπει</w:t>
      </w:r>
      <w:r>
        <w:rPr>
          <w:spacing w:val="-14"/>
        </w:rPr>
        <w:t> </w:t>
      </w:r>
      <w:r>
        <w:rPr/>
        <w:t>να</w:t>
      </w:r>
      <w:r>
        <w:rPr>
          <w:spacing w:val="-14"/>
        </w:rPr>
        <w:t> </w:t>
      </w:r>
      <w:r>
        <w:rPr/>
        <w:t>διενεργείται</w:t>
      </w:r>
      <w:r>
        <w:rPr>
          <w:spacing w:val="-14"/>
        </w:rPr>
        <w:t> </w:t>
      </w:r>
      <w:r>
        <w:rPr/>
        <w:t>μέσω</w:t>
      </w:r>
      <w:r>
        <w:rPr>
          <w:spacing w:val="-13"/>
        </w:rPr>
        <w:t> </w:t>
      </w:r>
      <w:r>
        <w:rPr/>
        <w:t>προπληρωμένης</w:t>
      </w:r>
      <w:r>
        <w:rPr>
          <w:spacing w:val="-14"/>
        </w:rPr>
        <w:t> </w:t>
      </w:r>
      <w:r>
        <w:rPr/>
        <w:t>κάρτας</w:t>
      </w:r>
      <w:hyperlink w:history="true" w:anchor="_bookmark147">
        <w:r>
          <w:rPr/>
          <w:t>.</w:t>
        </w:r>
        <w:r>
          <w:rPr>
            <w:position w:val="6"/>
            <w:sz w:val="10"/>
          </w:rPr>
          <w:t>98</w:t>
        </w:r>
      </w:hyperlink>
      <w:r>
        <w:rPr>
          <w:spacing w:val="16"/>
          <w:position w:val="6"/>
          <w:sz w:val="10"/>
        </w:rPr>
        <w:t> </w:t>
      </w:r>
      <w:r>
        <w:rPr/>
        <w:t>Οι</w:t>
      </w:r>
      <w:r>
        <w:rPr>
          <w:spacing w:val="-14"/>
        </w:rPr>
        <w:t> </w:t>
      </w:r>
      <w:r>
        <w:rPr/>
        <w:t>πιστωτικές κάρτες</w:t>
      </w:r>
      <w:r>
        <w:rPr>
          <w:spacing w:val="-4"/>
        </w:rPr>
        <w:t> </w:t>
      </w:r>
      <w:r>
        <w:rPr/>
        <w:t>ανήλθαν</w:t>
      </w:r>
      <w:r>
        <w:rPr>
          <w:spacing w:val="-5"/>
        </w:rPr>
        <w:t> </w:t>
      </w:r>
      <w:r>
        <w:rPr/>
        <w:t>σε</w:t>
      </w:r>
      <w:r>
        <w:rPr>
          <w:spacing w:val="-5"/>
        </w:rPr>
        <w:t> </w:t>
      </w:r>
      <w:r>
        <w:rPr/>
        <w:t>3,3</w:t>
      </w:r>
      <w:r>
        <w:rPr>
          <w:spacing w:val="-6"/>
        </w:rPr>
        <w:t> </w:t>
      </w:r>
      <w:r>
        <w:rPr/>
        <w:t>εκατ.,</w:t>
      </w:r>
      <w:r>
        <w:rPr>
          <w:spacing w:val="-4"/>
        </w:rPr>
        <w:t> </w:t>
      </w:r>
      <w:r>
        <w:rPr/>
        <w:t>αυξημένες</w:t>
      </w:r>
      <w:r>
        <w:rPr>
          <w:spacing w:val="-5"/>
        </w:rPr>
        <w:t> </w:t>
      </w:r>
      <w:r>
        <w:rPr/>
        <w:t>κατά</w:t>
      </w:r>
      <w:r>
        <w:rPr>
          <w:spacing w:val="-7"/>
        </w:rPr>
        <w:t> </w:t>
      </w:r>
      <w:r>
        <w:rPr/>
        <w:t>4%,</w:t>
      </w:r>
      <w:r>
        <w:rPr>
          <w:spacing w:val="-6"/>
        </w:rPr>
        <w:t> </w:t>
      </w:r>
      <w:r>
        <w:rPr/>
        <w:t>εκ</w:t>
      </w:r>
      <w:r>
        <w:rPr>
          <w:spacing w:val="-7"/>
        </w:rPr>
        <w:t> </w:t>
      </w:r>
      <w:r>
        <w:rPr/>
        <w:t>των</w:t>
      </w:r>
      <w:r>
        <w:rPr>
          <w:spacing w:val="-5"/>
        </w:rPr>
        <w:t> </w:t>
      </w:r>
      <w:r>
        <w:rPr/>
        <w:t>οποίων</w:t>
      </w:r>
      <w:r>
        <w:rPr>
          <w:spacing w:val="-5"/>
        </w:rPr>
        <w:t> </w:t>
      </w:r>
      <w:r>
        <w:rPr/>
        <w:t>178</w:t>
      </w:r>
      <w:r>
        <w:rPr>
          <w:spacing w:val="-6"/>
        </w:rPr>
        <w:t> </w:t>
      </w:r>
      <w:r>
        <w:rPr/>
        <w:t>χιλ.</w:t>
      </w:r>
      <w:r>
        <w:rPr>
          <w:spacing w:val="-6"/>
        </w:rPr>
        <w:t> </w:t>
      </w:r>
      <w:r>
        <w:rPr/>
        <w:t>ήταν</w:t>
      </w:r>
      <w:r>
        <w:rPr>
          <w:spacing w:val="-5"/>
        </w:rPr>
        <w:t> </w:t>
      </w:r>
      <w:r>
        <w:rPr/>
        <w:t>εικονικές</w:t>
      </w:r>
      <w:r>
        <w:rPr>
          <w:spacing w:val="-4"/>
        </w:rPr>
        <w:t> </w:t>
      </w:r>
      <w:r>
        <w:rPr/>
        <w:t>κάρτες (αυξημένες κατά 17% σε σχέση με το 2024).</w:t>
      </w:r>
    </w:p>
    <w:p>
      <w:pPr>
        <w:pStyle w:val="BodyText"/>
        <w:spacing w:before="184"/>
      </w:pPr>
    </w:p>
    <w:p>
      <w:pPr>
        <w:pStyle w:val="Heading3"/>
        <w:numPr>
          <w:ilvl w:val="2"/>
          <w:numId w:val="2"/>
        </w:numPr>
        <w:tabs>
          <w:tab w:pos="738" w:val="left" w:leader="none"/>
        </w:tabs>
        <w:spacing w:line="240" w:lineRule="auto" w:before="0" w:after="0"/>
        <w:ind w:left="738" w:right="0" w:hanging="566"/>
        <w:jc w:val="left"/>
        <w:rPr>
          <w:color w:val="1F487C"/>
        </w:rPr>
      </w:pPr>
      <w:bookmarkStart w:name="_bookmark145" w:id="146"/>
      <w:bookmarkEnd w:id="146"/>
      <w:r>
        <w:rPr>
          <w:b w:val="0"/>
        </w:rPr>
      </w:r>
      <w:r>
        <w:rPr>
          <w:color w:val="1F487C"/>
        </w:rPr>
        <w:t>ΣΥΝΑΛΛΑΓΕΣ</w:t>
      </w:r>
      <w:r>
        <w:rPr>
          <w:color w:val="1F487C"/>
          <w:spacing w:val="-6"/>
        </w:rPr>
        <w:t> </w:t>
      </w:r>
      <w:r>
        <w:rPr>
          <w:color w:val="1F487C"/>
        </w:rPr>
        <w:t>ΜΕ</w:t>
      </w:r>
      <w:r>
        <w:rPr>
          <w:color w:val="1F487C"/>
          <w:spacing w:val="-9"/>
        </w:rPr>
        <w:t> </w:t>
      </w:r>
      <w:r>
        <w:rPr>
          <w:color w:val="1F487C"/>
        </w:rPr>
        <w:t>ΚΑΡΤΕΣ</w:t>
      </w:r>
      <w:r>
        <w:rPr>
          <w:color w:val="1F487C"/>
          <w:spacing w:val="-5"/>
        </w:rPr>
        <w:t> </w:t>
      </w:r>
      <w:r>
        <w:rPr>
          <w:color w:val="1F487C"/>
          <w:spacing w:val="-2"/>
        </w:rPr>
        <w:t>ΠΛΗΡΩΜΩΝ</w:t>
      </w:r>
    </w:p>
    <w:p>
      <w:pPr>
        <w:pStyle w:val="BodyText"/>
        <w:spacing w:line="285" w:lineRule="auto" w:before="93"/>
        <w:ind w:left="172" w:right="955"/>
        <w:jc w:val="both"/>
      </w:pPr>
      <w:r>
        <w:rPr/>
        <mc:AlternateContent>
          <mc:Choice Requires="wps">
            <w:drawing>
              <wp:anchor distT="0" distB="0" distL="0" distR="0" allowOverlap="1" layoutInCell="1" locked="0" behindDoc="0" simplePos="0" relativeHeight="15810048">
                <wp:simplePos x="0" y="0"/>
                <wp:positionH relativeFrom="page">
                  <wp:posOffset>3732910</wp:posOffset>
                </wp:positionH>
                <wp:positionV relativeFrom="paragraph">
                  <wp:posOffset>1220187</wp:posOffset>
                </wp:positionV>
                <wp:extent cx="2667635" cy="338455"/>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2667635" cy="338455"/>
                        </a:xfrm>
                        <a:prstGeom prst="rect">
                          <a:avLst/>
                        </a:prstGeom>
                        <a:solidFill>
                          <a:srgbClr val="1F487C"/>
                        </a:solidFill>
                      </wps:spPr>
                      <wps:txbx>
                        <w:txbxContent>
                          <w:p>
                            <w:pPr>
                              <w:spacing w:before="60"/>
                              <w:ind w:left="112" w:right="142"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4"/>
                                <w:sz w:val="18"/>
                              </w:rPr>
                              <w:t> </w:t>
                            </w:r>
                            <w:r>
                              <w:rPr>
                                <w:b/>
                                <w:smallCaps w:val="0"/>
                                <w:color w:val="FFFFFF"/>
                                <w:sz w:val="18"/>
                              </w:rPr>
                              <w:t>VI.3</w:t>
                            </w:r>
                            <w:r>
                              <w:rPr>
                                <w:b/>
                                <w:smallCaps w:val="0"/>
                                <w:color w:val="FFFFFF"/>
                                <w:spacing w:val="-4"/>
                                <w:sz w:val="18"/>
                              </w:rPr>
                              <w:t> </w:t>
                            </w:r>
                            <w:r>
                              <w:rPr>
                                <w:b/>
                                <w:smallCaps w:val="0"/>
                                <w:color w:val="FFFFFF"/>
                                <w:sz w:val="18"/>
                              </w:rPr>
                              <w:t>Μέση</w:t>
                            </w:r>
                            <w:r>
                              <w:rPr>
                                <w:b/>
                                <w:smallCaps w:val="0"/>
                                <w:color w:val="FFFFFF"/>
                                <w:spacing w:val="-4"/>
                                <w:sz w:val="18"/>
                              </w:rPr>
                              <w:t> </w:t>
                            </w:r>
                            <w:r>
                              <w:rPr>
                                <w:b/>
                                <w:smallCaps w:val="0"/>
                                <w:color w:val="FFFFFF"/>
                                <w:sz w:val="18"/>
                              </w:rPr>
                              <w:t>αξία</w:t>
                            </w:r>
                            <w:r>
                              <w:rPr>
                                <w:b/>
                                <w:smallCaps w:val="0"/>
                                <w:color w:val="FFFFFF"/>
                                <w:spacing w:val="-5"/>
                                <w:sz w:val="18"/>
                              </w:rPr>
                              <w:t> </w:t>
                            </w:r>
                            <w:r>
                              <w:rPr>
                                <w:b/>
                                <w:smallCaps w:val="0"/>
                                <w:color w:val="FFFFFF"/>
                                <w:sz w:val="18"/>
                              </w:rPr>
                              <w:t>ανά</w:t>
                            </w:r>
                            <w:r>
                              <w:rPr>
                                <w:b/>
                                <w:smallCaps w:val="0"/>
                                <w:color w:val="FFFFFF"/>
                                <w:spacing w:val="-7"/>
                                <w:sz w:val="18"/>
                              </w:rPr>
                              <w:t> </w:t>
                            </w:r>
                            <w:r>
                              <w:rPr>
                                <w:b/>
                                <w:smallCaps w:val="0"/>
                                <w:color w:val="FFFFFF"/>
                                <w:sz w:val="18"/>
                              </w:rPr>
                              <w:t>συναλλαγή</w:t>
                            </w:r>
                            <w:r>
                              <w:rPr>
                                <w:b/>
                                <w:smallCaps w:val="0"/>
                                <w:color w:val="FFFFFF"/>
                                <w:spacing w:val="-6"/>
                                <w:sz w:val="18"/>
                              </w:rPr>
                              <w:t> </w:t>
                            </w:r>
                            <w:r>
                              <w:rPr>
                                <w:b/>
                                <w:smallCaps w:val="0"/>
                                <w:color w:val="FFFFFF"/>
                                <w:sz w:val="18"/>
                              </w:rPr>
                              <w:t>με</w:t>
                            </w:r>
                            <w:r>
                              <w:rPr>
                                <w:b/>
                                <w:smallCaps w:val="0"/>
                                <w:color w:val="FFFFFF"/>
                                <w:spacing w:val="-5"/>
                                <w:sz w:val="18"/>
                              </w:rPr>
                              <w:t> </w:t>
                            </w:r>
                            <w:r>
                              <w:rPr>
                                <w:b/>
                                <w:smallCaps w:val="0"/>
                                <w:color w:val="FFFFFF"/>
                                <w:sz w:val="18"/>
                              </w:rPr>
                              <w:t>κάρ-</w:t>
                            </w:r>
                            <w:r>
                              <w:rPr>
                                <w:b/>
                                <w:smallCaps w:val="0"/>
                                <w:color w:val="FFFFFF"/>
                                <w:spacing w:val="-4"/>
                                <w:sz w:val="18"/>
                              </w:rPr>
                              <w:t>τες</w:t>
                            </w:r>
                          </w:p>
                        </w:txbxContent>
                      </wps:txbx>
                      <wps:bodyPr wrap="square" lIns="0" tIns="0" rIns="0" bIns="0" rtlCol="0">
                        <a:noAutofit/>
                      </wps:bodyPr>
                    </wps:wsp>
                  </a:graphicData>
                </a:graphic>
              </wp:anchor>
            </w:drawing>
          </mc:Choice>
          <mc:Fallback>
            <w:pict>
              <v:shape style="position:absolute;margin-left:293.929993pt;margin-top:96.077736pt;width:210.05pt;height:26.65pt;mso-position-horizontal-relative:page;mso-position-vertical-relative:paragraph;z-index:15810048" type="#_x0000_t202" id="docshape701" filled="true" fillcolor="#1f487c" stroked="false">
                <v:textbox inset="0,0,0,0">
                  <w:txbxContent>
                    <w:p>
                      <w:pPr>
                        <w:spacing w:before="60"/>
                        <w:ind w:left="112" w:right="142"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4"/>
                          <w:sz w:val="18"/>
                        </w:rPr>
                        <w:t> </w:t>
                      </w:r>
                      <w:r>
                        <w:rPr>
                          <w:b/>
                          <w:smallCaps w:val="0"/>
                          <w:color w:val="FFFFFF"/>
                          <w:sz w:val="18"/>
                        </w:rPr>
                        <w:t>VI.3</w:t>
                      </w:r>
                      <w:r>
                        <w:rPr>
                          <w:b/>
                          <w:smallCaps w:val="0"/>
                          <w:color w:val="FFFFFF"/>
                          <w:spacing w:val="-4"/>
                          <w:sz w:val="18"/>
                        </w:rPr>
                        <w:t> </w:t>
                      </w:r>
                      <w:r>
                        <w:rPr>
                          <w:b/>
                          <w:smallCaps w:val="0"/>
                          <w:color w:val="FFFFFF"/>
                          <w:sz w:val="18"/>
                        </w:rPr>
                        <w:t>Μέση</w:t>
                      </w:r>
                      <w:r>
                        <w:rPr>
                          <w:b/>
                          <w:smallCaps w:val="0"/>
                          <w:color w:val="FFFFFF"/>
                          <w:spacing w:val="-4"/>
                          <w:sz w:val="18"/>
                        </w:rPr>
                        <w:t> </w:t>
                      </w:r>
                      <w:r>
                        <w:rPr>
                          <w:b/>
                          <w:smallCaps w:val="0"/>
                          <w:color w:val="FFFFFF"/>
                          <w:sz w:val="18"/>
                        </w:rPr>
                        <w:t>αξία</w:t>
                      </w:r>
                      <w:r>
                        <w:rPr>
                          <w:b/>
                          <w:smallCaps w:val="0"/>
                          <w:color w:val="FFFFFF"/>
                          <w:spacing w:val="-5"/>
                          <w:sz w:val="18"/>
                        </w:rPr>
                        <w:t> </w:t>
                      </w:r>
                      <w:r>
                        <w:rPr>
                          <w:b/>
                          <w:smallCaps w:val="0"/>
                          <w:color w:val="FFFFFF"/>
                          <w:sz w:val="18"/>
                        </w:rPr>
                        <w:t>ανά</w:t>
                      </w:r>
                      <w:r>
                        <w:rPr>
                          <w:b/>
                          <w:smallCaps w:val="0"/>
                          <w:color w:val="FFFFFF"/>
                          <w:spacing w:val="-7"/>
                          <w:sz w:val="18"/>
                        </w:rPr>
                        <w:t> </w:t>
                      </w:r>
                      <w:r>
                        <w:rPr>
                          <w:b/>
                          <w:smallCaps w:val="0"/>
                          <w:color w:val="FFFFFF"/>
                          <w:sz w:val="18"/>
                        </w:rPr>
                        <w:t>συναλλαγή</w:t>
                      </w:r>
                      <w:r>
                        <w:rPr>
                          <w:b/>
                          <w:smallCaps w:val="0"/>
                          <w:color w:val="FFFFFF"/>
                          <w:spacing w:val="-6"/>
                          <w:sz w:val="18"/>
                        </w:rPr>
                        <w:t> </w:t>
                      </w:r>
                      <w:r>
                        <w:rPr>
                          <w:b/>
                          <w:smallCaps w:val="0"/>
                          <w:color w:val="FFFFFF"/>
                          <w:sz w:val="18"/>
                        </w:rPr>
                        <w:t>με</w:t>
                      </w:r>
                      <w:r>
                        <w:rPr>
                          <w:b/>
                          <w:smallCaps w:val="0"/>
                          <w:color w:val="FFFFFF"/>
                          <w:spacing w:val="-5"/>
                          <w:sz w:val="18"/>
                        </w:rPr>
                        <w:t> </w:t>
                      </w:r>
                      <w:r>
                        <w:rPr>
                          <w:b/>
                          <w:smallCaps w:val="0"/>
                          <w:color w:val="FFFFFF"/>
                          <w:sz w:val="18"/>
                        </w:rPr>
                        <w:t>κάρ-</w:t>
                      </w:r>
                      <w:r>
                        <w:rPr>
                          <w:b/>
                          <w:smallCaps w:val="0"/>
                          <w:color w:val="FFFFFF"/>
                          <w:spacing w:val="-4"/>
                          <w:sz w:val="18"/>
                        </w:rPr>
                        <w:t>τες</w:t>
                      </w:r>
                    </w:p>
                  </w:txbxContent>
                </v:textbox>
                <v:fill type="solid"/>
                <w10:wrap type="none"/>
              </v:shape>
            </w:pict>
          </mc:Fallback>
        </mc:AlternateContent>
      </w:r>
      <w:r>
        <w:rPr/>
        <w:t>Ο</w:t>
      </w:r>
      <w:r>
        <w:rPr>
          <w:spacing w:val="-14"/>
        </w:rPr>
        <w:t> </w:t>
      </w:r>
      <w:r>
        <w:rPr/>
        <w:t>συνολικός</w:t>
      </w:r>
      <w:r>
        <w:rPr>
          <w:spacing w:val="-14"/>
        </w:rPr>
        <w:t> </w:t>
      </w:r>
      <w:r>
        <w:rPr/>
        <w:t>αριθμός</w:t>
      </w:r>
      <w:r>
        <w:rPr>
          <w:spacing w:val="-14"/>
        </w:rPr>
        <w:t> </w:t>
      </w:r>
      <w:r>
        <w:rPr/>
        <w:t>συναλλαγών</w:t>
      </w:r>
      <w:r>
        <w:rPr>
          <w:spacing w:val="-13"/>
        </w:rPr>
        <w:t> </w:t>
      </w:r>
      <w:r>
        <w:rPr/>
        <w:t>με</w:t>
      </w:r>
      <w:r>
        <w:rPr>
          <w:spacing w:val="-14"/>
        </w:rPr>
        <w:t> </w:t>
      </w:r>
      <w:r>
        <w:rPr/>
        <w:t>κάρτες</w:t>
      </w:r>
      <w:r>
        <w:rPr>
          <w:spacing w:val="-14"/>
        </w:rPr>
        <w:t> </w:t>
      </w:r>
      <w:r>
        <w:rPr/>
        <w:t>πληρωμών</w:t>
      </w:r>
      <w:r>
        <w:rPr>
          <w:spacing w:val="-14"/>
        </w:rPr>
        <w:t> </w:t>
      </w:r>
      <w:r>
        <w:rPr/>
        <w:t>το</w:t>
      </w:r>
      <w:r>
        <w:rPr>
          <w:spacing w:val="-13"/>
        </w:rPr>
        <w:t> </w:t>
      </w:r>
      <w:r>
        <w:rPr/>
        <w:t>2025</w:t>
      </w:r>
      <w:r>
        <w:rPr>
          <w:spacing w:val="-14"/>
        </w:rPr>
        <w:t> </w:t>
      </w:r>
      <w:r>
        <w:rPr/>
        <w:t>ανήλθε</w:t>
      </w:r>
      <w:r>
        <w:rPr>
          <w:spacing w:val="-14"/>
        </w:rPr>
        <w:t> </w:t>
      </w:r>
      <w:r>
        <w:rPr/>
        <w:t>σε</w:t>
      </w:r>
      <w:r>
        <w:rPr>
          <w:spacing w:val="-14"/>
        </w:rPr>
        <w:t> </w:t>
      </w:r>
      <w:r>
        <w:rPr/>
        <w:t>2,7</w:t>
      </w:r>
      <w:r>
        <w:rPr>
          <w:spacing w:val="-13"/>
        </w:rPr>
        <w:t> </w:t>
      </w:r>
      <w:r>
        <w:rPr/>
        <w:t>δισεκ.,</w:t>
      </w:r>
      <w:r>
        <w:rPr>
          <w:spacing w:val="-14"/>
        </w:rPr>
        <w:t> </w:t>
      </w:r>
      <w:r>
        <w:rPr/>
        <w:t>αυξημένος κατά 10% και η συνολική αξία των συναλλαγών με κάρτες πληρωμών ανήλθε σε 119,5 δισεκ. ευρώ,</w:t>
      </w:r>
      <w:r>
        <w:rPr>
          <w:spacing w:val="-8"/>
        </w:rPr>
        <w:t> </w:t>
      </w:r>
      <w:r>
        <w:rPr/>
        <w:t>αυξημένη</w:t>
      </w:r>
      <w:r>
        <w:rPr>
          <w:spacing w:val="-9"/>
        </w:rPr>
        <w:t> </w:t>
      </w:r>
      <w:r>
        <w:rPr/>
        <w:t>κατά</w:t>
      </w:r>
      <w:r>
        <w:rPr>
          <w:spacing w:val="-9"/>
        </w:rPr>
        <w:t> </w:t>
      </w:r>
      <w:r>
        <w:rPr/>
        <w:t>6%</w:t>
      </w:r>
      <w:r>
        <w:rPr>
          <w:spacing w:val="-8"/>
        </w:rPr>
        <w:t> </w:t>
      </w:r>
      <w:r>
        <w:rPr/>
        <w:t>σε</w:t>
      </w:r>
      <w:r>
        <w:rPr>
          <w:spacing w:val="-8"/>
        </w:rPr>
        <w:t> </w:t>
      </w:r>
      <w:r>
        <w:rPr/>
        <w:t>ετήσια</w:t>
      </w:r>
      <w:r>
        <w:rPr>
          <w:spacing w:val="-8"/>
        </w:rPr>
        <w:t> </w:t>
      </w:r>
      <w:r>
        <w:rPr/>
        <w:t>βάση.</w:t>
      </w:r>
      <w:r>
        <w:rPr>
          <w:spacing w:val="-9"/>
        </w:rPr>
        <w:t> </w:t>
      </w:r>
      <w:r>
        <w:rPr/>
        <w:t>Οι</w:t>
      </w:r>
      <w:r>
        <w:rPr>
          <w:spacing w:val="-8"/>
        </w:rPr>
        <w:t> </w:t>
      </w:r>
      <w:r>
        <w:rPr/>
        <w:t>περισσότερες</w:t>
      </w:r>
      <w:r>
        <w:rPr>
          <w:spacing w:val="-10"/>
        </w:rPr>
        <w:t> </w:t>
      </w:r>
      <w:r>
        <w:rPr/>
        <w:t>συναλλαγές</w:t>
      </w:r>
      <w:r>
        <w:rPr>
          <w:spacing w:val="-10"/>
        </w:rPr>
        <w:t> </w:t>
      </w:r>
      <w:r>
        <w:rPr/>
        <w:t>με</w:t>
      </w:r>
      <w:r>
        <w:rPr>
          <w:spacing w:val="-5"/>
        </w:rPr>
        <w:t> </w:t>
      </w:r>
      <w:r>
        <w:rPr/>
        <w:t>κάρτες</w:t>
      </w:r>
      <w:r>
        <w:rPr>
          <w:spacing w:val="-10"/>
        </w:rPr>
        <w:t> </w:t>
      </w:r>
      <w:r>
        <w:rPr/>
        <w:t>διενεργούνται με χρεωστικές</w:t>
      </w:r>
      <w:r>
        <w:rPr>
          <w:spacing w:val="-2"/>
        </w:rPr>
        <w:t> </w:t>
      </w:r>
      <w:r>
        <w:rPr/>
        <w:t>κάρτες</w:t>
      </w:r>
      <w:r>
        <w:rPr>
          <w:spacing w:val="-2"/>
        </w:rPr>
        <w:t> </w:t>
      </w:r>
      <w:r>
        <w:rPr/>
        <w:t>(93% του</w:t>
      </w:r>
      <w:r>
        <w:rPr>
          <w:spacing w:val="-2"/>
        </w:rPr>
        <w:t> </w:t>
      </w:r>
      <w:r>
        <w:rPr/>
        <w:t>συνόλου),</w:t>
      </w:r>
      <w:r>
        <w:rPr>
          <w:spacing w:val="-3"/>
        </w:rPr>
        <w:t> </w:t>
      </w:r>
      <w:r>
        <w:rPr/>
        <w:t>με</w:t>
      </w:r>
      <w:r>
        <w:rPr>
          <w:spacing w:val="-2"/>
        </w:rPr>
        <w:t> </w:t>
      </w:r>
      <w:r>
        <w:rPr/>
        <w:t>τον αριθμό</w:t>
      </w:r>
      <w:r>
        <w:rPr>
          <w:spacing w:val="-1"/>
        </w:rPr>
        <w:t> </w:t>
      </w:r>
      <w:r>
        <w:rPr/>
        <w:t>συναλλαγών</w:t>
      </w:r>
      <w:r>
        <w:rPr>
          <w:spacing w:val="-2"/>
        </w:rPr>
        <w:t> </w:t>
      </w:r>
      <w:r>
        <w:rPr/>
        <w:t>να</w:t>
      </w:r>
      <w:r>
        <w:rPr>
          <w:spacing w:val="-3"/>
        </w:rPr>
        <w:t> </w:t>
      </w:r>
      <w:r>
        <w:rPr/>
        <w:t>διαμορφώνεται</w:t>
      </w:r>
      <w:r>
        <w:rPr>
          <w:spacing w:val="-2"/>
        </w:rPr>
        <w:t> </w:t>
      </w:r>
      <w:r>
        <w:rPr/>
        <w:t>σε 2,5 δισεκ.</w:t>
      </w:r>
      <w:r>
        <w:rPr>
          <w:spacing w:val="-2"/>
        </w:rPr>
        <w:t> </w:t>
      </w:r>
      <w:r>
        <w:rPr/>
        <w:t>το</w:t>
      </w:r>
      <w:r>
        <w:rPr>
          <w:spacing w:val="-2"/>
        </w:rPr>
        <w:t> </w:t>
      </w:r>
      <w:r>
        <w:rPr/>
        <w:t>2025,</w:t>
      </w:r>
      <w:r>
        <w:rPr>
          <w:spacing w:val="-2"/>
        </w:rPr>
        <w:t> </w:t>
      </w:r>
      <w:r>
        <w:rPr/>
        <w:t>αυξημένος</w:t>
      </w:r>
      <w:r>
        <w:rPr>
          <w:spacing w:val="-2"/>
        </w:rPr>
        <w:t> </w:t>
      </w:r>
      <w:r>
        <w:rPr/>
        <w:t>κατά</w:t>
      </w:r>
      <w:r>
        <w:rPr>
          <w:spacing w:val="-3"/>
        </w:rPr>
        <w:t> </w:t>
      </w:r>
      <w:r>
        <w:rPr/>
        <w:t>10%.</w:t>
      </w:r>
      <w:r>
        <w:rPr>
          <w:spacing w:val="-2"/>
        </w:rPr>
        <w:t> </w:t>
      </w:r>
      <w:r>
        <w:rPr/>
        <w:t>Ο</w:t>
      </w:r>
      <w:r>
        <w:rPr>
          <w:spacing w:val="-3"/>
        </w:rPr>
        <w:t> </w:t>
      </w:r>
      <w:r>
        <w:rPr/>
        <w:t>αριθμός</w:t>
      </w:r>
      <w:r>
        <w:rPr>
          <w:spacing w:val="-4"/>
        </w:rPr>
        <w:t> </w:t>
      </w:r>
      <w:r>
        <w:rPr/>
        <w:t>των</w:t>
      </w:r>
      <w:r>
        <w:rPr>
          <w:spacing w:val="-4"/>
        </w:rPr>
        <w:t> </w:t>
      </w:r>
      <w:r>
        <w:rPr/>
        <w:t>συναλλαγών</w:t>
      </w:r>
      <w:r>
        <w:rPr>
          <w:spacing w:val="-1"/>
        </w:rPr>
        <w:t> </w:t>
      </w:r>
      <w:r>
        <w:rPr/>
        <w:t>με</w:t>
      </w:r>
      <w:r>
        <w:rPr>
          <w:spacing w:val="-2"/>
        </w:rPr>
        <w:t> </w:t>
      </w:r>
      <w:r>
        <w:rPr/>
        <w:t>πιστωτικές</w:t>
      </w:r>
      <w:r>
        <w:rPr>
          <w:spacing w:val="-3"/>
        </w:rPr>
        <w:t> </w:t>
      </w:r>
      <w:r>
        <w:rPr/>
        <w:t>κάρτες</w:t>
      </w:r>
      <w:r>
        <w:rPr>
          <w:spacing w:val="-2"/>
        </w:rPr>
        <w:t> </w:t>
      </w:r>
      <w:r>
        <w:rPr/>
        <w:t>ανήλθε σε 195,5 εκατ., αυξημένος κατά 5%.</w:t>
      </w:r>
    </w:p>
    <w:p>
      <w:pPr>
        <w:pStyle w:val="BodyText"/>
        <w:spacing w:line="285" w:lineRule="auto" w:before="78"/>
        <w:ind w:left="172" w:right="5355"/>
        <w:jc w:val="both"/>
      </w:pPr>
      <w:r>
        <w:rPr/>
        <w:t>Ο μέσος αριθμός συναλλαγών ανά κάρτα το 2025</w:t>
      </w:r>
      <w:r>
        <w:rPr>
          <w:spacing w:val="-15"/>
        </w:rPr>
        <w:t> </w:t>
      </w:r>
      <w:r>
        <w:rPr/>
        <w:t>μειώθηκε</w:t>
      </w:r>
      <w:r>
        <w:rPr>
          <w:spacing w:val="-14"/>
        </w:rPr>
        <w:t> </w:t>
      </w:r>
      <w:r>
        <w:rPr/>
        <w:t>σε</w:t>
      </w:r>
      <w:r>
        <w:rPr>
          <w:spacing w:val="-11"/>
        </w:rPr>
        <w:t> </w:t>
      </w:r>
      <w:r>
        <w:rPr/>
        <w:t>120,</w:t>
      </w:r>
      <w:r>
        <w:rPr>
          <w:spacing w:val="-12"/>
        </w:rPr>
        <w:t> </w:t>
      </w:r>
      <w:r>
        <w:rPr/>
        <w:t>από</w:t>
      </w:r>
      <w:r>
        <w:rPr>
          <w:spacing w:val="-14"/>
        </w:rPr>
        <w:t> </w:t>
      </w:r>
      <w:r>
        <w:rPr/>
        <w:t>122</w:t>
      </w:r>
      <w:r>
        <w:rPr>
          <w:spacing w:val="-12"/>
        </w:rPr>
        <w:t> </w:t>
      </w:r>
      <w:r>
        <w:rPr/>
        <w:t>συναλλαγές</w:t>
      </w:r>
      <w:r>
        <w:rPr>
          <w:spacing w:val="-13"/>
        </w:rPr>
        <w:t> </w:t>
      </w:r>
      <w:r>
        <w:rPr>
          <w:spacing w:val="-5"/>
        </w:rPr>
        <w:t>το</w:t>
      </w:r>
    </w:p>
    <w:p>
      <w:pPr>
        <w:pStyle w:val="BodyText"/>
        <w:spacing w:after="0" w:line="285" w:lineRule="auto"/>
        <w:jc w:val="both"/>
        <w:sectPr>
          <w:pgSz w:w="11910" w:h="16850"/>
          <w:pgMar w:header="0" w:footer="1262" w:top="1800" w:bottom="1460" w:left="1417" w:right="850"/>
        </w:sectPr>
      </w:pPr>
    </w:p>
    <w:p>
      <w:pPr>
        <w:pStyle w:val="BodyText"/>
        <w:spacing w:line="285" w:lineRule="auto" w:before="34"/>
        <w:ind w:left="172"/>
        <w:jc w:val="both"/>
      </w:pPr>
      <w:r>
        <w:rPr/>
        <w:t>2024. Η μείωση αυτή οφείλεται κυρίως στη μείωση του μέσου αριθμού συναλλαγών με χρεωστικές κάρτες σε 131, από 134 συναλλα-γές το 2024. Αντίστοιχα, η μέση ετήσια αξία συναλλαγών</w:t>
      </w:r>
      <w:r>
        <w:rPr>
          <w:spacing w:val="-14"/>
        </w:rPr>
        <w:t> </w:t>
      </w:r>
      <w:r>
        <w:rPr/>
        <w:t>ανά</w:t>
      </w:r>
      <w:r>
        <w:rPr>
          <w:spacing w:val="-14"/>
        </w:rPr>
        <w:t> </w:t>
      </w:r>
      <w:r>
        <w:rPr/>
        <w:t>κάρτα</w:t>
      </w:r>
      <w:r>
        <w:rPr>
          <w:spacing w:val="-14"/>
        </w:rPr>
        <w:t> </w:t>
      </w:r>
      <w:r>
        <w:rPr/>
        <w:t>μειώθηκε</w:t>
      </w:r>
      <w:r>
        <w:rPr>
          <w:spacing w:val="-13"/>
        </w:rPr>
        <w:t> </w:t>
      </w:r>
      <w:r>
        <w:rPr/>
        <w:t>κατά</w:t>
      </w:r>
      <w:r>
        <w:rPr>
          <w:spacing w:val="-14"/>
        </w:rPr>
        <w:t> </w:t>
      </w:r>
      <w:r>
        <w:rPr/>
        <w:t>5%</w:t>
      </w:r>
      <w:r>
        <w:rPr>
          <w:spacing w:val="-14"/>
        </w:rPr>
        <w:t> </w:t>
      </w:r>
      <w:r>
        <w:rPr/>
        <w:t>και διαμορφώθηκε</w:t>
      </w:r>
      <w:r>
        <w:rPr>
          <w:spacing w:val="-3"/>
        </w:rPr>
        <w:t> </w:t>
      </w:r>
      <w:r>
        <w:rPr/>
        <w:t>σε</w:t>
      </w:r>
      <w:r>
        <w:rPr>
          <w:spacing w:val="-3"/>
        </w:rPr>
        <w:t> </w:t>
      </w:r>
      <w:r>
        <w:rPr/>
        <w:t>5.204</w:t>
      </w:r>
      <w:r>
        <w:rPr>
          <w:spacing w:val="-4"/>
        </w:rPr>
        <w:t> </w:t>
      </w:r>
      <w:r>
        <w:rPr/>
        <w:t>ευρώ</w:t>
      </w:r>
      <w:r>
        <w:rPr>
          <w:spacing w:val="-3"/>
        </w:rPr>
        <w:t> </w:t>
      </w:r>
      <w:r>
        <w:rPr/>
        <w:t>από</w:t>
      </w:r>
      <w:r>
        <w:rPr>
          <w:spacing w:val="-3"/>
        </w:rPr>
        <w:t> </w:t>
      </w:r>
      <w:r>
        <w:rPr/>
        <w:t>5.468</w:t>
      </w:r>
      <w:r>
        <w:rPr>
          <w:spacing w:val="-4"/>
        </w:rPr>
        <w:t> </w:t>
      </w:r>
      <w:r>
        <w:rPr/>
        <w:t>ευρώ το 2024, κυρίως λόγω της μείωσης κατά 6% της μέσης αξίας των συναλλαγών με χρεωστι-κές κάρτες σε 5.646 ευρώ, από 6.002 ευρώ το 2024,</w:t>
      </w:r>
      <w:r>
        <w:rPr>
          <w:spacing w:val="-14"/>
        </w:rPr>
        <w:t> </w:t>
      </w:r>
      <w:r>
        <w:rPr/>
        <w:t>ενώ</w:t>
      </w:r>
      <w:r>
        <w:rPr>
          <w:spacing w:val="-14"/>
        </w:rPr>
        <w:t> </w:t>
      </w:r>
      <w:r>
        <w:rPr/>
        <w:t>η</w:t>
      </w:r>
      <w:r>
        <w:rPr>
          <w:spacing w:val="-14"/>
        </w:rPr>
        <w:t> </w:t>
      </w:r>
      <w:r>
        <w:rPr/>
        <w:t>μέση</w:t>
      </w:r>
      <w:r>
        <w:rPr>
          <w:spacing w:val="-13"/>
        </w:rPr>
        <w:t> </w:t>
      </w:r>
      <w:r>
        <w:rPr/>
        <w:t>αξία</w:t>
      </w:r>
      <w:r>
        <w:rPr>
          <w:spacing w:val="-14"/>
        </w:rPr>
        <w:t> </w:t>
      </w:r>
      <w:r>
        <w:rPr/>
        <w:t>συναλλαγών</w:t>
      </w:r>
      <w:r>
        <w:rPr>
          <w:spacing w:val="-14"/>
        </w:rPr>
        <w:t> </w:t>
      </w:r>
      <w:r>
        <w:rPr/>
        <w:t>ανά</w:t>
      </w:r>
      <w:r>
        <w:rPr>
          <w:spacing w:val="-14"/>
        </w:rPr>
        <w:t> </w:t>
      </w:r>
      <w:r>
        <w:rPr/>
        <w:t>πιστω-τική</w:t>
      </w:r>
      <w:r>
        <w:rPr>
          <w:spacing w:val="-1"/>
        </w:rPr>
        <w:t> </w:t>
      </w:r>
      <w:r>
        <w:rPr/>
        <w:t>κάρτα</w:t>
      </w:r>
      <w:r>
        <w:rPr>
          <w:spacing w:val="-1"/>
        </w:rPr>
        <w:t> </w:t>
      </w:r>
      <w:r>
        <w:rPr/>
        <w:t>αυξήθηκε κατά</w:t>
      </w:r>
      <w:r>
        <w:rPr>
          <w:spacing w:val="-2"/>
        </w:rPr>
        <w:t> </w:t>
      </w:r>
      <w:r>
        <w:rPr/>
        <w:t>1% και</w:t>
      </w:r>
      <w:r>
        <w:rPr>
          <w:spacing w:val="-1"/>
        </w:rPr>
        <w:t> </w:t>
      </w:r>
      <w:r>
        <w:rPr/>
        <w:t>διαμορφώ-θηκε σε 2.649 ευρώ από 2.616 ευρώ το 2024.</w:t>
      </w:r>
    </w:p>
    <w:p>
      <w:pPr>
        <w:spacing w:line="155" w:lineRule="exact" w:before="0"/>
        <w:ind w:left="172" w:right="0" w:firstLine="0"/>
        <w:jc w:val="left"/>
        <w:rPr>
          <w:sz w:val="14"/>
        </w:rPr>
      </w:pPr>
      <w:r>
        <w:rPr/>
        <w:br w:type="column"/>
      </w:r>
      <w:r>
        <w:rPr>
          <w:color w:val="1F487C"/>
          <w:spacing w:val="-2"/>
          <w:sz w:val="14"/>
        </w:rPr>
        <w:t>(ευρώ)</w:t>
      </w:r>
    </w:p>
    <w:p>
      <w:pPr>
        <w:pStyle w:val="BodyText"/>
        <w:spacing w:before="2"/>
        <w:rPr>
          <w:sz w:val="5"/>
        </w:rPr>
      </w:pPr>
    </w:p>
    <w:p>
      <w:pPr>
        <w:spacing w:line="240" w:lineRule="auto"/>
        <w:ind w:left="114" w:right="0" w:firstLine="0"/>
        <w:rPr>
          <w:sz w:val="20"/>
        </w:rPr>
      </w:pPr>
      <w:r>
        <w:rPr>
          <w:sz w:val="20"/>
        </w:rPr>
        <mc:AlternateContent>
          <mc:Choice Requires="wps">
            <w:drawing>
              <wp:inline distT="0" distB="0" distL="0" distR="0">
                <wp:extent cx="2668270" cy="2068830"/>
                <wp:effectExtent l="0" t="0" r="0" b="7619"/>
                <wp:docPr id="751" name="Group 751"/>
                <wp:cNvGraphicFramePr>
                  <a:graphicFrameLocks/>
                </wp:cNvGraphicFramePr>
                <a:graphic>
                  <a:graphicData uri="http://schemas.microsoft.com/office/word/2010/wordprocessingGroup">
                    <wpg:wgp>
                      <wpg:cNvPr id="751" name="Group 751"/>
                      <wpg:cNvGrpSpPr/>
                      <wpg:grpSpPr>
                        <a:xfrm>
                          <a:off x="0" y="0"/>
                          <a:ext cx="2668270" cy="2068830"/>
                          <a:chExt cx="2668270" cy="2068830"/>
                        </a:xfrm>
                      </wpg:grpSpPr>
                      <wps:wsp>
                        <wps:cNvPr id="752" name="Graphic 752"/>
                        <wps:cNvSpPr/>
                        <wps:spPr>
                          <a:xfrm>
                            <a:off x="381" y="507"/>
                            <a:ext cx="2667635" cy="2068830"/>
                          </a:xfrm>
                          <a:custGeom>
                            <a:avLst/>
                            <a:gdLst/>
                            <a:ahLst/>
                            <a:cxnLst/>
                            <a:rect l="l" t="t" r="r" b="b"/>
                            <a:pathLst>
                              <a:path w="2667635" h="2068830">
                                <a:moveTo>
                                  <a:pt x="2667635" y="1851926"/>
                                </a:moveTo>
                                <a:lnTo>
                                  <a:pt x="0" y="1851926"/>
                                </a:lnTo>
                                <a:lnTo>
                                  <a:pt x="0" y="2068322"/>
                                </a:lnTo>
                                <a:lnTo>
                                  <a:pt x="2667635" y="2068322"/>
                                </a:lnTo>
                                <a:lnTo>
                                  <a:pt x="2667635" y="1851926"/>
                                </a:lnTo>
                                <a:close/>
                              </a:path>
                              <a:path w="2667635" h="2068830">
                                <a:moveTo>
                                  <a:pt x="2667635" y="0"/>
                                </a:moveTo>
                                <a:lnTo>
                                  <a:pt x="0" y="0"/>
                                </a:lnTo>
                                <a:lnTo>
                                  <a:pt x="0" y="1851914"/>
                                </a:lnTo>
                                <a:lnTo>
                                  <a:pt x="2667635" y="1851914"/>
                                </a:lnTo>
                                <a:lnTo>
                                  <a:pt x="2667635" y="0"/>
                                </a:lnTo>
                                <a:close/>
                              </a:path>
                            </a:pathLst>
                          </a:custGeom>
                          <a:solidFill>
                            <a:srgbClr val="D9D9D9"/>
                          </a:solidFill>
                        </wps:spPr>
                        <wps:bodyPr wrap="square" lIns="0" tIns="0" rIns="0" bIns="0" rtlCol="0">
                          <a:prstTxWarp prst="textNoShape">
                            <a:avLst/>
                          </a:prstTxWarp>
                          <a:noAutofit/>
                        </wps:bodyPr>
                      </wps:wsp>
                      <pic:pic>
                        <pic:nvPicPr>
                          <pic:cNvPr id="753" name="Image 753"/>
                          <pic:cNvPicPr/>
                        </pic:nvPicPr>
                        <pic:blipFill>
                          <a:blip r:embed="rId133" cstate="print"/>
                          <a:stretch>
                            <a:fillRect/>
                          </a:stretch>
                        </pic:blipFill>
                        <pic:spPr>
                          <a:xfrm>
                            <a:off x="0" y="0"/>
                            <a:ext cx="2663571" cy="1851152"/>
                          </a:xfrm>
                          <a:prstGeom prst="rect">
                            <a:avLst/>
                          </a:prstGeom>
                        </pic:spPr>
                      </pic:pic>
                      <wps:wsp>
                        <wps:cNvPr id="754" name="Textbox 754"/>
                        <wps:cNvSpPr txBox="1"/>
                        <wps:spPr>
                          <a:xfrm>
                            <a:off x="380" y="507"/>
                            <a:ext cx="2667635" cy="206883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37"/>
                                <w:rPr>
                                  <w:sz w:val="14"/>
                                </w:rPr>
                              </w:pPr>
                            </w:p>
                            <w:p>
                              <w:pPr>
                                <w:spacing w:before="0"/>
                                <w:ind w:left="112" w:right="0" w:firstLine="0"/>
                                <w:jc w:val="left"/>
                                <w:rPr>
                                  <w:sz w:val="14"/>
                                </w:rPr>
                              </w:pPr>
                              <w:r>
                                <w:rPr>
                                  <w:sz w:val="14"/>
                                </w:rPr>
                                <w:t>Πηγή:</w:t>
                              </w:r>
                              <w:r>
                                <w:rPr>
                                  <w:spacing w:val="-5"/>
                                  <w:sz w:val="14"/>
                                </w:rPr>
                                <w:t> </w:t>
                              </w:r>
                              <w:r>
                                <w:rPr>
                                  <w:sz w:val="14"/>
                                </w:rPr>
                                <w:t>Τράπεζα</w:t>
                              </w:r>
                              <w:r>
                                <w:rPr>
                                  <w:spacing w:val="-5"/>
                                  <w:sz w:val="14"/>
                                </w:rPr>
                                <w:t> </w:t>
                              </w:r>
                              <w:r>
                                <w:rPr>
                                  <w:sz w:val="14"/>
                                </w:rPr>
                                <w:t>της</w:t>
                              </w:r>
                              <w:r>
                                <w:rPr>
                                  <w:spacing w:val="-3"/>
                                  <w:sz w:val="14"/>
                                </w:rPr>
                                <w:t> </w:t>
                              </w:r>
                              <w:r>
                                <w:rPr>
                                  <w:sz w:val="14"/>
                                </w:rPr>
                                <w:t>Ελλάδος</w:t>
                              </w:r>
                              <w:r>
                                <w:rPr>
                                  <w:spacing w:val="-4"/>
                                  <w:sz w:val="14"/>
                                </w:rPr>
                                <w:t> </w:t>
                              </w:r>
                              <w:r>
                                <w:rPr>
                                  <w:spacing w:val="-10"/>
                                  <w:sz w:val="14"/>
                                </w:rPr>
                                <w:t>.</w:t>
                              </w:r>
                            </w:p>
                          </w:txbxContent>
                        </wps:txbx>
                        <wps:bodyPr wrap="square" lIns="0" tIns="0" rIns="0" bIns="0" rtlCol="0">
                          <a:noAutofit/>
                        </wps:bodyPr>
                      </wps:wsp>
                    </wpg:wgp>
                  </a:graphicData>
                </a:graphic>
              </wp:inline>
            </w:drawing>
          </mc:Choice>
          <mc:Fallback>
            <w:pict>
              <v:group style="width:210.1pt;height:162.9pt;mso-position-horizontal-relative:char;mso-position-vertical-relative:line" id="docshapegroup702" coordorigin="0,0" coordsize="4202,3258">
                <v:shape style="position:absolute;left:0;top:0;width:4201;height:3258" id="docshape703" coordorigin="1,1" coordsize="4201,3258" path="m4202,2917l1,2917,1,3258,4202,3258,4202,2917xm4202,1l1,1,1,2917,4202,2917,4202,1xe" filled="true" fillcolor="#d9d9d9" stroked="false">
                  <v:path arrowok="t"/>
                  <v:fill type="solid"/>
                </v:shape>
                <v:shape style="position:absolute;left:0;top:0;width:4195;height:2916" type="#_x0000_t75" id="docshape704" stroked="false">
                  <v:imagedata r:id="rId133" o:title=""/>
                </v:shape>
                <v:shape style="position:absolute;left:0;top:0;width:4201;height:3258" type="#_x0000_t202" id="docshape705"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37"/>
                          <w:rPr>
                            <w:sz w:val="14"/>
                          </w:rPr>
                        </w:pPr>
                      </w:p>
                      <w:p>
                        <w:pPr>
                          <w:spacing w:before="0"/>
                          <w:ind w:left="112" w:right="0" w:firstLine="0"/>
                          <w:jc w:val="left"/>
                          <w:rPr>
                            <w:sz w:val="14"/>
                          </w:rPr>
                        </w:pPr>
                        <w:r>
                          <w:rPr>
                            <w:sz w:val="14"/>
                          </w:rPr>
                          <w:t>Πηγή:</w:t>
                        </w:r>
                        <w:r>
                          <w:rPr>
                            <w:spacing w:val="-5"/>
                            <w:sz w:val="14"/>
                          </w:rPr>
                          <w:t> </w:t>
                        </w:r>
                        <w:r>
                          <w:rPr>
                            <w:sz w:val="14"/>
                          </w:rPr>
                          <w:t>Τράπεζα</w:t>
                        </w:r>
                        <w:r>
                          <w:rPr>
                            <w:spacing w:val="-5"/>
                            <w:sz w:val="14"/>
                          </w:rPr>
                          <w:t> </w:t>
                        </w:r>
                        <w:r>
                          <w:rPr>
                            <w:sz w:val="14"/>
                          </w:rPr>
                          <w:t>της</w:t>
                        </w:r>
                        <w:r>
                          <w:rPr>
                            <w:spacing w:val="-3"/>
                            <w:sz w:val="14"/>
                          </w:rPr>
                          <w:t> </w:t>
                        </w:r>
                        <w:r>
                          <w:rPr>
                            <w:sz w:val="14"/>
                          </w:rPr>
                          <w:t>Ελλάδος</w:t>
                        </w:r>
                        <w:r>
                          <w:rPr>
                            <w:spacing w:val="-4"/>
                            <w:sz w:val="14"/>
                          </w:rPr>
                          <w:t> </w:t>
                        </w:r>
                        <w:r>
                          <w:rPr>
                            <w:spacing w:val="-10"/>
                            <w:sz w:val="14"/>
                          </w:rPr>
                          <w:t>.</w:t>
                        </w:r>
                      </w:p>
                    </w:txbxContent>
                  </v:textbox>
                  <w10:wrap type="none"/>
                </v:shape>
              </v:group>
            </w:pict>
          </mc:Fallback>
        </mc:AlternateContent>
      </w:r>
      <w:r>
        <w:rPr>
          <w:sz w:val="20"/>
        </w:rPr>
      </w:r>
    </w:p>
    <w:p>
      <w:pPr>
        <w:spacing w:after="0" w:line="240" w:lineRule="auto"/>
        <w:rPr>
          <w:sz w:val="20"/>
        </w:rPr>
        <w:sectPr>
          <w:type w:val="continuous"/>
          <w:pgSz w:w="11910" w:h="16850"/>
          <w:pgMar w:header="0" w:footer="1262" w:top="1320" w:bottom="280" w:left="1417" w:right="850"/>
          <w:cols w:num="2" w:equalWidth="0">
            <w:col w:w="4287" w:space="60"/>
            <w:col w:w="5296"/>
          </w:cols>
        </w:sectPr>
      </w:pPr>
    </w:p>
    <w:p>
      <w:pPr>
        <w:pStyle w:val="BodyText"/>
        <w:rPr>
          <w:sz w:val="20"/>
        </w:rPr>
      </w:pPr>
    </w:p>
    <w:p>
      <w:pPr>
        <w:pStyle w:val="BodyText"/>
        <w:rPr>
          <w:sz w:val="20"/>
        </w:rPr>
      </w:pPr>
    </w:p>
    <w:p>
      <w:pPr>
        <w:pStyle w:val="BodyText"/>
        <w:rPr>
          <w:sz w:val="20"/>
        </w:rPr>
      </w:pPr>
    </w:p>
    <w:p>
      <w:pPr>
        <w:pStyle w:val="BodyText"/>
        <w:spacing w:before="20"/>
        <w:rPr>
          <w:sz w:val="20"/>
        </w:rPr>
      </w:pPr>
    </w:p>
    <w:p>
      <w:pPr>
        <w:spacing w:line="20" w:lineRule="exact"/>
        <w:ind w:left="172" w:right="0" w:firstLine="0"/>
        <w:rPr>
          <w:sz w:val="2"/>
        </w:rPr>
      </w:pPr>
      <w:r>
        <w:rPr>
          <w:sz w:val="2"/>
        </w:rPr>
        <mc:AlternateContent>
          <mc:Choice Requires="wps">
            <w:drawing>
              <wp:inline distT="0" distB="0" distL="0" distR="0">
                <wp:extent cx="1829435" cy="7620"/>
                <wp:effectExtent l="0" t="0" r="0" b="0"/>
                <wp:docPr id="755" name="Group 755"/>
                <wp:cNvGraphicFramePr>
                  <a:graphicFrameLocks/>
                </wp:cNvGraphicFramePr>
                <a:graphic>
                  <a:graphicData uri="http://schemas.microsoft.com/office/word/2010/wordprocessingGroup">
                    <wpg:wgp>
                      <wpg:cNvPr id="755" name="Group 755"/>
                      <wpg:cNvGrpSpPr/>
                      <wpg:grpSpPr>
                        <a:xfrm>
                          <a:off x="0" y="0"/>
                          <a:ext cx="1829435" cy="7620"/>
                          <a:chExt cx="1829435" cy="7620"/>
                        </a:xfrm>
                      </wpg:grpSpPr>
                      <wps:wsp>
                        <wps:cNvPr id="756" name="Graphic 75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6pt;mso-position-horizontal-relative:char;mso-position-vertical-relative:line" id="docshapegroup706" coordorigin="0,0" coordsize="2881,12">
                <v:rect style="position:absolute;left:0;top:0;width:2881;height:12" id="docshape707" filled="true" fillcolor="#000000" stroked="false">
                  <v:fill type="solid"/>
                </v:rect>
              </v:group>
            </w:pict>
          </mc:Fallback>
        </mc:AlternateContent>
      </w:r>
      <w:r>
        <w:rPr>
          <w:sz w:val="2"/>
        </w:rPr>
      </w:r>
    </w:p>
    <w:p>
      <w:pPr>
        <w:spacing w:line="266" w:lineRule="auto" w:before="159"/>
        <w:ind w:left="172" w:right="1038" w:firstLine="0"/>
        <w:jc w:val="both"/>
        <w:rPr>
          <w:sz w:val="16"/>
        </w:rPr>
      </w:pPr>
      <w:bookmarkStart w:name="_bookmark146" w:id="147"/>
      <w:bookmarkEnd w:id="147"/>
      <w:r>
        <w:rPr/>
      </w:r>
      <w:r>
        <w:rPr>
          <w:sz w:val="16"/>
          <w:vertAlign w:val="superscript"/>
        </w:rPr>
        <w:t>97</w:t>
      </w:r>
      <w:r>
        <w:rPr>
          <w:sz w:val="16"/>
          <w:vertAlign w:val="baseline"/>
        </w:rPr>
        <w:t> Για τους σκοπούς της</w:t>
      </w:r>
      <w:r>
        <w:rPr>
          <w:spacing w:val="-1"/>
          <w:sz w:val="16"/>
          <w:vertAlign w:val="baseline"/>
        </w:rPr>
        <w:t> </w:t>
      </w:r>
      <w:r>
        <w:rPr>
          <w:sz w:val="16"/>
          <w:vertAlign w:val="baseline"/>
        </w:rPr>
        <w:t>Έκθεσης, στις</w:t>
      </w:r>
      <w:r>
        <w:rPr>
          <w:spacing w:val="-1"/>
          <w:sz w:val="16"/>
          <w:vertAlign w:val="baseline"/>
        </w:rPr>
        <w:t> </w:t>
      </w:r>
      <w:r>
        <w:rPr>
          <w:sz w:val="16"/>
          <w:vertAlign w:val="baseline"/>
        </w:rPr>
        <w:t>χρεωστικές κάρτες συμπεριλαμβάνονται οι</w:t>
      </w:r>
      <w:r>
        <w:rPr>
          <w:spacing w:val="-2"/>
          <w:sz w:val="16"/>
          <w:vertAlign w:val="baseline"/>
        </w:rPr>
        <w:t> </w:t>
      </w:r>
      <w:r>
        <w:rPr>
          <w:sz w:val="16"/>
          <w:vertAlign w:val="baseline"/>
        </w:rPr>
        <w:t>προπληρωμένες</w:t>
      </w:r>
      <w:r>
        <w:rPr>
          <w:spacing w:val="-1"/>
          <w:sz w:val="16"/>
          <w:vertAlign w:val="baseline"/>
        </w:rPr>
        <w:t> </w:t>
      </w:r>
      <w:r>
        <w:rPr>
          <w:sz w:val="16"/>
          <w:vertAlign w:val="baseline"/>
        </w:rPr>
        <w:t>κάρτες και</w:t>
      </w:r>
      <w:r>
        <w:rPr>
          <w:spacing w:val="-3"/>
          <w:sz w:val="16"/>
          <w:vertAlign w:val="baseline"/>
        </w:rPr>
        <w:t> </w:t>
      </w:r>
      <w:r>
        <w:rPr>
          <w:sz w:val="16"/>
          <w:vertAlign w:val="baseline"/>
        </w:rPr>
        <w:t>οι</w:t>
      </w:r>
      <w:r>
        <w:rPr>
          <w:spacing w:val="-2"/>
          <w:sz w:val="16"/>
          <w:vertAlign w:val="baseline"/>
        </w:rPr>
        <w:t> </w:t>
      </w:r>
      <w:r>
        <w:rPr>
          <w:sz w:val="16"/>
          <w:vertAlign w:val="baseline"/>
        </w:rPr>
        <w:t>κάρτες ανάληψης</w:t>
      </w:r>
      <w:r>
        <w:rPr>
          <w:spacing w:val="40"/>
          <w:sz w:val="16"/>
          <w:vertAlign w:val="baseline"/>
        </w:rPr>
        <w:t> </w:t>
      </w:r>
      <w:r>
        <w:rPr>
          <w:sz w:val="16"/>
          <w:vertAlign w:val="baseline"/>
        </w:rPr>
        <w:t>μετρητών</w:t>
      </w:r>
      <w:r>
        <w:rPr>
          <w:spacing w:val="-3"/>
          <w:sz w:val="16"/>
          <w:vertAlign w:val="baseline"/>
        </w:rPr>
        <w:t> </w:t>
      </w:r>
      <w:r>
        <w:rPr>
          <w:sz w:val="16"/>
          <w:vertAlign w:val="baseline"/>
        </w:rPr>
        <w:t>χωρίς</w:t>
      </w:r>
      <w:r>
        <w:rPr>
          <w:spacing w:val="-1"/>
          <w:sz w:val="16"/>
          <w:vertAlign w:val="baseline"/>
        </w:rPr>
        <w:t> </w:t>
      </w:r>
      <w:r>
        <w:rPr>
          <w:sz w:val="16"/>
          <w:vertAlign w:val="baseline"/>
        </w:rPr>
        <w:t>τη</w:t>
      </w:r>
      <w:r>
        <w:rPr>
          <w:spacing w:val="-4"/>
          <w:sz w:val="16"/>
          <w:vertAlign w:val="baseline"/>
        </w:rPr>
        <w:t> </w:t>
      </w:r>
      <w:r>
        <w:rPr>
          <w:sz w:val="16"/>
          <w:vertAlign w:val="baseline"/>
        </w:rPr>
        <w:t>δυνατότητα</w:t>
      </w:r>
      <w:r>
        <w:rPr>
          <w:spacing w:val="-4"/>
          <w:sz w:val="16"/>
          <w:vertAlign w:val="baseline"/>
        </w:rPr>
        <w:t> </w:t>
      </w:r>
      <w:r>
        <w:rPr>
          <w:sz w:val="16"/>
          <w:vertAlign w:val="baseline"/>
        </w:rPr>
        <w:t>διενέργειας</w:t>
      </w:r>
      <w:r>
        <w:rPr>
          <w:spacing w:val="-3"/>
          <w:sz w:val="16"/>
          <w:vertAlign w:val="baseline"/>
        </w:rPr>
        <w:t> </w:t>
      </w:r>
      <w:r>
        <w:rPr>
          <w:sz w:val="16"/>
          <w:vertAlign w:val="baseline"/>
        </w:rPr>
        <w:t>αγορών.</w:t>
      </w:r>
      <w:r>
        <w:rPr>
          <w:spacing w:val="-1"/>
          <w:sz w:val="16"/>
          <w:vertAlign w:val="baseline"/>
        </w:rPr>
        <w:t> </w:t>
      </w:r>
      <w:r>
        <w:rPr>
          <w:sz w:val="16"/>
          <w:vertAlign w:val="baseline"/>
        </w:rPr>
        <w:t>Στις</w:t>
      </w:r>
      <w:r>
        <w:rPr>
          <w:spacing w:val="-3"/>
          <w:sz w:val="16"/>
          <w:vertAlign w:val="baseline"/>
        </w:rPr>
        <w:t> </w:t>
      </w:r>
      <w:r>
        <w:rPr>
          <w:sz w:val="16"/>
          <w:vertAlign w:val="baseline"/>
        </w:rPr>
        <w:t>πιστωτικές</w:t>
      </w:r>
      <w:r>
        <w:rPr>
          <w:spacing w:val="-1"/>
          <w:sz w:val="16"/>
          <w:vertAlign w:val="baseline"/>
        </w:rPr>
        <w:t> </w:t>
      </w:r>
      <w:r>
        <w:rPr>
          <w:sz w:val="16"/>
          <w:vertAlign w:val="baseline"/>
        </w:rPr>
        <w:t>κάρτες</w:t>
      </w:r>
      <w:r>
        <w:rPr>
          <w:spacing w:val="-3"/>
          <w:sz w:val="16"/>
          <w:vertAlign w:val="baseline"/>
        </w:rPr>
        <w:t> </w:t>
      </w:r>
      <w:r>
        <w:rPr>
          <w:sz w:val="16"/>
          <w:vertAlign w:val="baseline"/>
        </w:rPr>
        <w:t>συμπεριλαμβάνονται</w:t>
      </w:r>
      <w:r>
        <w:rPr>
          <w:spacing w:val="-4"/>
          <w:sz w:val="16"/>
          <w:vertAlign w:val="baseline"/>
        </w:rPr>
        <w:t> </w:t>
      </w:r>
      <w:r>
        <w:rPr>
          <w:sz w:val="16"/>
          <w:vertAlign w:val="baseline"/>
        </w:rPr>
        <w:t>οι</w:t>
      </w:r>
      <w:r>
        <w:rPr>
          <w:spacing w:val="-2"/>
          <w:sz w:val="16"/>
          <w:vertAlign w:val="baseline"/>
        </w:rPr>
        <w:t> </w:t>
      </w:r>
      <w:r>
        <w:rPr>
          <w:sz w:val="16"/>
          <w:vertAlign w:val="baseline"/>
        </w:rPr>
        <w:t>εικονικές</w:t>
      </w:r>
      <w:r>
        <w:rPr>
          <w:spacing w:val="-3"/>
          <w:sz w:val="16"/>
          <w:vertAlign w:val="baseline"/>
        </w:rPr>
        <w:t> </w:t>
      </w:r>
      <w:r>
        <w:rPr>
          <w:sz w:val="16"/>
          <w:vertAlign w:val="baseline"/>
        </w:rPr>
        <w:t>κάρτες</w:t>
      </w:r>
      <w:r>
        <w:rPr>
          <w:spacing w:val="-1"/>
          <w:sz w:val="16"/>
          <w:vertAlign w:val="baseline"/>
        </w:rPr>
        <w:t> </w:t>
      </w:r>
      <w:r>
        <w:rPr>
          <w:sz w:val="16"/>
          <w:vertAlign w:val="baseline"/>
        </w:rPr>
        <w:t>και</w:t>
      </w:r>
      <w:r>
        <w:rPr>
          <w:spacing w:val="-5"/>
          <w:sz w:val="16"/>
          <w:vertAlign w:val="baseline"/>
        </w:rPr>
        <w:t> </w:t>
      </w:r>
      <w:r>
        <w:rPr>
          <w:sz w:val="16"/>
          <w:vertAlign w:val="baseline"/>
        </w:rPr>
        <w:t>οι</w:t>
      </w:r>
      <w:r>
        <w:rPr>
          <w:spacing w:val="-4"/>
          <w:sz w:val="16"/>
          <w:vertAlign w:val="baseline"/>
        </w:rPr>
        <w:t> </w:t>
      </w:r>
      <w:r>
        <w:rPr>
          <w:sz w:val="16"/>
          <w:vertAlign w:val="baseline"/>
        </w:rPr>
        <w:t>κάρτες</w:t>
      </w:r>
      <w:r>
        <w:rPr>
          <w:spacing w:val="40"/>
          <w:sz w:val="16"/>
          <w:vertAlign w:val="baseline"/>
        </w:rPr>
        <w:t> </w:t>
      </w:r>
      <w:r>
        <w:rPr>
          <w:sz w:val="16"/>
          <w:vertAlign w:val="baseline"/>
        </w:rPr>
        <w:t>μεταγενέστερης χρέωσης.</w:t>
      </w:r>
    </w:p>
    <w:p>
      <w:pPr>
        <w:spacing w:line="240" w:lineRule="auto" w:before="0"/>
        <w:ind w:left="172" w:right="956" w:firstLine="0"/>
        <w:jc w:val="both"/>
        <w:rPr>
          <w:sz w:val="16"/>
        </w:rPr>
      </w:pPr>
      <w:bookmarkStart w:name="_bookmark147" w:id="148"/>
      <w:bookmarkEnd w:id="148"/>
      <w:r>
        <w:rPr/>
      </w:r>
      <w:r>
        <w:rPr>
          <w:sz w:val="16"/>
          <w:vertAlign w:val="superscript"/>
        </w:rPr>
        <w:t>98</w:t>
      </w:r>
      <w:r>
        <w:rPr>
          <w:sz w:val="16"/>
          <w:vertAlign w:val="baseline"/>
        </w:rPr>
        <w:t> Άρθρο 152 του ν. 5078/2023, που τροποποιήθηκε με το άρθρο 23 “Καταβολή επιδομάτων και λοιπών παροχών σε χρήμα μέσω</w:t>
      </w:r>
      <w:r>
        <w:rPr>
          <w:spacing w:val="40"/>
          <w:sz w:val="16"/>
          <w:vertAlign w:val="baseline"/>
        </w:rPr>
        <w:t> </w:t>
      </w:r>
      <w:r>
        <w:rPr>
          <w:sz w:val="16"/>
          <w:vertAlign w:val="baseline"/>
        </w:rPr>
        <w:t>προπληρωμένης</w:t>
      </w:r>
      <w:r>
        <w:rPr>
          <w:spacing w:val="-5"/>
          <w:sz w:val="16"/>
          <w:vertAlign w:val="baseline"/>
        </w:rPr>
        <w:t> </w:t>
      </w:r>
      <w:r>
        <w:rPr>
          <w:sz w:val="16"/>
          <w:vertAlign w:val="baseline"/>
        </w:rPr>
        <w:t>κάρτας</w:t>
      </w:r>
      <w:r>
        <w:rPr>
          <w:spacing w:val="-7"/>
          <w:sz w:val="16"/>
          <w:vertAlign w:val="baseline"/>
        </w:rPr>
        <w:t> </w:t>
      </w:r>
      <w:r>
        <w:rPr>
          <w:sz w:val="16"/>
          <w:vertAlign w:val="baseline"/>
        </w:rPr>
        <w:t>Τροποποίηση</w:t>
      </w:r>
      <w:r>
        <w:rPr>
          <w:spacing w:val="-8"/>
          <w:sz w:val="16"/>
          <w:vertAlign w:val="baseline"/>
        </w:rPr>
        <w:t> </w:t>
      </w:r>
      <w:r>
        <w:rPr>
          <w:sz w:val="16"/>
          <w:vertAlign w:val="baseline"/>
        </w:rPr>
        <w:t>παρ.</w:t>
      </w:r>
      <w:r>
        <w:rPr>
          <w:spacing w:val="-5"/>
          <w:sz w:val="16"/>
          <w:vertAlign w:val="baseline"/>
        </w:rPr>
        <w:t> </w:t>
      </w:r>
      <w:r>
        <w:rPr>
          <w:sz w:val="16"/>
          <w:vertAlign w:val="baseline"/>
        </w:rPr>
        <w:t>1,</w:t>
      </w:r>
      <w:r>
        <w:rPr>
          <w:spacing w:val="-7"/>
          <w:sz w:val="16"/>
          <w:vertAlign w:val="baseline"/>
        </w:rPr>
        <w:t> </w:t>
      </w:r>
      <w:r>
        <w:rPr>
          <w:sz w:val="16"/>
          <w:vertAlign w:val="baseline"/>
        </w:rPr>
        <w:t>4</w:t>
      </w:r>
      <w:r>
        <w:rPr>
          <w:spacing w:val="-5"/>
          <w:sz w:val="16"/>
          <w:vertAlign w:val="baseline"/>
        </w:rPr>
        <w:t> </w:t>
      </w:r>
      <w:r>
        <w:rPr>
          <w:sz w:val="16"/>
          <w:vertAlign w:val="baseline"/>
        </w:rPr>
        <w:t>έως</w:t>
      </w:r>
      <w:r>
        <w:rPr>
          <w:spacing w:val="-7"/>
          <w:sz w:val="16"/>
          <w:vertAlign w:val="baseline"/>
        </w:rPr>
        <w:t> </w:t>
      </w:r>
      <w:r>
        <w:rPr>
          <w:sz w:val="16"/>
          <w:vertAlign w:val="baseline"/>
        </w:rPr>
        <w:t>6</w:t>
      </w:r>
      <w:r>
        <w:rPr>
          <w:spacing w:val="-5"/>
          <w:sz w:val="16"/>
          <w:vertAlign w:val="baseline"/>
        </w:rPr>
        <w:t> </w:t>
      </w:r>
      <w:r>
        <w:rPr>
          <w:sz w:val="16"/>
          <w:vertAlign w:val="baseline"/>
        </w:rPr>
        <w:t>και</w:t>
      </w:r>
      <w:r>
        <w:rPr>
          <w:spacing w:val="-8"/>
          <w:sz w:val="16"/>
          <w:vertAlign w:val="baseline"/>
        </w:rPr>
        <w:t> </w:t>
      </w:r>
      <w:r>
        <w:rPr>
          <w:sz w:val="16"/>
          <w:vertAlign w:val="baseline"/>
        </w:rPr>
        <w:t>8</w:t>
      </w:r>
      <w:r>
        <w:rPr>
          <w:spacing w:val="-5"/>
          <w:sz w:val="16"/>
          <w:vertAlign w:val="baseline"/>
        </w:rPr>
        <w:t> </w:t>
      </w:r>
      <w:r>
        <w:rPr>
          <w:sz w:val="16"/>
          <w:vertAlign w:val="baseline"/>
        </w:rPr>
        <w:t>και</w:t>
      </w:r>
      <w:r>
        <w:rPr>
          <w:spacing w:val="-6"/>
          <w:sz w:val="16"/>
          <w:vertAlign w:val="baseline"/>
        </w:rPr>
        <w:t> </w:t>
      </w:r>
      <w:r>
        <w:rPr>
          <w:sz w:val="16"/>
          <w:vertAlign w:val="baseline"/>
        </w:rPr>
        <w:t>προσθήκη</w:t>
      </w:r>
      <w:r>
        <w:rPr>
          <w:spacing w:val="-8"/>
          <w:sz w:val="16"/>
          <w:vertAlign w:val="baseline"/>
        </w:rPr>
        <w:t> </w:t>
      </w:r>
      <w:r>
        <w:rPr>
          <w:sz w:val="16"/>
          <w:vertAlign w:val="baseline"/>
        </w:rPr>
        <w:t>παρ.</w:t>
      </w:r>
      <w:r>
        <w:rPr>
          <w:spacing w:val="-5"/>
          <w:sz w:val="16"/>
          <w:vertAlign w:val="baseline"/>
        </w:rPr>
        <w:t> </w:t>
      </w:r>
      <w:r>
        <w:rPr>
          <w:sz w:val="16"/>
          <w:vertAlign w:val="baseline"/>
        </w:rPr>
        <w:t>9</w:t>
      </w:r>
      <w:r>
        <w:rPr>
          <w:spacing w:val="-5"/>
          <w:sz w:val="16"/>
          <w:vertAlign w:val="baseline"/>
        </w:rPr>
        <w:t> </w:t>
      </w:r>
      <w:r>
        <w:rPr>
          <w:sz w:val="16"/>
          <w:vertAlign w:val="baseline"/>
        </w:rPr>
        <w:t>στο</w:t>
      </w:r>
      <w:r>
        <w:rPr>
          <w:spacing w:val="-5"/>
          <w:sz w:val="16"/>
          <w:vertAlign w:val="baseline"/>
        </w:rPr>
        <w:t> </w:t>
      </w:r>
      <w:r>
        <w:rPr>
          <w:sz w:val="16"/>
          <w:vertAlign w:val="baseline"/>
        </w:rPr>
        <w:t>άρθρο</w:t>
      </w:r>
      <w:r>
        <w:rPr>
          <w:spacing w:val="-5"/>
          <w:sz w:val="16"/>
          <w:vertAlign w:val="baseline"/>
        </w:rPr>
        <w:t> </w:t>
      </w:r>
      <w:r>
        <w:rPr>
          <w:sz w:val="16"/>
          <w:vertAlign w:val="baseline"/>
        </w:rPr>
        <w:t>152</w:t>
      </w:r>
      <w:r>
        <w:rPr>
          <w:spacing w:val="-5"/>
          <w:sz w:val="16"/>
          <w:vertAlign w:val="baseline"/>
        </w:rPr>
        <w:t> </w:t>
      </w:r>
      <w:r>
        <w:rPr>
          <w:sz w:val="16"/>
          <w:vertAlign w:val="baseline"/>
        </w:rPr>
        <w:t>του</w:t>
      </w:r>
      <w:r>
        <w:rPr>
          <w:spacing w:val="-6"/>
          <w:sz w:val="16"/>
          <w:vertAlign w:val="baseline"/>
        </w:rPr>
        <w:t> </w:t>
      </w:r>
      <w:r>
        <w:rPr>
          <w:sz w:val="16"/>
          <w:vertAlign w:val="baseline"/>
        </w:rPr>
        <w:t>ν.</w:t>
      </w:r>
      <w:r>
        <w:rPr>
          <w:spacing w:val="-7"/>
          <w:sz w:val="16"/>
          <w:vertAlign w:val="baseline"/>
        </w:rPr>
        <w:t> </w:t>
      </w:r>
      <w:r>
        <w:rPr>
          <w:sz w:val="16"/>
          <w:vertAlign w:val="baseline"/>
        </w:rPr>
        <w:t>5078/2023”</w:t>
      </w:r>
      <w:r>
        <w:rPr>
          <w:spacing w:val="-5"/>
          <w:sz w:val="16"/>
          <w:vertAlign w:val="baseline"/>
        </w:rPr>
        <w:t> </w:t>
      </w:r>
      <w:r>
        <w:rPr>
          <w:sz w:val="16"/>
          <w:vertAlign w:val="baseline"/>
        </w:rPr>
        <w:t>του</w:t>
      </w:r>
      <w:r>
        <w:rPr>
          <w:spacing w:val="-6"/>
          <w:sz w:val="16"/>
          <w:vertAlign w:val="baseline"/>
        </w:rPr>
        <w:t> </w:t>
      </w:r>
      <w:r>
        <w:rPr>
          <w:sz w:val="16"/>
          <w:vertAlign w:val="baseline"/>
        </w:rPr>
        <w:t>ν.</w:t>
      </w:r>
      <w:r>
        <w:rPr>
          <w:spacing w:val="-7"/>
          <w:sz w:val="16"/>
          <w:vertAlign w:val="baseline"/>
        </w:rPr>
        <w:t> </w:t>
      </w:r>
      <w:r>
        <w:rPr>
          <w:sz w:val="16"/>
          <w:vertAlign w:val="baseline"/>
        </w:rPr>
        <w:t>5178/2025.</w:t>
      </w:r>
    </w:p>
    <w:p>
      <w:pPr>
        <w:spacing w:after="0" w:line="240" w:lineRule="auto"/>
        <w:jc w:val="both"/>
        <w:rPr>
          <w:sz w:val="16"/>
        </w:rPr>
        <w:sectPr>
          <w:type w:val="continuous"/>
          <w:pgSz w:w="11910" w:h="16850"/>
          <w:pgMar w:header="0" w:footer="1262" w:top="1320" w:bottom="280" w:left="1417" w:right="850"/>
        </w:sectPr>
      </w:pPr>
    </w:p>
    <w:p>
      <w:pPr>
        <w:pStyle w:val="BodyText"/>
        <w:spacing w:line="285" w:lineRule="auto" w:before="66"/>
        <w:ind w:left="172" w:right="958" w:firstLine="55"/>
        <w:jc w:val="both"/>
      </w:pPr>
      <w:r>
        <w:rPr/>
        <w:t>Η</w:t>
      </w:r>
      <w:r>
        <w:rPr>
          <w:spacing w:val="-7"/>
        </w:rPr>
        <w:t> </w:t>
      </w:r>
      <w:r>
        <w:rPr/>
        <w:t>μέση</w:t>
      </w:r>
      <w:r>
        <w:rPr>
          <w:spacing w:val="-6"/>
        </w:rPr>
        <w:t> </w:t>
      </w:r>
      <w:r>
        <w:rPr/>
        <w:t>αξία</w:t>
      </w:r>
      <w:r>
        <w:rPr>
          <w:spacing w:val="-7"/>
        </w:rPr>
        <w:t> </w:t>
      </w:r>
      <w:r>
        <w:rPr/>
        <w:t>ανά</w:t>
      </w:r>
      <w:r>
        <w:rPr>
          <w:spacing w:val="-9"/>
        </w:rPr>
        <w:t> </w:t>
      </w:r>
      <w:r>
        <w:rPr/>
        <w:t>συναλλαγή</w:t>
      </w:r>
      <w:r>
        <w:rPr>
          <w:spacing w:val="-6"/>
        </w:rPr>
        <w:t> </w:t>
      </w:r>
      <w:r>
        <w:rPr/>
        <w:t>μειώθηκε</w:t>
      </w:r>
      <w:r>
        <w:rPr>
          <w:spacing w:val="-6"/>
        </w:rPr>
        <w:t> </w:t>
      </w:r>
      <w:r>
        <w:rPr/>
        <w:t>περαιτέρω</w:t>
      </w:r>
      <w:r>
        <w:rPr>
          <w:spacing w:val="-6"/>
        </w:rPr>
        <w:t> </w:t>
      </w:r>
      <w:r>
        <w:rPr/>
        <w:t>το</w:t>
      </w:r>
      <w:r>
        <w:rPr>
          <w:spacing w:val="-6"/>
        </w:rPr>
        <w:t> </w:t>
      </w:r>
      <w:r>
        <w:rPr/>
        <w:t>2025</w:t>
      </w:r>
      <w:r>
        <w:rPr>
          <w:spacing w:val="-6"/>
        </w:rPr>
        <w:t> </w:t>
      </w:r>
      <w:r>
        <w:rPr/>
        <w:t>σε</w:t>
      </w:r>
      <w:r>
        <w:rPr>
          <w:spacing w:val="-6"/>
        </w:rPr>
        <w:t> </w:t>
      </w:r>
      <w:r>
        <w:rPr/>
        <w:t>43</w:t>
      </w:r>
      <w:r>
        <w:rPr>
          <w:spacing w:val="-6"/>
        </w:rPr>
        <w:t> </w:t>
      </w:r>
      <w:r>
        <w:rPr/>
        <w:t>ευρώ</w:t>
      </w:r>
      <w:r>
        <w:rPr>
          <w:spacing w:val="-6"/>
        </w:rPr>
        <w:t> </w:t>
      </w:r>
      <w:r>
        <w:rPr/>
        <w:t>από</w:t>
      </w:r>
      <w:r>
        <w:rPr>
          <w:spacing w:val="-6"/>
        </w:rPr>
        <w:t> </w:t>
      </w:r>
      <w:r>
        <w:rPr/>
        <w:t>44</w:t>
      </w:r>
      <w:r>
        <w:rPr>
          <w:spacing w:val="-6"/>
        </w:rPr>
        <w:t> </w:t>
      </w:r>
      <w:r>
        <w:rPr/>
        <w:t>ευρώ</w:t>
      </w:r>
      <w:r>
        <w:rPr>
          <w:spacing w:val="-6"/>
        </w:rPr>
        <w:t> </w:t>
      </w:r>
      <w:r>
        <w:rPr/>
        <w:t>το</w:t>
      </w:r>
      <w:r>
        <w:rPr>
          <w:spacing w:val="-6"/>
        </w:rPr>
        <w:t> </w:t>
      </w:r>
      <w:r>
        <w:rPr/>
        <w:t>2024</w:t>
      </w:r>
      <w:r>
        <w:rPr>
          <w:spacing w:val="-9"/>
        </w:rPr>
        <w:t> </w:t>
      </w:r>
      <w:r>
        <w:rPr/>
        <w:t>(βλ. Διάγραμμα VI.3). Η πτώση προκύπτει από τη μείωση της μέσης αξίας ανά συναλλαγή με χρεω-στικές κάρτες κατά 4% σε 43 ευρώ από 45 ευρώ το προηγούμενο έτος.</w:t>
      </w:r>
    </w:p>
    <w:p>
      <w:pPr>
        <w:pStyle w:val="BodyText"/>
        <w:spacing w:before="190"/>
      </w:pPr>
    </w:p>
    <w:p>
      <w:pPr>
        <w:pStyle w:val="Heading3"/>
        <w:numPr>
          <w:ilvl w:val="2"/>
          <w:numId w:val="2"/>
        </w:numPr>
        <w:tabs>
          <w:tab w:pos="738" w:val="left" w:leader="none"/>
        </w:tabs>
        <w:spacing w:line="240" w:lineRule="auto" w:before="0" w:after="0"/>
        <w:ind w:left="738" w:right="0" w:hanging="566"/>
        <w:jc w:val="left"/>
        <w:rPr>
          <w:color w:val="1F487C"/>
        </w:rPr>
      </w:pPr>
      <w:bookmarkStart w:name="_bookmark148" w:id="149"/>
      <w:bookmarkEnd w:id="149"/>
      <w:r>
        <w:rPr>
          <w:b w:val="0"/>
        </w:rPr>
      </w:r>
      <w:r>
        <w:rPr>
          <w:color w:val="1F487C"/>
        </w:rPr>
        <w:t>ΠΕΡΙΣΤΑΤΙΚΑ</w:t>
      </w:r>
      <w:r>
        <w:rPr>
          <w:color w:val="1F487C"/>
          <w:spacing w:val="-9"/>
        </w:rPr>
        <w:t> </w:t>
      </w:r>
      <w:r>
        <w:rPr>
          <w:color w:val="1F487C"/>
        </w:rPr>
        <w:t>ΑΠΑΤΗΣ</w:t>
      </w:r>
      <w:r>
        <w:rPr>
          <w:color w:val="1F487C"/>
          <w:spacing w:val="-5"/>
        </w:rPr>
        <w:t> </w:t>
      </w:r>
      <w:r>
        <w:rPr>
          <w:color w:val="1F487C"/>
        </w:rPr>
        <w:t>ΣΤΙΣ</w:t>
      </w:r>
      <w:r>
        <w:rPr>
          <w:color w:val="1F487C"/>
          <w:spacing w:val="-5"/>
        </w:rPr>
        <w:t> </w:t>
      </w:r>
      <w:r>
        <w:rPr>
          <w:color w:val="1F487C"/>
        </w:rPr>
        <w:t>ΣΥΝΑΛΛΑΓΕΣ</w:t>
      </w:r>
      <w:r>
        <w:rPr>
          <w:color w:val="1F487C"/>
          <w:spacing w:val="-8"/>
        </w:rPr>
        <w:t> </w:t>
      </w:r>
      <w:r>
        <w:rPr>
          <w:color w:val="1F487C"/>
        </w:rPr>
        <w:t>ΜΕ</w:t>
      </w:r>
      <w:r>
        <w:rPr>
          <w:color w:val="1F487C"/>
          <w:spacing w:val="-5"/>
        </w:rPr>
        <w:t> </w:t>
      </w:r>
      <w:r>
        <w:rPr>
          <w:color w:val="1F487C"/>
        </w:rPr>
        <w:t>ΚΑΡΤΕΣ</w:t>
      </w:r>
      <w:r>
        <w:rPr>
          <w:color w:val="1F487C"/>
          <w:spacing w:val="-5"/>
        </w:rPr>
        <w:t> </w:t>
      </w:r>
      <w:r>
        <w:rPr>
          <w:color w:val="1F487C"/>
          <w:spacing w:val="-2"/>
        </w:rPr>
        <w:t>ΠΛΗΡΩΜΩΝ</w:t>
      </w:r>
    </w:p>
    <w:p>
      <w:pPr>
        <w:pStyle w:val="BodyText"/>
        <w:spacing w:line="285" w:lineRule="auto" w:before="153"/>
        <w:ind w:left="172" w:right="956"/>
        <w:jc w:val="both"/>
      </w:pPr>
      <w:r>
        <w:rPr/>
        <mc:AlternateContent>
          <mc:Choice Requires="wps">
            <w:drawing>
              <wp:anchor distT="0" distB="0" distL="0" distR="0" allowOverlap="1" layoutInCell="1" locked="0" behindDoc="1" simplePos="0" relativeHeight="482731008">
                <wp:simplePos x="0" y="0"/>
                <wp:positionH relativeFrom="page">
                  <wp:posOffset>3699383</wp:posOffset>
                </wp:positionH>
                <wp:positionV relativeFrom="paragraph">
                  <wp:posOffset>326713</wp:posOffset>
                </wp:positionV>
                <wp:extent cx="2696845" cy="338455"/>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2696845" cy="338455"/>
                        </a:xfrm>
                        <a:prstGeom prst="rect">
                          <a:avLst/>
                        </a:prstGeom>
                        <a:solidFill>
                          <a:srgbClr val="1F487C"/>
                        </a:solidFill>
                      </wps:spPr>
                      <wps:txbx>
                        <w:txbxContent>
                          <w:p>
                            <w:pPr>
                              <w:spacing w:before="60"/>
                              <w:ind w:left="220" w:right="154" w:firstLine="0"/>
                              <w:jc w:val="left"/>
                              <w:rPr>
                                <w:b/>
                                <w:color w:val="000000"/>
                                <w:sz w:val="18"/>
                              </w:rPr>
                            </w:pPr>
                            <w:r>
                              <w:rPr>
                                <w:b/>
                                <w:color w:val="FFFFFF"/>
                                <w:sz w:val="18"/>
                              </w:rPr>
                              <w:t>Πίνακας</w:t>
                            </w:r>
                            <w:r>
                              <w:rPr>
                                <w:b/>
                                <w:color w:val="FFFFFF"/>
                                <w:spacing w:val="-6"/>
                                <w:sz w:val="18"/>
                              </w:rPr>
                              <w:t> </w:t>
                            </w:r>
                            <w:r>
                              <w:rPr>
                                <w:b/>
                                <w:color w:val="FFFFFF"/>
                                <w:sz w:val="18"/>
                              </w:rPr>
                              <w:t>VΙ.2</w:t>
                            </w:r>
                            <w:r>
                              <w:rPr>
                                <w:b/>
                                <w:color w:val="FFFFFF"/>
                                <w:spacing w:val="-7"/>
                                <w:sz w:val="18"/>
                              </w:rPr>
                              <w:t> </w:t>
                            </w:r>
                            <w:r>
                              <w:rPr>
                                <w:b/>
                                <w:color w:val="FFFFFF"/>
                                <w:sz w:val="18"/>
                              </w:rPr>
                              <w:t>Αρ</w:t>
                            </w:r>
                            <w:r>
                              <w:rPr>
                                <w:b/>
                                <w:smallCaps/>
                                <w:color w:val="FFFFFF"/>
                                <w:sz w:val="18"/>
                              </w:rPr>
                              <w:t>ι</w:t>
                            </w:r>
                            <w:r>
                              <w:rPr>
                                <w:b/>
                                <w:smallCaps w:val="0"/>
                                <w:color w:val="FFFFFF"/>
                                <w:sz w:val="18"/>
                              </w:rPr>
                              <w:t>θμός</w:t>
                            </w:r>
                            <w:r>
                              <w:rPr>
                                <w:b/>
                                <w:smallCaps w:val="0"/>
                                <w:color w:val="FFFFFF"/>
                                <w:spacing w:val="-9"/>
                                <w:sz w:val="18"/>
                              </w:rPr>
                              <w:t> </w:t>
                            </w:r>
                            <w:r>
                              <w:rPr>
                                <w:b/>
                                <w:smallCaps w:val="0"/>
                                <w:color w:val="FFFFFF"/>
                                <w:sz w:val="18"/>
                              </w:rPr>
                              <w:t>συναλλαγών</w:t>
                            </w:r>
                            <w:r>
                              <w:rPr>
                                <w:b/>
                                <w:smallCaps w:val="0"/>
                                <w:color w:val="FFFFFF"/>
                                <w:spacing w:val="-7"/>
                                <w:sz w:val="18"/>
                              </w:rPr>
                              <w:t> </w:t>
                            </w:r>
                            <w:r>
                              <w:rPr>
                                <w:b/>
                                <w:smallCaps w:val="0"/>
                                <w:color w:val="FFFFFF"/>
                                <w:sz w:val="18"/>
                              </w:rPr>
                              <w:t>απάτης</w:t>
                            </w:r>
                            <w:r>
                              <w:rPr>
                                <w:b/>
                                <w:smallCaps w:val="0"/>
                                <w:color w:val="FFFFFF"/>
                                <w:spacing w:val="-9"/>
                                <w:sz w:val="18"/>
                              </w:rPr>
                              <w:t> </w:t>
                            </w:r>
                            <w:r>
                              <w:rPr>
                                <w:b/>
                                <w:smallCaps w:val="0"/>
                                <w:color w:val="FFFFFF"/>
                                <w:sz w:val="18"/>
                              </w:rPr>
                              <w:t>ως προς τον συνολ</w:t>
                            </w:r>
                            <w:r>
                              <w:rPr>
                                <w:b/>
                                <w:smallCaps/>
                                <w:color w:val="FFFFFF"/>
                                <w:sz w:val="18"/>
                              </w:rPr>
                              <w:t>ι</w:t>
                            </w:r>
                            <w:r>
                              <w:rPr>
                                <w:b/>
                                <w:smallCaps w:val="0"/>
                                <w:color w:val="FFFFFF"/>
                                <w:sz w:val="18"/>
                              </w:rPr>
                              <w:t>κό αρ</w:t>
                            </w:r>
                            <w:r>
                              <w:rPr>
                                <w:b/>
                                <w:smallCaps/>
                                <w:color w:val="FFFFFF"/>
                                <w:sz w:val="18"/>
                              </w:rPr>
                              <w:t>ι</w:t>
                            </w:r>
                            <w:r>
                              <w:rPr>
                                <w:b/>
                                <w:smallCaps w:val="0"/>
                                <w:color w:val="FFFFFF"/>
                                <w:sz w:val="18"/>
                              </w:rPr>
                              <w:t>θμό συναλλαγών</w:t>
                            </w:r>
                          </w:p>
                        </w:txbxContent>
                      </wps:txbx>
                      <wps:bodyPr wrap="square" lIns="0" tIns="0" rIns="0" bIns="0" rtlCol="0">
                        <a:noAutofit/>
                      </wps:bodyPr>
                    </wps:wsp>
                  </a:graphicData>
                </a:graphic>
              </wp:anchor>
            </w:drawing>
          </mc:Choice>
          <mc:Fallback>
            <w:pict>
              <v:shape style="position:absolute;margin-left:291.290009pt;margin-top:25.725483pt;width:212.35pt;height:26.65pt;mso-position-horizontal-relative:page;mso-position-vertical-relative:paragraph;z-index:-20585472" type="#_x0000_t202" id="docshape708" filled="true" fillcolor="#1f487c" stroked="false">
                <v:textbox inset="0,0,0,0">
                  <w:txbxContent>
                    <w:p>
                      <w:pPr>
                        <w:spacing w:before="60"/>
                        <w:ind w:left="220" w:right="154" w:firstLine="0"/>
                        <w:jc w:val="left"/>
                        <w:rPr>
                          <w:b/>
                          <w:color w:val="000000"/>
                          <w:sz w:val="18"/>
                        </w:rPr>
                      </w:pPr>
                      <w:r>
                        <w:rPr>
                          <w:b/>
                          <w:color w:val="FFFFFF"/>
                          <w:sz w:val="18"/>
                        </w:rPr>
                        <w:t>Πίνακας</w:t>
                      </w:r>
                      <w:r>
                        <w:rPr>
                          <w:b/>
                          <w:color w:val="FFFFFF"/>
                          <w:spacing w:val="-6"/>
                          <w:sz w:val="18"/>
                        </w:rPr>
                        <w:t> </w:t>
                      </w:r>
                      <w:r>
                        <w:rPr>
                          <w:b/>
                          <w:color w:val="FFFFFF"/>
                          <w:sz w:val="18"/>
                        </w:rPr>
                        <w:t>VΙ.2</w:t>
                      </w:r>
                      <w:r>
                        <w:rPr>
                          <w:b/>
                          <w:color w:val="FFFFFF"/>
                          <w:spacing w:val="-7"/>
                          <w:sz w:val="18"/>
                        </w:rPr>
                        <w:t> </w:t>
                      </w:r>
                      <w:r>
                        <w:rPr>
                          <w:b/>
                          <w:color w:val="FFFFFF"/>
                          <w:sz w:val="18"/>
                        </w:rPr>
                        <w:t>Αρ</w:t>
                      </w:r>
                      <w:r>
                        <w:rPr>
                          <w:b/>
                          <w:smallCaps/>
                          <w:color w:val="FFFFFF"/>
                          <w:sz w:val="18"/>
                        </w:rPr>
                        <w:t>ι</w:t>
                      </w:r>
                      <w:r>
                        <w:rPr>
                          <w:b/>
                          <w:smallCaps w:val="0"/>
                          <w:color w:val="FFFFFF"/>
                          <w:sz w:val="18"/>
                        </w:rPr>
                        <w:t>θμός</w:t>
                      </w:r>
                      <w:r>
                        <w:rPr>
                          <w:b/>
                          <w:smallCaps w:val="0"/>
                          <w:color w:val="FFFFFF"/>
                          <w:spacing w:val="-9"/>
                          <w:sz w:val="18"/>
                        </w:rPr>
                        <w:t> </w:t>
                      </w:r>
                      <w:r>
                        <w:rPr>
                          <w:b/>
                          <w:smallCaps w:val="0"/>
                          <w:color w:val="FFFFFF"/>
                          <w:sz w:val="18"/>
                        </w:rPr>
                        <w:t>συναλλαγών</w:t>
                      </w:r>
                      <w:r>
                        <w:rPr>
                          <w:b/>
                          <w:smallCaps w:val="0"/>
                          <w:color w:val="FFFFFF"/>
                          <w:spacing w:val="-7"/>
                          <w:sz w:val="18"/>
                        </w:rPr>
                        <w:t> </w:t>
                      </w:r>
                      <w:r>
                        <w:rPr>
                          <w:b/>
                          <w:smallCaps w:val="0"/>
                          <w:color w:val="FFFFFF"/>
                          <w:sz w:val="18"/>
                        </w:rPr>
                        <w:t>απάτης</w:t>
                      </w:r>
                      <w:r>
                        <w:rPr>
                          <w:b/>
                          <w:smallCaps w:val="0"/>
                          <w:color w:val="FFFFFF"/>
                          <w:spacing w:val="-9"/>
                          <w:sz w:val="18"/>
                        </w:rPr>
                        <w:t> </w:t>
                      </w:r>
                      <w:r>
                        <w:rPr>
                          <w:b/>
                          <w:smallCaps w:val="0"/>
                          <w:color w:val="FFFFFF"/>
                          <w:sz w:val="18"/>
                        </w:rPr>
                        <w:t>ως προς τον συνολ</w:t>
                      </w:r>
                      <w:r>
                        <w:rPr>
                          <w:b/>
                          <w:smallCaps/>
                          <w:color w:val="FFFFFF"/>
                          <w:sz w:val="18"/>
                        </w:rPr>
                        <w:t>ι</w:t>
                      </w:r>
                      <w:r>
                        <w:rPr>
                          <w:b/>
                          <w:smallCaps w:val="0"/>
                          <w:color w:val="FFFFFF"/>
                          <w:sz w:val="18"/>
                        </w:rPr>
                        <w:t>κό αρ</w:t>
                      </w:r>
                      <w:r>
                        <w:rPr>
                          <w:b/>
                          <w:smallCaps/>
                          <w:color w:val="FFFFFF"/>
                          <w:sz w:val="18"/>
                        </w:rPr>
                        <w:t>ι</w:t>
                      </w:r>
                      <w:r>
                        <w:rPr>
                          <w:b/>
                          <w:smallCaps w:val="0"/>
                          <w:color w:val="FFFFFF"/>
                          <w:sz w:val="18"/>
                        </w:rPr>
                        <w:t>θμό συναλλαγών</w:t>
                      </w:r>
                    </w:p>
                  </w:txbxContent>
                </v:textbox>
                <v:fill type="solid"/>
                <w10:wrap type="none"/>
              </v:shape>
            </w:pict>
          </mc:Fallback>
        </mc:AlternateContent>
      </w:r>
      <w:r>
        <w:rPr/>
        <w:t>Από την ανάλυση των στοιχείων συναλλαγών απάτης με κάρτες πληρωμών προκύπτει ότι το 2025</w:t>
      </w:r>
      <w:r>
        <w:rPr>
          <w:spacing w:val="40"/>
        </w:rPr>
        <w:t> </w:t>
      </w:r>
      <w:r>
        <w:rPr/>
        <w:t>μειώθηκε</w:t>
      </w:r>
      <w:r>
        <w:rPr>
          <w:spacing w:val="40"/>
        </w:rPr>
        <w:t> </w:t>
      </w:r>
      <w:r>
        <w:rPr/>
        <w:t>ο</w:t>
      </w:r>
      <w:r>
        <w:rPr>
          <w:spacing w:val="40"/>
        </w:rPr>
        <w:t> </w:t>
      </w:r>
      <w:r>
        <w:rPr/>
        <w:t>αριθμός</w:t>
      </w:r>
      <w:r>
        <w:rPr>
          <w:spacing w:val="40"/>
        </w:rPr>
        <w:t> </w:t>
      </w:r>
      <w:r>
        <w:rPr/>
        <w:t>τους</w:t>
      </w:r>
      <w:r>
        <w:rPr>
          <w:spacing w:val="40"/>
        </w:rPr>
        <w:t> </w:t>
      </w:r>
      <w:r>
        <w:rPr/>
        <w:t>κατά</w:t>
      </w:r>
      <w:r>
        <w:rPr>
          <w:spacing w:val="40"/>
        </w:rPr>
        <w:t> </w:t>
      </w:r>
      <w:r>
        <w:rPr/>
        <w:t>9%</w:t>
      </w:r>
      <w:r>
        <w:rPr>
          <w:spacing w:val="40"/>
        </w:rPr>
        <w:t> </w:t>
      </w:r>
      <w:r>
        <w:rPr/>
        <w:t>σε</w:t>
      </w:r>
    </w:p>
    <w:p>
      <w:pPr>
        <w:pStyle w:val="BodyText"/>
        <w:spacing w:line="251" w:lineRule="exact"/>
        <w:ind w:left="172"/>
        <w:jc w:val="both"/>
      </w:pPr>
      <w:r>
        <w:rPr/>
        <w:t>σχέση</w:t>
      </w:r>
      <w:r>
        <w:rPr>
          <w:spacing w:val="23"/>
        </w:rPr>
        <w:t> </w:t>
      </w:r>
      <w:r>
        <w:rPr/>
        <w:t>με</w:t>
      </w:r>
      <w:r>
        <w:rPr>
          <w:spacing w:val="25"/>
        </w:rPr>
        <w:t> </w:t>
      </w:r>
      <w:r>
        <w:rPr/>
        <w:t>το</w:t>
      </w:r>
      <w:r>
        <w:rPr>
          <w:spacing w:val="22"/>
        </w:rPr>
        <w:t> </w:t>
      </w:r>
      <w:r>
        <w:rPr/>
        <w:t>2024</w:t>
      </w:r>
      <w:r>
        <w:rPr>
          <w:spacing w:val="23"/>
        </w:rPr>
        <w:t> </w:t>
      </w:r>
      <w:r>
        <w:rPr/>
        <w:t>(βλ.</w:t>
      </w:r>
      <w:r>
        <w:rPr>
          <w:spacing w:val="24"/>
        </w:rPr>
        <w:t> </w:t>
      </w:r>
      <w:r>
        <w:rPr/>
        <w:t>Πίνακα</w:t>
      </w:r>
      <w:r>
        <w:rPr>
          <w:spacing w:val="23"/>
        </w:rPr>
        <w:t> </w:t>
      </w:r>
      <w:r>
        <w:rPr/>
        <w:t>VI.2).</w:t>
      </w:r>
      <w:r>
        <w:rPr>
          <w:spacing w:val="24"/>
        </w:rPr>
        <w:t> </w:t>
      </w:r>
      <w:r>
        <w:rPr/>
        <w:t>Ο</w:t>
      </w:r>
      <w:r>
        <w:rPr>
          <w:spacing w:val="23"/>
        </w:rPr>
        <w:t> </w:t>
      </w:r>
      <w:r>
        <w:rPr>
          <w:spacing w:val="-4"/>
        </w:rPr>
        <w:t>δεί-</w:t>
      </w:r>
    </w:p>
    <w:p>
      <w:pPr>
        <w:pStyle w:val="BodyText"/>
        <w:spacing w:after="0" w:line="251" w:lineRule="exact"/>
        <w:jc w:val="both"/>
        <w:sectPr>
          <w:pgSz w:w="11910" w:h="16850"/>
          <w:pgMar w:header="0" w:footer="1262" w:top="1840" w:bottom="1460" w:left="1417" w:right="850"/>
        </w:sectPr>
      </w:pPr>
    </w:p>
    <w:p>
      <w:pPr>
        <w:pStyle w:val="BodyText"/>
        <w:spacing w:line="285" w:lineRule="auto" w:before="47"/>
        <w:ind w:left="172" w:right="38"/>
        <w:jc w:val="both"/>
      </w:pPr>
      <w:r>
        <w:rPr/>
        <w:t>κτης της αναλογίας του αριθμού των συναλ-λαγών απάτης προς τον συνολικό αριθμό συ-ναλλαγών (Fraud-to-Transaction ratio in volume terms) ανήλθε σε 0,013%, αντιστοι-χώντας σε 1 συναλλαγή απάτης ανά 7,6 χιλ. συναλλαγές</w:t>
      </w:r>
      <w:r>
        <w:rPr>
          <w:spacing w:val="-5"/>
        </w:rPr>
        <w:t> </w:t>
      </w:r>
      <w:r>
        <w:rPr/>
        <w:t>το</w:t>
      </w:r>
      <w:r>
        <w:rPr>
          <w:spacing w:val="-7"/>
        </w:rPr>
        <w:t> </w:t>
      </w:r>
      <w:r>
        <w:rPr/>
        <w:t>2025,</w:t>
      </w:r>
      <w:r>
        <w:rPr>
          <w:spacing w:val="-5"/>
        </w:rPr>
        <w:t> </w:t>
      </w:r>
      <w:r>
        <w:rPr/>
        <w:t>ποσοστό</w:t>
      </w:r>
      <w:r>
        <w:rPr>
          <w:spacing w:val="-5"/>
        </w:rPr>
        <w:t> </w:t>
      </w:r>
      <w:r>
        <w:rPr/>
        <w:t>μειωμένο</w:t>
      </w:r>
      <w:r>
        <w:rPr>
          <w:spacing w:val="-5"/>
        </w:rPr>
        <w:t> </w:t>
      </w:r>
      <w:r>
        <w:rPr/>
        <w:t>κατά 20% σε ετήσια βάση.</w:t>
      </w:r>
    </w:p>
    <w:p>
      <w:pPr>
        <w:pStyle w:val="BodyText"/>
        <w:spacing w:line="285" w:lineRule="auto" w:before="113"/>
        <w:ind w:left="172" w:right="38"/>
        <w:jc w:val="both"/>
      </w:pPr>
      <w:r>
        <w:rPr/>
        <w:t>Η αξία των συναλλαγών απάτης σε απόλυτες τιμές ανήλθε σε 22,6 εκατ. ευρώ (βλ. Πίνακα VI.3) και παραμένει στο ίδιο επίπεδο με αυτό του 2024. Παρ’ όλα αυτά, δεδομένης της αύ-ξησης της αξίας των συναλλαγών σε 120 δι-σεκ.</w:t>
      </w:r>
      <w:r>
        <w:rPr>
          <w:spacing w:val="-6"/>
        </w:rPr>
        <w:t> </w:t>
      </w:r>
      <w:r>
        <w:rPr/>
        <w:t>ευρώ</w:t>
      </w:r>
      <w:r>
        <w:rPr>
          <w:spacing w:val="-2"/>
        </w:rPr>
        <w:t> </w:t>
      </w:r>
      <w:r>
        <w:rPr/>
        <w:t>από</w:t>
      </w:r>
      <w:r>
        <w:rPr>
          <w:spacing w:val="-6"/>
        </w:rPr>
        <w:t> </w:t>
      </w:r>
      <w:r>
        <w:rPr/>
        <w:t>112</w:t>
      </w:r>
      <w:r>
        <w:rPr>
          <w:spacing w:val="-6"/>
        </w:rPr>
        <w:t> </w:t>
      </w:r>
      <w:r>
        <w:rPr/>
        <w:t>δισεκ</w:t>
      </w:r>
      <w:r>
        <w:rPr>
          <w:spacing w:val="-7"/>
        </w:rPr>
        <w:t> </w:t>
      </w:r>
      <w:r>
        <w:rPr/>
        <w:t>ευρώ</w:t>
      </w:r>
      <w:r>
        <w:rPr>
          <w:spacing w:val="-5"/>
        </w:rPr>
        <w:t> </w:t>
      </w:r>
      <w:r>
        <w:rPr/>
        <w:t>το</w:t>
      </w:r>
      <w:r>
        <w:rPr>
          <w:spacing w:val="-6"/>
        </w:rPr>
        <w:t> </w:t>
      </w:r>
      <w:r>
        <w:rPr/>
        <w:t>2024,</w:t>
      </w:r>
      <w:r>
        <w:rPr>
          <w:spacing w:val="-6"/>
        </w:rPr>
        <w:t> </w:t>
      </w:r>
      <w:r>
        <w:rPr/>
        <w:t>ο</w:t>
      </w:r>
      <w:r>
        <w:rPr>
          <w:spacing w:val="-3"/>
        </w:rPr>
        <w:t> </w:t>
      </w:r>
      <w:r>
        <w:rPr/>
        <w:t>δεί-</w:t>
      </w:r>
      <w:r>
        <w:rPr>
          <w:spacing w:val="-2"/>
        </w:rPr>
        <w:t>κτης</w:t>
      </w:r>
      <w:r>
        <w:rPr>
          <w:spacing w:val="-8"/>
        </w:rPr>
        <w:t> </w:t>
      </w:r>
      <w:r>
        <w:rPr>
          <w:spacing w:val="-2"/>
        </w:rPr>
        <w:t>της</w:t>
      </w:r>
      <w:r>
        <w:rPr>
          <w:spacing w:val="-8"/>
        </w:rPr>
        <w:t> </w:t>
      </w:r>
      <w:r>
        <w:rPr>
          <w:spacing w:val="-2"/>
        </w:rPr>
        <w:t>αναλογίας</w:t>
      </w:r>
      <w:r>
        <w:rPr>
          <w:spacing w:val="-7"/>
        </w:rPr>
        <w:t> </w:t>
      </w:r>
      <w:r>
        <w:rPr>
          <w:spacing w:val="-2"/>
        </w:rPr>
        <w:t>της</w:t>
      </w:r>
      <w:r>
        <w:rPr>
          <w:spacing w:val="-8"/>
        </w:rPr>
        <w:t> </w:t>
      </w:r>
      <w:r>
        <w:rPr>
          <w:spacing w:val="-2"/>
        </w:rPr>
        <w:t>αξίας</w:t>
      </w:r>
      <w:r>
        <w:rPr>
          <w:spacing w:val="-7"/>
        </w:rPr>
        <w:t> </w:t>
      </w:r>
      <w:r>
        <w:rPr>
          <w:spacing w:val="-2"/>
        </w:rPr>
        <w:t>των</w:t>
      </w:r>
      <w:r>
        <w:rPr>
          <w:spacing w:val="-6"/>
        </w:rPr>
        <w:t> </w:t>
      </w:r>
      <w:r>
        <w:rPr>
          <w:spacing w:val="-2"/>
        </w:rPr>
        <w:t>συναλλαγών </w:t>
      </w:r>
      <w:r>
        <w:rPr/>
        <w:t>απάτης προς την συνολική αξία συναλλαγών (Fraud-to-Transaction ratio</w:t>
      </w:r>
      <w:r>
        <w:rPr>
          <w:spacing w:val="-2"/>
        </w:rPr>
        <w:t> </w:t>
      </w:r>
      <w:r>
        <w:rPr/>
        <w:t>in value</w:t>
      </w:r>
      <w:r>
        <w:rPr>
          <w:spacing w:val="-1"/>
        </w:rPr>
        <w:t> </w:t>
      </w:r>
      <w:r>
        <w:rPr/>
        <w:t>terms) α-νήλθε σε 0,019%, αντιστοιχώντας σε 1 ευρώ αξία</w:t>
      </w:r>
      <w:r>
        <w:rPr>
          <w:spacing w:val="-10"/>
        </w:rPr>
        <w:t> </w:t>
      </w:r>
      <w:r>
        <w:rPr/>
        <w:t>συναλλαγής</w:t>
      </w:r>
      <w:r>
        <w:rPr>
          <w:spacing w:val="-10"/>
        </w:rPr>
        <w:t> </w:t>
      </w:r>
      <w:r>
        <w:rPr/>
        <w:t>απάτης</w:t>
      </w:r>
      <w:r>
        <w:rPr>
          <w:spacing w:val="-10"/>
        </w:rPr>
        <w:t> </w:t>
      </w:r>
      <w:r>
        <w:rPr/>
        <w:t>ανά</w:t>
      </w:r>
      <w:r>
        <w:rPr>
          <w:spacing w:val="-9"/>
        </w:rPr>
        <w:t> </w:t>
      </w:r>
      <w:r>
        <w:rPr/>
        <w:t>5,3</w:t>
      </w:r>
      <w:r>
        <w:rPr>
          <w:spacing w:val="-9"/>
        </w:rPr>
        <w:t> </w:t>
      </w:r>
      <w:r>
        <w:rPr/>
        <w:t>χιλ.</w:t>
      </w:r>
      <w:r>
        <w:rPr>
          <w:spacing w:val="-9"/>
        </w:rPr>
        <w:t> </w:t>
      </w:r>
      <w:r>
        <w:rPr/>
        <w:t>αξία</w:t>
      </w:r>
      <w:r>
        <w:rPr>
          <w:spacing w:val="-12"/>
        </w:rPr>
        <w:t> </w:t>
      </w:r>
      <w:r>
        <w:rPr/>
        <w:t>συ-ναλλαγών το 2025, έναντι 1 ευρώ αξίας συ-ναλλαγής απάτης ανά 4,9 χιλ. αξία συναλλα-γών το 2024.</w:t>
      </w:r>
    </w:p>
    <w:p>
      <w:pPr>
        <w:spacing w:before="160"/>
        <w:ind w:left="172" w:right="0" w:firstLine="0"/>
        <w:jc w:val="left"/>
        <w:rPr>
          <w:sz w:val="14"/>
        </w:rPr>
      </w:pPr>
      <w:r>
        <w:rPr/>
        <w:br w:type="column"/>
      </w:r>
      <w:r>
        <w:rPr>
          <w:color w:val="1F487C"/>
          <w:spacing w:val="-2"/>
          <w:sz w:val="14"/>
        </w:rPr>
        <w:t>(συναλλαγές)</w:t>
      </w:r>
    </w:p>
    <w:p>
      <w:pPr>
        <w:pStyle w:val="BodyText"/>
        <w:spacing w:before="3"/>
        <w:rPr>
          <w:sz w:val="5"/>
        </w:rPr>
      </w:pPr>
    </w:p>
    <w:tbl>
      <w:tblPr>
        <w:tblW w:w="0" w:type="auto"/>
        <w:jc w:val="left"/>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4"/>
        <w:gridCol w:w="1133"/>
        <w:gridCol w:w="1465"/>
        <w:gridCol w:w="1002"/>
      </w:tblGrid>
      <w:tr>
        <w:trPr>
          <w:trHeight w:val="622" w:hRule="atLeast"/>
        </w:trPr>
        <w:tc>
          <w:tcPr>
            <w:tcW w:w="654" w:type="dxa"/>
            <w:shd w:val="clear" w:color="auto" w:fill="C0C0C0"/>
          </w:tcPr>
          <w:p>
            <w:pPr>
              <w:pStyle w:val="TableParagraph"/>
              <w:spacing w:before="207"/>
              <w:ind w:left="34" w:right="75"/>
              <w:jc w:val="center"/>
              <w:rPr>
                <w:b/>
                <w:sz w:val="18"/>
              </w:rPr>
            </w:pPr>
            <w:r>
              <w:rPr>
                <w:b/>
                <w:color w:val="1F487C"/>
                <w:spacing w:val="-4"/>
                <w:sz w:val="18"/>
              </w:rPr>
              <w:t>Έτος</w:t>
            </w:r>
          </w:p>
        </w:tc>
        <w:tc>
          <w:tcPr>
            <w:tcW w:w="1133" w:type="dxa"/>
            <w:shd w:val="clear" w:color="auto" w:fill="C0C0C0"/>
          </w:tcPr>
          <w:p>
            <w:pPr>
              <w:pStyle w:val="TableParagraph"/>
              <w:spacing w:line="242" w:lineRule="auto" w:before="103"/>
              <w:ind w:left="337" w:right="38" w:hanging="188"/>
              <w:rPr>
                <w:b/>
                <w:sz w:val="18"/>
              </w:rPr>
            </w:pPr>
            <w:r>
              <w:rPr>
                <w:b/>
                <w:color w:val="1F487C"/>
                <w:sz w:val="18"/>
              </w:rPr>
              <w:t>Αρ</w:t>
            </w:r>
            <w:r>
              <w:rPr>
                <w:b/>
                <w:smallCaps/>
                <w:color w:val="1F487C"/>
                <w:sz w:val="18"/>
              </w:rPr>
              <w:t>ι</w:t>
            </w:r>
            <w:r>
              <w:rPr>
                <w:b/>
                <w:smallCaps w:val="0"/>
                <w:color w:val="1F487C"/>
                <w:sz w:val="18"/>
              </w:rPr>
              <w:t>θμός</w:t>
            </w:r>
            <w:r>
              <w:rPr>
                <w:b/>
                <w:smallCaps w:val="0"/>
                <w:color w:val="1F487C"/>
                <w:spacing w:val="-12"/>
                <w:sz w:val="18"/>
              </w:rPr>
              <w:t> </w:t>
            </w:r>
            <w:r>
              <w:rPr>
                <w:b/>
                <w:smallCaps w:val="0"/>
                <w:color w:val="1F487C"/>
                <w:sz w:val="18"/>
              </w:rPr>
              <w:t>συ-</w:t>
            </w:r>
            <w:r>
              <w:rPr>
                <w:b/>
                <w:smallCaps w:val="0"/>
                <w:color w:val="1F487C"/>
                <w:spacing w:val="-2"/>
                <w:sz w:val="18"/>
              </w:rPr>
              <w:t>ναλλαγών</w:t>
            </w:r>
          </w:p>
        </w:tc>
        <w:tc>
          <w:tcPr>
            <w:tcW w:w="2467" w:type="dxa"/>
            <w:gridSpan w:val="2"/>
            <w:shd w:val="clear" w:color="auto" w:fill="C0C0C0"/>
          </w:tcPr>
          <w:p>
            <w:pPr>
              <w:pStyle w:val="TableParagraph"/>
              <w:tabs>
                <w:tab w:pos="1921" w:val="left" w:leader="none"/>
              </w:tabs>
              <w:spacing w:line="160" w:lineRule="auto" w:before="22"/>
              <w:ind w:left="358" w:right="-29" w:hanging="320"/>
              <w:rPr>
                <w:b/>
                <w:position w:val="-10"/>
                <w:sz w:val="18"/>
              </w:rPr>
            </w:pPr>
            <w:r>
              <w:rPr>
                <w:b/>
                <w:color w:val="1F487C"/>
                <w:sz w:val="18"/>
              </w:rPr>
              <w:t>Αρ</w:t>
            </w:r>
            <w:r>
              <w:rPr>
                <w:b/>
                <w:smallCaps/>
                <w:color w:val="1F487C"/>
                <w:sz w:val="18"/>
              </w:rPr>
              <w:t>ι</w:t>
            </w:r>
            <w:r>
              <w:rPr>
                <w:b/>
                <w:smallCaps w:val="0"/>
                <w:color w:val="1F487C"/>
                <w:sz w:val="18"/>
              </w:rPr>
              <w:t>θμός</w:t>
            </w:r>
            <w:r>
              <w:rPr>
                <w:b/>
                <w:smallCaps w:val="0"/>
                <w:color w:val="1F487C"/>
                <w:spacing w:val="-6"/>
                <w:sz w:val="18"/>
              </w:rPr>
              <w:t> </w:t>
            </w:r>
            <w:r>
              <w:rPr>
                <w:b/>
                <w:smallCaps w:val="0"/>
                <w:color w:val="1F487C"/>
                <w:sz w:val="18"/>
              </w:rPr>
              <w:t>συναλ- </w:t>
            </w:r>
            <w:r>
              <w:rPr>
                <w:b/>
                <w:smallCaps w:val="0"/>
                <w:color w:val="1F487C"/>
                <w:position w:val="-9"/>
                <w:sz w:val="18"/>
              </w:rPr>
              <w:t>%</w:t>
            </w:r>
            <w:r>
              <w:rPr>
                <w:b/>
                <w:smallCaps w:val="0"/>
                <w:color w:val="1F487C"/>
                <w:spacing w:val="-7"/>
                <w:position w:val="-9"/>
                <w:sz w:val="18"/>
              </w:rPr>
              <w:t> </w:t>
            </w:r>
            <w:r>
              <w:rPr>
                <w:b/>
                <w:smallCaps w:val="0"/>
                <w:color w:val="1F487C"/>
                <w:position w:val="-9"/>
                <w:sz w:val="18"/>
              </w:rPr>
              <w:t>συναλλαγών </w:t>
            </w:r>
            <w:r>
              <w:rPr>
                <w:b/>
                <w:smallCaps w:val="0"/>
                <w:color w:val="1F487C"/>
                <w:sz w:val="18"/>
              </w:rPr>
              <w:t>λαγών</w:t>
            </w:r>
            <w:r>
              <w:rPr>
                <w:b/>
                <w:smallCaps w:val="0"/>
                <w:color w:val="1F487C"/>
                <w:spacing w:val="-2"/>
                <w:sz w:val="18"/>
              </w:rPr>
              <w:t> </w:t>
            </w:r>
            <w:r>
              <w:rPr>
                <w:b/>
                <w:smallCaps w:val="0"/>
                <w:color w:val="1F487C"/>
                <w:spacing w:val="-4"/>
                <w:sz w:val="18"/>
              </w:rPr>
              <w:t>απά-</w:t>
            </w:r>
            <w:r>
              <w:rPr>
                <w:b/>
                <w:smallCaps w:val="0"/>
                <w:color w:val="1F487C"/>
                <w:sz w:val="18"/>
              </w:rPr>
              <w:tab/>
            </w:r>
            <w:r>
              <w:rPr>
                <w:b/>
                <w:smallCaps w:val="0"/>
                <w:color w:val="1F487C"/>
                <w:spacing w:val="-2"/>
                <w:position w:val="-10"/>
                <w:sz w:val="18"/>
              </w:rPr>
              <w:t>απάτης</w:t>
            </w:r>
          </w:p>
          <w:p>
            <w:pPr>
              <w:pStyle w:val="TableParagraph"/>
              <w:spacing w:line="92" w:lineRule="exact"/>
              <w:ind w:right="226"/>
              <w:jc w:val="center"/>
              <w:rPr>
                <w:b/>
                <w:sz w:val="18"/>
              </w:rPr>
            </w:pPr>
            <w:r>
              <w:rPr>
                <w:b/>
                <w:color w:val="1F487C"/>
                <w:spacing w:val="-5"/>
                <w:sz w:val="18"/>
              </w:rPr>
              <w:t>της</w:t>
            </w:r>
          </w:p>
        </w:tc>
      </w:tr>
      <w:tr>
        <w:trPr>
          <w:trHeight w:val="508" w:hRule="atLeast"/>
        </w:trPr>
        <w:tc>
          <w:tcPr>
            <w:tcW w:w="654" w:type="dxa"/>
            <w:shd w:val="clear" w:color="auto" w:fill="D9D9D9"/>
          </w:tcPr>
          <w:p>
            <w:pPr>
              <w:pStyle w:val="TableParagraph"/>
              <w:spacing w:before="151"/>
              <w:ind w:right="75"/>
              <w:jc w:val="center"/>
              <w:rPr>
                <w:sz w:val="18"/>
              </w:rPr>
            </w:pPr>
            <w:r>
              <w:rPr>
                <w:spacing w:val="-4"/>
                <w:sz w:val="18"/>
              </w:rPr>
              <w:t>2025</w:t>
            </w:r>
          </w:p>
        </w:tc>
        <w:tc>
          <w:tcPr>
            <w:tcW w:w="1133" w:type="dxa"/>
            <w:shd w:val="clear" w:color="auto" w:fill="D9D9D9"/>
          </w:tcPr>
          <w:p>
            <w:pPr>
              <w:pStyle w:val="TableParagraph"/>
              <w:spacing w:before="162"/>
              <w:ind w:right="39"/>
              <w:jc w:val="right"/>
              <w:rPr>
                <w:sz w:val="16"/>
              </w:rPr>
            </w:pPr>
            <w:r>
              <w:rPr>
                <w:spacing w:val="-2"/>
                <w:sz w:val="16"/>
              </w:rPr>
              <w:t>2.763.517.204</w:t>
            </w:r>
          </w:p>
        </w:tc>
        <w:tc>
          <w:tcPr>
            <w:tcW w:w="1465" w:type="dxa"/>
            <w:shd w:val="clear" w:color="auto" w:fill="D9D9D9"/>
          </w:tcPr>
          <w:p>
            <w:pPr>
              <w:pStyle w:val="TableParagraph"/>
              <w:spacing w:before="151"/>
              <w:ind w:right="337"/>
              <w:jc w:val="right"/>
              <w:rPr>
                <w:sz w:val="18"/>
              </w:rPr>
            </w:pPr>
            <w:r>
              <w:rPr>
                <w:spacing w:val="-2"/>
                <w:sz w:val="18"/>
              </w:rPr>
              <w:t>363.101</w:t>
            </w:r>
          </w:p>
        </w:tc>
        <w:tc>
          <w:tcPr>
            <w:tcW w:w="1002" w:type="dxa"/>
            <w:shd w:val="clear" w:color="auto" w:fill="D9D9D9"/>
          </w:tcPr>
          <w:p>
            <w:pPr>
              <w:pStyle w:val="TableParagraph"/>
              <w:spacing w:before="151"/>
              <w:ind w:right="105"/>
              <w:jc w:val="right"/>
              <w:rPr>
                <w:sz w:val="18"/>
              </w:rPr>
            </w:pPr>
            <w:r>
              <w:rPr>
                <w:spacing w:val="-2"/>
                <w:sz w:val="18"/>
              </w:rPr>
              <w:t>0,013%</w:t>
            </w:r>
          </w:p>
        </w:tc>
      </w:tr>
      <w:tr>
        <w:trPr>
          <w:trHeight w:val="511" w:hRule="atLeast"/>
        </w:trPr>
        <w:tc>
          <w:tcPr>
            <w:tcW w:w="654" w:type="dxa"/>
            <w:shd w:val="clear" w:color="auto" w:fill="C0C0C0"/>
          </w:tcPr>
          <w:p>
            <w:pPr>
              <w:pStyle w:val="TableParagraph"/>
              <w:spacing w:before="151"/>
              <w:ind w:right="75"/>
              <w:jc w:val="center"/>
              <w:rPr>
                <w:sz w:val="18"/>
              </w:rPr>
            </w:pPr>
            <w:r>
              <w:rPr>
                <w:spacing w:val="-4"/>
                <w:sz w:val="18"/>
              </w:rPr>
              <w:t>2024</w:t>
            </w:r>
          </w:p>
        </w:tc>
        <w:tc>
          <w:tcPr>
            <w:tcW w:w="1133" w:type="dxa"/>
            <w:shd w:val="clear" w:color="auto" w:fill="C0C0C0"/>
          </w:tcPr>
          <w:p>
            <w:pPr>
              <w:pStyle w:val="TableParagraph"/>
              <w:spacing w:before="165"/>
              <w:ind w:right="39"/>
              <w:jc w:val="right"/>
              <w:rPr>
                <w:sz w:val="16"/>
              </w:rPr>
            </w:pPr>
            <w:r>
              <w:rPr>
                <w:spacing w:val="-2"/>
                <w:sz w:val="16"/>
              </w:rPr>
              <w:t>2.511.635.391</w:t>
            </w:r>
          </w:p>
        </w:tc>
        <w:tc>
          <w:tcPr>
            <w:tcW w:w="1465" w:type="dxa"/>
            <w:shd w:val="clear" w:color="auto" w:fill="C0C0C0"/>
          </w:tcPr>
          <w:p>
            <w:pPr>
              <w:pStyle w:val="TableParagraph"/>
              <w:spacing w:before="151"/>
              <w:ind w:right="337"/>
              <w:jc w:val="right"/>
              <w:rPr>
                <w:sz w:val="18"/>
              </w:rPr>
            </w:pPr>
            <w:r>
              <w:rPr>
                <w:spacing w:val="-2"/>
                <w:sz w:val="18"/>
              </w:rPr>
              <w:t>398.723</w:t>
            </w:r>
          </w:p>
        </w:tc>
        <w:tc>
          <w:tcPr>
            <w:tcW w:w="1002" w:type="dxa"/>
            <w:shd w:val="clear" w:color="auto" w:fill="C0C0C0"/>
          </w:tcPr>
          <w:p>
            <w:pPr>
              <w:pStyle w:val="TableParagraph"/>
              <w:spacing w:before="151"/>
              <w:ind w:right="105"/>
              <w:jc w:val="right"/>
              <w:rPr>
                <w:sz w:val="18"/>
              </w:rPr>
            </w:pPr>
            <w:r>
              <w:rPr>
                <w:spacing w:val="-2"/>
                <w:sz w:val="18"/>
              </w:rPr>
              <w:t>0,016%</w:t>
            </w:r>
          </w:p>
        </w:tc>
      </w:tr>
      <w:tr>
        <w:trPr>
          <w:trHeight w:val="508" w:hRule="atLeast"/>
        </w:trPr>
        <w:tc>
          <w:tcPr>
            <w:tcW w:w="654" w:type="dxa"/>
            <w:shd w:val="clear" w:color="auto" w:fill="D9D9D9"/>
          </w:tcPr>
          <w:p>
            <w:pPr>
              <w:pStyle w:val="TableParagraph"/>
              <w:spacing w:before="151"/>
              <w:ind w:right="75"/>
              <w:jc w:val="center"/>
              <w:rPr>
                <w:sz w:val="18"/>
              </w:rPr>
            </w:pPr>
            <w:r>
              <w:rPr>
                <w:spacing w:val="-4"/>
                <w:sz w:val="18"/>
              </w:rPr>
              <w:t>2023</w:t>
            </w:r>
          </w:p>
        </w:tc>
        <w:tc>
          <w:tcPr>
            <w:tcW w:w="1133" w:type="dxa"/>
            <w:shd w:val="clear" w:color="auto" w:fill="D9D9D9"/>
          </w:tcPr>
          <w:p>
            <w:pPr>
              <w:pStyle w:val="TableParagraph"/>
              <w:spacing w:before="162"/>
              <w:ind w:right="39"/>
              <w:jc w:val="right"/>
              <w:rPr>
                <w:sz w:val="16"/>
              </w:rPr>
            </w:pPr>
            <w:r>
              <w:rPr>
                <w:spacing w:val="-2"/>
                <w:sz w:val="16"/>
              </w:rPr>
              <w:t>2.210.865.672</w:t>
            </w:r>
          </w:p>
        </w:tc>
        <w:tc>
          <w:tcPr>
            <w:tcW w:w="1465" w:type="dxa"/>
            <w:shd w:val="clear" w:color="auto" w:fill="D9D9D9"/>
          </w:tcPr>
          <w:p>
            <w:pPr>
              <w:pStyle w:val="TableParagraph"/>
              <w:spacing w:before="151"/>
              <w:ind w:right="337"/>
              <w:jc w:val="right"/>
              <w:rPr>
                <w:sz w:val="18"/>
              </w:rPr>
            </w:pPr>
            <w:r>
              <w:rPr>
                <w:spacing w:val="-2"/>
                <w:sz w:val="18"/>
              </w:rPr>
              <w:t>410.345</w:t>
            </w:r>
          </w:p>
        </w:tc>
        <w:tc>
          <w:tcPr>
            <w:tcW w:w="1002" w:type="dxa"/>
            <w:shd w:val="clear" w:color="auto" w:fill="D9D9D9"/>
          </w:tcPr>
          <w:p>
            <w:pPr>
              <w:pStyle w:val="TableParagraph"/>
              <w:spacing w:before="151"/>
              <w:ind w:right="105"/>
              <w:jc w:val="right"/>
              <w:rPr>
                <w:sz w:val="18"/>
              </w:rPr>
            </w:pPr>
            <w:r>
              <w:rPr>
                <w:spacing w:val="-2"/>
                <w:sz w:val="18"/>
              </w:rPr>
              <w:t>0,019%</w:t>
            </w:r>
          </w:p>
        </w:tc>
      </w:tr>
      <w:tr>
        <w:trPr>
          <w:trHeight w:val="398" w:hRule="atLeast"/>
        </w:trPr>
        <w:tc>
          <w:tcPr>
            <w:tcW w:w="4254" w:type="dxa"/>
            <w:gridSpan w:val="4"/>
            <w:shd w:val="clear" w:color="auto" w:fill="C0C0C0"/>
          </w:tcPr>
          <w:p>
            <w:pPr>
              <w:pStyle w:val="TableParagraph"/>
              <w:spacing w:before="15"/>
              <w:rPr>
                <w:sz w:val="14"/>
              </w:rPr>
            </w:pPr>
          </w:p>
          <w:p>
            <w:pPr>
              <w:pStyle w:val="TableParagraph"/>
              <w:ind w:left="220"/>
              <w:rPr>
                <w:sz w:val="14"/>
              </w:rPr>
            </w:pPr>
            <w:r>
              <w:rPr>
                <w:sz w:val="14"/>
              </w:rPr>
              <w:t>Πηγή:</w:t>
            </w:r>
            <w:r>
              <w:rPr>
                <w:spacing w:val="-4"/>
                <w:sz w:val="14"/>
              </w:rPr>
              <w:t> </w:t>
            </w:r>
            <w:r>
              <w:rPr>
                <w:sz w:val="14"/>
              </w:rPr>
              <w:t>Τράπεζα</w:t>
            </w:r>
            <w:r>
              <w:rPr>
                <w:spacing w:val="-4"/>
                <w:sz w:val="14"/>
              </w:rPr>
              <w:t> </w:t>
            </w:r>
            <w:r>
              <w:rPr>
                <w:sz w:val="14"/>
              </w:rPr>
              <w:t>της</w:t>
            </w:r>
            <w:r>
              <w:rPr>
                <w:spacing w:val="-2"/>
                <w:sz w:val="14"/>
              </w:rPr>
              <w:t> Ελλάδος.</w:t>
            </w:r>
          </w:p>
        </w:tc>
      </w:tr>
    </w:tbl>
    <w:p>
      <w:pPr>
        <w:pStyle w:val="BodyText"/>
        <w:spacing w:before="3"/>
        <w:rPr>
          <w:sz w:val="6"/>
        </w:rPr>
      </w:pPr>
      <w:r>
        <w:rPr>
          <w:sz w:val="6"/>
        </w:rPr>
        <mc:AlternateContent>
          <mc:Choice Requires="wps">
            <w:drawing>
              <wp:anchor distT="0" distB="0" distL="0" distR="0" allowOverlap="1" layoutInCell="1" locked="0" behindDoc="1" simplePos="0" relativeHeight="487669760">
                <wp:simplePos x="0" y="0"/>
                <wp:positionH relativeFrom="page">
                  <wp:posOffset>3699383</wp:posOffset>
                </wp:positionH>
                <wp:positionV relativeFrom="paragraph">
                  <wp:posOffset>61372</wp:posOffset>
                </wp:positionV>
                <wp:extent cx="2696845" cy="376555"/>
                <wp:effectExtent l="0" t="0" r="0" b="0"/>
                <wp:wrapTopAndBottom/>
                <wp:docPr id="758" name="Textbox 758"/>
                <wp:cNvGraphicFramePr>
                  <a:graphicFrameLocks/>
                </wp:cNvGraphicFramePr>
                <a:graphic>
                  <a:graphicData uri="http://schemas.microsoft.com/office/word/2010/wordprocessingShape">
                    <wps:wsp>
                      <wps:cNvPr id="758" name="Textbox 758"/>
                      <wps:cNvSpPr txBox="1"/>
                      <wps:spPr>
                        <a:xfrm>
                          <a:off x="0" y="0"/>
                          <a:ext cx="2696845" cy="376555"/>
                        </a:xfrm>
                        <a:prstGeom prst="rect">
                          <a:avLst/>
                        </a:prstGeom>
                        <a:solidFill>
                          <a:srgbClr val="1F487C"/>
                        </a:solidFill>
                      </wps:spPr>
                      <wps:txbx>
                        <w:txbxContent>
                          <w:p>
                            <w:pPr>
                              <w:spacing w:before="120"/>
                              <w:ind w:left="107" w:right="154" w:firstLine="0"/>
                              <w:jc w:val="left"/>
                              <w:rPr>
                                <w:b/>
                                <w:color w:val="000000"/>
                                <w:sz w:val="18"/>
                              </w:rPr>
                            </w:pPr>
                            <w:r>
                              <w:rPr>
                                <w:b/>
                                <w:color w:val="FFFFFF"/>
                                <w:sz w:val="18"/>
                              </w:rPr>
                              <w:t>Πίνακας VΙ.3 Αξία συναλλαγών απάτης ως προς τη συνολ</w:t>
                            </w:r>
                            <w:r>
                              <w:rPr>
                                <w:b/>
                                <w:smallCaps/>
                                <w:color w:val="FFFFFF"/>
                                <w:sz w:val="18"/>
                              </w:rPr>
                              <w:t>ι</w:t>
                            </w:r>
                            <w:r>
                              <w:rPr>
                                <w:b/>
                                <w:smallCaps w:val="0"/>
                                <w:color w:val="FFFFFF"/>
                                <w:sz w:val="18"/>
                              </w:rPr>
                              <w:t>κή αξία συναλλαγών</w:t>
                            </w:r>
                          </w:p>
                        </w:txbxContent>
                      </wps:txbx>
                      <wps:bodyPr wrap="square" lIns="0" tIns="0" rIns="0" bIns="0" rtlCol="0">
                        <a:noAutofit/>
                      </wps:bodyPr>
                    </wps:wsp>
                  </a:graphicData>
                </a:graphic>
              </wp:anchor>
            </w:drawing>
          </mc:Choice>
          <mc:Fallback>
            <w:pict>
              <v:shape style="position:absolute;margin-left:291.290009pt;margin-top:4.832485pt;width:212.35pt;height:29.65pt;mso-position-horizontal-relative:page;mso-position-vertical-relative:paragraph;z-index:-15646720;mso-wrap-distance-left:0;mso-wrap-distance-right:0" type="#_x0000_t202" id="docshape709" filled="true" fillcolor="#1f487c" stroked="false">
                <v:textbox inset="0,0,0,0">
                  <w:txbxContent>
                    <w:p>
                      <w:pPr>
                        <w:spacing w:before="120"/>
                        <w:ind w:left="107" w:right="154" w:firstLine="0"/>
                        <w:jc w:val="left"/>
                        <w:rPr>
                          <w:b/>
                          <w:color w:val="000000"/>
                          <w:sz w:val="18"/>
                        </w:rPr>
                      </w:pPr>
                      <w:r>
                        <w:rPr>
                          <w:b/>
                          <w:color w:val="FFFFFF"/>
                          <w:sz w:val="18"/>
                        </w:rPr>
                        <w:t>Πίνακας VΙ.3 Αξία συναλλαγών απάτης ως προς τη συνολ</w:t>
                      </w:r>
                      <w:r>
                        <w:rPr>
                          <w:b/>
                          <w:smallCaps/>
                          <w:color w:val="FFFFFF"/>
                          <w:sz w:val="18"/>
                        </w:rPr>
                        <w:t>ι</w:t>
                      </w:r>
                      <w:r>
                        <w:rPr>
                          <w:b/>
                          <w:smallCaps w:val="0"/>
                          <w:color w:val="FFFFFF"/>
                          <w:sz w:val="18"/>
                        </w:rPr>
                        <w:t>κή αξία συναλλαγών</w:t>
                      </w:r>
                    </w:p>
                  </w:txbxContent>
                </v:textbox>
                <v:fill type="solid"/>
                <w10:wrap type="topAndBottom"/>
              </v:shape>
            </w:pict>
          </mc:Fallback>
        </mc:AlternateContent>
      </w:r>
    </w:p>
    <w:p>
      <w:pPr>
        <w:spacing w:before="119"/>
        <w:ind w:left="172" w:right="0" w:firstLine="0"/>
        <w:jc w:val="left"/>
        <w:rPr>
          <w:sz w:val="14"/>
        </w:rPr>
      </w:pPr>
      <w:r>
        <w:rPr>
          <w:color w:val="1F487C"/>
          <w:spacing w:val="-2"/>
          <w:sz w:val="14"/>
        </w:rPr>
        <w:t>(ευρώ)</w:t>
      </w:r>
    </w:p>
    <w:p>
      <w:pPr>
        <w:pStyle w:val="BodyText"/>
        <w:spacing w:before="5"/>
        <w:rPr>
          <w:sz w:val="5"/>
        </w:rPr>
      </w:pPr>
    </w:p>
    <w:tbl>
      <w:tblPr>
        <w:tblW w:w="0" w:type="auto"/>
        <w:jc w:val="left"/>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1"/>
        <w:gridCol w:w="1229"/>
        <w:gridCol w:w="1326"/>
        <w:gridCol w:w="1018"/>
      </w:tblGrid>
      <w:tr>
        <w:trPr>
          <w:trHeight w:val="509" w:hRule="atLeast"/>
        </w:trPr>
        <w:tc>
          <w:tcPr>
            <w:tcW w:w="681" w:type="dxa"/>
            <w:shd w:val="clear" w:color="auto" w:fill="C0C0C0"/>
          </w:tcPr>
          <w:p>
            <w:pPr>
              <w:pStyle w:val="TableParagraph"/>
              <w:spacing w:before="151"/>
              <w:ind w:left="34" w:right="102"/>
              <w:jc w:val="center"/>
              <w:rPr>
                <w:b/>
                <w:sz w:val="18"/>
              </w:rPr>
            </w:pPr>
            <w:r>
              <w:rPr>
                <w:b/>
                <w:color w:val="1F487C"/>
                <w:spacing w:val="-4"/>
                <w:sz w:val="18"/>
              </w:rPr>
              <w:t>Έτος</w:t>
            </w:r>
          </w:p>
        </w:tc>
        <w:tc>
          <w:tcPr>
            <w:tcW w:w="1229" w:type="dxa"/>
            <w:shd w:val="clear" w:color="auto" w:fill="C0C0C0"/>
          </w:tcPr>
          <w:p>
            <w:pPr>
              <w:pStyle w:val="TableParagraph"/>
              <w:spacing w:before="48"/>
              <w:ind w:right="101"/>
              <w:jc w:val="right"/>
              <w:rPr>
                <w:b/>
                <w:sz w:val="18"/>
              </w:rPr>
            </w:pPr>
            <w:r>
              <w:rPr>
                <w:b/>
                <w:color w:val="1F487C"/>
                <w:sz w:val="18"/>
              </w:rPr>
              <w:t>Αξία</w:t>
            </w:r>
            <w:r>
              <w:rPr>
                <w:b/>
                <w:color w:val="1F487C"/>
                <w:spacing w:val="-3"/>
                <w:sz w:val="18"/>
              </w:rPr>
              <w:t> </w:t>
            </w:r>
            <w:r>
              <w:rPr>
                <w:b/>
                <w:color w:val="1F487C"/>
                <w:spacing w:val="-2"/>
                <w:sz w:val="18"/>
              </w:rPr>
              <w:t>συναλ-</w:t>
            </w:r>
          </w:p>
          <w:p>
            <w:pPr>
              <w:pStyle w:val="TableParagraph"/>
              <w:ind w:right="101"/>
              <w:jc w:val="right"/>
              <w:rPr>
                <w:b/>
                <w:sz w:val="18"/>
              </w:rPr>
            </w:pPr>
            <w:r>
              <w:rPr>
                <w:b/>
                <w:color w:val="1F487C"/>
                <w:spacing w:val="-2"/>
                <w:sz w:val="18"/>
              </w:rPr>
              <w:t>λαγών</w:t>
            </w:r>
          </w:p>
        </w:tc>
        <w:tc>
          <w:tcPr>
            <w:tcW w:w="1326" w:type="dxa"/>
            <w:shd w:val="clear" w:color="auto" w:fill="C0C0C0"/>
          </w:tcPr>
          <w:p>
            <w:pPr>
              <w:pStyle w:val="TableParagraph"/>
              <w:spacing w:before="48"/>
              <w:ind w:left="322" w:right="97" w:hanging="219"/>
              <w:rPr>
                <w:b/>
                <w:sz w:val="18"/>
              </w:rPr>
            </w:pPr>
            <w:r>
              <w:rPr>
                <w:b/>
                <w:color w:val="1F487C"/>
                <w:sz w:val="18"/>
              </w:rPr>
              <w:t>Αξία</w:t>
            </w:r>
            <w:r>
              <w:rPr>
                <w:b/>
                <w:color w:val="1F487C"/>
                <w:spacing w:val="-12"/>
                <w:sz w:val="18"/>
              </w:rPr>
              <w:t> </w:t>
            </w:r>
            <w:r>
              <w:rPr>
                <w:b/>
                <w:color w:val="1F487C"/>
                <w:sz w:val="18"/>
              </w:rPr>
              <w:t>συναλλα-γών</w:t>
            </w:r>
            <w:r>
              <w:rPr>
                <w:b/>
                <w:color w:val="1F487C"/>
                <w:spacing w:val="-1"/>
                <w:sz w:val="18"/>
              </w:rPr>
              <w:t> </w:t>
            </w:r>
            <w:r>
              <w:rPr>
                <w:b/>
                <w:color w:val="1F487C"/>
                <w:spacing w:val="-2"/>
                <w:sz w:val="18"/>
              </w:rPr>
              <w:t>απάτης</w:t>
            </w:r>
          </w:p>
        </w:tc>
        <w:tc>
          <w:tcPr>
            <w:tcW w:w="1018" w:type="dxa"/>
            <w:shd w:val="clear" w:color="auto" w:fill="C0C0C0"/>
          </w:tcPr>
          <w:p>
            <w:pPr>
              <w:pStyle w:val="TableParagraph"/>
              <w:spacing w:before="48"/>
              <w:ind w:left="131" w:right="-29" w:hanging="32"/>
              <w:rPr>
                <w:b/>
                <w:sz w:val="18"/>
              </w:rPr>
            </w:pPr>
            <w:r>
              <w:rPr>
                <w:b/>
                <w:color w:val="1F487C"/>
                <w:sz w:val="18"/>
              </w:rPr>
              <w:t>%</w:t>
            </w:r>
            <w:r>
              <w:rPr>
                <w:b/>
                <w:color w:val="1F487C"/>
                <w:spacing w:val="-12"/>
                <w:sz w:val="18"/>
              </w:rPr>
              <w:t> </w:t>
            </w:r>
            <w:r>
              <w:rPr>
                <w:b/>
                <w:color w:val="1F487C"/>
                <w:sz w:val="18"/>
              </w:rPr>
              <w:t>συναλλα-γών</w:t>
            </w:r>
            <w:r>
              <w:rPr>
                <w:b/>
                <w:color w:val="1F487C"/>
                <w:spacing w:val="-1"/>
                <w:sz w:val="18"/>
              </w:rPr>
              <w:t> </w:t>
            </w:r>
            <w:r>
              <w:rPr>
                <w:b/>
                <w:color w:val="1F487C"/>
                <w:spacing w:val="-2"/>
                <w:sz w:val="18"/>
              </w:rPr>
              <w:t>απάτης</w:t>
            </w:r>
          </w:p>
        </w:tc>
      </w:tr>
      <w:tr>
        <w:trPr>
          <w:trHeight w:val="511" w:hRule="atLeast"/>
        </w:trPr>
        <w:tc>
          <w:tcPr>
            <w:tcW w:w="681" w:type="dxa"/>
            <w:shd w:val="clear" w:color="auto" w:fill="D9D9D9"/>
          </w:tcPr>
          <w:p>
            <w:pPr>
              <w:pStyle w:val="TableParagraph"/>
              <w:spacing w:before="151"/>
              <w:ind w:right="102"/>
              <w:jc w:val="center"/>
              <w:rPr>
                <w:sz w:val="18"/>
              </w:rPr>
            </w:pPr>
            <w:r>
              <w:rPr>
                <w:spacing w:val="-4"/>
                <w:sz w:val="18"/>
              </w:rPr>
              <w:t>2025</w:t>
            </w:r>
          </w:p>
        </w:tc>
        <w:tc>
          <w:tcPr>
            <w:tcW w:w="1229" w:type="dxa"/>
            <w:shd w:val="clear" w:color="auto" w:fill="D9D9D9"/>
          </w:tcPr>
          <w:p>
            <w:pPr>
              <w:pStyle w:val="TableParagraph"/>
              <w:spacing w:before="13"/>
              <w:rPr>
                <w:sz w:val="14"/>
              </w:rPr>
            </w:pPr>
          </w:p>
          <w:p>
            <w:pPr>
              <w:pStyle w:val="TableParagraph"/>
              <w:ind w:left="107" w:right="36"/>
              <w:jc w:val="center"/>
              <w:rPr>
                <w:sz w:val="14"/>
              </w:rPr>
            </w:pPr>
            <w:r>
              <w:rPr>
                <w:spacing w:val="-2"/>
                <w:sz w:val="14"/>
              </w:rPr>
              <w:t>119.556.511.221</w:t>
            </w:r>
          </w:p>
        </w:tc>
        <w:tc>
          <w:tcPr>
            <w:tcW w:w="1326" w:type="dxa"/>
            <w:shd w:val="clear" w:color="auto" w:fill="D9D9D9"/>
          </w:tcPr>
          <w:p>
            <w:pPr>
              <w:pStyle w:val="TableParagraph"/>
              <w:spacing w:before="151"/>
              <w:ind w:left="63"/>
              <w:jc w:val="center"/>
              <w:rPr>
                <w:sz w:val="18"/>
              </w:rPr>
            </w:pPr>
            <w:r>
              <w:rPr>
                <w:spacing w:val="-2"/>
                <w:sz w:val="18"/>
              </w:rPr>
              <w:t>22.601.632</w:t>
            </w:r>
          </w:p>
        </w:tc>
        <w:tc>
          <w:tcPr>
            <w:tcW w:w="1018" w:type="dxa"/>
            <w:shd w:val="clear" w:color="auto" w:fill="D9D9D9"/>
          </w:tcPr>
          <w:p>
            <w:pPr>
              <w:pStyle w:val="TableParagraph"/>
              <w:spacing w:before="151"/>
              <w:ind w:right="105"/>
              <w:jc w:val="right"/>
              <w:rPr>
                <w:sz w:val="18"/>
              </w:rPr>
            </w:pPr>
            <w:r>
              <w:rPr>
                <w:spacing w:val="-2"/>
                <w:sz w:val="18"/>
              </w:rPr>
              <w:t>0,019%</w:t>
            </w:r>
          </w:p>
        </w:tc>
      </w:tr>
      <w:tr>
        <w:trPr>
          <w:trHeight w:val="508" w:hRule="atLeast"/>
        </w:trPr>
        <w:tc>
          <w:tcPr>
            <w:tcW w:w="681" w:type="dxa"/>
            <w:shd w:val="clear" w:color="auto" w:fill="C0C0C0"/>
          </w:tcPr>
          <w:p>
            <w:pPr>
              <w:pStyle w:val="TableParagraph"/>
              <w:spacing w:before="151"/>
              <w:ind w:right="102"/>
              <w:jc w:val="center"/>
              <w:rPr>
                <w:sz w:val="18"/>
              </w:rPr>
            </w:pPr>
            <w:r>
              <w:rPr>
                <w:spacing w:val="-4"/>
                <w:sz w:val="18"/>
              </w:rPr>
              <w:t>2024</w:t>
            </w:r>
          </w:p>
        </w:tc>
        <w:tc>
          <w:tcPr>
            <w:tcW w:w="1229" w:type="dxa"/>
            <w:shd w:val="clear" w:color="auto" w:fill="C0C0C0"/>
          </w:tcPr>
          <w:p>
            <w:pPr>
              <w:pStyle w:val="TableParagraph"/>
              <w:spacing w:before="10"/>
              <w:rPr>
                <w:sz w:val="14"/>
              </w:rPr>
            </w:pPr>
          </w:p>
          <w:p>
            <w:pPr>
              <w:pStyle w:val="TableParagraph"/>
              <w:ind w:left="107" w:right="36"/>
              <w:jc w:val="center"/>
              <w:rPr>
                <w:sz w:val="14"/>
              </w:rPr>
            </w:pPr>
            <w:r>
              <w:rPr>
                <w:spacing w:val="-2"/>
                <w:sz w:val="14"/>
              </w:rPr>
              <w:t>112.384.241.323</w:t>
            </w:r>
          </w:p>
        </w:tc>
        <w:tc>
          <w:tcPr>
            <w:tcW w:w="1326" w:type="dxa"/>
            <w:shd w:val="clear" w:color="auto" w:fill="C0C0C0"/>
          </w:tcPr>
          <w:p>
            <w:pPr>
              <w:pStyle w:val="TableParagraph"/>
              <w:spacing w:before="151"/>
              <w:ind w:left="63"/>
              <w:jc w:val="center"/>
              <w:rPr>
                <w:sz w:val="18"/>
              </w:rPr>
            </w:pPr>
            <w:r>
              <w:rPr>
                <w:spacing w:val="-2"/>
                <w:sz w:val="18"/>
              </w:rPr>
              <w:t>22.601.527</w:t>
            </w:r>
          </w:p>
        </w:tc>
        <w:tc>
          <w:tcPr>
            <w:tcW w:w="1018" w:type="dxa"/>
            <w:shd w:val="clear" w:color="auto" w:fill="C0C0C0"/>
          </w:tcPr>
          <w:p>
            <w:pPr>
              <w:pStyle w:val="TableParagraph"/>
              <w:spacing w:before="151"/>
              <w:ind w:right="105"/>
              <w:jc w:val="right"/>
              <w:rPr>
                <w:sz w:val="18"/>
              </w:rPr>
            </w:pPr>
            <w:r>
              <w:rPr>
                <w:spacing w:val="-2"/>
                <w:sz w:val="18"/>
              </w:rPr>
              <w:t>0,020%</w:t>
            </w:r>
          </w:p>
        </w:tc>
      </w:tr>
      <w:tr>
        <w:trPr>
          <w:trHeight w:val="511" w:hRule="atLeast"/>
        </w:trPr>
        <w:tc>
          <w:tcPr>
            <w:tcW w:w="681" w:type="dxa"/>
            <w:shd w:val="clear" w:color="auto" w:fill="D9D9D9"/>
          </w:tcPr>
          <w:p>
            <w:pPr>
              <w:pStyle w:val="TableParagraph"/>
              <w:spacing w:before="151"/>
              <w:ind w:right="102"/>
              <w:jc w:val="center"/>
              <w:rPr>
                <w:sz w:val="18"/>
              </w:rPr>
            </w:pPr>
            <w:r>
              <w:rPr>
                <w:spacing w:val="-4"/>
                <w:sz w:val="18"/>
              </w:rPr>
              <w:t>2023</w:t>
            </w:r>
          </w:p>
        </w:tc>
        <w:tc>
          <w:tcPr>
            <w:tcW w:w="1229" w:type="dxa"/>
            <w:shd w:val="clear" w:color="auto" w:fill="D9D9D9"/>
          </w:tcPr>
          <w:p>
            <w:pPr>
              <w:pStyle w:val="TableParagraph"/>
              <w:spacing w:before="13"/>
              <w:rPr>
                <w:sz w:val="14"/>
              </w:rPr>
            </w:pPr>
          </w:p>
          <w:p>
            <w:pPr>
              <w:pStyle w:val="TableParagraph"/>
              <w:ind w:left="107"/>
              <w:jc w:val="center"/>
              <w:rPr>
                <w:sz w:val="14"/>
              </w:rPr>
            </w:pPr>
            <w:r>
              <w:rPr>
                <w:spacing w:val="-2"/>
                <w:sz w:val="14"/>
              </w:rPr>
              <w:t>102.709.542581</w:t>
            </w:r>
          </w:p>
        </w:tc>
        <w:tc>
          <w:tcPr>
            <w:tcW w:w="1326" w:type="dxa"/>
            <w:shd w:val="clear" w:color="auto" w:fill="D9D9D9"/>
          </w:tcPr>
          <w:p>
            <w:pPr>
              <w:pStyle w:val="TableParagraph"/>
              <w:spacing w:before="151"/>
              <w:ind w:left="63"/>
              <w:jc w:val="center"/>
              <w:rPr>
                <w:sz w:val="18"/>
              </w:rPr>
            </w:pPr>
            <w:r>
              <w:rPr>
                <w:spacing w:val="-2"/>
                <w:sz w:val="18"/>
              </w:rPr>
              <w:t>23.770.874</w:t>
            </w:r>
          </w:p>
        </w:tc>
        <w:tc>
          <w:tcPr>
            <w:tcW w:w="1018" w:type="dxa"/>
            <w:shd w:val="clear" w:color="auto" w:fill="D9D9D9"/>
          </w:tcPr>
          <w:p>
            <w:pPr>
              <w:pStyle w:val="TableParagraph"/>
              <w:spacing w:before="151"/>
              <w:ind w:right="105"/>
              <w:jc w:val="right"/>
              <w:rPr>
                <w:sz w:val="18"/>
              </w:rPr>
            </w:pPr>
            <w:r>
              <w:rPr>
                <w:spacing w:val="-2"/>
                <w:sz w:val="18"/>
              </w:rPr>
              <w:t>0,023%</w:t>
            </w:r>
          </w:p>
        </w:tc>
      </w:tr>
      <w:tr>
        <w:trPr>
          <w:trHeight w:val="395" w:hRule="atLeast"/>
        </w:trPr>
        <w:tc>
          <w:tcPr>
            <w:tcW w:w="4254" w:type="dxa"/>
            <w:gridSpan w:val="4"/>
            <w:shd w:val="clear" w:color="auto" w:fill="C0C0C0"/>
          </w:tcPr>
          <w:p>
            <w:pPr>
              <w:pStyle w:val="TableParagraph"/>
              <w:spacing w:before="13"/>
              <w:rPr>
                <w:sz w:val="14"/>
              </w:rPr>
            </w:pPr>
          </w:p>
          <w:p>
            <w:pPr>
              <w:pStyle w:val="TableParagraph"/>
              <w:ind w:left="220"/>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TableParagraph"/>
        <w:spacing w:after="0"/>
        <w:rPr>
          <w:sz w:val="14"/>
        </w:rPr>
        <w:sectPr>
          <w:type w:val="continuous"/>
          <w:pgSz w:w="11910" w:h="16850"/>
          <w:pgMar w:header="0" w:footer="1262" w:top="1320" w:bottom="280" w:left="1417" w:right="850"/>
          <w:cols w:num="2" w:equalWidth="0">
            <w:col w:w="4272" w:space="130"/>
            <w:col w:w="5241"/>
          </w:cols>
        </w:sectPr>
      </w:pPr>
    </w:p>
    <w:p>
      <w:pPr>
        <w:pStyle w:val="BodyText"/>
        <w:spacing w:line="285" w:lineRule="auto" w:before="46"/>
        <w:ind w:left="172" w:right="954"/>
        <w:jc w:val="both"/>
      </w:pPr>
      <w:r>
        <w:rPr/>
        <w:t>Σημαντικοί παράγοντες που συνέβαλαν στη μείωση των συναλλαγών απάτης αφορούν στη συ-νεχή</w:t>
      </w:r>
      <w:r>
        <w:rPr>
          <w:spacing w:val="-9"/>
        </w:rPr>
        <w:t> </w:t>
      </w:r>
      <w:r>
        <w:rPr/>
        <w:t>υιοθέτηση</w:t>
      </w:r>
      <w:r>
        <w:rPr>
          <w:spacing w:val="-7"/>
        </w:rPr>
        <w:t> </w:t>
      </w:r>
      <w:r>
        <w:rPr/>
        <w:t>πρακτικών</w:t>
      </w:r>
      <w:r>
        <w:rPr>
          <w:spacing w:val="-9"/>
        </w:rPr>
        <w:t> </w:t>
      </w:r>
      <w:r>
        <w:rPr/>
        <w:t>πρόληψης</w:t>
      </w:r>
      <w:r>
        <w:rPr>
          <w:spacing w:val="-6"/>
        </w:rPr>
        <w:t> </w:t>
      </w:r>
      <w:r>
        <w:rPr/>
        <w:t>της</w:t>
      </w:r>
      <w:r>
        <w:rPr>
          <w:spacing w:val="-8"/>
        </w:rPr>
        <w:t> </w:t>
      </w:r>
      <w:r>
        <w:rPr/>
        <w:t>απάτης</w:t>
      </w:r>
      <w:r>
        <w:rPr>
          <w:spacing w:val="-8"/>
        </w:rPr>
        <w:t> </w:t>
      </w:r>
      <w:r>
        <w:rPr/>
        <w:t>από</w:t>
      </w:r>
      <w:r>
        <w:rPr>
          <w:spacing w:val="-7"/>
        </w:rPr>
        <w:t> </w:t>
      </w:r>
      <w:r>
        <w:rPr/>
        <w:t>τους</w:t>
      </w:r>
      <w:r>
        <w:rPr>
          <w:spacing w:val="-8"/>
        </w:rPr>
        <w:t> </w:t>
      </w:r>
      <w:r>
        <w:rPr/>
        <w:t>παρόχους</w:t>
      </w:r>
      <w:r>
        <w:rPr>
          <w:spacing w:val="-8"/>
        </w:rPr>
        <w:t> </w:t>
      </w:r>
      <w:r>
        <w:rPr/>
        <w:t>υπηρεσιών</w:t>
      </w:r>
      <w:r>
        <w:rPr>
          <w:spacing w:val="-6"/>
        </w:rPr>
        <w:t> </w:t>
      </w:r>
      <w:r>
        <w:rPr/>
        <w:t>πληρωμών,</w:t>
      </w:r>
      <w:r>
        <w:rPr>
          <w:spacing w:val="-4"/>
        </w:rPr>
        <w:t> </w:t>
      </w:r>
      <w:r>
        <w:rPr/>
        <w:t>στη συνεργασία</w:t>
      </w:r>
      <w:r>
        <w:rPr>
          <w:spacing w:val="-6"/>
        </w:rPr>
        <w:t> </w:t>
      </w:r>
      <w:r>
        <w:rPr/>
        <w:t>αυτών</w:t>
      </w:r>
      <w:r>
        <w:rPr>
          <w:spacing w:val="-6"/>
        </w:rPr>
        <w:t> </w:t>
      </w:r>
      <w:r>
        <w:rPr/>
        <w:t>με</w:t>
      </w:r>
      <w:r>
        <w:rPr>
          <w:spacing w:val="-6"/>
        </w:rPr>
        <w:t> </w:t>
      </w:r>
      <w:r>
        <w:rPr/>
        <w:t>εθνικούς</w:t>
      </w:r>
      <w:r>
        <w:rPr>
          <w:spacing w:val="-8"/>
        </w:rPr>
        <w:t> </w:t>
      </w:r>
      <w:r>
        <w:rPr/>
        <w:t>και</w:t>
      </w:r>
      <w:r>
        <w:rPr>
          <w:spacing w:val="-7"/>
        </w:rPr>
        <w:t> </w:t>
      </w:r>
      <w:r>
        <w:rPr/>
        <w:t>ξένους</w:t>
      </w:r>
      <w:r>
        <w:rPr>
          <w:spacing w:val="-8"/>
        </w:rPr>
        <w:t> </w:t>
      </w:r>
      <w:r>
        <w:rPr/>
        <w:t>φορείς</w:t>
      </w:r>
      <w:r>
        <w:rPr>
          <w:spacing w:val="-8"/>
        </w:rPr>
        <w:t> </w:t>
      </w:r>
      <w:r>
        <w:rPr/>
        <w:t>με</w:t>
      </w:r>
      <w:r>
        <w:rPr>
          <w:spacing w:val="-6"/>
        </w:rPr>
        <w:t> </w:t>
      </w:r>
      <w:r>
        <w:rPr/>
        <w:t>σκοπό</w:t>
      </w:r>
      <w:r>
        <w:rPr>
          <w:spacing w:val="-7"/>
        </w:rPr>
        <w:t> </w:t>
      </w:r>
      <w:r>
        <w:rPr/>
        <w:t>την</w:t>
      </w:r>
      <w:r>
        <w:rPr>
          <w:spacing w:val="-7"/>
        </w:rPr>
        <w:t> </w:t>
      </w:r>
      <w:r>
        <w:rPr/>
        <w:t>εξάρθρωση</w:t>
      </w:r>
      <w:r>
        <w:rPr>
          <w:spacing w:val="-7"/>
        </w:rPr>
        <w:t> </w:t>
      </w:r>
      <w:r>
        <w:rPr/>
        <w:t>εγκληματικών</w:t>
      </w:r>
      <w:r>
        <w:rPr>
          <w:spacing w:val="-6"/>
        </w:rPr>
        <w:t> </w:t>
      </w:r>
      <w:r>
        <w:rPr/>
        <w:t>οργα-νώσεων, μέλη των οποίων</w:t>
      </w:r>
      <w:r>
        <w:rPr>
          <w:spacing w:val="-1"/>
        </w:rPr>
        <w:t> </w:t>
      </w:r>
      <w:r>
        <w:rPr/>
        <w:t>διαπράττουν διάφορες μορφές απάτης, καθώς και στη συνεχή ενημέ-ρωση των χρηστών των ηλεκτρονικών μέσων πληρωμής αναφορικά με τους τρόπους της ορθής και ασφαλούς χρήσης αυτών και τις νέες μορφές απάτης στις οποίες δύνανται να εκτεθούν. Εν-δεικτικά αναφέρονται (α) η εξάρθρωση από τη Διεύθυνση Δίωξης Ηλεκτρονικού Εγκλήματος εγκληματικών</w:t>
      </w:r>
      <w:r>
        <w:rPr>
          <w:spacing w:val="-6"/>
        </w:rPr>
        <w:t> </w:t>
      </w:r>
      <w:r>
        <w:rPr/>
        <w:t>οργανώσεων</w:t>
      </w:r>
      <w:r>
        <w:rPr>
          <w:spacing w:val="-9"/>
        </w:rPr>
        <w:t> </w:t>
      </w:r>
      <w:r>
        <w:rPr/>
        <w:t>τα</w:t>
      </w:r>
      <w:r>
        <w:rPr>
          <w:spacing w:val="-8"/>
        </w:rPr>
        <w:t> </w:t>
      </w:r>
      <w:r>
        <w:rPr/>
        <w:t>μέλη</w:t>
      </w:r>
      <w:r>
        <w:rPr>
          <w:spacing w:val="-10"/>
        </w:rPr>
        <w:t> </w:t>
      </w:r>
      <w:r>
        <w:rPr/>
        <w:t>των</w:t>
      </w:r>
      <w:r>
        <w:rPr>
          <w:spacing w:val="-6"/>
        </w:rPr>
        <w:t> </w:t>
      </w:r>
      <w:r>
        <w:rPr/>
        <w:t>οποίων</w:t>
      </w:r>
      <w:r>
        <w:rPr>
          <w:spacing w:val="-9"/>
        </w:rPr>
        <w:t> </w:t>
      </w:r>
      <w:r>
        <w:rPr/>
        <w:t>διέπρατταν</w:t>
      </w:r>
      <w:r>
        <w:rPr>
          <w:spacing w:val="-7"/>
        </w:rPr>
        <w:t> </w:t>
      </w:r>
      <w:r>
        <w:rPr/>
        <w:t>απάτες</w:t>
      </w:r>
      <w:r>
        <w:rPr>
          <w:spacing w:val="-8"/>
        </w:rPr>
        <w:t> </w:t>
      </w:r>
      <w:r>
        <w:rPr/>
        <w:t>με</w:t>
      </w:r>
      <w:r>
        <w:rPr>
          <w:spacing w:val="-9"/>
        </w:rPr>
        <w:t> </w:t>
      </w:r>
      <w:r>
        <w:rPr/>
        <w:t>το</w:t>
      </w:r>
      <w:r>
        <w:rPr>
          <w:spacing w:val="-7"/>
        </w:rPr>
        <w:t> </w:t>
      </w:r>
      <w:r>
        <w:rPr/>
        <w:t>πρόσχημα</w:t>
      </w:r>
      <w:r>
        <w:rPr>
          <w:spacing w:val="-8"/>
        </w:rPr>
        <w:t> </w:t>
      </w:r>
      <w:r>
        <w:rPr/>
        <w:t>των</w:t>
      </w:r>
      <w:r>
        <w:rPr>
          <w:spacing w:val="-9"/>
        </w:rPr>
        <w:t> </w:t>
      </w:r>
      <w:r>
        <w:rPr/>
        <w:t>επενδύ-σεων (Investment Frauds)</w:t>
      </w:r>
      <w:hyperlink w:history="true" w:anchor="_bookmark149">
        <w:r>
          <w:rPr/>
          <w:t>,</w:t>
        </w:r>
        <w:r>
          <w:rPr>
            <w:position w:val="6"/>
            <w:sz w:val="10"/>
          </w:rPr>
          <w:t>99</w:t>
        </w:r>
      </w:hyperlink>
      <w:r>
        <w:rPr>
          <w:spacing w:val="40"/>
          <w:position w:val="6"/>
          <w:sz w:val="10"/>
        </w:rPr>
        <w:t> </w:t>
      </w:r>
      <w:r>
        <w:rPr/>
        <w:t>(β) η δημοσίευση δελτίου τύπου της ΑΑΔΕ με τίτλο “Προσοχή σε παραπλανητικά μηνύματα στο κινητό (SMS)”, σύμφωνα με το οποίο πολίτες λάμβαναν στα κι-νητά</w:t>
      </w:r>
      <w:r>
        <w:rPr>
          <w:spacing w:val="7"/>
        </w:rPr>
        <w:t> </w:t>
      </w:r>
      <w:r>
        <w:rPr/>
        <w:t>τους</w:t>
      </w:r>
      <w:r>
        <w:rPr>
          <w:spacing w:val="6"/>
        </w:rPr>
        <w:t> </w:t>
      </w:r>
      <w:r>
        <w:rPr/>
        <w:t>τηλέφωνα</w:t>
      </w:r>
      <w:r>
        <w:rPr>
          <w:spacing w:val="7"/>
        </w:rPr>
        <w:t> </w:t>
      </w:r>
      <w:r>
        <w:rPr/>
        <w:t>παραπλανητικά</w:t>
      </w:r>
      <w:r>
        <w:rPr>
          <w:spacing w:val="7"/>
        </w:rPr>
        <w:t> </w:t>
      </w:r>
      <w:r>
        <w:rPr/>
        <w:t>μηνύματα</w:t>
      </w:r>
      <w:r>
        <w:rPr>
          <w:spacing w:val="8"/>
        </w:rPr>
        <w:t> </w:t>
      </w:r>
      <w:r>
        <w:rPr/>
        <w:t>(SMS)</w:t>
      </w:r>
      <w:r>
        <w:rPr>
          <w:spacing w:val="8"/>
        </w:rPr>
        <w:t> </w:t>
      </w:r>
      <w:r>
        <w:rPr/>
        <w:t>σχετικά</w:t>
      </w:r>
      <w:r>
        <w:rPr>
          <w:spacing w:val="7"/>
        </w:rPr>
        <w:t> </w:t>
      </w:r>
      <w:r>
        <w:rPr/>
        <w:t>με</w:t>
      </w:r>
      <w:r>
        <w:rPr>
          <w:spacing w:val="8"/>
        </w:rPr>
        <w:t> </w:t>
      </w:r>
      <w:r>
        <w:rPr/>
        <w:t>δήθεν</w:t>
      </w:r>
      <w:r>
        <w:rPr>
          <w:spacing w:val="8"/>
        </w:rPr>
        <w:t> </w:t>
      </w:r>
      <w:r>
        <w:rPr/>
        <w:t>χορήγηση</w:t>
      </w:r>
      <w:r>
        <w:rPr>
          <w:spacing w:val="8"/>
        </w:rPr>
        <w:t> </w:t>
      </w:r>
      <w:r>
        <w:rPr>
          <w:spacing w:val="-2"/>
        </w:rPr>
        <w:t>επιδότησης</w:t>
      </w:r>
    </w:p>
    <w:p>
      <w:pPr>
        <w:pStyle w:val="BodyText"/>
        <w:spacing w:before="147"/>
        <w:rPr>
          <w:sz w:val="20"/>
        </w:rPr>
      </w:pPr>
      <w:r>
        <w:rPr>
          <w:sz w:val="20"/>
        </w:rPr>
        <mc:AlternateContent>
          <mc:Choice Requires="wps">
            <w:drawing>
              <wp:anchor distT="0" distB="0" distL="0" distR="0" allowOverlap="1" layoutInCell="1" locked="0" behindDoc="1" simplePos="0" relativeHeight="487670272">
                <wp:simplePos x="0" y="0"/>
                <wp:positionH relativeFrom="page">
                  <wp:posOffset>1009192</wp:posOffset>
                </wp:positionH>
                <wp:positionV relativeFrom="paragraph">
                  <wp:posOffset>254704</wp:posOffset>
                </wp:positionV>
                <wp:extent cx="1829435" cy="7620"/>
                <wp:effectExtent l="0" t="0" r="0" b="0"/>
                <wp:wrapTopAndBottom/>
                <wp:docPr id="759" name="Graphic 759"/>
                <wp:cNvGraphicFramePr>
                  <a:graphicFrameLocks/>
                </wp:cNvGraphicFramePr>
                <a:graphic>
                  <a:graphicData uri="http://schemas.microsoft.com/office/word/2010/wordprocessingShape">
                    <wps:wsp>
                      <wps:cNvPr id="759" name="Graphic 75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0.055485pt;width:144.020pt;height:.599980pt;mso-position-horizontal-relative:page;mso-position-vertical-relative:paragraph;z-index:-15646208;mso-wrap-distance-left:0;mso-wrap-distance-right:0" id="docshape710" filled="true" fillcolor="#000000" stroked="false">
                <v:fill type="solid"/>
                <w10:wrap type="topAndBottom"/>
              </v:rect>
            </w:pict>
          </mc:Fallback>
        </mc:AlternateContent>
      </w:r>
    </w:p>
    <w:p>
      <w:pPr>
        <w:spacing w:before="165"/>
        <w:ind w:left="172" w:right="954" w:firstLine="0"/>
        <w:jc w:val="left"/>
        <w:rPr>
          <w:sz w:val="16"/>
        </w:rPr>
      </w:pPr>
      <w:bookmarkStart w:name="_bookmark149" w:id="150"/>
      <w:bookmarkEnd w:id="150"/>
      <w:r>
        <w:rPr/>
      </w:r>
      <w:r>
        <w:rPr>
          <w:sz w:val="16"/>
          <w:vertAlign w:val="superscript"/>
        </w:rPr>
        <w:t>99</w:t>
      </w:r>
      <w:r>
        <w:rPr>
          <w:spacing w:val="-4"/>
          <w:sz w:val="16"/>
          <w:vertAlign w:val="baseline"/>
        </w:rPr>
        <w:t> </w:t>
      </w:r>
      <w:r>
        <w:rPr>
          <w:sz w:val="16"/>
          <w:vertAlign w:val="baseline"/>
        </w:rPr>
        <w:t>Δελτίο</w:t>
      </w:r>
      <w:r>
        <w:rPr>
          <w:spacing w:val="-3"/>
          <w:sz w:val="16"/>
          <w:vertAlign w:val="baseline"/>
        </w:rPr>
        <w:t> </w:t>
      </w:r>
      <w:r>
        <w:rPr>
          <w:sz w:val="16"/>
          <w:vertAlign w:val="baseline"/>
        </w:rPr>
        <w:t>τύπου</w:t>
      </w:r>
      <w:r>
        <w:rPr>
          <w:spacing w:val="-7"/>
          <w:sz w:val="16"/>
          <w:vertAlign w:val="baseline"/>
        </w:rPr>
        <w:t> </w:t>
      </w:r>
      <w:r>
        <w:rPr>
          <w:sz w:val="16"/>
          <w:vertAlign w:val="baseline"/>
        </w:rPr>
        <w:t>Αρχηγείου</w:t>
      </w:r>
      <w:r>
        <w:rPr>
          <w:spacing w:val="-7"/>
          <w:sz w:val="16"/>
          <w:vertAlign w:val="baseline"/>
        </w:rPr>
        <w:t> </w:t>
      </w:r>
      <w:r>
        <w:rPr>
          <w:sz w:val="16"/>
          <w:vertAlign w:val="baseline"/>
        </w:rPr>
        <w:t>Ελληνικής</w:t>
      </w:r>
      <w:r>
        <w:rPr>
          <w:spacing w:val="-6"/>
          <w:sz w:val="16"/>
          <w:vertAlign w:val="baseline"/>
        </w:rPr>
        <w:t> </w:t>
      </w:r>
      <w:r>
        <w:rPr>
          <w:sz w:val="16"/>
          <w:vertAlign w:val="baseline"/>
        </w:rPr>
        <w:t>Αστυνομίας</w:t>
      </w:r>
      <w:r>
        <w:rPr>
          <w:spacing w:val="-3"/>
          <w:sz w:val="16"/>
          <w:vertAlign w:val="baseline"/>
        </w:rPr>
        <w:t> </w:t>
      </w:r>
      <w:r>
        <w:rPr>
          <w:sz w:val="16"/>
          <w:vertAlign w:val="baseline"/>
        </w:rPr>
        <w:t>της</w:t>
      </w:r>
      <w:r>
        <w:rPr>
          <w:spacing w:val="-6"/>
          <w:sz w:val="16"/>
          <w:vertAlign w:val="baseline"/>
        </w:rPr>
        <w:t> </w:t>
      </w:r>
      <w:r>
        <w:rPr>
          <w:sz w:val="16"/>
          <w:vertAlign w:val="baseline"/>
        </w:rPr>
        <w:t>18.05.2025</w:t>
      </w:r>
      <w:hyperlink r:id="rId134">
        <w:r>
          <w:rPr>
            <w:sz w:val="16"/>
            <w:vertAlign w:val="baseline"/>
          </w:rPr>
          <w:t>,</w:t>
        </w:r>
        <w:r>
          <w:rPr>
            <w:color w:val="0000FF"/>
            <w:sz w:val="16"/>
            <w:u w:val="single" w:color="0000FF"/>
            <w:vertAlign w:val="baseline"/>
          </w:rPr>
          <w:t>“Από</w:t>
        </w:r>
        <w:r>
          <w:rPr>
            <w:color w:val="0000FF"/>
            <w:spacing w:val="-3"/>
            <w:sz w:val="16"/>
            <w:u w:val="single" w:color="0000FF"/>
            <w:vertAlign w:val="baseline"/>
          </w:rPr>
          <w:t> </w:t>
        </w:r>
        <w:r>
          <w:rPr>
            <w:color w:val="0000FF"/>
            <w:sz w:val="16"/>
            <w:u w:val="single" w:color="0000FF"/>
            <w:vertAlign w:val="baseline"/>
          </w:rPr>
          <w:t>τη</w:t>
        </w:r>
        <w:r>
          <w:rPr>
            <w:color w:val="0000FF"/>
            <w:spacing w:val="-6"/>
            <w:sz w:val="16"/>
            <w:u w:val="single" w:color="0000FF"/>
            <w:vertAlign w:val="baseline"/>
          </w:rPr>
          <w:t> </w:t>
        </w:r>
        <w:r>
          <w:rPr>
            <w:color w:val="0000FF"/>
            <w:sz w:val="16"/>
            <w:u w:val="single" w:color="0000FF"/>
            <w:vertAlign w:val="baseline"/>
          </w:rPr>
          <w:t>Διεύθυνση</w:t>
        </w:r>
        <w:r>
          <w:rPr>
            <w:color w:val="0000FF"/>
            <w:spacing w:val="-4"/>
            <w:sz w:val="16"/>
            <w:u w:val="single" w:color="0000FF"/>
            <w:vertAlign w:val="baseline"/>
          </w:rPr>
          <w:t> </w:t>
        </w:r>
        <w:r>
          <w:rPr>
            <w:color w:val="0000FF"/>
            <w:sz w:val="16"/>
            <w:u w:val="single" w:color="0000FF"/>
            <w:vertAlign w:val="baseline"/>
          </w:rPr>
          <w:t>Δίωξης</w:t>
        </w:r>
        <w:r>
          <w:rPr>
            <w:color w:val="0000FF"/>
            <w:spacing w:val="-3"/>
            <w:sz w:val="16"/>
            <w:u w:val="single" w:color="0000FF"/>
            <w:vertAlign w:val="baseline"/>
          </w:rPr>
          <w:t> </w:t>
        </w:r>
        <w:r>
          <w:rPr>
            <w:color w:val="0000FF"/>
            <w:sz w:val="16"/>
            <w:u w:val="single" w:color="0000FF"/>
            <w:vertAlign w:val="baseline"/>
          </w:rPr>
          <w:t>Ηλεκτρονικού</w:t>
        </w:r>
        <w:r>
          <w:rPr>
            <w:color w:val="0000FF"/>
            <w:spacing w:val="-5"/>
            <w:sz w:val="16"/>
            <w:u w:val="single" w:color="0000FF"/>
            <w:vertAlign w:val="baseline"/>
          </w:rPr>
          <w:t> </w:t>
        </w:r>
        <w:r>
          <w:rPr>
            <w:color w:val="0000FF"/>
            <w:sz w:val="16"/>
            <w:u w:val="single" w:color="0000FF"/>
            <w:vertAlign w:val="baseline"/>
          </w:rPr>
          <w:t>Εγκλήματος</w:t>
        </w:r>
        <w:r>
          <w:rPr>
            <w:color w:val="0000FF"/>
            <w:spacing w:val="-3"/>
            <w:sz w:val="16"/>
            <w:u w:val="single" w:color="0000FF"/>
            <w:vertAlign w:val="baseline"/>
          </w:rPr>
          <w:t> </w:t>
        </w:r>
        <w:r>
          <w:rPr>
            <w:color w:val="0000FF"/>
            <w:sz w:val="16"/>
            <w:u w:val="single" w:color="0000FF"/>
            <w:vertAlign w:val="baseline"/>
          </w:rPr>
          <w:t>εξαρθρώ-</w:t>
        </w:r>
      </w:hyperlink>
      <w:hyperlink r:id="rId134">
        <w:r>
          <w:rPr>
            <w:color w:val="0000FF"/>
            <w:sz w:val="16"/>
            <w:u w:val="single" w:color="0000FF"/>
            <w:vertAlign w:val="baseline"/>
          </w:rPr>
          <w:t>θηκαν</w:t>
        </w:r>
        <w:r>
          <w:rPr>
            <w:color w:val="0000FF"/>
            <w:spacing w:val="-10"/>
            <w:sz w:val="16"/>
            <w:u w:val="single" w:color="0000FF"/>
            <w:vertAlign w:val="baseline"/>
          </w:rPr>
          <w:t> </w:t>
        </w:r>
        <w:r>
          <w:rPr>
            <w:color w:val="0000FF"/>
            <w:sz w:val="16"/>
            <w:u w:val="single" w:color="0000FF"/>
            <w:vertAlign w:val="baseline"/>
          </w:rPr>
          <w:t>-2-</w:t>
        </w:r>
        <w:r>
          <w:rPr>
            <w:color w:val="0000FF"/>
            <w:spacing w:val="-8"/>
            <w:sz w:val="16"/>
            <w:u w:val="single" w:color="0000FF"/>
            <w:vertAlign w:val="baseline"/>
          </w:rPr>
          <w:t> </w:t>
        </w:r>
        <w:r>
          <w:rPr>
            <w:color w:val="0000FF"/>
            <w:sz w:val="16"/>
            <w:u w:val="single" w:color="0000FF"/>
            <w:vertAlign w:val="baseline"/>
          </w:rPr>
          <w:t>εγκληματικές</w:t>
        </w:r>
        <w:r>
          <w:rPr>
            <w:color w:val="0000FF"/>
            <w:spacing w:val="-8"/>
            <w:sz w:val="16"/>
            <w:u w:val="single" w:color="0000FF"/>
            <w:vertAlign w:val="baseline"/>
          </w:rPr>
          <w:t> </w:t>
        </w:r>
        <w:r>
          <w:rPr>
            <w:color w:val="0000FF"/>
            <w:sz w:val="16"/>
            <w:u w:val="single" w:color="0000FF"/>
            <w:vertAlign w:val="baseline"/>
          </w:rPr>
          <w:t>οργανώσεις,</w:t>
        </w:r>
        <w:r>
          <w:rPr>
            <w:color w:val="0000FF"/>
            <w:spacing w:val="-9"/>
            <w:sz w:val="16"/>
            <w:u w:val="single" w:color="0000FF"/>
            <w:vertAlign w:val="baseline"/>
          </w:rPr>
          <w:t> </w:t>
        </w:r>
        <w:r>
          <w:rPr>
            <w:color w:val="0000FF"/>
            <w:sz w:val="16"/>
            <w:u w:val="single" w:color="0000FF"/>
            <w:vertAlign w:val="baseline"/>
          </w:rPr>
          <w:t>τα</w:t>
        </w:r>
        <w:r>
          <w:rPr>
            <w:color w:val="0000FF"/>
            <w:spacing w:val="-6"/>
            <w:sz w:val="16"/>
            <w:u w:val="single" w:color="0000FF"/>
            <w:vertAlign w:val="baseline"/>
          </w:rPr>
          <w:t> </w:t>
        </w:r>
        <w:r>
          <w:rPr>
            <w:color w:val="0000FF"/>
            <w:sz w:val="16"/>
            <w:u w:val="single" w:color="0000FF"/>
            <w:vertAlign w:val="baseline"/>
          </w:rPr>
          <w:t>μέλη</w:t>
        </w:r>
        <w:r>
          <w:rPr>
            <w:color w:val="0000FF"/>
            <w:spacing w:val="-10"/>
            <w:sz w:val="16"/>
            <w:u w:val="single" w:color="0000FF"/>
            <w:vertAlign w:val="baseline"/>
          </w:rPr>
          <w:t> </w:t>
        </w:r>
        <w:r>
          <w:rPr>
            <w:color w:val="0000FF"/>
            <w:sz w:val="16"/>
            <w:u w:val="single" w:color="0000FF"/>
            <w:vertAlign w:val="baseline"/>
          </w:rPr>
          <w:t>των</w:t>
        </w:r>
        <w:r>
          <w:rPr>
            <w:color w:val="0000FF"/>
            <w:spacing w:val="-9"/>
            <w:sz w:val="16"/>
            <w:u w:val="single" w:color="0000FF"/>
            <w:vertAlign w:val="baseline"/>
          </w:rPr>
          <w:t> </w:t>
        </w:r>
        <w:r>
          <w:rPr>
            <w:color w:val="0000FF"/>
            <w:sz w:val="16"/>
            <w:u w:val="single" w:color="0000FF"/>
            <w:vertAlign w:val="baseline"/>
          </w:rPr>
          <w:t>οποίων</w:t>
        </w:r>
        <w:r>
          <w:rPr>
            <w:color w:val="0000FF"/>
            <w:spacing w:val="-8"/>
            <w:sz w:val="16"/>
            <w:u w:val="single" w:color="0000FF"/>
            <w:vertAlign w:val="baseline"/>
          </w:rPr>
          <w:t> </w:t>
        </w:r>
        <w:r>
          <w:rPr>
            <w:color w:val="0000FF"/>
            <w:sz w:val="16"/>
            <w:u w:val="single" w:color="0000FF"/>
            <w:vertAlign w:val="baseline"/>
          </w:rPr>
          <w:t>διέπρατταν</w:t>
        </w:r>
        <w:r>
          <w:rPr>
            <w:color w:val="0000FF"/>
            <w:spacing w:val="-7"/>
            <w:sz w:val="16"/>
            <w:u w:val="single" w:color="0000FF"/>
            <w:vertAlign w:val="baseline"/>
          </w:rPr>
          <w:t> </w:t>
        </w:r>
        <w:r>
          <w:rPr>
            <w:color w:val="0000FF"/>
            <w:sz w:val="16"/>
            <w:u w:val="single" w:color="0000FF"/>
            <w:vertAlign w:val="baseline"/>
          </w:rPr>
          <w:t>απάτες</w:t>
        </w:r>
        <w:r>
          <w:rPr>
            <w:color w:val="0000FF"/>
            <w:spacing w:val="-6"/>
            <w:sz w:val="16"/>
            <w:u w:val="single" w:color="0000FF"/>
            <w:vertAlign w:val="baseline"/>
          </w:rPr>
          <w:t> </w:t>
        </w:r>
        <w:r>
          <w:rPr>
            <w:color w:val="0000FF"/>
            <w:sz w:val="16"/>
            <w:u w:val="single" w:color="0000FF"/>
            <w:vertAlign w:val="baseline"/>
          </w:rPr>
          <w:t>με</w:t>
        </w:r>
        <w:r>
          <w:rPr>
            <w:color w:val="0000FF"/>
            <w:spacing w:val="-7"/>
            <w:sz w:val="16"/>
            <w:u w:val="single" w:color="0000FF"/>
            <w:vertAlign w:val="baseline"/>
          </w:rPr>
          <w:t> </w:t>
        </w:r>
        <w:r>
          <w:rPr>
            <w:color w:val="0000FF"/>
            <w:sz w:val="16"/>
            <w:u w:val="single" w:color="0000FF"/>
            <w:vertAlign w:val="baseline"/>
          </w:rPr>
          <w:t>το</w:t>
        </w:r>
        <w:r>
          <w:rPr>
            <w:color w:val="0000FF"/>
            <w:spacing w:val="-6"/>
            <w:sz w:val="16"/>
            <w:u w:val="single" w:color="0000FF"/>
            <w:vertAlign w:val="baseline"/>
          </w:rPr>
          <w:t> </w:t>
        </w:r>
        <w:r>
          <w:rPr>
            <w:color w:val="0000FF"/>
            <w:sz w:val="16"/>
            <w:u w:val="single" w:color="0000FF"/>
            <w:vertAlign w:val="baseline"/>
          </w:rPr>
          <w:t>πρόσχημα</w:t>
        </w:r>
        <w:r>
          <w:rPr>
            <w:color w:val="0000FF"/>
            <w:spacing w:val="-6"/>
            <w:sz w:val="16"/>
            <w:u w:val="single" w:color="0000FF"/>
            <w:vertAlign w:val="baseline"/>
          </w:rPr>
          <w:t> </w:t>
        </w:r>
        <w:r>
          <w:rPr>
            <w:color w:val="0000FF"/>
            <w:sz w:val="16"/>
            <w:u w:val="single" w:color="0000FF"/>
            <w:vertAlign w:val="baseline"/>
          </w:rPr>
          <w:t>των</w:t>
        </w:r>
        <w:r>
          <w:rPr>
            <w:color w:val="0000FF"/>
            <w:spacing w:val="-8"/>
            <w:sz w:val="16"/>
            <w:u w:val="single" w:color="0000FF"/>
            <w:vertAlign w:val="baseline"/>
          </w:rPr>
          <w:t> </w:t>
        </w:r>
        <w:r>
          <w:rPr>
            <w:color w:val="0000FF"/>
            <w:sz w:val="16"/>
            <w:u w:val="single" w:color="0000FF"/>
            <w:vertAlign w:val="baseline"/>
          </w:rPr>
          <w:t>επενδύσεων</w:t>
        </w:r>
        <w:r>
          <w:rPr>
            <w:color w:val="0000FF"/>
            <w:spacing w:val="-8"/>
            <w:sz w:val="16"/>
            <w:u w:val="single" w:color="0000FF"/>
            <w:vertAlign w:val="baseline"/>
          </w:rPr>
          <w:t> </w:t>
        </w:r>
        <w:r>
          <w:rPr>
            <w:color w:val="0000FF"/>
            <w:sz w:val="16"/>
            <w:u w:val="single" w:color="0000FF"/>
            <w:vertAlign w:val="baseline"/>
          </w:rPr>
          <w:t>(Investment</w:t>
        </w:r>
        <w:r>
          <w:rPr>
            <w:color w:val="0000FF"/>
            <w:spacing w:val="-5"/>
            <w:sz w:val="16"/>
            <w:u w:val="single" w:color="0000FF"/>
            <w:vertAlign w:val="baseline"/>
          </w:rPr>
          <w:t> </w:t>
        </w:r>
        <w:r>
          <w:rPr>
            <w:color w:val="0000FF"/>
            <w:spacing w:val="-2"/>
            <w:sz w:val="16"/>
            <w:u w:val="single" w:color="0000FF"/>
            <w:vertAlign w:val="baseline"/>
          </w:rPr>
          <w:t>Frauds)”</w:t>
        </w:r>
        <w:r>
          <w:rPr>
            <w:spacing w:val="-2"/>
            <w:sz w:val="16"/>
            <w:vertAlign w:val="baseline"/>
          </w:rPr>
          <w:t>.</w:t>
        </w:r>
      </w:hyperlink>
    </w:p>
    <w:p>
      <w:pPr>
        <w:spacing w:after="0"/>
        <w:jc w:val="left"/>
        <w:rPr>
          <w:sz w:val="16"/>
        </w:rPr>
        <w:sectPr>
          <w:type w:val="continuous"/>
          <w:pgSz w:w="11910" w:h="16850"/>
          <w:pgMar w:header="0" w:footer="1262" w:top="1320" w:bottom="280" w:left="1417" w:right="850"/>
        </w:sectPr>
      </w:pPr>
    </w:p>
    <w:p>
      <w:pPr>
        <w:pStyle w:val="BodyText"/>
        <w:spacing w:line="285" w:lineRule="auto" w:before="66"/>
        <w:ind w:left="172" w:right="956"/>
        <w:jc w:val="both"/>
        <w:rPr>
          <w:position w:val="6"/>
          <w:sz w:val="10"/>
        </w:rPr>
      </w:pPr>
      <w:r>
        <w:rPr/>
        <w:t>πρόνοιας</w:t>
      </w:r>
      <w:r>
        <w:rPr>
          <w:spacing w:val="-4"/>
        </w:rPr>
        <w:t> </w:t>
      </w:r>
      <w:r>
        <w:rPr/>
        <w:t>με</w:t>
      </w:r>
      <w:r>
        <w:rPr>
          <w:spacing w:val="-3"/>
        </w:rPr>
        <w:t> </w:t>
      </w:r>
      <w:r>
        <w:rPr/>
        <w:t>φερόμενο</w:t>
      </w:r>
      <w:r>
        <w:rPr>
          <w:spacing w:val="-6"/>
        </w:rPr>
        <w:t> </w:t>
      </w:r>
      <w:r>
        <w:rPr/>
        <w:t>αποστολέα</w:t>
      </w:r>
      <w:r>
        <w:rPr>
          <w:spacing w:val="-6"/>
        </w:rPr>
        <w:t> </w:t>
      </w:r>
      <w:r>
        <w:rPr/>
        <w:t>την</w:t>
      </w:r>
      <w:r>
        <w:rPr>
          <w:spacing w:val="-5"/>
        </w:rPr>
        <w:t> </w:t>
      </w:r>
      <w:r>
        <w:rPr/>
        <w:t>ΑΑΔΕ</w:t>
      </w:r>
      <w:hyperlink w:history="true" w:anchor="_bookmark150">
        <w:r>
          <w:rPr/>
          <w:t>,</w:t>
        </w:r>
        <w:r>
          <w:rPr>
            <w:position w:val="6"/>
            <w:sz w:val="10"/>
          </w:rPr>
          <w:t>100</w:t>
        </w:r>
      </w:hyperlink>
      <w:r>
        <w:rPr>
          <w:spacing w:val="27"/>
          <w:position w:val="6"/>
          <w:sz w:val="10"/>
        </w:rPr>
        <w:t> </w:t>
      </w:r>
      <w:r>
        <w:rPr/>
        <w:t>(γ)</w:t>
      </w:r>
      <w:r>
        <w:rPr>
          <w:spacing w:val="-5"/>
        </w:rPr>
        <w:t> </w:t>
      </w:r>
      <w:r>
        <w:rPr/>
        <w:t>η</w:t>
      </w:r>
      <w:r>
        <w:rPr>
          <w:spacing w:val="-6"/>
        </w:rPr>
        <w:t> </w:t>
      </w:r>
      <w:r>
        <w:rPr/>
        <w:t>λήψη</w:t>
      </w:r>
      <w:r>
        <w:rPr>
          <w:spacing w:val="-3"/>
        </w:rPr>
        <w:t> </w:t>
      </w:r>
      <w:r>
        <w:rPr/>
        <w:t>μέτρων</w:t>
      </w:r>
      <w:r>
        <w:rPr>
          <w:spacing w:val="-5"/>
        </w:rPr>
        <w:t> </w:t>
      </w:r>
      <w:r>
        <w:rPr/>
        <w:t>αντιμετώπισης</w:t>
      </w:r>
      <w:r>
        <w:rPr>
          <w:spacing w:val="-5"/>
        </w:rPr>
        <w:t> </w:t>
      </w:r>
      <w:r>
        <w:rPr/>
        <w:t>τηλεφωνικών κλήσεων απάτης με τη μέθοδο “Caller ID Spoofing” σε συνεργασία με την Εθνική Επιτροπή Τηλεπικοινωνιών και Ταχυδρομείων (ΕΕΤΤ) και την Ελληνική Ένωση Τραπεζών</w:t>
      </w:r>
      <w:hyperlink w:history="true" w:anchor="_bookmark151">
        <w:r>
          <w:rPr/>
          <w:t>.</w:t>
        </w:r>
        <w:r>
          <w:rPr>
            <w:position w:val="6"/>
            <w:sz w:val="10"/>
          </w:rPr>
          <w:t>101</w:t>
        </w:r>
      </w:hyperlink>
    </w:p>
    <w:p>
      <w:pPr>
        <w:pStyle w:val="BodyText"/>
        <w:spacing w:line="285" w:lineRule="auto" w:before="57" w:after="17"/>
        <w:ind w:left="172" w:right="955"/>
        <w:jc w:val="both"/>
      </w:pPr>
      <w:r>
        <w:rPr/>
        <w:t>Όσον</w:t>
      </w:r>
      <w:r>
        <w:rPr>
          <w:spacing w:val="-11"/>
        </w:rPr>
        <w:t> </w:t>
      </w:r>
      <w:r>
        <w:rPr/>
        <w:t>αφορά</w:t>
      </w:r>
      <w:r>
        <w:rPr>
          <w:spacing w:val="-12"/>
        </w:rPr>
        <w:t> </w:t>
      </w:r>
      <w:r>
        <w:rPr/>
        <w:t>τον</w:t>
      </w:r>
      <w:r>
        <w:rPr>
          <w:spacing w:val="-11"/>
        </w:rPr>
        <w:t> </w:t>
      </w:r>
      <w:r>
        <w:rPr/>
        <w:t>αριθμό</w:t>
      </w:r>
      <w:r>
        <w:rPr>
          <w:spacing w:val="-12"/>
        </w:rPr>
        <w:t> </w:t>
      </w:r>
      <w:r>
        <w:rPr/>
        <w:t>των</w:t>
      </w:r>
      <w:r>
        <w:rPr>
          <w:spacing w:val="-11"/>
        </w:rPr>
        <w:t> </w:t>
      </w:r>
      <w:r>
        <w:rPr/>
        <w:t>συναλλαγών</w:t>
      </w:r>
      <w:r>
        <w:rPr>
          <w:spacing w:val="-11"/>
        </w:rPr>
        <w:t> </w:t>
      </w:r>
      <w:r>
        <w:rPr/>
        <w:t>απάτης</w:t>
      </w:r>
      <w:r>
        <w:rPr>
          <w:spacing w:val="-13"/>
        </w:rPr>
        <w:t> </w:t>
      </w:r>
      <w:r>
        <w:rPr/>
        <w:t>ανά</w:t>
      </w:r>
      <w:r>
        <w:rPr>
          <w:spacing w:val="-12"/>
        </w:rPr>
        <w:t> </w:t>
      </w:r>
      <w:r>
        <w:rPr/>
        <w:t>τύπο</w:t>
      </w:r>
      <w:r>
        <w:rPr>
          <w:spacing w:val="-12"/>
        </w:rPr>
        <w:t> </w:t>
      </w:r>
      <w:r>
        <w:rPr/>
        <w:t>συναλλαγής</w:t>
      </w:r>
      <w:r>
        <w:rPr>
          <w:spacing w:val="-13"/>
        </w:rPr>
        <w:t> </w:t>
      </w:r>
      <w:r>
        <w:rPr/>
        <w:t>παρατηρούνται</w:t>
      </w:r>
      <w:r>
        <w:rPr>
          <w:spacing w:val="-11"/>
        </w:rPr>
        <w:t> </w:t>
      </w:r>
      <w:r>
        <w:rPr/>
        <w:t>μειώσεις της</w:t>
      </w:r>
      <w:r>
        <w:rPr>
          <w:spacing w:val="-8"/>
        </w:rPr>
        <w:t> </w:t>
      </w:r>
      <w:r>
        <w:rPr/>
        <w:t>απάτης</w:t>
      </w:r>
      <w:r>
        <w:rPr>
          <w:spacing w:val="-8"/>
        </w:rPr>
        <w:t> </w:t>
      </w:r>
      <w:r>
        <w:rPr/>
        <w:t>σε</w:t>
      </w:r>
      <w:r>
        <w:rPr>
          <w:spacing w:val="-6"/>
        </w:rPr>
        <w:t> </w:t>
      </w:r>
      <w:r>
        <w:rPr/>
        <w:t>όλους</w:t>
      </w:r>
      <w:r>
        <w:rPr>
          <w:spacing w:val="-8"/>
        </w:rPr>
        <w:t> </w:t>
      </w:r>
      <w:r>
        <w:rPr/>
        <w:t>τους</w:t>
      </w:r>
      <w:r>
        <w:rPr>
          <w:spacing w:val="-8"/>
        </w:rPr>
        <w:t> </w:t>
      </w:r>
      <w:r>
        <w:rPr/>
        <w:t>τύπους</w:t>
      </w:r>
      <w:r>
        <w:rPr>
          <w:spacing w:val="-8"/>
        </w:rPr>
        <w:t> </w:t>
      </w:r>
      <w:r>
        <w:rPr/>
        <w:t>συναλλαγών.</w:t>
      </w:r>
      <w:r>
        <w:rPr>
          <w:spacing w:val="-7"/>
        </w:rPr>
        <w:t> </w:t>
      </w:r>
      <w:r>
        <w:rPr/>
        <w:t>Συγκεκριμένα,</w:t>
      </w:r>
      <w:r>
        <w:rPr>
          <w:spacing w:val="-7"/>
        </w:rPr>
        <w:t> </w:t>
      </w:r>
      <w:r>
        <w:rPr/>
        <w:t>ο</w:t>
      </w:r>
      <w:r>
        <w:rPr>
          <w:spacing w:val="-7"/>
        </w:rPr>
        <w:t> </w:t>
      </w:r>
      <w:r>
        <w:rPr/>
        <w:t>αριθμός</w:t>
      </w:r>
      <w:r>
        <w:rPr>
          <w:spacing w:val="-9"/>
        </w:rPr>
        <w:t> </w:t>
      </w:r>
      <w:r>
        <w:rPr/>
        <w:t>των περιστατικών</w:t>
      </w:r>
      <w:r>
        <w:rPr>
          <w:spacing w:val="-5"/>
        </w:rPr>
        <w:t> </w:t>
      </w:r>
      <w:r>
        <w:rPr/>
        <w:t>απά-της μειώθηκε κατά 21% στις συναλλαγές σε POS, κατά 7% στις εξ΄ αποστάσεως συναλλαγές χωρίς</w:t>
      </w:r>
      <w:r>
        <w:rPr>
          <w:spacing w:val="-8"/>
        </w:rPr>
        <w:t> </w:t>
      </w:r>
      <w:r>
        <w:rPr/>
        <w:t>φυσική</w:t>
      </w:r>
      <w:r>
        <w:rPr>
          <w:spacing w:val="-8"/>
        </w:rPr>
        <w:t> </w:t>
      </w:r>
      <w:r>
        <w:rPr/>
        <w:t>παρουσία</w:t>
      </w:r>
      <w:r>
        <w:rPr>
          <w:spacing w:val="-7"/>
        </w:rPr>
        <w:t> </w:t>
      </w:r>
      <w:r>
        <w:rPr/>
        <w:t>κάρτας</w:t>
      </w:r>
      <w:r>
        <w:rPr>
          <w:spacing w:val="-8"/>
        </w:rPr>
        <w:t> </w:t>
      </w:r>
      <w:r>
        <w:rPr/>
        <w:t>(Card</w:t>
      </w:r>
      <w:r>
        <w:rPr>
          <w:spacing w:val="-9"/>
        </w:rPr>
        <w:t> </w:t>
      </w:r>
      <w:r>
        <w:rPr/>
        <w:t>not</w:t>
      </w:r>
      <w:r>
        <w:rPr>
          <w:spacing w:val="-9"/>
        </w:rPr>
        <w:t> </w:t>
      </w:r>
      <w:r>
        <w:rPr/>
        <w:t>present</w:t>
      </w:r>
      <w:r>
        <w:rPr>
          <w:spacing w:val="-6"/>
        </w:rPr>
        <w:t> </w:t>
      </w:r>
      <w:r>
        <w:rPr/>
        <w:t>–</w:t>
      </w:r>
      <w:r>
        <w:rPr>
          <w:spacing w:val="-7"/>
        </w:rPr>
        <w:t> </w:t>
      </w:r>
      <w:r>
        <w:rPr/>
        <w:t>CNP)</w:t>
      </w:r>
      <w:r>
        <w:rPr>
          <w:spacing w:val="-6"/>
        </w:rPr>
        <w:t> </w:t>
      </w:r>
      <w:r>
        <w:rPr/>
        <w:t>και</w:t>
      </w:r>
      <w:r>
        <w:rPr>
          <w:spacing w:val="-7"/>
        </w:rPr>
        <w:t> </w:t>
      </w:r>
      <w:r>
        <w:rPr/>
        <w:t>κατά</w:t>
      </w:r>
      <w:r>
        <w:rPr>
          <w:spacing w:val="-8"/>
        </w:rPr>
        <w:t> </w:t>
      </w:r>
      <w:r>
        <w:rPr/>
        <w:t>6%</w:t>
      </w:r>
      <w:r>
        <w:rPr>
          <w:spacing w:val="-9"/>
        </w:rPr>
        <w:t> </w:t>
      </w:r>
      <w:r>
        <w:rPr/>
        <w:t>στις</w:t>
      </w:r>
      <w:r>
        <w:rPr>
          <w:spacing w:val="-9"/>
        </w:rPr>
        <w:t> </w:t>
      </w:r>
      <w:r>
        <w:rPr/>
        <w:t>συναλλαγές</w:t>
      </w:r>
      <w:r>
        <w:rPr>
          <w:spacing w:val="-8"/>
        </w:rPr>
        <w:t> </w:t>
      </w:r>
      <w:r>
        <w:rPr/>
        <w:t>σε</w:t>
      </w:r>
      <w:r>
        <w:rPr>
          <w:spacing w:val="-4"/>
        </w:rPr>
        <w:t> </w:t>
      </w:r>
      <w:r>
        <w:rPr/>
        <w:t>ATM σε</w:t>
      </w:r>
      <w:r>
        <w:rPr>
          <w:spacing w:val="-4"/>
        </w:rPr>
        <w:t> </w:t>
      </w:r>
      <w:r>
        <w:rPr/>
        <w:t>σχέση</w:t>
      </w:r>
      <w:r>
        <w:rPr>
          <w:spacing w:val="-2"/>
        </w:rPr>
        <w:t> </w:t>
      </w:r>
      <w:r>
        <w:rPr/>
        <w:t>με</w:t>
      </w:r>
      <w:r>
        <w:rPr>
          <w:spacing w:val="-2"/>
        </w:rPr>
        <w:t> </w:t>
      </w:r>
      <w:r>
        <w:rPr/>
        <w:t>το</w:t>
      </w:r>
      <w:r>
        <w:rPr>
          <w:spacing w:val="-2"/>
        </w:rPr>
        <w:t> </w:t>
      </w:r>
      <w:r>
        <w:rPr/>
        <w:t>2024.</w:t>
      </w:r>
      <w:r>
        <w:rPr>
          <w:spacing w:val="-5"/>
        </w:rPr>
        <w:t> </w:t>
      </w:r>
      <w:r>
        <w:rPr/>
        <w:t>Σημαντική</w:t>
      </w:r>
      <w:r>
        <w:rPr>
          <w:spacing w:val="-2"/>
        </w:rPr>
        <w:t> </w:t>
      </w:r>
      <w:r>
        <w:rPr/>
        <w:t>μείωση</w:t>
      </w:r>
      <w:r>
        <w:rPr>
          <w:spacing w:val="-2"/>
        </w:rPr>
        <w:t> </w:t>
      </w:r>
      <w:r>
        <w:rPr/>
        <w:t>παρατηρήθηκε</w:t>
      </w:r>
      <w:r>
        <w:rPr>
          <w:spacing w:val="-2"/>
        </w:rPr>
        <w:t> </w:t>
      </w:r>
      <w:r>
        <w:rPr/>
        <w:t>και</w:t>
      </w:r>
      <w:r>
        <w:rPr>
          <w:spacing w:val="-2"/>
        </w:rPr>
        <w:t> </w:t>
      </w:r>
      <w:r>
        <w:rPr/>
        <w:t>στην</w:t>
      </w:r>
      <w:r>
        <w:rPr>
          <w:spacing w:val="-1"/>
        </w:rPr>
        <w:t> </w:t>
      </w:r>
      <w:r>
        <w:rPr/>
        <w:t>αξία</w:t>
      </w:r>
      <w:r>
        <w:rPr>
          <w:spacing w:val="-2"/>
        </w:rPr>
        <w:t> </w:t>
      </w:r>
      <w:r>
        <w:rPr/>
        <w:t>των</w:t>
      </w:r>
      <w:r>
        <w:rPr>
          <w:spacing w:val="-4"/>
        </w:rPr>
        <w:t> </w:t>
      </w:r>
      <w:r>
        <w:rPr/>
        <w:t>συναλλαγών</w:t>
      </w:r>
      <w:r>
        <w:rPr>
          <w:spacing w:val="-1"/>
        </w:rPr>
        <w:t> </w:t>
      </w:r>
      <w:r>
        <w:rPr/>
        <w:t>απάτης, για τις συναλλαγές σε POS κατά 28%, οριακή μείωση κατά 2% στις συναλλαγές σε ATM, ενώ αύξηση</w:t>
      </w:r>
      <w:r>
        <w:rPr>
          <w:spacing w:val="-7"/>
        </w:rPr>
        <w:t> </w:t>
      </w:r>
      <w:r>
        <w:rPr/>
        <w:t>παρατηρήθηκε</w:t>
      </w:r>
      <w:r>
        <w:rPr>
          <w:spacing w:val="-6"/>
        </w:rPr>
        <w:t> </w:t>
      </w:r>
      <w:r>
        <w:rPr/>
        <w:t>στην</w:t>
      </w:r>
      <w:r>
        <w:rPr>
          <w:spacing w:val="-6"/>
        </w:rPr>
        <w:t> </w:t>
      </w:r>
      <w:r>
        <w:rPr/>
        <w:t>αξία</w:t>
      </w:r>
      <w:r>
        <w:rPr>
          <w:spacing w:val="-8"/>
        </w:rPr>
        <w:t> </w:t>
      </w:r>
      <w:r>
        <w:rPr/>
        <w:t>των</w:t>
      </w:r>
      <w:r>
        <w:rPr>
          <w:spacing w:val="-6"/>
        </w:rPr>
        <w:t> </w:t>
      </w:r>
      <w:r>
        <w:rPr/>
        <w:t>συναλλαγών</w:t>
      </w:r>
      <w:r>
        <w:rPr>
          <w:spacing w:val="-6"/>
        </w:rPr>
        <w:t> </w:t>
      </w:r>
      <w:r>
        <w:rPr/>
        <w:t>απάτης</w:t>
      </w:r>
      <w:r>
        <w:rPr>
          <w:spacing w:val="-8"/>
        </w:rPr>
        <w:t> </w:t>
      </w:r>
      <w:r>
        <w:rPr/>
        <w:t>στις</w:t>
      </w:r>
      <w:r>
        <w:rPr>
          <w:spacing w:val="-8"/>
        </w:rPr>
        <w:t> </w:t>
      </w:r>
      <w:r>
        <w:rPr/>
        <w:t>εξ΄</w:t>
      </w:r>
      <w:r>
        <w:rPr>
          <w:spacing w:val="-6"/>
        </w:rPr>
        <w:t> </w:t>
      </w:r>
      <w:r>
        <w:rPr/>
        <w:t>αποστάσεως</w:t>
      </w:r>
      <w:r>
        <w:rPr>
          <w:spacing w:val="-8"/>
        </w:rPr>
        <w:t> </w:t>
      </w:r>
      <w:r>
        <w:rPr/>
        <w:t>συναλλαγές</w:t>
      </w:r>
      <w:r>
        <w:rPr>
          <w:spacing w:val="-8"/>
        </w:rPr>
        <w:t> </w:t>
      </w:r>
      <w:r>
        <w:rPr/>
        <w:t>χω-ρίς φυσική παρουσία κάρτας (Card not present – CNP) κατά 4% (βλ. Διάγραμμα VI.4 και Διά-γραμμα VI.5).</w:t>
      </w: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8"/>
        <w:gridCol w:w="4226"/>
      </w:tblGrid>
      <w:tr>
        <w:trPr>
          <w:trHeight w:val="532" w:hRule="atLeast"/>
        </w:trPr>
        <w:tc>
          <w:tcPr>
            <w:tcW w:w="4278" w:type="dxa"/>
            <w:shd w:val="clear" w:color="auto" w:fill="1F487C"/>
          </w:tcPr>
          <w:p>
            <w:pPr>
              <w:pStyle w:val="TableParagraph"/>
              <w:spacing w:before="60"/>
              <w:ind w:left="112" w:right="16"/>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VI.4</w:t>
            </w:r>
            <w:r>
              <w:rPr>
                <w:b/>
                <w:smallCaps w:val="0"/>
                <w:color w:val="FFFFFF"/>
                <w:spacing w:val="-7"/>
                <w:sz w:val="18"/>
              </w:rPr>
              <w:t> </w:t>
            </w:r>
            <w:r>
              <w:rPr>
                <w:b/>
                <w:smallCaps w:val="0"/>
                <w:color w:val="FFFFFF"/>
                <w:sz w:val="18"/>
              </w:rPr>
              <w:t>Αρ</w:t>
            </w:r>
            <w:r>
              <w:rPr>
                <w:b/>
                <w:smallCaps/>
                <w:color w:val="FFFFFF"/>
                <w:sz w:val="18"/>
              </w:rPr>
              <w:t>ι</w:t>
            </w:r>
            <w:r>
              <w:rPr>
                <w:b/>
                <w:smallCaps w:val="0"/>
                <w:color w:val="FFFFFF"/>
                <w:sz w:val="18"/>
              </w:rPr>
              <w:t>θμός</w:t>
            </w:r>
            <w:r>
              <w:rPr>
                <w:b/>
                <w:smallCaps w:val="0"/>
                <w:color w:val="FFFFFF"/>
                <w:spacing w:val="-9"/>
                <w:sz w:val="18"/>
              </w:rPr>
              <w:t> </w:t>
            </w:r>
            <w:r>
              <w:rPr>
                <w:b/>
                <w:smallCaps w:val="0"/>
                <w:color w:val="FFFFFF"/>
                <w:sz w:val="18"/>
              </w:rPr>
              <w:t>συναλλαγών</w:t>
            </w:r>
            <w:r>
              <w:rPr>
                <w:b/>
                <w:smallCaps w:val="0"/>
                <w:color w:val="FFFFFF"/>
                <w:spacing w:val="-7"/>
                <w:sz w:val="18"/>
              </w:rPr>
              <w:t> </w:t>
            </w:r>
            <w:r>
              <w:rPr>
                <w:b/>
                <w:smallCaps w:val="0"/>
                <w:color w:val="FFFFFF"/>
                <w:sz w:val="18"/>
              </w:rPr>
              <w:t>απάτης</w:t>
            </w:r>
            <w:r>
              <w:rPr>
                <w:b/>
                <w:smallCaps w:val="0"/>
                <w:color w:val="FFFFFF"/>
                <w:spacing w:val="-9"/>
                <w:sz w:val="18"/>
              </w:rPr>
              <w:t> </w:t>
            </w:r>
            <w:r>
              <w:rPr>
                <w:b/>
                <w:smallCaps w:val="0"/>
                <w:color w:val="FFFFFF"/>
                <w:sz w:val="18"/>
              </w:rPr>
              <w:t>ανά τύπο συναλλαγής</w:t>
            </w:r>
          </w:p>
        </w:tc>
        <w:tc>
          <w:tcPr>
            <w:tcW w:w="4226" w:type="dxa"/>
            <w:shd w:val="clear" w:color="auto" w:fill="1F487C"/>
          </w:tcPr>
          <w:p>
            <w:pPr>
              <w:pStyle w:val="TableParagraph"/>
              <w:spacing w:before="60"/>
              <w:ind w:left="140"/>
              <w:rPr>
                <w:b/>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5"/>
                <w:sz w:val="18"/>
              </w:rPr>
              <w:t> </w:t>
            </w:r>
            <w:r>
              <w:rPr>
                <w:b/>
                <w:smallCaps w:val="0"/>
                <w:color w:val="FFFFFF"/>
                <w:sz w:val="18"/>
              </w:rPr>
              <w:t>VI.5</w:t>
            </w:r>
            <w:r>
              <w:rPr>
                <w:b/>
                <w:smallCaps w:val="0"/>
                <w:color w:val="FFFFFF"/>
                <w:spacing w:val="-5"/>
                <w:sz w:val="18"/>
              </w:rPr>
              <w:t> </w:t>
            </w:r>
            <w:r>
              <w:rPr>
                <w:b/>
                <w:smallCaps w:val="0"/>
                <w:color w:val="FFFFFF"/>
                <w:sz w:val="18"/>
              </w:rPr>
              <w:t>Αξία</w:t>
            </w:r>
            <w:r>
              <w:rPr>
                <w:b/>
                <w:smallCaps w:val="0"/>
                <w:color w:val="FFFFFF"/>
                <w:spacing w:val="-6"/>
                <w:sz w:val="18"/>
              </w:rPr>
              <w:t> </w:t>
            </w:r>
            <w:r>
              <w:rPr>
                <w:b/>
                <w:smallCaps w:val="0"/>
                <w:color w:val="FFFFFF"/>
                <w:sz w:val="18"/>
              </w:rPr>
              <w:t>συναλλαγών</w:t>
            </w:r>
            <w:r>
              <w:rPr>
                <w:b/>
                <w:smallCaps w:val="0"/>
                <w:color w:val="FFFFFF"/>
                <w:spacing w:val="-5"/>
                <w:sz w:val="18"/>
              </w:rPr>
              <w:t> </w:t>
            </w:r>
            <w:r>
              <w:rPr>
                <w:b/>
                <w:smallCaps w:val="0"/>
                <w:color w:val="FFFFFF"/>
                <w:sz w:val="18"/>
              </w:rPr>
              <w:t>απάτης</w:t>
            </w:r>
            <w:r>
              <w:rPr>
                <w:b/>
                <w:smallCaps w:val="0"/>
                <w:color w:val="FFFFFF"/>
                <w:spacing w:val="-8"/>
                <w:sz w:val="18"/>
              </w:rPr>
              <w:t> </w:t>
            </w:r>
            <w:r>
              <w:rPr>
                <w:b/>
                <w:smallCaps w:val="0"/>
                <w:color w:val="FFFFFF"/>
                <w:sz w:val="18"/>
              </w:rPr>
              <w:t>ανά</w:t>
            </w:r>
            <w:r>
              <w:rPr>
                <w:b/>
                <w:smallCaps w:val="0"/>
                <w:color w:val="FFFFFF"/>
                <w:spacing w:val="-8"/>
                <w:sz w:val="18"/>
              </w:rPr>
              <w:t> </w:t>
            </w:r>
            <w:r>
              <w:rPr>
                <w:b/>
                <w:smallCaps w:val="0"/>
                <w:color w:val="FFFFFF"/>
                <w:sz w:val="18"/>
              </w:rPr>
              <w:t>τύπο </w:t>
            </w:r>
            <w:r>
              <w:rPr>
                <w:b/>
                <w:smallCaps w:val="0"/>
                <w:color w:val="FFFFFF"/>
                <w:spacing w:val="-2"/>
                <w:sz w:val="18"/>
              </w:rPr>
              <w:t>συναλλαγής</w:t>
            </w:r>
          </w:p>
        </w:tc>
      </w:tr>
      <w:tr>
        <w:trPr>
          <w:trHeight w:val="340" w:hRule="atLeast"/>
        </w:trPr>
        <w:tc>
          <w:tcPr>
            <w:tcW w:w="4278" w:type="dxa"/>
          </w:tcPr>
          <w:p>
            <w:pPr>
              <w:pStyle w:val="TableParagraph"/>
              <w:spacing w:before="119"/>
              <w:ind w:left="57"/>
              <w:rPr>
                <w:sz w:val="14"/>
              </w:rPr>
            </w:pPr>
            <w:r>
              <w:rPr>
                <w:color w:val="1F487C"/>
                <w:spacing w:val="-2"/>
                <w:sz w:val="14"/>
              </w:rPr>
              <w:t>(συναλλαγές)</w:t>
            </w:r>
          </w:p>
        </w:tc>
        <w:tc>
          <w:tcPr>
            <w:tcW w:w="4226" w:type="dxa"/>
          </w:tcPr>
          <w:p>
            <w:pPr>
              <w:pStyle w:val="TableParagraph"/>
              <w:spacing w:before="119"/>
              <w:ind w:left="85"/>
              <w:rPr>
                <w:sz w:val="14"/>
              </w:rPr>
            </w:pPr>
            <w:r>
              <w:rPr>
                <w:color w:val="1F487C"/>
                <w:spacing w:val="-2"/>
                <w:sz w:val="14"/>
              </w:rPr>
              <w:t>(ευρώ)</w:t>
            </w:r>
          </w:p>
        </w:tc>
      </w:tr>
      <w:tr>
        <w:trPr>
          <w:trHeight w:val="3420" w:hRule="atLeast"/>
        </w:trPr>
        <w:tc>
          <w:tcPr>
            <w:tcW w:w="4278" w:type="dxa"/>
            <w:shd w:val="clear" w:color="auto" w:fill="D9D9D9"/>
          </w:tcPr>
          <w:p>
            <w:pPr>
              <w:pStyle w:val="TableParagraph"/>
              <w:ind w:left="55"/>
              <w:rPr>
                <w:sz w:val="20"/>
              </w:rPr>
            </w:pPr>
            <w:r>
              <w:rPr>
                <w:sz w:val="20"/>
              </w:rPr>
              <w:drawing>
                <wp:inline distT="0" distB="0" distL="0" distR="0">
                  <wp:extent cx="2615402" cy="2091689"/>
                  <wp:effectExtent l="0" t="0" r="0" b="0"/>
                  <wp:docPr id="760" name="Image 760"/>
                  <wp:cNvGraphicFramePr>
                    <a:graphicFrameLocks/>
                  </wp:cNvGraphicFramePr>
                  <a:graphic>
                    <a:graphicData uri="http://schemas.openxmlformats.org/drawingml/2006/picture">
                      <pic:pic>
                        <pic:nvPicPr>
                          <pic:cNvPr id="760" name="Image 760"/>
                          <pic:cNvPicPr/>
                        </pic:nvPicPr>
                        <pic:blipFill>
                          <a:blip r:embed="rId135" cstate="print"/>
                          <a:stretch>
                            <a:fillRect/>
                          </a:stretch>
                        </pic:blipFill>
                        <pic:spPr>
                          <a:xfrm>
                            <a:off x="0" y="0"/>
                            <a:ext cx="2615402" cy="2091689"/>
                          </a:xfrm>
                          <a:prstGeom prst="rect">
                            <a:avLst/>
                          </a:prstGeom>
                        </pic:spPr>
                      </pic:pic>
                    </a:graphicData>
                  </a:graphic>
                </wp:inline>
              </w:drawing>
            </w:r>
            <w:r>
              <w:rPr>
                <w:sz w:val="20"/>
              </w:rPr>
            </w:r>
          </w:p>
        </w:tc>
        <w:tc>
          <w:tcPr>
            <w:tcW w:w="4226" w:type="dxa"/>
            <w:shd w:val="clear" w:color="auto" w:fill="D9D9D9"/>
          </w:tcPr>
          <w:p>
            <w:pPr>
              <w:pStyle w:val="TableParagraph"/>
              <w:ind w:left="84" w:right="-29"/>
              <w:rPr>
                <w:sz w:val="20"/>
              </w:rPr>
            </w:pPr>
            <w:r>
              <w:rPr>
                <w:sz w:val="20"/>
              </w:rPr>
              <w:drawing>
                <wp:inline distT="0" distB="0" distL="0" distR="0">
                  <wp:extent cx="2616348" cy="2120646"/>
                  <wp:effectExtent l="0" t="0" r="0" b="0"/>
                  <wp:docPr id="761" name="Image 761"/>
                  <wp:cNvGraphicFramePr>
                    <a:graphicFrameLocks/>
                  </wp:cNvGraphicFramePr>
                  <a:graphic>
                    <a:graphicData uri="http://schemas.openxmlformats.org/drawingml/2006/picture">
                      <pic:pic>
                        <pic:nvPicPr>
                          <pic:cNvPr id="761" name="Image 761"/>
                          <pic:cNvPicPr/>
                        </pic:nvPicPr>
                        <pic:blipFill>
                          <a:blip r:embed="rId136" cstate="print"/>
                          <a:stretch>
                            <a:fillRect/>
                          </a:stretch>
                        </pic:blipFill>
                        <pic:spPr>
                          <a:xfrm>
                            <a:off x="0" y="0"/>
                            <a:ext cx="2616348" cy="2120646"/>
                          </a:xfrm>
                          <a:prstGeom prst="rect">
                            <a:avLst/>
                          </a:prstGeom>
                        </pic:spPr>
                      </pic:pic>
                    </a:graphicData>
                  </a:graphic>
                </wp:inline>
              </w:drawing>
            </w:r>
            <w:r>
              <w:rPr>
                <w:sz w:val="20"/>
              </w:rPr>
            </w:r>
          </w:p>
        </w:tc>
      </w:tr>
      <w:tr>
        <w:trPr>
          <w:trHeight w:val="281" w:hRule="atLeast"/>
        </w:trPr>
        <w:tc>
          <w:tcPr>
            <w:tcW w:w="4278" w:type="dxa"/>
            <w:shd w:val="clear" w:color="auto" w:fill="D9D9D9"/>
          </w:tcPr>
          <w:p>
            <w:pPr>
              <w:pStyle w:val="TableParagraph"/>
              <w:spacing w:before="59"/>
              <w:ind w:left="112"/>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c>
          <w:tcPr>
            <w:tcW w:w="4226" w:type="dxa"/>
            <w:shd w:val="clear" w:color="auto" w:fill="D9D9D9"/>
          </w:tcPr>
          <w:p>
            <w:pPr>
              <w:pStyle w:val="TableParagraph"/>
              <w:spacing w:before="59"/>
              <w:ind w:left="140"/>
              <w:rPr>
                <w:sz w:val="14"/>
              </w:rPr>
            </w:pPr>
            <w:r>
              <w:rPr>
                <w:sz w:val="14"/>
              </w:rPr>
              <w:t>Πηγή:</w:t>
            </w:r>
            <w:r>
              <w:rPr>
                <w:spacing w:val="-4"/>
                <w:sz w:val="14"/>
              </w:rPr>
              <w:t> </w:t>
            </w:r>
            <w:r>
              <w:rPr>
                <w:sz w:val="14"/>
              </w:rPr>
              <w:t>Τράπεζα</w:t>
            </w:r>
            <w:r>
              <w:rPr>
                <w:spacing w:val="-5"/>
                <w:sz w:val="14"/>
              </w:rPr>
              <w:t> </w:t>
            </w:r>
            <w:r>
              <w:rPr>
                <w:sz w:val="14"/>
              </w:rPr>
              <w:t>της</w:t>
            </w:r>
            <w:r>
              <w:rPr>
                <w:spacing w:val="-2"/>
                <w:sz w:val="14"/>
              </w:rPr>
              <w:t> Ελλάδος.</w:t>
            </w:r>
          </w:p>
        </w:tc>
      </w:tr>
    </w:tbl>
    <w:p>
      <w:pPr>
        <w:pStyle w:val="BodyText"/>
        <w:spacing w:before="203"/>
      </w:pPr>
    </w:p>
    <w:p>
      <w:pPr>
        <w:pStyle w:val="BodyText"/>
        <w:spacing w:line="285" w:lineRule="auto"/>
        <w:ind w:left="172" w:right="956"/>
        <w:jc w:val="both"/>
      </w:pPr>
      <w:r>
        <w:rPr/>
        <w:t>Αναλύοντας τα περιστατικά απάτης που σημειώθηκαν στις συναλλαγές με POS παρατηρείται πως</w:t>
      </w:r>
      <w:r>
        <w:rPr>
          <w:spacing w:val="-2"/>
        </w:rPr>
        <w:t> </w:t>
      </w:r>
      <w:r>
        <w:rPr/>
        <w:t>η</w:t>
      </w:r>
      <w:r>
        <w:rPr>
          <w:spacing w:val="-1"/>
        </w:rPr>
        <w:t> </w:t>
      </w:r>
      <w:r>
        <w:rPr/>
        <w:t>μείωση</w:t>
      </w:r>
      <w:r>
        <w:rPr>
          <w:spacing w:val="-1"/>
        </w:rPr>
        <w:t> </w:t>
      </w:r>
      <w:r>
        <w:rPr/>
        <w:t>αυτών</w:t>
      </w:r>
      <w:r>
        <w:rPr>
          <w:spacing w:val="-2"/>
        </w:rPr>
        <w:t> </w:t>
      </w:r>
      <w:r>
        <w:rPr/>
        <w:t>οφείλεται</w:t>
      </w:r>
      <w:r>
        <w:rPr>
          <w:spacing w:val="-3"/>
        </w:rPr>
        <w:t> </w:t>
      </w:r>
      <w:r>
        <w:rPr/>
        <w:t>στον περιορισμό</w:t>
      </w:r>
      <w:r>
        <w:rPr>
          <w:spacing w:val="-3"/>
        </w:rPr>
        <w:t> </w:t>
      </w:r>
      <w:r>
        <w:rPr/>
        <w:t>των περιστατικών</w:t>
      </w:r>
      <w:r>
        <w:rPr>
          <w:spacing w:val="-1"/>
        </w:rPr>
        <w:t> </w:t>
      </w:r>
      <w:r>
        <w:rPr/>
        <w:t>απάτης</w:t>
      </w:r>
      <w:r>
        <w:rPr>
          <w:spacing w:val="-2"/>
        </w:rPr>
        <w:t> </w:t>
      </w:r>
      <w:r>
        <w:rPr/>
        <w:t>που</w:t>
      </w:r>
      <w:r>
        <w:rPr>
          <w:spacing w:val="-2"/>
        </w:rPr>
        <w:t> </w:t>
      </w:r>
      <w:r>
        <w:rPr/>
        <w:t>προκύπτουν από μη νόμιμες συναλλαγές με τη χρήση χαμένης/κλεμμένης κάρτας. Συγκεκριμένα, η αξία των συ-ναλλαγών απάτης με τη χρήση χαμένης/κλεμμένης κάρτας σε POS μειώθηκε κατά 17% σε 1,4 εκατ.</w:t>
      </w:r>
      <w:r>
        <w:rPr>
          <w:spacing w:val="-7"/>
        </w:rPr>
        <w:t> </w:t>
      </w:r>
      <w:r>
        <w:rPr/>
        <w:t>ευρώ,</w:t>
      </w:r>
      <w:r>
        <w:rPr>
          <w:spacing w:val="-5"/>
        </w:rPr>
        <w:t> </w:t>
      </w:r>
      <w:r>
        <w:rPr/>
        <w:t>ενώ</w:t>
      </w:r>
      <w:r>
        <w:rPr>
          <w:spacing w:val="-5"/>
        </w:rPr>
        <w:t> </w:t>
      </w:r>
      <w:r>
        <w:rPr/>
        <w:t>μείωση</w:t>
      </w:r>
      <w:r>
        <w:rPr>
          <w:spacing w:val="-6"/>
        </w:rPr>
        <w:t> </w:t>
      </w:r>
      <w:r>
        <w:rPr/>
        <w:t>κατά</w:t>
      </w:r>
      <w:r>
        <w:rPr>
          <w:spacing w:val="-7"/>
        </w:rPr>
        <w:t> </w:t>
      </w:r>
      <w:r>
        <w:rPr/>
        <w:t>19%</w:t>
      </w:r>
      <w:r>
        <w:rPr>
          <w:spacing w:val="-5"/>
        </w:rPr>
        <w:t> </w:t>
      </w:r>
      <w:r>
        <w:rPr/>
        <w:t>παρουσίασε</w:t>
      </w:r>
      <w:r>
        <w:rPr>
          <w:spacing w:val="-5"/>
        </w:rPr>
        <w:t> </w:t>
      </w:r>
      <w:r>
        <w:rPr/>
        <w:t>ο</w:t>
      </w:r>
      <w:r>
        <w:rPr>
          <w:spacing w:val="-6"/>
        </w:rPr>
        <w:t> </w:t>
      </w:r>
      <w:r>
        <w:rPr/>
        <w:t>αριθμός</w:t>
      </w:r>
      <w:r>
        <w:rPr>
          <w:spacing w:val="-7"/>
        </w:rPr>
        <w:t> </w:t>
      </w:r>
      <w:r>
        <w:rPr/>
        <w:t>των</w:t>
      </w:r>
      <w:r>
        <w:rPr>
          <w:spacing w:val="-5"/>
        </w:rPr>
        <w:t> </w:t>
      </w:r>
      <w:r>
        <w:rPr/>
        <w:t>λόγω</w:t>
      </w:r>
      <w:r>
        <w:rPr>
          <w:spacing w:val="-8"/>
        </w:rPr>
        <w:t> </w:t>
      </w:r>
      <w:r>
        <w:rPr/>
        <w:t>συναλλαγών</w:t>
      </w:r>
      <w:r>
        <w:rPr>
          <w:spacing w:val="-8"/>
        </w:rPr>
        <w:t> </w:t>
      </w:r>
      <w:r>
        <w:rPr/>
        <w:t>απάτης.</w:t>
      </w:r>
      <w:r>
        <w:rPr>
          <w:spacing w:val="-6"/>
        </w:rPr>
        <w:t> </w:t>
      </w:r>
      <w:r>
        <w:rPr/>
        <w:t>Σε</w:t>
      </w:r>
      <w:r>
        <w:rPr>
          <w:spacing w:val="-5"/>
        </w:rPr>
        <w:t> </w:t>
      </w:r>
      <w:r>
        <w:rPr/>
        <w:t>ό,τι αφορά</w:t>
      </w:r>
      <w:r>
        <w:rPr>
          <w:spacing w:val="-3"/>
        </w:rPr>
        <w:t> </w:t>
      </w:r>
      <w:r>
        <w:rPr/>
        <w:t>την</w:t>
      </w:r>
      <w:r>
        <w:rPr>
          <w:spacing w:val="-5"/>
        </w:rPr>
        <w:t> </w:t>
      </w:r>
      <w:r>
        <w:rPr/>
        <w:t>απάτη</w:t>
      </w:r>
      <w:r>
        <w:rPr>
          <w:spacing w:val="-4"/>
        </w:rPr>
        <w:t> </w:t>
      </w:r>
      <w:r>
        <w:rPr/>
        <w:t>στις</w:t>
      </w:r>
      <w:r>
        <w:rPr>
          <w:spacing w:val="-3"/>
        </w:rPr>
        <w:t> </w:t>
      </w:r>
      <w:r>
        <w:rPr/>
        <w:t>εξ</w:t>
      </w:r>
      <w:r>
        <w:rPr>
          <w:spacing w:val="-5"/>
        </w:rPr>
        <w:t> </w:t>
      </w:r>
      <w:r>
        <w:rPr/>
        <w:t>αποστάσεως</w:t>
      </w:r>
      <w:r>
        <w:rPr>
          <w:spacing w:val="-6"/>
        </w:rPr>
        <w:t> </w:t>
      </w:r>
      <w:r>
        <w:rPr/>
        <w:t>συναλλαγές,</w:t>
      </w:r>
      <w:r>
        <w:rPr>
          <w:spacing w:val="-3"/>
        </w:rPr>
        <w:t> </w:t>
      </w:r>
      <w:r>
        <w:rPr/>
        <w:t>διαπιστώνεται</w:t>
      </w:r>
      <w:r>
        <w:rPr>
          <w:spacing w:val="-3"/>
        </w:rPr>
        <w:t> </w:t>
      </w:r>
      <w:r>
        <w:rPr/>
        <w:t>ότι</w:t>
      </w:r>
      <w:r>
        <w:rPr>
          <w:spacing w:val="-3"/>
        </w:rPr>
        <w:t> </w:t>
      </w:r>
      <w:r>
        <w:rPr/>
        <w:t>η</w:t>
      </w:r>
      <w:r>
        <w:rPr>
          <w:spacing w:val="-5"/>
        </w:rPr>
        <w:t> </w:t>
      </w:r>
      <w:r>
        <w:rPr/>
        <w:t>συντριπτική</w:t>
      </w:r>
      <w:r>
        <w:rPr>
          <w:spacing w:val="-2"/>
        </w:rPr>
        <w:t> </w:t>
      </w:r>
      <w:r>
        <w:rPr/>
        <w:t>πλειοψηφία (98% σε αξία και 99% σε αριθμό) αφορά συναλλαγές</w:t>
      </w:r>
      <w:r>
        <w:rPr>
          <w:spacing w:val="-1"/>
        </w:rPr>
        <w:t> </w:t>
      </w:r>
      <w:r>
        <w:rPr/>
        <w:t>απάτης μέσω διαδικτύου. Τα περιστατικά αυτά εξακολουθούν να αφορούν κυρίως διαδικτυακές συναλλαγές με επιχειρήσεις του εξωτερι-</w:t>
      </w:r>
      <w:r>
        <w:rPr>
          <w:spacing w:val="-4"/>
        </w:rPr>
        <w:t>κού.</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3"/>
        <w:rPr>
          <w:sz w:val="20"/>
        </w:rPr>
      </w:pPr>
      <w:r>
        <w:rPr>
          <w:sz w:val="20"/>
        </w:rPr>
        <mc:AlternateContent>
          <mc:Choice Requires="wps">
            <w:drawing>
              <wp:anchor distT="0" distB="0" distL="0" distR="0" allowOverlap="1" layoutInCell="1" locked="0" behindDoc="1" simplePos="0" relativeHeight="487671296">
                <wp:simplePos x="0" y="0"/>
                <wp:positionH relativeFrom="page">
                  <wp:posOffset>1009192</wp:posOffset>
                </wp:positionH>
                <wp:positionV relativeFrom="paragraph">
                  <wp:posOffset>188658</wp:posOffset>
                </wp:positionV>
                <wp:extent cx="1829435" cy="7620"/>
                <wp:effectExtent l="0" t="0" r="0" b="0"/>
                <wp:wrapTopAndBottom/>
                <wp:docPr id="762" name="Graphic 762"/>
                <wp:cNvGraphicFramePr>
                  <a:graphicFrameLocks/>
                </wp:cNvGraphicFramePr>
                <a:graphic>
                  <a:graphicData uri="http://schemas.microsoft.com/office/word/2010/wordprocessingShape">
                    <wps:wsp>
                      <wps:cNvPr id="762" name="Graphic 76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4.855005pt;width:144.020pt;height:.599980pt;mso-position-horizontal-relative:page;mso-position-vertical-relative:paragraph;z-index:-15645184;mso-wrap-distance-left:0;mso-wrap-distance-right:0" id="docshape711" filled="true" fillcolor="#000000" stroked="false">
                <v:fill type="solid"/>
                <w10:wrap type="topAndBottom"/>
              </v:rect>
            </w:pict>
          </mc:Fallback>
        </mc:AlternateContent>
      </w:r>
    </w:p>
    <w:p>
      <w:pPr>
        <w:spacing w:before="167"/>
        <w:ind w:left="172" w:right="0" w:firstLine="0"/>
        <w:jc w:val="left"/>
        <w:rPr>
          <w:sz w:val="16"/>
        </w:rPr>
      </w:pPr>
      <w:bookmarkStart w:name="_bookmark150" w:id="151"/>
      <w:bookmarkEnd w:id="151"/>
      <w:r>
        <w:rPr/>
      </w:r>
      <w:r>
        <w:rPr>
          <w:sz w:val="16"/>
          <w:vertAlign w:val="superscript"/>
        </w:rPr>
        <w:t>100</w:t>
      </w:r>
      <w:r>
        <w:rPr>
          <w:spacing w:val="-4"/>
          <w:sz w:val="16"/>
          <w:vertAlign w:val="baseline"/>
        </w:rPr>
        <w:t> </w:t>
      </w:r>
      <w:r>
        <w:rPr>
          <w:sz w:val="16"/>
          <w:vertAlign w:val="baseline"/>
        </w:rPr>
        <w:t>Δελτίο</w:t>
      </w:r>
      <w:r>
        <w:rPr>
          <w:spacing w:val="-4"/>
          <w:sz w:val="16"/>
          <w:vertAlign w:val="baseline"/>
        </w:rPr>
        <w:t> </w:t>
      </w:r>
      <w:r>
        <w:rPr>
          <w:sz w:val="16"/>
          <w:vertAlign w:val="baseline"/>
        </w:rPr>
        <w:t>τύπου</w:t>
      </w:r>
      <w:r>
        <w:rPr>
          <w:spacing w:val="-4"/>
          <w:sz w:val="16"/>
          <w:vertAlign w:val="baseline"/>
        </w:rPr>
        <w:t> </w:t>
      </w:r>
      <w:r>
        <w:rPr>
          <w:sz w:val="16"/>
          <w:vertAlign w:val="baseline"/>
        </w:rPr>
        <w:t>ΑΑΔΕ</w:t>
      </w:r>
      <w:r>
        <w:rPr>
          <w:spacing w:val="-5"/>
          <w:sz w:val="16"/>
          <w:vertAlign w:val="baseline"/>
        </w:rPr>
        <w:t> </w:t>
      </w:r>
      <w:r>
        <w:rPr>
          <w:sz w:val="16"/>
          <w:vertAlign w:val="baseline"/>
        </w:rPr>
        <w:t>της</w:t>
      </w:r>
      <w:r>
        <w:rPr>
          <w:spacing w:val="-4"/>
          <w:sz w:val="16"/>
          <w:vertAlign w:val="baseline"/>
        </w:rPr>
        <w:t> </w:t>
      </w:r>
      <w:r>
        <w:rPr>
          <w:sz w:val="16"/>
          <w:vertAlign w:val="baseline"/>
        </w:rPr>
        <w:t>14.5.2025,</w:t>
      </w:r>
      <w:r>
        <w:rPr>
          <w:spacing w:val="-4"/>
          <w:sz w:val="16"/>
          <w:vertAlign w:val="baseline"/>
        </w:rPr>
        <w:t> </w:t>
      </w:r>
      <w:hyperlink r:id="rId137">
        <w:r>
          <w:rPr>
            <w:color w:val="0000FF"/>
            <w:sz w:val="16"/>
            <w:u w:val="single" w:color="0000FF"/>
            <w:vertAlign w:val="baseline"/>
          </w:rPr>
          <w:t>“ΑΑΔΕ:</w:t>
        </w:r>
        <w:r>
          <w:rPr>
            <w:color w:val="0000FF"/>
            <w:spacing w:val="-2"/>
            <w:sz w:val="16"/>
            <w:u w:val="single" w:color="0000FF"/>
            <w:vertAlign w:val="baseline"/>
          </w:rPr>
          <w:t> </w:t>
        </w:r>
        <w:r>
          <w:rPr>
            <w:color w:val="0000FF"/>
            <w:sz w:val="16"/>
            <w:u w:val="single" w:color="0000FF"/>
            <w:vertAlign w:val="baseline"/>
          </w:rPr>
          <w:t>Προσοχή</w:t>
        </w:r>
        <w:r>
          <w:rPr>
            <w:color w:val="0000FF"/>
            <w:spacing w:val="-6"/>
            <w:sz w:val="16"/>
            <w:u w:val="single" w:color="0000FF"/>
            <w:vertAlign w:val="baseline"/>
          </w:rPr>
          <w:t> </w:t>
        </w:r>
        <w:r>
          <w:rPr>
            <w:color w:val="0000FF"/>
            <w:sz w:val="16"/>
            <w:u w:val="single" w:color="0000FF"/>
            <w:vertAlign w:val="baseline"/>
          </w:rPr>
          <w:t>σε</w:t>
        </w:r>
        <w:r>
          <w:rPr>
            <w:color w:val="0000FF"/>
            <w:spacing w:val="-3"/>
            <w:sz w:val="16"/>
            <w:u w:val="single" w:color="0000FF"/>
            <w:vertAlign w:val="baseline"/>
          </w:rPr>
          <w:t> </w:t>
        </w:r>
        <w:r>
          <w:rPr>
            <w:color w:val="0000FF"/>
            <w:sz w:val="16"/>
            <w:u w:val="single" w:color="0000FF"/>
            <w:vertAlign w:val="baseline"/>
          </w:rPr>
          <w:t>παραπλανητικά</w:t>
        </w:r>
        <w:r>
          <w:rPr>
            <w:color w:val="0000FF"/>
            <w:spacing w:val="-4"/>
            <w:sz w:val="16"/>
            <w:u w:val="single" w:color="0000FF"/>
            <w:vertAlign w:val="baseline"/>
          </w:rPr>
          <w:t> </w:t>
        </w:r>
        <w:r>
          <w:rPr>
            <w:color w:val="0000FF"/>
            <w:sz w:val="16"/>
            <w:u w:val="single" w:color="0000FF"/>
            <w:vertAlign w:val="baseline"/>
          </w:rPr>
          <w:t>μηνύματα</w:t>
        </w:r>
        <w:r>
          <w:rPr>
            <w:color w:val="0000FF"/>
            <w:spacing w:val="-4"/>
            <w:sz w:val="16"/>
            <w:u w:val="single" w:color="0000FF"/>
            <w:vertAlign w:val="baseline"/>
          </w:rPr>
          <w:t> </w:t>
        </w:r>
        <w:r>
          <w:rPr>
            <w:color w:val="0000FF"/>
            <w:sz w:val="16"/>
            <w:u w:val="single" w:color="0000FF"/>
            <w:vertAlign w:val="baseline"/>
          </w:rPr>
          <w:t>στο</w:t>
        </w:r>
        <w:r>
          <w:rPr>
            <w:color w:val="0000FF"/>
            <w:spacing w:val="-4"/>
            <w:sz w:val="16"/>
            <w:u w:val="single" w:color="0000FF"/>
            <w:vertAlign w:val="baseline"/>
          </w:rPr>
          <w:t> </w:t>
        </w:r>
        <w:r>
          <w:rPr>
            <w:color w:val="0000FF"/>
            <w:sz w:val="16"/>
            <w:u w:val="single" w:color="0000FF"/>
            <w:vertAlign w:val="baseline"/>
          </w:rPr>
          <w:t>κινητό</w:t>
        </w:r>
        <w:r>
          <w:rPr>
            <w:color w:val="0000FF"/>
            <w:spacing w:val="-1"/>
            <w:sz w:val="16"/>
            <w:u w:val="single" w:color="0000FF"/>
            <w:vertAlign w:val="baseline"/>
          </w:rPr>
          <w:t> </w:t>
        </w:r>
        <w:r>
          <w:rPr>
            <w:color w:val="0000FF"/>
            <w:spacing w:val="-2"/>
            <w:sz w:val="16"/>
            <w:u w:val="single" w:color="0000FF"/>
            <w:vertAlign w:val="baseline"/>
          </w:rPr>
          <w:t>(SMS</w:t>
        </w:r>
        <w:r>
          <w:rPr>
            <w:spacing w:val="-2"/>
            <w:sz w:val="16"/>
            <w:vertAlign w:val="baseline"/>
          </w:rPr>
          <w:t>)</w:t>
        </w:r>
      </w:hyperlink>
      <w:r>
        <w:rPr>
          <w:spacing w:val="-2"/>
          <w:sz w:val="16"/>
          <w:vertAlign w:val="baseline"/>
        </w:rPr>
        <w:t>”.</w:t>
      </w:r>
    </w:p>
    <w:p>
      <w:pPr>
        <w:spacing w:before="18"/>
        <w:ind w:left="172" w:right="956" w:firstLine="0"/>
        <w:jc w:val="left"/>
        <w:rPr>
          <w:sz w:val="16"/>
        </w:rPr>
      </w:pPr>
      <w:bookmarkStart w:name="_bookmark151" w:id="152"/>
      <w:bookmarkEnd w:id="152"/>
      <w:r>
        <w:rPr/>
      </w:r>
      <w:r>
        <w:rPr>
          <w:sz w:val="16"/>
          <w:vertAlign w:val="superscript"/>
        </w:rPr>
        <w:t>101</w:t>
      </w:r>
      <w:r>
        <w:rPr>
          <w:sz w:val="16"/>
          <w:vertAlign w:val="baseline"/>
        </w:rPr>
        <w:t> Δελτίο τύπου Εθνικής Επιτροπής Τηλεπικοινωνιών &amp; Ταχυδρομείων (ΕΕΤΤ) της 8.5.2025 </w:t>
      </w:r>
      <w:hyperlink r:id="rId138">
        <w:r>
          <w:rPr>
            <w:sz w:val="16"/>
            <w:vertAlign w:val="baseline"/>
          </w:rPr>
          <w:t>“</w:t>
        </w:r>
        <w:r>
          <w:rPr>
            <w:color w:val="0000FF"/>
            <w:sz w:val="16"/>
            <w:u w:val="single" w:color="0000FF"/>
            <w:vertAlign w:val="baseline"/>
          </w:rPr>
          <w:t>Λήψη μέτρων και συστάσεις στους</w:t>
        </w:r>
      </w:hyperlink>
      <w:r>
        <w:rPr>
          <w:color w:val="0000FF"/>
          <w:spacing w:val="40"/>
          <w:sz w:val="16"/>
          <w:vertAlign w:val="baseline"/>
        </w:rPr>
        <w:t> </w:t>
      </w:r>
      <w:hyperlink r:id="rId138">
        <w:r>
          <w:rPr>
            <w:color w:val="0000FF"/>
            <w:sz w:val="16"/>
            <w:u w:val="single" w:color="0000FF"/>
            <w:vertAlign w:val="baseline"/>
          </w:rPr>
          <w:t>καταναλωτές για τηλεφωνικές κλήσεις απάτης με μέθοδο ‘Caller ID Spoofing</w:t>
        </w:r>
        <w:r>
          <w:rPr>
            <w:sz w:val="16"/>
            <w:vertAlign w:val="baseline"/>
          </w:rPr>
          <w:t>.</w:t>
        </w:r>
      </w:hyperlink>
    </w:p>
    <w:p>
      <w:pPr>
        <w:spacing w:after="0"/>
        <w:jc w:val="left"/>
        <w:rPr>
          <w:sz w:val="16"/>
        </w:rPr>
        <w:sectPr>
          <w:pgSz w:w="11910" w:h="16850"/>
          <w:pgMar w:header="0" w:footer="1262" w:top="1840" w:bottom="1460" w:left="1417" w:right="850"/>
        </w:sectPr>
      </w:pPr>
    </w:p>
    <w:p>
      <w:pPr>
        <w:pStyle w:val="BodyText"/>
        <w:spacing w:before="64"/>
        <w:rPr>
          <w:sz w:val="20"/>
        </w:rPr>
      </w:pPr>
    </w:p>
    <w:p>
      <w:pPr>
        <w:pStyle w:val="BodyText"/>
        <w:spacing w:after="0"/>
        <w:rPr>
          <w:sz w:val="20"/>
        </w:rPr>
        <w:sectPr>
          <w:pgSz w:w="11910" w:h="16850"/>
          <w:pgMar w:header="0" w:footer="1262" w:top="1940" w:bottom="1500" w:left="1417" w:right="850"/>
        </w:sectPr>
      </w:pPr>
    </w:p>
    <w:p>
      <w:pPr>
        <w:pStyle w:val="BodyText"/>
        <w:spacing w:line="285" w:lineRule="auto" w:before="92"/>
        <w:ind w:left="172"/>
        <w:jc w:val="both"/>
      </w:pPr>
      <w:r>
        <w:rPr/>
        <w:t>Οι οικονομικές ζημίες που προκύπτουν από τις συναλλαγές απάτης επιμερίζονται στα συμβαλλόμενα μέρη της συναλλαγής ανά-λογα</w:t>
      </w:r>
      <w:r>
        <w:rPr>
          <w:spacing w:val="-11"/>
        </w:rPr>
        <w:t> </w:t>
      </w:r>
      <w:r>
        <w:rPr/>
        <w:t>με</w:t>
      </w:r>
      <w:r>
        <w:rPr>
          <w:spacing w:val="-9"/>
        </w:rPr>
        <w:t> </w:t>
      </w:r>
      <w:r>
        <w:rPr/>
        <w:t>την</w:t>
      </w:r>
      <w:r>
        <w:rPr>
          <w:spacing w:val="-12"/>
        </w:rPr>
        <w:t> </w:t>
      </w:r>
      <w:r>
        <w:rPr/>
        <w:t>υπαιτιότητά</w:t>
      </w:r>
      <w:r>
        <w:rPr>
          <w:spacing w:val="-10"/>
        </w:rPr>
        <w:t> </w:t>
      </w:r>
      <w:r>
        <w:rPr/>
        <w:t>τους.</w:t>
      </w:r>
      <w:r>
        <w:rPr>
          <w:spacing w:val="-10"/>
        </w:rPr>
        <w:t> </w:t>
      </w:r>
      <w:r>
        <w:rPr/>
        <w:t>Από</w:t>
      </w:r>
      <w:r>
        <w:rPr>
          <w:spacing w:val="-10"/>
        </w:rPr>
        <w:t> </w:t>
      </w:r>
      <w:r>
        <w:rPr/>
        <w:t>την</w:t>
      </w:r>
      <w:r>
        <w:rPr>
          <w:spacing w:val="-10"/>
        </w:rPr>
        <w:t> </w:t>
      </w:r>
      <w:r>
        <w:rPr/>
        <w:t>κατα-νομή των ζημιών μεταξύ των τριών συμβαλ-λόμενων μερών στον κύκλο συναλλαγών με κάρτες</w:t>
      </w:r>
      <w:r>
        <w:rPr>
          <w:spacing w:val="-14"/>
        </w:rPr>
        <w:t> </w:t>
      </w:r>
      <w:r>
        <w:rPr/>
        <w:t>πληρωμών</w:t>
      </w:r>
      <w:r>
        <w:rPr>
          <w:spacing w:val="-14"/>
        </w:rPr>
        <w:t> </w:t>
      </w:r>
      <w:r>
        <w:rPr/>
        <w:t>(βλ.</w:t>
      </w:r>
      <w:r>
        <w:rPr>
          <w:spacing w:val="-14"/>
        </w:rPr>
        <w:t> </w:t>
      </w:r>
      <w:r>
        <w:rPr/>
        <w:t>Διάγραμμα</w:t>
      </w:r>
      <w:r>
        <w:rPr>
          <w:spacing w:val="-13"/>
        </w:rPr>
        <w:t> </w:t>
      </w:r>
      <w:r>
        <w:rPr/>
        <w:t>VI.6)</w:t>
      </w:r>
      <w:r>
        <w:rPr>
          <w:spacing w:val="-14"/>
        </w:rPr>
        <w:t> </w:t>
      </w:r>
      <w:r>
        <w:rPr/>
        <w:t>προ-κύπτει</w:t>
      </w:r>
      <w:r>
        <w:rPr>
          <w:spacing w:val="-9"/>
        </w:rPr>
        <w:t> </w:t>
      </w:r>
      <w:r>
        <w:rPr/>
        <w:t>ότι</w:t>
      </w:r>
      <w:r>
        <w:rPr>
          <w:spacing w:val="-9"/>
        </w:rPr>
        <w:t> </w:t>
      </w:r>
      <w:r>
        <w:rPr/>
        <w:t>το</w:t>
      </w:r>
      <w:r>
        <w:rPr>
          <w:spacing w:val="-8"/>
        </w:rPr>
        <w:t> </w:t>
      </w:r>
      <w:r>
        <w:rPr/>
        <w:t>μεγαλύτερο</w:t>
      </w:r>
      <w:r>
        <w:rPr>
          <w:spacing w:val="-7"/>
        </w:rPr>
        <w:t> </w:t>
      </w:r>
      <w:r>
        <w:rPr/>
        <w:t>μέρος</w:t>
      </w:r>
      <w:r>
        <w:rPr>
          <w:spacing w:val="-9"/>
        </w:rPr>
        <w:t> </w:t>
      </w:r>
      <w:r>
        <w:rPr/>
        <w:t>της</w:t>
      </w:r>
      <w:r>
        <w:rPr>
          <w:spacing w:val="-9"/>
        </w:rPr>
        <w:t> </w:t>
      </w:r>
      <w:r>
        <w:rPr/>
        <w:t>ζημίας</w:t>
      </w:r>
      <w:r>
        <w:rPr>
          <w:spacing w:val="-11"/>
        </w:rPr>
        <w:t> </w:t>
      </w:r>
      <w:r>
        <w:rPr/>
        <w:t>ε-</w:t>
      </w:r>
      <w:r>
        <w:rPr>
          <w:spacing w:val="-2"/>
        </w:rPr>
        <w:t>πιβαρύνει</w:t>
      </w:r>
      <w:r>
        <w:rPr>
          <w:spacing w:val="-7"/>
        </w:rPr>
        <w:t> </w:t>
      </w:r>
      <w:r>
        <w:rPr>
          <w:spacing w:val="-2"/>
        </w:rPr>
        <w:t>τους</w:t>
      </w:r>
      <w:r>
        <w:rPr>
          <w:spacing w:val="-8"/>
        </w:rPr>
        <w:t> </w:t>
      </w:r>
      <w:r>
        <w:rPr>
          <w:spacing w:val="-2"/>
        </w:rPr>
        <w:t>κατόχους</w:t>
      </w:r>
      <w:r>
        <w:rPr>
          <w:spacing w:val="-8"/>
        </w:rPr>
        <w:t> </w:t>
      </w:r>
      <w:r>
        <w:rPr>
          <w:spacing w:val="-2"/>
        </w:rPr>
        <w:t>καρτών</w:t>
      </w:r>
      <w:r>
        <w:rPr>
          <w:spacing w:val="-5"/>
        </w:rPr>
        <w:t> </w:t>
      </w:r>
      <w:r>
        <w:rPr>
          <w:spacing w:val="-2"/>
        </w:rPr>
        <w:t>και</w:t>
      </w:r>
      <w:r>
        <w:rPr>
          <w:spacing w:val="-9"/>
        </w:rPr>
        <w:t> </w:t>
      </w:r>
      <w:r>
        <w:rPr>
          <w:spacing w:val="-2"/>
        </w:rPr>
        <w:t>τους</w:t>
      </w:r>
      <w:r>
        <w:rPr>
          <w:spacing w:val="-8"/>
        </w:rPr>
        <w:t> </w:t>
      </w:r>
      <w:r>
        <w:rPr>
          <w:spacing w:val="-2"/>
        </w:rPr>
        <w:t>πα-</w:t>
      </w:r>
      <w:r>
        <w:rPr/>
        <w:t>ρόχους υπηρεσιών πληρωμών που αποδέχο-νται</w:t>
      </w:r>
      <w:r>
        <w:rPr>
          <w:spacing w:val="-14"/>
        </w:rPr>
        <w:t> </w:t>
      </w:r>
      <w:r>
        <w:rPr/>
        <w:t>συναλλαγές</w:t>
      </w:r>
      <w:r>
        <w:rPr>
          <w:spacing w:val="-14"/>
        </w:rPr>
        <w:t> </w:t>
      </w:r>
      <w:r>
        <w:rPr/>
        <w:t>με</w:t>
      </w:r>
      <w:r>
        <w:rPr>
          <w:spacing w:val="-14"/>
        </w:rPr>
        <w:t> </w:t>
      </w:r>
      <w:r>
        <w:rPr/>
        <w:t>κάρτες.</w:t>
      </w:r>
      <w:r>
        <w:rPr>
          <w:spacing w:val="-13"/>
        </w:rPr>
        <w:t> </w:t>
      </w:r>
      <w:r>
        <w:rPr/>
        <w:t>Συγκεκριμένα,</w:t>
      </w:r>
      <w:r>
        <w:rPr>
          <w:spacing w:val="-14"/>
        </w:rPr>
        <w:t> </w:t>
      </w:r>
      <w:r>
        <w:rPr/>
        <w:t>το 2025</w:t>
      </w:r>
      <w:r>
        <w:rPr>
          <w:spacing w:val="-1"/>
        </w:rPr>
        <w:t> </w:t>
      </w:r>
      <w:r>
        <w:rPr/>
        <w:t>οι κάτοχοι και</w:t>
      </w:r>
      <w:r>
        <w:rPr>
          <w:spacing w:val="-1"/>
        </w:rPr>
        <w:t> </w:t>
      </w:r>
      <w:r>
        <w:rPr/>
        <w:t>οι αποδέκτες</w:t>
      </w:r>
      <w:r>
        <w:rPr>
          <w:spacing w:val="-2"/>
        </w:rPr>
        <w:t> </w:t>
      </w:r>
      <w:r>
        <w:rPr/>
        <w:t>υπηρεσιών πληρωμών</w:t>
      </w:r>
      <w:r>
        <w:rPr>
          <w:spacing w:val="-14"/>
        </w:rPr>
        <w:t> </w:t>
      </w:r>
      <w:r>
        <w:rPr/>
        <w:t>επωμίστηκαν</w:t>
      </w:r>
      <w:r>
        <w:rPr>
          <w:spacing w:val="-14"/>
        </w:rPr>
        <w:t> </w:t>
      </w:r>
      <w:r>
        <w:rPr/>
        <w:t>το</w:t>
      </w:r>
      <w:r>
        <w:rPr>
          <w:spacing w:val="-14"/>
        </w:rPr>
        <w:t> </w:t>
      </w:r>
      <w:r>
        <w:rPr/>
        <w:t>62%</w:t>
      </w:r>
      <w:r>
        <w:rPr>
          <w:spacing w:val="-13"/>
        </w:rPr>
        <w:t> </w:t>
      </w:r>
      <w:r>
        <w:rPr/>
        <w:t>και</w:t>
      </w:r>
      <w:r>
        <w:rPr>
          <w:spacing w:val="-14"/>
        </w:rPr>
        <w:t> </w:t>
      </w:r>
      <w:r>
        <w:rPr/>
        <w:t>31%</w:t>
      </w:r>
      <w:r>
        <w:rPr>
          <w:spacing w:val="-12"/>
        </w:rPr>
        <w:t> </w:t>
      </w:r>
      <w:r>
        <w:rPr/>
        <w:t>της </w:t>
      </w:r>
      <w:r>
        <w:rPr>
          <w:spacing w:val="-2"/>
        </w:rPr>
        <w:t>συνολικής</w:t>
      </w:r>
      <w:r>
        <w:rPr>
          <w:spacing w:val="-7"/>
        </w:rPr>
        <w:t> </w:t>
      </w:r>
      <w:r>
        <w:rPr>
          <w:spacing w:val="-2"/>
        </w:rPr>
        <w:t>ζημίας,</w:t>
      </w:r>
      <w:r>
        <w:rPr>
          <w:spacing w:val="-6"/>
        </w:rPr>
        <w:t> </w:t>
      </w:r>
      <w:r>
        <w:rPr>
          <w:spacing w:val="-2"/>
        </w:rPr>
        <w:t>αντίστοιχα,</w:t>
      </w:r>
      <w:r>
        <w:rPr>
          <w:spacing w:val="-6"/>
        </w:rPr>
        <w:t> </w:t>
      </w:r>
      <w:r>
        <w:rPr>
          <w:spacing w:val="-2"/>
        </w:rPr>
        <w:t>ενώ</w:t>
      </w:r>
      <w:r>
        <w:rPr>
          <w:spacing w:val="-5"/>
        </w:rPr>
        <w:t> </w:t>
      </w:r>
      <w:r>
        <w:rPr>
          <w:spacing w:val="-2"/>
        </w:rPr>
        <w:t>οι</w:t>
      </w:r>
      <w:r>
        <w:rPr>
          <w:spacing w:val="-5"/>
        </w:rPr>
        <w:t> </w:t>
      </w:r>
      <w:r>
        <w:rPr>
          <w:spacing w:val="-2"/>
        </w:rPr>
        <w:t>πάροχοι </w:t>
      </w:r>
      <w:r>
        <w:rPr/>
        <w:t>υπηρεσιών πληρωμών που εκδίδουν κάρτες επιβαρύνθηκαν σε ποσοστό 7%.</w:t>
      </w:r>
    </w:p>
    <w:p>
      <w:pPr>
        <w:spacing w:line="240" w:lineRule="auto"/>
        <w:ind w:left="114" w:right="0" w:firstLine="0"/>
        <w:rPr>
          <w:sz w:val="20"/>
        </w:rPr>
      </w:pPr>
      <w:r>
        <w:rPr/>
        <w:br w:type="column"/>
      </w:r>
      <w:r>
        <w:rPr>
          <w:sz w:val="20"/>
        </w:rPr>
        <mc:AlternateContent>
          <mc:Choice Requires="wps">
            <w:drawing>
              <wp:inline distT="0" distB="0" distL="0" distR="0">
                <wp:extent cx="2743835" cy="338455"/>
                <wp:effectExtent l="0" t="0" r="0" b="0"/>
                <wp:docPr id="763" name="Textbox 763"/>
                <wp:cNvGraphicFramePr>
                  <a:graphicFrameLocks/>
                </wp:cNvGraphicFramePr>
                <a:graphic>
                  <a:graphicData uri="http://schemas.microsoft.com/office/word/2010/wordprocessingShape">
                    <wps:wsp>
                      <wps:cNvPr id="763" name="Textbox 763"/>
                      <wps:cNvSpPr txBox="1"/>
                      <wps:spPr>
                        <a:xfrm>
                          <a:off x="0" y="0"/>
                          <a:ext cx="2743835" cy="338455"/>
                        </a:xfrm>
                        <a:prstGeom prst="rect">
                          <a:avLst/>
                        </a:prstGeom>
                        <a:solidFill>
                          <a:srgbClr val="1F487C"/>
                        </a:solidFill>
                      </wps:spPr>
                      <wps:txbx>
                        <w:txbxContent>
                          <w:p>
                            <w:pPr>
                              <w:spacing w:before="60"/>
                              <w:ind w:left="112" w:right="10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VI.6</w:t>
                            </w:r>
                            <w:r>
                              <w:rPr>
                                <w:b/>
                                <w:smallCaps w:val="0"/>
                                <w:color w:val="FFFFFF"/>
                                <w:spacing w:val="-6"/>
                                <w:sz w:val="18"/>
                              </w:rPr>
                              <w:t> </w:t>
                            </w:r>
                            <w:r>
                              <w:rPr>
                                <w:b/>
                                <w:smallCaps w:val="0"/>
                                <w:color w:val="FFFFFF"/>
                                <w:sz w:val="18"/>
                              </w:rPr>
                              <w:t>Κατανομή</w:t>
                            </w:r>
                            <w:r>
                              <w:rPr>
                                <w:b/>
                                <w:smallCaps w:val="0"/>
                                <w:color w:val="FFFFFF"/>
                                <w:spacing w:val="-6"/>
                                <w:sz w:val="18"/>
                              </w:rPr>
                              <w:t> </w:t>
                            </w:r>
                            <w:r>
                              <w:rPr>
                                <w:b/>
                                <w:smallCaps w:val="0"/>
                                <w:color w:val="FFFFFF"/>
                                <w:sz w:val="18"/>
                              </w:rPr>
                              <w:t>ζημίας</w:t>
                            </w:r>
                            <w:r>
                              <w:rPr>
                                <w:b/>
                                <w:smallCaps w:val="0"/>
                                <w:color w:val="FFFFFF"/>
                                <w:spacing w:val="-6"/>
                                <w:sz w:val="18"/>
                              </w:rPr>
                              <w:t> </w:t>
                            </w:r>
                            <w:r>
                              <w:rPr>
                                <w:b/>
                                <w:smallCaps w:val="0"/>
                                <w:color w:val="FFFFFF"/>
                                <w:sz w:val="18"/>
                              </w:rPr>
                              <w:t>από</w:t>
                            </w:r>
                            <w:r>
                              <w:rPr>
                                <w:b/>
                                <w:smallCaps w:val="0"/>
                                <w:color w:val="FFFFFF"/>
                                <w:spacing w:val="-6"/>
                                <w:sz w:val="18"/>
                              </w:rPr>
                              <w:t> </w:t>
                            </w:r>
                            <w:r>
                              <w:rPr>
                                <w:b/>
                                <w:smallCaps w:val="0"/>
                                <w:color w:val="FFFFFF"/>
                                <w:sz w:val="18"/>
                              </w:rPr>
                              <w:t>συναλλαγές</w:t>
                            </w:r>
                            <w:r>
                              <w:rPr>
                                <w:b/>
                                <w:smallCaps w:val="0"/>
                                <w:color w:val="FFFFFF"/>
                                <w:spacing w:val="-6"/>
                                <w:sz w:val="18"/>
                              </w:rPr>
                              <w:t> </w:t>
                            </w:r>
                            <w:r>
                              <w:rPr>
                                <w:b/>
                                <w:smallCaps w:val="0"/>
                                <w:color w:val="FFFFFF"/>
                                <w:sz w:val="18"/>
                              </w:rPr>
                              <w:t>α-</w:t>
                            </w:r>
                            <w:r>
                              <w:rPr>
                                <w:b/>
                                <w:smallCaps w:val="0"/>
                                <w:color w:val="FFFFFF"/>
                                <w:spacing w:val="-2"/>
                                <w:sz w:val="18"/>
                              </w:rPr>
                              <w:t>πάτης</w:t>
                            </w:r>
                          </w:p>
                        </w:txbxContent>
                      </wps:txbx>
                      <wps:bodyPr wrap="square" lIns="0" tIns="0" rIns="0" bIns="0" rtlCol="0">
                        <a:noAutofit/>
                      </wps:bodyPr>
                    </wps:wsp>
                  </a:graphicData>
                </a:graphic>
              </wp:inline>
            </w:drawing>
          </mc:Choice>
          <mc:Fallback>
            <w:pict>
              <v:shape style="width:216.05pt;height:26.65pt;mso-position-horizontal-relative:char;mso-position-vertical-relative:line" type="#_x0000_t202" id="docshape712" filled="true" fillcolor="#1f487c" stroked="false">
                <w10:anchorlock/>
                <v:textbox inset="0,0,0,0">
                  <w:txbxContent>
                    <w:p>
                      <w:pPr>
                        <w:spacing w:before="60"/>
                        <w:ind w:left="112" w:right="10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6"/>
                          <w:sz w:val="18"/>
                        </w:rPr>
                        <w:t> </w:t>
                      </w:r>
                      <w:r>
                        <w:rPr>
                          <w:b/>
                          <w:smallCaps w:val="0"/>
                          <w:color w:val="FFFFFF"/>
                          <w:sz w:val="18"/>
                        </w:rPr>
                        <w:t>VI.6</w:t>
                      </w:r>
                      <w:r>
                        <w:rPr>
                          <w:b/>
                          <w:smallCaps w:val="0"/>
                          <w:color w:val="FFFFFF"/>
                          <w:spacing w:val="-6"/>
                          <w:sz w:val="18"/>
                        </w:rPr>
                        <w:t> </w:t>
                      </w:r>
                      <w:r>
                        <w:rPr>
                          <w:b/>
                          <w:smallCaps w:val="0"/>
                          <w:color w:val="FFFFFF"/>
                          <w:sz w:val="18"/>
                        </w:rPr>
                        <w:t>Κατανομή</w:t>
                      </w:r>
                      <w:r>
                        <w:rPr>
                          <w:b/>
                          <w:smallCaps w:val="0"/>
                          <w:color w:val="FFFFFF"/>
                          <w:spacing w:val="-6"/>
                          <w:sz w:val="18"/>
                        </w:rPr>
                        <w:t> </w:t>
                      </w:r>
                      <w:r>
                        <w:rPr>
                          <w:b/>
                          <w:smallCaps w:val="0"/>
                          <w:color w:val="FFFFFF"/>
                          <w:sz w:val="18"/>
                        </w:rPr>
                        <w:t>ζημίας</w:t>
                      </w:r>
                      <w:r>
                        <w:rPr>
                          <w:b/>
                          <w:smallCaps w:val="0"/>
                          <w:color w:val="FFFFFF"/>
                          <w:spacing w:val="-6"/>
                          <w:sz w:val="18"/>
                        </w:rPr>
                        <w:t> </w:t>
                      </w:r>
                      <w:r>
                        <w:rPr>
                          <w:b/>
                          <w:smallCaps w:val="0"/>
                          <w:color w:val="FFFFFF"/>
                          <w:sz w:val="18"/>
                        </w:rPr>
                        <w:t>από</w:t>
                      </w:r>
                      <w:r>
                        <w:rPr>
                          <w:b/>
                          <w:smallCaps w:val="0"/>
                          <w:color w:val="FFFFFF"/>
                          <w:spacing w:val="-6"/>
                          <w:sz w:val="18"/>
                        </w:rPr>
                        <w:t> </w:t>
                      </w:r>
                      <w:r>
                        <w:rPr>
                          <w:b/>
                          <w:smallCaps w:val="0"/>
                          <w:color w:val="FFFFFF"/>
                          <w:sz w:val="18"/>
                        </w:rPr>
                        <w:t>συναλλαγές</w:t>
                      </w:r>
                      <w:r>
                        <w:rPr>
                          <w:b/>
                          <w:smallCaps w:val="0"/>
                          <w:color w:val="FFFFFF"/>
                          <w:spacing w:val="-6"/>
                          <w:sz w:val="18"/>
                        </w:rPr>
                        <w:t> </w:t>
                      </w:r>
                      <w:r>
                        <w:rPr>
                          <w:b/>
                          <w:smallCaps w:val="0"/>
                          <w:color w:val="FFFFFF"/>
                          <w:sz w:val="18"/>
                        </w:rPr>
                        <w:t>α-</w:t>
                      </w:r>
                      <w:r>
                        <w:rPr>
                          <w:b/>
                          <w:smallCaps w:val="0"/>
                          <w:color w:val="FFFFFF"/>
                          <w:spacing w:val="-2"/>
                          <w:sz w:val="18"/>
                        </w:rPr>
                        <w:t>πάτης</w:t>
                      </w:r>
                    </w:p>
                  </w:txbxContent>
                </v:textbox>
                <v:fill type="solid"/>
              </v:shape>
            </w:pict>
          </mc:Fallback>
        </mc:AlternateContent>
      </w:r>
      <w:r>
        <w:rPr>
          <w:sz w:val="20"/>
        </w:rPr>
      </w:r>
    </w:p>
    <w:p>
      <w:pPr>
        <w:spacing w:before="94"/>
        <w:ind w:left="172" w:right="0" w:firstLine="0"/>
        <w:jc w:val="left"/>
        <w:rPr>
          <w:sz w:val="14"/>
        </w:rPr>
      </w:pPr>
      <w:r>
        <w:rPr>
          <w:color w:val="1F487C"/>
          <w:sz w:val="14"/>
        </w:rPr>
        <w:t>(εκατ.</w:t>
      </w:r>
      <w:r>
        <w:rPr>
          <w:color w:val="1F487C"/>
          <w:spacing w:val="-5"/>
          <w:sz w:val="14"/>
        </w:rPr>
        <w:t> </w:t>
      </w:r>
      <w:r>
        <w:rPr>
          <w:color w:val="1F487C"/>
          <w:spacing w:val="-2"/>
          <w:sz w:val="14"/>
        </w:rPr>
        <w:t>ευρώ)</w:t>
      </w:r>
    </w:p>
    <w:p>
      <w:pPr>
        <w:pStyle w:val="BodyText"/>
        <w:spacing w:before="5"/>
        <w:rPr>
          <w:sz w:val="5"/>
        </w:rPr>
      </w:pPr>
    </w:p>
    <w:p>
      <w:pPr>
        <w:spacing w:line="240" w:lineRule="auto"/>
        <w:ind w:left="114" w:right="0" w:firstLine="0"/>
        <w:rPr>
          <w:sz w:val="20"/>
        </w:rPr>
      </w:pPr>
      <w:r>
        <w:rPr>
          <w:sz w:val="20"/>
        </w:rPr>
        <mc:AlternateContent>
          <mc:Choice Requires="wps">
            <w:drawing>
              <wp:inline distT="0" distB="0" distL="0" distR="0">
                <wp:extent cx="2744470" cy="2160270"/>
                <wp:effectExtent l="0" t="0" r="0" b="1905"/>
                <wp:docPr id="764" name="Group 764"/>
                <wp:cNvGraphicFramePr>
                  <a:graphicFrameLocks/>
                </wp:cNvGraphicFramePr>
                <a:graphic>
                  <a:graphicData uri="http://schemas.microsoft.com/office/word/2010/wordprocessingGroup">
                    <wpg:wgp>
                      <wpg:cNvPr id="764" name="Group 764"/>
                      <wpg:cNvGrpSpPr/>
                      <wpg:grpSpPr>
                        <a:xfrm>
                          <a:off x="0" y="0"/>
                          <a:ext cx="2744470" cy="2160270"/>
                          <a:chExt cx="2744470" cy="2160270"/>
                        </a:xfrm>
                      </wpg:grpSpPr>
                      <wps:wsp>
                        <wps:cNvPr id="765" name="Graphic 765"/>
                        <wps:cNvSpPr/>
                        <wps:spPr>
                          <a:xfrm>
                            <a:off x="381" y="380"/>
                            <a:ext cx="2743835" cy="2160270"/>
                          </a:xfrm>
                          <a:custGeom>
                            <a:avLst/>
                            <a:gdLst/>
                            <a:ahLst/>
                            <a:cxnLst/>
                            <a:rect l="l" t="t" r="r" b="b"/>
                            <a:pathLst>
                              <a:path w="2743835" h="2160270">
                                <a:moveTo>
                                  <a:pt x="2743835" y="1943366"/>
                                </a:moveTo>
                                <a:lnTo>
                                  <a:pt x="0" y="1943366"/>
                                </a:lnTo>
                                <a:lnTo>
                                  <a:pt x="0" y="2159774"/>
                                </a:lnTo>
                                <a:lnTo>
                                  <a:pt x="2743835" y="2159774"/>
                                </a:lnTo>
                                <a:lnTo>
                                  <a:pt x="2743835" y="1943366"/>
                                </a:lnTo>
                                <a:close/>
                              </a:path>
                              <a:path w="2743835" h="2160270">
                                <a:moveTo>
                                  <a:pt x="2743835" y="0"/>
                                </a:moveTo>
                                <a:lnTo>
                                  <a:pt x="0" y="0"/>
                                </a:lnTo>
                                <a:lnTo>
                                  <a:pt x="0" y="1943354"/>
                                </a:lnTo>
                                <a:lnTo>
                                  <a:pt x="2743835" y="1943354"/>
                                </a:lnTo>
                                <a:lnTo>
                                  <a:pt x="2743835" y="0"/>
                                </a:lnTo>
                                <a:close/>
                              </a:path>
                            </a:pathLst>
                          </a:custGeom>
                          <a:solidFill>
                            <a:srgbClr val="D9D9D9"/>
                          </a:solidFill>
                        </wps:spPr>
                        <wps:bodyPr wrap="square" lIns="0" tIns="0" rIns="0" bIns="0" rtlCol="0">
                          <a:prstTxWarp prst="textNoShape">
                            <a:avLst/>
                          </a:prstTxWarp>
                          <a:noAutofit/>
                        </wps:bodyPr>
                      </wps:wsp>
                      <pic:pic>
                        <pic:nvPicPr>
                          <pic:cNvPr id="766" name="Image 766"/>
                          <pic:cNvPicPr/>
                        </pic:nvPicPr>
                        <pic:blipFill>
                          <a:blip r:embed="rId139" cstate="print"/>
                          <a:stretch>
                            <a:fillRect/>
                          </a:stretch>
                        </pic:blipFill>
                        <pic:spPr>
                          <a:xfrm>
                            <a:off x="0" y="0"/>
                            <a:ext cx="2734945" cy="1939290"/>
                          </a:xfrm>
                          <a:prstGeom prst="rect">
                            <a:avLst/>
                          </a:prstGeom>
                        </pic:spPr>
                      </pic:pic>
                      <wps:wsp>
                        <wps:cNvPr id="767" name="Textbox 767"/>
                        <wps:cNvSpPr txBox="1"/>
                        <wps:spPr>
                          <a:xfrm>
                            <a:off x="380" y="380"/>
                            <a:ext cx="2743835" cy="216027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20"/>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g:wgp>
                  </a:graphicData>
                </a:graphic>
              </wp:inline>
            </w:drawing>
          </mc:Choice>
          <mc:Fallback>
            <w:pict>
              <v:group style="width:216.1pt;height:170.1pt;mso-position-horizontal-relative:char;mso-position-vertical-relative:line" id="docshapegroup713" coordorigin="0,0" coordsize="4322,3402">
                <v:shape style="position:absolute;left:0;top:0;width:4321;height:3402" id="docshape714" coordorigin="1,1" coordsize="4321,3402" path="m4322,3061l1,3061,1,3402,4322,3402,4322,3061xm4322,1l1,1,1,3061,4322,3061,4322,1xe" filled="true" fillcolor="#d9d9d9" stroked="false">
                  <v:path arrowok="t"/>
                  <v:fill type="solid"/>
                </v:shape>
                <v:shape style="position:absolute;left:0;top:0;width:4307;height:3054" type="#_x0000_t75" id="docshape715" stroked="false">
                  <v:imagedata r:id="rId139" o:title=""/>
                </v:shape>
                <v:shape style="position:absolute;left:0;top:0;width:4321;height:3402" type="#_x0000_t202" id="docshape716"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20"/>
                          <w:rPr>
                            <w:sz w:val="14"/>
                          </w:rPr>
                        </w:pPr>
                      </w:p>
                      <w:p>
                        <w:pPr>
                          <w:spacing w:before="0"/>
                          <w:ind w:left="112"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group>
            </w:pict>
          </mc:Fallback>
        </mc:AlternateContent>
      </w:r>
      <w:r>
        <w:rPr>
          <w:sz w:val="20"/>
        </w:rPr>
      </w:r>
    </w:p>
    <w:p>
      <w:pPr>
        <w:spacing w:after="0" w:line="240" w:lineRule="auto"/>
        <w:rPr>
          <w:sz w:val="20"/>
        </w:rPr>
        <w:sectPr>
          <w:type w:val="continuous"/>
          <w:pgSz w:w="11910" w:h="16850"/>
          <w:pgMar w:header="0" w:footer="1262" w:top="1320" w:bottom="280" w:left="1417" w:right="850"/>
          <w:cols w:num="2" w:equalWidth="0">
            <w:col w:w="4165" w:space="62"/>
            <w:col w:w="5416"/>
          </w:cols>
        </w:sectPr>
      </w:pPr>
    </w:p>
    <w:p>
      <w:pPr>
        <w:pStyle w:val="Heading2"/>
        <w:numPr>
          <w:ilvl w:val="1"/>
          <w:numId w:val="2"/>
        </w:numPr>
        <w:tabs>
          <w:tab w:pos="568" w:val="left" w:leader="none"/>
        </w:tabs>
        <w:spacing w:line="240" w:lineRule="auto" w:before="70" w:after="0"/>
        <w:ind w:left="568" w:right="0" w:hanging="396"/>
        <w:jc w:val="left"/>
        <w:rPr>
          <w:color w:val="1F487C"/>
        </w:rPr>
      </w:pPr>
      <w:bookmarkStart w:name="_bookmark152" w:id="153"/>
      <w:bookmarkEnd w:id="153"/>
      <w:r>
        <w:rPr>
          <w:b w:val="0"/>
        </w:rPr>
      </w:r>
      <w:r>
        <w:rPr>
          <w:color w:val="1F487C"/>
        </w:rPr>
        <w:t>ΚΕΝΤΡΙΚΟΙ</w:t>
      </w:r>
      <w:r>
        <w:rPr>
          <w:color w:val="1F487C"/>
          <w:spacing w:val="-2"/>
        </w:rPr>
        <w:t> ΑΝΤΙΣΥΜΒΑΛΛΟΜΕΝΟΙ</w:t>
      </w:r>
    </w:p>
    <w:p>
      <w:pPr>
        <w:pStyle w:val="Heading3"/>
        <w:numPr>
          <w:ilvl w:val="2"/>
          <w:numId w:val="2"/>
        </w:numPr>
        <w:tabs>
          <w:tab w:pos="738" w:val="left" w:leader="none"/>
        </w:tabs>
        <w:spacing w:line="240" w:lineRule="auto" w:before="122" w:after="0"/>
        <w:ind w:left="738" w:right="0" w:hanging="566"/>
        <w:jc w:val="left"/>
        <w:rPr>
          <w:color w:val="1F487C"/>
        </w:rPr>
      </w:pPr>
      <w:bookmarkStart w:name="_bookmark153" w:id="154"/>
      <w:bookmarkEnd w:id="154"/>
      <w:r>
        <w:rPr>
          <w:b w:val="0"/>
        </w:rPr>
      </w:r>
      <w:r>
        <w:rPr>
          <w:color w:val="1F487C"/>
        </w:rPr>
        <w:t>ΕΞΕΛΙΞΕΙΣ</w:t>
      </w:r>
      <w:r>
        <w:rPr>
          <w:color w:val="1F487C"/>
          <w:spacing w:val="-6"/>
        </w:rPr>
        <w:t> </w:t>
      </w:r>
      <w:r>
        <w:rPr>
          <w:color w:val="1F487C"/>
        </w:rPr>
        <w:t>ΣΤΟ</w:t>
      </w:r>
      <w:r>
        <w:rPr>
          <w:color w:val="1F487C"/>
          <w:spacing w:val="-5"/>
        </w:rPr>
        <w:t> </w:t>
      </w:r>
      <w:r>
        <w:rPr>
          <w:color w:val="1F487C"/>
        </w:rPr>
        <w:t>ΡΥΘΜΙΣΤΙΚΟ</w:t>
      </w:r>
      <w:r>
        <w:rPr>
          <w:color w:val="1F487C"/>
          <w:spacing w:val="-7"/>
        </w:rPr>
        <w:t> </w:t>
      </w:r>
      <w:r>
        <w:rPr>
          <w:color w:val="1F487C"/>
          <w:spacing w:val="-2"/>
        </w:rPr>
        <w:t>ΠΛΑΙΣΙΟ</w:t>
      </w:r>
    </w:p>
    <w:p>
      <w:pPr>
        <w:pStyle w:val="BodyText"/>
        <w:spacing w:line="304" w:lineRule="auto" w:before="124"/>
        <w:ind w:left="172" w:right="956"/>
        <w:jc w:val="both"/>
      </w:pPr>
      <w:r>
        <w:rPr/>
        <w:t>Το</w:t>
      </w:r>
      <w:r>
        <w:rPr>
          <w:spacing w:val="-14"/>
        </w:rPr>
        <w:t> </w:t>
      </w:r>
      <w:r>
        <w:rPr/>
        <w:t>ρυθμιστικό</w:t>
      </w:r>
      <w:r>
        <w:rPr>
          <w:spacing w:val="-14"/>
        </w:rPr>
        <w:t> </w:t>
      </w:r>
      <w:r>
        <w:rPr/>
        <w:t>πλαίσιο</w:t>
      </w:r>
      <w:r>
        <w:rPr>
          <w:spacing w:val="-14"/>
        </w:rPr>
        <w:t> </w:t>
      </w:r>
      <w:r>
        <w:rPr/>
        <w:t>που</w:t>
      </w:r>
      <w:r>
        <w:rPr>
          <w:spacing w:val="-13"/>
        </w:rPr>
        <w:t> </w:t>
      </w:r>
      <w:r>
        <w:rPr/>
        <w:t>διέπει</w:t>
      </w:r>
      <w:r>
        <w:rPr>
          <w:spacing w:val="-14"/>
        </w:rPr>
        <w:t> </w:t>
      </w:r>
      <w:r>
        <w:rPr/>
        <w:t>τους</w:t>
      </w:r>
      <w:r>
        <w:rPr>
          <w:spacing w:val="-14"/>
        </w:rPr>
        <w:t> </w:t>
      </w:r>
      <w:r>
        <w:rPr/>
        <w:t>κεντρικούς</w:t>
      </w:r>
      <w:r>
        <w:rPr>
          <w:spacing w:val="-14"/>
        </w:rPr>
        <w:t> </w:t>
      </w:r>
      <w:r>
        <w:rPr/>
        <w:t>αντισυμβαλλομένους</w:t>
      </w:r>
      <w:r>
        <w:rPr>
          <w:spacing w:val="-13"/>
        </w:rPr>
        <w:t> </w:t>
      </w:r>
      <w:r>
        <w:rPr/>
        <w:t>στην</w:t>
      </w:r>
      <w:r>
        <w:rPr>
          <w:spacing w:val="-14"/>
        </w:rPr>
        <w:t> </w:t>
      </w:r>
      <w:r>
        <w:rPr/>
        <w:t>Ευρωπαϊκή</w:t>
      </w:r>
      <w:r>
        <w:rPr>
          <w:spacing w:val="-14"/>
        </w:rPr>
        <w:t> </w:t>
      </w:r>
      <w:r>
        <w:rPr/>
        <w:t>Ένωση (ΕΕ) ενισχύεται με τη σταδιακή εφαρμογή των πρόσφατων μεταρρυθμίσεων του Ευρωπαϊκού Κανονισμού για τα εξωχρηματιστηριακά παράγωγα, τους κεντρικούς αντισυμβαλλομένους και τα αρχεία καταγραφής συναλλαγών (European Market Infrastructure Regulation – EMIR), την εξειδίκευση τεχνικών προτύπων από τις ευρωπαϊκές εποπτικές αρχές και την ενίσχυση της επο-πτικής σύγκλισης σε επίπεδο ΕΕ.</w:t>
      </w:r>
    </w:p>
    <w:p>
      <w:pPr>
        <w:pStyle w:val="BodyText"/>
        <w:spacing w:line="304" w:lineRule="auto" w:before="112"/>
        <w:ind w:left="172" w:right="955"/>
        <w:jc w:val="both"/>
      </w:pPr>
      <w:r>
        <w:rPr/>
        <w:t>Στο επίκεντρο των εξελίξεων βρίσκεται η πρακτική εφαρμογή των τροποποιήσεων του EMIR (EMIR</w:t>
      </w:r>
      <w:r>
        <w:rPr>
          <w:spacing w:val="-4"/>
        </w:rPr>
        <w:t> </w:t>
      </w:r>
      <w:r>
        <w:rPr/>
        <w:t>3</w:t>
      </w:r>
      <w:hyperlink w:history="true" w:anchor="_bookmark154">
        <w:r>
          <w:rPr>
            <w:position w:val="6"/>
            <w:sz w:val="10"/>
          </w:rPr>
          <w:t>102</w:t>
        </w:r>
      </w:hyperlink>
      <w:r>
        <w:rPr/>
        <w:t>).</w:t>
      </w:r>
      <w:r>
        <w:rPr>
          <w:spacing w:val="-3"/>
        </w:rPr>
        <w:t> </w:t>
      </w:r>
      <w:r>
        <w:rPr/>
        <w:t>Στόχος</w:t>
      </w:r>
      <w:r>
        <w:rPr>
          <w:spacing w:val="-4"/>
        </w:rPr>
        <w:t> </w:t>
      </w:r>
      <w:r>
        <w:rPr/>
        <w:t>των</w:t>
      </w:r>
      <w:r>
        <w:rPr>
          <w:spacing w:val="-2"/>
        </w:rPr>
        <w:t> </w:t>
      </w:r>
      <w:r>
        <w:rPr/>
        <w:t>μεταρρυθμίσεων</w:t>
      </w:r>
      <w:r>
        <w:rPr>
          <w:spacing w:val="-2"/>
        </w:rPr>
        <w:t> </w:t>
      </w:r>
      <w:r>
        <w:rPr/>
        <w:t>είναι</w:t>
      </w:r>
      <w:r>
        <w:rPr>
          <w:spacing w:val="-3"/>
        </w:rPr>
        <w:t> </w:t>
      </w:r>
      <w:r>
        <w:rPr/>
        <w:t>η</w:t>
      </w:r>
      <w:r>
        <w:rPr>
          <w:spacing w:val="-3"/>
        </w:rPr>
        <w:t> </w:t>
      </w:r>
      <w:r>
        <w:rPr/>
        <w:t>ενίσχυση</w:t>
      </w:r>
      <w:r>
        <w:rPr>
          <w:spacing w:val="-3"/>
        </w:rPr>
        <w:t> </w:t>
      </w:r>
      <w:r>
        <w:rPr/>
        <w:t>της</w:t>
      </w:r>
      <w:r>
        <w:rPr>
          <w:spacing w:val="-5"/>
        </w:rPr>
        <w:t> </w:t>
      </w:r>
      <w:r>
        <w:rPr/>
        <w:t>ανθεκτικότητας</w:t>
      </w:r>
      <w:r>
        <w:rPr>
          <w:spacing w:val="-5"/>
        </w:rPr>
        <w:t> </w:t>
      </w:r>
      <w:r>
        <w:rPr/>
        <w:t>των</w:t>
      </w:r>
      <w:r>
        <w:rPr>
          <w:spacing w:val="-5"/>
        </w:rPr>
        <w:t> </w:t>
      </w:r>
      <w:r>
        <w:rPr/>
        <w:t>ευρωπαϊκών υποδομών εκκαθάρισης, η</w:t>
      </w:r>
      <w:r>
        <w:rPr>
          <w:spacing w:val="-2"/>
        </w:rPr>
        <w:t> </w:t>
      </w:r>
      <w:r>
        <w:rPr/>
        <w:t>μείωση της</w:t>
      </w:r>
      <w:r>
        <w:rPr>
          <w:spacing w:val="-4"/>
        </w:rPr>
        <w:t> </w:t>
      </w:r>
      <w:r>
        <w:rPr/>
        <w:t>υπερβολικής</w:t>
      </w:r>
      <w:r>
        <w:rPr>
          <w:spacing w:val="-2"/>
        </w:rPr>
        <w:t> </w:t>
      </w:r>
      <w:r>
        <w:rPr/>
        <w:t>εξάρτησης</w:t>
      </w:r>
      <w:r>
        <w:rPr>
          <w:spacing w:val="-1"/>
        </w:rPr>
        <w:t> </w:t>
      </w:r>
      <w:r>
        <w:rPr/>
        <w:t>από τρίτες</w:t>
      </w:r>
      <w:r>
        <w:rPr>
          <w:spacing w:val="-1"/>
        </w:rPr>
        <w:t> </w:t>
      </w:r>
      <w:r>
        <w:rPr/>
        <w:t>χώρες</w:t>
      </w:r>
      <w:r>
        <w:rPr>
          <w:spacing w:val="-3"/>
        </w:rPr>
        <w:t> </w:t>
      </w:r>
      <w:r>
        <w:rPr/>
        <w:t>και η ενίσχυση της στρατηγικής</w:t>
      </w:r>
      <w:r>
        <w:rPr>
          <w:spacing w:val="-1"/>
        </w:rPr>
        <w:t> </w:t>
      </w:r>
      <w:r>
        <w:rPr/>
        <w:t>αυτονομίας της ΕΕ στον τομέα των παραγώγων. Ιδιαίτερη σημασία αποδίδεται στην</w:t>
      </w:r>
      <w:r>
        <w:rPr>
          <w:spacing w:val="-4"/>
        </w:rPr>
        <w:t> </w:t>
      </w:r>
      <w:r>
        <w:rPr/>
        <w:t>εισαγωγή</w:t>
      </w:r>
      <w:r>
        <w:rPr>
          <w:spacing w:val="-2"/>
        </w:rPr>
        <w:t> </w:t>
      </w:r>
      <w:r>
        <w:rPr/>
        <w:t>της</w:t>
      </w:r>
      <w:r>
        <w:rPr>
          <w:spacing w:val="-4"/>
        </w:rPr>
        <w:t> </w:t>
      </w:r>
      <w:r>
        <w:rPr/>
        <w:t>“Απαίτησης</w:t>
      </w:r>
      <w:r>
        <w:rPr>
          <w:spacing w:val="-4"/>
        </w:rPr>
        <w:t> </w:t>
      </w:r>
      <w:r>
        <w:rPr/>
        <w:t>Ενεργού</w:t>
      </w:r>
      <w:r>
        <w:rPr>
          <w:spacing w:val="-1"/>
        </w:rPr>
        <w:t> </w:t>
      </w:r>
      <w:r>
        <w:rPr/>
        <w:t>Λογαριασμού”</w:t>
      </w:r>
      <w:r>
        <w:rPr>
          <w:spacing w:val="-2"/>
        </w:rPr>
        <w:t> </w:t>
      </w:r>
      <w:r>
        <w:rPr/>
        <w:t>(Active</w:t>
      </w:r>
      <w:r>
        <w:rPr>
          <w:spacing w:val="-2"/>
        </w:rPr>
        <w:t> </w:t>
      </w:r>
      <w:r>
        <w:rPr/>
        <w:t>Account</w:t>
      </w:r>
      <w:r>
        <w:rPr>
          <w:spacing w:val="-1"/>
        </w:rPr>
        <w:t> </w:t>
      </w:r>
      <w:r>
        <w:rPr/>
        <w:t>Requirement</w:t>
      </w:r>
      <w:r>
        <w:rPr>
          <w:spacing w:val="-1"/>
        </w:rPr>
        <w:t> </w:t>
      </w:r>
      <w:r>
        <w:rPr/>
        <w:t>−</w:t>
      </w:r>
      <w:r>
        <w:rPr>
          <w:spacing w:val="-2"/>
        </w:rPr>
        <w:t> </w:t>
      </w:r>
      <w:r>
        <w:rPr/>
        <w:t>AAR), μέσω της οποίας ενθαρρύνεται η ουσιαστική συμμετοχή χρηματοπιστωτικών (και μη) αντισυμ-βαλλομένων σε κεντρικούς αντισυμβαλλομένους εγκατεστημένους εντός της ΕΕ. Παράλληλα, αναθεωρούνται επιμέρους κατώφλια εκκαθάρισης και τεχνικές παράμετροι που αφορούν την ε-φαρμογή της υποχρέωσης κεντρικής εκκαθάρισης.</w:t>
      </w:r>
    </w:p>
    <w:p>
      <w:pPr>
        <w:pStyle w:val="BodyText"/>
        <w:spacing w:line="304" w:lineRule="auto" w:before="110"/>
        <w:ind w:left="172" w:right="962"/>
        <w:jc w:val="both"/>
      </w:pPr>
      <w:r>
        <w:rPr/>
        <w:t>Στις 6 Φεβρουαρίου 2026 δημοσιεύθηκαν στην Επίσημη Εφημερίδα της ΕΕ τα Ρυθμιστικά Τε-χνικά</w:t>
      </w:r>
      <w:r>
        <w:rPr>
          <w:spacing w:val="-10"/>
        </w:rPr>
        <w:t> </w:t>
      </w:r>
      <w:r>
        <w:rPr/>
        <w:t>Πρότυπα</w:t>
      </w:r>
      <w:r>
        <w:rPr>
          <w:spacing w:val="-11"/>
        </w:rPr>
        <w:t> </w:t>
      </w:r>
      <w:r>
        <w:rPr/>
        <w:t>(RTS)</w:t>
      </w:r>
      <w:r>
        <w:rPr>
          <w:spacing w:val="-8"/>
        </w:rPr>
        <w:t> </w:t>
      </w:r>
      <w:r>
        <w:rPr/>
        <w:t>που</w:t>
      </w:r>
      <w:r>
        <w:rPr>
          <w:spacing w:val="-10"/>
        </w:rPr>
        <w:t> </w:t>
      </w:r>
      <w:r>
        <w:rPr/>
        <w:t>αναπτύχθηκαν</w:t>
      </w:r>
      <w:r>
        <w:rPr>
          <w:spacing w:val="-8"/>
        </w:rPr>
        <w:t> </w:t>
      </w:r>
      <w:r>
        <w:rPr/>
        <w:t>από</w:t>
      </w:r>
      <w:r>
        <w:rPr>
          <w:spacing w:val="-9"/>
        </w:rPr>
        <w:t> </w:t>
      </w:r>
      <w:r>
        <w:rPr/>
        <w:t>την</w:t>
      </w:r>
      <w:r>
        <w:rPr>
          <w:spacing w:val="-8"/>
        </w:rPr>
        <w:t> </w:t>
      </w:r>
      <w:r>
        <w:rPr/>
        <w:t>Ευρωπαϊκή</w:t>
      </w:r>
      <w:r>
        <w:rPr>
          <w:spacing w:val="-9"/>
        </w:rPr>
        <w:t> </w:t>
      </w:r>
      <w:r>
        <w:rPr/>
        <w:t>Αρχή</w:t>
      </w:r>
      <w:r>
        <w:rPr>
          <w:spacing w:val="-10"/>
        </w:rPr>
        <w:t> </w:t>
      </w:r>
      <w:r>
        <w:rPr/>
        <w:t>Κινητών</w:t>
      </w:r>
      <w:r>
        <w:rPr>
          <w:spacing w:val="-8"/>
        </w:rPr>
        <w:t> </w:t>
      </w:r>
      <w:r>
        <w:rPr/>
        <w:t>Αξιών</w:t>
      </w:r>
      <w:r>
        <w:rPr>
          <w:spacing w:val="-8"/>
        </w:rPr>
        <w:t> </w:t>
      </w:r>
      <w:r>
        <w:rPr/>
        <w:t>και</w:t>
      </w:r>
      <w:r>
        <w:rPr>
          <w:spacing w:val="-8"/>
        </w:rPr>
        <w:t> </w:t>
      </w:r>
      <w:r>
        <w:rPr/>
        <w:t>Αγορών (ΕΑΚΑΑ),</w:t>
      </w:r>
      <w:r>
        <w:rPr>
          <w:spacing w:val="-8"/>
        </w:rPr>
        <w:t> </w:t>
      </w:r>
      <w:r>
        <w:rPr/>
        <w:t>τη</w:t>
      </w:r>
      <w:r>
        <w:rPr>
          <w:spacing w:val="-8"/>
        </w:rPr>
        <w:t> </w:t>
      </w:r>
      <w:r>
        <w:rPr/>
        <w:t>ρυθμιστική</w:t>
      </w:r>
      <w:r>
        <w:rPr>
          <w:spacing w:val="-9"/>
        </w:rPr>
        <w:t> </w:t>
      </w:r>
      <w:r>
        <w:rPr/>
        <w:t>και</w:t>
      </w:r>
      <w:r>
        <w:rPr>
          <w:spacing w:val="-8"/>
        </w:rPr>
        <w:t> </w:t>
      </w:r>
      <w:r>
        <w:rPr/>
        <w:t>εποπτική</w:t>
      </w:r>
      <w:r>
        <w:rPr>
          <w:spacing w:val="-9"/>
        </w:rPr>
        <w:t> </w:t>
      </w:r>
      <w:r>
        <w:rPr/>
        <w:t>αρχή</w:t>
      </w:r>
      <w:r>
        <w:rPr>
          <w:spacing w:val="-8"/>
        </w:rPr>
        <w:t> </w:t>
      </w:r>
      <w:r>
        <w:rPr/>
        <w:t>των</w:t>
      </w:r>
      <w:r>
        <w:rPr>
          <w:spacing w:val="-7"/>
        </w:rPr>
        <w:t> </w:t>
      </w:r>
      <w:r>
        <w:rPr/>
        <w:t>χρηματοπιστωτικών</w:t>
      </w:r>
      <w:r>
        <w:rPr>
          <w:spacing w:val="-7"/>
        </w:rPr>
        <w:t> </w:t>
      </w:r>
      <w:r>
        <w:rPr/>
        <w:t>αγορών</w:t>
      </w:r>
      <w:r>
        <w:rPr>
          <w:spacing w:val="-7"/>
        </w:rPr>
        <w:t> </w:t>
      </w:r>
      <w:r>
        <w:rPr/>
        <w:t>της</w:t>
      </w:r>
      <w:r>
        <w:rPr>
          <w:spacing w:val="-12"/>
        </w:rPr>
        <w:t> </w:t>
      </w:r>
      <w:r>
        <w:rPr/>
        <w:t>ΕΕ,</w:t>
      </w:r>
      <w:r>
        <w:rPr>
          <w:spacing w:val="-8"/>
        </w:rPr>
        <w:t> </w:t>
      </w:r>
      <w:r>
        <w:rPr/>
        <w:t>μέσω</w:t>
      </w:r>
      <w:r>
        <w:rPr>
          <w:spacing w:val="-7"/>
        </w:rPr>
        <w:t> </w:t>
      </w:r>
      <w:r>
        <w:rPr/>
        <w:t>των οποίων διευκρινίζονται περαιτέρω οι όροι του AAR.</w:t>
      </w:r>
    </w:p>
    <w:p>
      <w:pPr>
        <w:pStyle w:val="BodyText"/>
        <w:spacing w:line="304" w:lineRule="auto" w:before="114"/>
        <w:ind w:left="172" w:right="963"/>
        <w:jc w:val="both"/>
      </w:pPr>
      <w:r>
        <w:rPr/>
        <w:t>Επιπρόσθετα, στις 25 Φεβρουαρίου 2026 η ΕΑΚΑΑ δημοσίευσε το σχέδιο Ρυθμιστικών Τεχνι-κών Προτύπων (RTS) που καθορίζει νέα, αναθεωρημένα κατώφλια εκκαθάρισης βάσει του EMIR 3. Τα</w:t>
      </w:r>
      <w:r>
        <w:rPr>
          <w:spacing w:val="-1"/>
        </w:rPr>
        <w:t> </w:t>
      </w:r>
      <w:r>
        <w:rPr/>
        <w:t>προτεινόμενα</w:t>
      </w:r>
      <w:r>
        <w:rPr>
          <w:spacing w:val="-3"/>
        </w:rPr>
        <w:t> </w:t>
      </w:r>
      <w:r>
        <w:rPr/>
        <w:t>όρια διασφαλίζουν τη συνέχεια στην κάλυψη του συστημικού κινδύ-νου στις αγορές εξωχρηματιστηριακών παραγώγων, αποφεύγοντας παράλληλα την περιττή πο-λυπλοκότητα και τα πρόσθετα βάρη συμμόρφωσης για τους συμμετέχοντες στην αγορά.</w:t>
      </w:r>
    </w:p>
    <w:p>
      <w:pPr>
        <w:pStyle w:val="BodyText"/>
        <w:spacing w:line="304" w:lineRule="auto" w:before="114"/>
        <w:ind w:left="172" w:right="954"/>
        <w:jc w:val="both"/>
      </w:pPr>
      <w:r>
        <w:rPr/>
        <w:t>Στις 16 Δεκεμβρίου 2025 η ΕΑΚΑΑ επιβεβαίωσε ότι θα διατηρήσει την αναγνώριση των LCH Limited</w:t>
      </w:r>
      <w:r>
        <w:rPr>
          <w:spacing w:val="-4"/>
        </w:rPr>
        <w:t> </w:t>
      </w:r>
      <w:r>
        <w:rPr/>
        <w:t>και</w:t>
      </w:r>
      <w:r>
        <w:rPr>
          <w:spacing w:val="-5"/>
        </w:rPr>
        <w:t> </w:t>
      </w:r>
      <w:r>
        <w:rPr/>
        <w:t>LME</w:t>
      </w:r>
      <w:r>
        <w:rPr>
          <w:spacing w:val="-5"/>
        </w:rPr>
        <w:t> </w:t>
      </w:r>
      <w:r>
        <w:rPr/>
        <w:t>Clear</w:t>
      </w:r>
      <w:r>
        <w:rPr>
          <w:spacing w:val="-4"/>
        </w:rPr>
        <w:t> </w:t>
      </w:r>
      <w:r>
        <w:rPr/>
        <w:t>Limited,</w:t>
      </w:r>
      <w:r>
        <w:rPr>
          <w:spacing w:val="-4"/>
        </w:rPr>
        <w:t> </w:t>
      </w:r>
      <w:r>
        <w:rPr/>
        <w:t>κεντρικών</w:t>
      </w:r>
      <w:r>
        <w:rPr>
          <w:spacing w:val="-4"/>
        </w:rPr>
        <w:t> </w:t>
      </w:r>
      <w:r>
        <w:rPr/>
        <w:t>αντισυμβαλλομένων</w:t>
      </w:r>
      <w:r>
        <w:rPr>
          <w:spacing w:val="-4"/>
        </w:rPr>
        <w:t> </w:t>
      </w:r>
      <w:r>
        <w:rPr/>
        <w:t>με</w:t>
      </w:r>
      <w:r>
        <w:rPr>
          <w:spacing w:val="-6"/>
        </w:rPr>
        <w:t> </w:t>
      </w:r>
      <w:r>
        <w:rPr/>
        <w:t>έδρα</w:t>
      </w:r>
      <w:r>
        <w:rPr>
          <w:spacing w:val="-5"/>
        </w:rPr>
        <w:t> </w:t>
      </w:r>
      <w:r>
        <w:rPr/>
        <w:t>το</w:t>
      </w:r>
      <w:r>
        <w:rPr>
          <w:spacing w:val="-5"/>
        </w:rPr>
        <w:t> </w:t>
      </w:r>
      <w:r>
        <w:rPr/>
        <w:t>Ηνωμένο</w:t>
      </w:r>
      <w:r>
        <w:rPr>
          <w:spacing w:val="-5"/>
        </w:rPr>
        <w:t> </w:t>
      </w:r>
      <w:r>
        <w:rPr/>
        <w:t>Βασίλειο, με βάση την οποία δύνανται να</w:t>
      </w:r>
      <w:r>
        <w:rPr>
          <w:spacing w:val="-1"/>
        </w:rPr>
        <w:t> </w:t>
      </w:r>
      <w:r>
        <w:rPr/>
        <w:t>παρέχουν υπηρεσίες</w:t>
      </w:r>
      <w:r>
        <w:rPr>
          <w:spacing w:val="-1"/>
        </w:rPr>
        <w:t> </w:t>
      </w:r>
      <w:r>
        <w:rPr/>
        <w:t>εκκαθάρισης</w:t>
      </w:r>
      <w:r>
        <w:rPr>
          <w:spacing w:val="-1"/>
        </w:rPr>
        <w:t> </w:t>
      </w:r>
      <w:r>
        <w:rPr/>
        <w:t>σε εκκαθαριστικά μέλη εντός της ΕΕ υπό τις διατάξεις του κανονισμού EMIR. Μετά την αξιολόγησή της, η ΕΑΚΑΑ έκρινε ότι εξακολουθούν να πληρούνται οι όροι υπό τους οποίους αναγνωρίστηκαν αρχικά οι εν λόγω αντισυμβαλλόμενοι ως κατηγορίας 2 (LCH Limited) και κατηγορίας 1 (LME Clear Limited) α-ντίστοιχα. Οι αποφάσεις της ΕΑΚΑΑ σχετικά με τον καθορισμό της διαβάθμισης και την ανα-γνώριση των δύο κεντρικών αντισυμβαλλομένων παραμένουν σε ισχύ έως τις 30 Ιουνίου 2028.</w:t>
      </w:r>
    </w:p>
    <w:p>
      <w:pPr>
        <w:pStyle w:val="BodyText"/>
        <w:rPr>
          <w:sz w:val="20"/>
        </w:rPr>
      </w:pPr>
    </w:p>
    <w:p>
      <w:pPr>
        <w:pStyle w:val="BodyText"/>
        <w:rPr>
          <w:sz w:val="20"/>
        </w:rPr>
      </w:pPr>
    </w:p>
    <w:p>
      <w:pPr>
        <w:pStyle w:val="BodyText"/>
        <w:spacing w:before="88"/>
        <w:rPr>
          <w:sz w:val="20"/>
        </w:rPr>
      </w:pPr>
      <w:r>
        <w:rPr>
          <w:sz w:val="20"/>
        </w:rPr>
        <mc:AlternateContent>
          <mc:Choice Requires="wps">
            <w:drawing>
              <wp:anchor distT="0" distB="0" distL="0" distR="0" allowOverlap="1" layoutInCell="1" locked="0" behindDoc="1" simplePos="0" relativeHeight="487672832">
                <wp:simplePos x="0" y="0"/>
                <wp:positionH relativeFrom="page">
                  <wp:posOffset>1009192</wp:posOffset>
                </wp:positionH>
                <wp:positionV relativeFrom="paragraph">
                  <wp:posOffset>217193</wp:posOffset>
                </wp:positionV>
                <wp:extent cx="1829435" cy="7620"/>
                <wp:effectExtent l="0" t="0" r="0" b="0"/>
                <wp:wrapTopAndBottom/>
                <wp:docPr id="768" name="Graphic 768"/>
                <wp:cNvGraphicFramePr>
                  <a:graphicFrameLocks/>
                </wp:cNvGraphicFramePr>
                <a:graphic>
                  <a:graphicData uri="http://schemas.microsoft.com/office/word/2010/wordprocessingShape">
                    <wps:wsp>
                      <wps:cNvPr id="768" name="Graphic 76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7.101875pt;width:144.020pt;height:.599980pt;mso-position-horizontal-relative:page;mso-position-vertical-relative:paragraph;z-index:-15643648;mso-wrap-distance-left:0;mso-wrap-distance-right:0" id="docshape717" filled="true" fillcolor="#000000" stroked="false">
                <v:fill type="solid"/>
                <w10:wrap type="topAndBottom"/>
              </v:rect>
            </w:pict>
          </mc:Fallback>
        </mc:AlternateContent>
      </w:r>
    </w:p>
    <w:p>
      <w:pPr>
        <w:spacing w:before="167"/>
        <w:ind w:left="172" w:right="958" w:firstLine="0"/>
        <w:jc w:val="both"/>
        <w:rPr>
          <w:sz w:val="16"/>
        </w:rPr>
      </w:pPr>
      <w:bookmarkStart w:name="_bookmark154" w:id="155"/>
      <w:bookmarkEnd w:id="155"/>
      <w:r>
        <w:rPr/>
      </w:r>
      <w:r>
        <w:rPr>
          <w:sz w:val="16"/>
          <w:vertAlign w:val="superscript"/>
        </w:rPr>
        <w:t>102</w:t>
      </w:r>
      <w:r>
        <w:rPr>
          <w:spacing w:val="-3"/>
          <w:sz w:val="16"/>
          <w:vertAlign w:val="baseline"/>
        </w:rPr>
        <w:t> </w:t>
      </w:r>
      <w:r>
        <w:rPr>
          <w:sz w:val="16"/>
          <w:vertAlign w:val="baseline"/>
        </w:rPr>
        <w:t>Κανονισμός</w:t>
      </w:r>
      <w:r>
        <w:rPr>
          <w:spacing w:val="-2"/>
          <w:sz w:val="16"/>
          <w:vertAlign w:val="baseline"/>
        </w:rPr>
        <w:t> </w:t>
      </w:r>
      <w:r>
        <w:rPr>
          <w:sz w:val="16"/>
          <w:vertAlign w:val="baseline"/>
        </w:rPr>
        <w:t>(ΕΕ)</w:t>
      </w:r>
      <w:r>
        <w:rPr>
          <w:spacing w:val="-4"/>
          <w:sz w:val="16"/>
          <w:vertAlign w:val="baseline"/>
        </w:rPr>
        <w:t> </w:t>
      </w:r>
      <w:r>
        <w:rPr>
          <w:sz w:val="16"/>
          <w:vertAlign w:val="baseline"/>
        </w:rPr>
        <w:t>2024/2987</w:t>
      </w:r>
      <w:r>
        <w:rPr>
          <w:spacing w:val="-2"/>
          <w:sz w:val="16"/>
          <w:vertAlign w:val="baseline"/>
        </w:rPr>
        <w:t> </w:t>
      </w:r>
      <w:r>
        <w:rPr>
          <w:sz w:val="16"/>
          <w:vertAlign w:val="baseline"/>
        </w:rPr>
        <w:t>του</w:t>
      </w:r>
      <w:r>
        <w:rPr>
          <w:spacing w:val="-4"/>
          <w:sz w:val="16"/>
          <w:vertAlign w:val="baseline"/>
        </w:rPr>
        <w:t> </w:t>
      </w:r>
      <w:r>
        <w:rPr>
          <w:sz w:val="16"/>
          <w:vertAlign w:val="baseline"/>
        </w:rPr>
        <w:t>Ευρωπαϊκού</w:t>
      </w:r>
      <w:r>
        <w:rPr>
          <w:spacing w:val="-4"/>
          <w:sz w:val="16"/>
          <w:vertAlign w:val="baseline"/>
        </w:rPr>
        <w:t> </w:t>
      </w:r>
      <w:r>
        <w:rPr>
          <w:sz w:val="16"/>
          <w:vertAlign w:val="baseline"/>
        </w:rPr>
        <w:t>Κοινοβουλίου</w:t>
      </w:r>
      <w:r>
        <w:rPr>
          <w:spacing w:val="-4"/>
          <w:sz w:val="16"/>
          <w:vertAlign w:val="baseline"/>
        </w:rPr>
        <w:t> </w:t>
      </w:r>
      <w:r>
        <w:rPr>
          <w:sz w:val="16"/>
          <w:vertAlign w:val="baseline"/>
        </w:rPr>
        <w:t>και</w:t>
      </w:r>
      <w:r>
        <w:rPr>
          <w:spacing w:val="-4"/>
          <w:sz w:val="16"/>
          <w:vertAlign w:val="baseline"/>
        </w:rPr>
        <w:t> </w:t>
      </w:r>
      <w:r>
        <w:rPr>
          <w:sz w:val="16"/>
          <w:vertAlign w:val="baseline"/>
        </w:rPr>
        <w:t>του</w:t>
      </w:r>
      <w:r>
        <w:rPr>
          <w:spacing w:val="-4"/>
          <w:sz w:val="16"/>
          <w:vertAlign w:val="baseline"/>
        </w:rPr>
        <w:t> </w:t>
      </w:r>
      <w:r>
        <w:rPr>
          <w:sz w:val="16"/>
          <w:vertAlign w:val="baseline"/>
        </w:rPr>
        <w:t>Συμβουλίου</w:t>
      </w:r>
      <w:r>
        <w:rPr>
          <w:spacing w:val="-4"/>
          <w:sz w:val="16"/>
          <w:vertAlign w:val="baseline"/>
        </w:rPr>
        <w:t> </w:t>
      </w:r>
      <w:r>
        <w:rPr>
          <w:sz w:val="16"/>
          <w:vertAlign w:val="baseline"/>
        </w:rPr>
        <w:t>της</w:t>
      </w:r>
      <w:r>
        <w:rPr>
          <w:spacing w:val="-2"/>
          <w:sz w:val="16"/>
          <w:vertAlign w:val="baseline"/>
        </w:rPr>
        <w:t> </w:t>
      </w:r>
      <w:r>
        <w:rPr>
          <w:sz w:val="16"/>
          <w:vertAlign w:val="baseline"/>
        </w:rPr>
        <w:t>27ης</w:t>
      </w:r>
      <w:r>
        <w:rPr>
          <w:spacing w:val="-2"/>
          <w:sz w:val="16"/>
          <w:vertAlign w:val="baseline"/>
        </w:rPr>
        <w:t> </w:t>
      </w:r>
      <w:r>
        <w:rPr>
          <w:sz w:val="16"/>
          <w:vertAlign w:val="baseline"/>
        </w:rPr>
        <w:t>Νοεμβρίου</w:t>
      </w:r>
      <w:r>
        <w:rPr>
          <w:spacing w:val="-4"/>
          <w:sz w:val="16"/>
          <w:vertAlign w:val="baseline"/>
        </w:rPr>
        <w:t> </w:t>
      </w:r>
      <w:r>
        <w:rPr>
          <w:sz w:val="16"/>
          <w:vertAlign w:val="baseline"/>
        </w:rPr>
        <w:t>2024</w:t>
      </w:r>
      <w:r>
        <w:rPr>
          <w:spacing w:val="-4"/>
          <w:sz w:val="16"/>
          <w:vertAlign w:val="baseline"/>
        </w:rPr>
        <w:t> </w:t>
      </w:r>
      <w:r>
        <w:rPr>
          <w:sz w:val="16"/>
          <w:vertAlign w:val="baseline"/>
        </w:rPr>
        <w:t>για</w:t>
      </w:r>
      <w:r>
        <w:rPr>
          <w:spacing w:val="-6"/>
          <w:sz w:val="16"/>
          <w:vertAlign w:val="baseline"/>
        </w:rPr>
        <w:t> </w:t>
      </w:r>
      <w:r>
        <w:rPr>
          <w:sz w:val="16"/>
          <w:vertAlign w:val="baseline"/>
        </w:rPr>
        <w:t>την</w:t>
      </w:r>
      <w:r>
        <w:rPr>
          <w:spacing w:val="-1"/>
          <w:sz w:val="16"/>
          <w:vertAlign w:val="baseline"/>
        </w:rPr>
        <w:t> </w:t>
      </w:r>
      <w:r>
        <w:rPr>
          <w:sz w:val="16"/>
          <w:vertAlign w:val="baseline"/>
        </w:rPr>
        <w:t>τροποποίηση</w:t>
      </w:r>
      <w:r>
        <w:rPr>
          <w:spacing w:val="40"/>
          <w:sz w:val="16"/>
          <w:vertAlign w:val="baseline"/>
        </w:rPr>
        <w:t> </w:t>
      </w:r>
      <w:r>
        <w:rPr>
          <w:sz w:val="16"/>
          <w:vertAlign w:val="baseline"/>
        </w:rPr>
        <w:t>των</w:t>
      </w:r>
      <w:r>
        <w:rPr>
          <w:spacing w:val="-4"/>
          <w:sz w:val="16"/>
          <w:vertAlign w:val="baseline"/>
        </w:rPr>
        <w:t> </w:t>
      </w:r>
      <w:r>
        <w:rPr>
          <w:sz w:val="16"/>
          <w:vertAlign w:val="baseline"/>
        </w:rPr>
        <w:t>Κανονισμών</w:t>
      </w:r>
      <w:r>
        <w:rPr>
          <w:spacing w:val="-4"/>
          <w:sz w:val="16"/>
          <w:vertAlign w:val="baseline"/>
        </w:rPr>
        <w:t> </w:t>
      </w:r>
      <w:r>
        <w:rPr>
          <w:sz w:val="16"/>
          <w:vertAlign w:val="baseline"/>
        </w:rPr>
        <w:t>(ΕΕ)</w:t>
      </w:r>
      <w:r>
        <w:rPr>
          <w:spacing w:val="-4"/>
          <w:sz w:val="16"/>
          <w:vertAlign w:val="baseline"/>
        </w:rPr>
        <w:t> </w:t>
      </w:r>
      <w:r>
        <w:rPr>
          <w:sz w:val="16"/>
          <w:vertAlign w:val="baseline"/>
        </w:rPr>
        <w:t>αριθ.</w:t>
      </w:r>
      <w:r>
        <w:rPr>
          <w:spacing w:val="-5"/>
          <w:sz w:val="16"/>
          <w:vertAlign w:val="baseline"/>
        </w:rPr>
        <w:t> </w:t>
      </w:r>
      <w:r>
        <w:rPr>
          <w:sz w:val="16"/>
          <w:vertAlign w:val="baseline"/>
        </w:rPr>
        <w:t>648/2012,</w:t>
      </w:r>
      <w:r>
        <w:rPr>
          <w:spacing w:val="-3"/>
          <w:sz w:val="16"/>
          <w:vertAlign w:val="baseline"/>
        </w:rPr>
        <w:t> </w:t>
      </w:r>
      <w:r>
        <w:rPr>
          <w:sz w:val="16"/>
          <w:vertAlign w:val="baseline"/>
        </w:rPr>
        <w:t>(ΕΕ)</w:t>
      </w:r>
      <w:r>
        <w:rPr>
          <w:spacing w:val="-4"/>
          <w:sz w:val="16"/>
          <w:vertAlign w:val="baseline"/>
        </w:rPr>
        <w:t> </w:t>
      </w:r>
      <w:r>
        <w:rPr>
          <w:sz w:val="16"/>
          <w:vertAlign w:val="baseline"/>
        </w:rPr>
        <w:t>αριθ.</w:t>
      </w:r>
      <w:r>
        <w:rPr>
          <w:spacing w:val="-5"/>
          <w:sz w:val="16"/>
          <w:vertAlign w:val="baseline"/>
        </w:rPr>
        <w:t> </w:t>
      </w:r>
      <w:r>
        <w:rPr>
          <w:sz w:val="16"/>
          <w:vertAlign w:val="baseline"/>
        </w:rPr>
        <w:t>575/2013</w:t>
      </w:r>
      <w:r>
        <w:rPr>
          <w:spacing w:val="-2"/>
          <w:sz w:val="16"/>
          <w:vertAlign w:val="baseline"/>
        </w:rPr>
        <w:t> </w:t>
      </w:r>
      <w:r>
        <w:rPr>
          <w:sz w:val="16"/>
          <w:vertAlign w:val="baseline"/>
        </w:rPr>
        <w:t>και</w:t>
      </w:r>
      <w:r>
        <w:rPr>
          <w:spacing w:val="-3"/>
          <w:sz w:val="16"/>
          <w:vertAlign w:val="baseline"/>
        </w:rPr>
        <w:t> </w:t>
      </w:r>
      <w:r>
        <w:rPr>
          <w:sz w:val="16"/>
          <w:vertAlign w:val="baseline"/>
        </w:rPr>
        <w:t>(ΕΕ)</w:t>
      </w:r>
      <w:r>
        <w:rPr>
          <w:spacing w:val="-4"/>
          <w:sz w:val="16"/>
          <w:vertAlign w:val="baseline"/>
        </w:rPr>
        <w:t> </w:t>
      </w:r>
      <w:r>
        <w:rPr>
          <w:sz w:val="16"/>
          <w:vertAlign w:val="baseline"/>
        </w:rPr>
        <w:t>2017/1131</w:t>
      </w:r>
      <w:r>
        <w:rPr>
          <w:spacing w:val="-5"/>
          <w:sz w:val="16"/>
          <w:vertAlign w:val="baseline"/>
        </w:rPr>
        <w:t> </w:t>
      </w:r>
      <w:r>
        <w:rPr>
          <w:sz w:val="16"/>
          <w:vertAlign w:val="baseline"/>
        </w:rPr>
        <w:t>όσον</w:t>
      </w:r>
      <w:r>
        <w:rPr>
          <w:spacing w:val="-4"/>
          <w:sz w:val="16"/>
          <w:vertAlign w:val="baseline"/>
        </w:rPr>
        <w:t> </w:t>
      </w:r>
      <w:r>
        <w:rPr>
          <w:sz w:val="16"/>
          <w:vertAlign w:val="baseline"/>
        </w:rPr>
        <w:t>αφορά</w:t>
      </w:r>
      <w:r>
        <w:rPr>
          <w:spacing w:val="-3"/>
          <w:sz w:val="16"/>
          <w:vertAlign w:val="baseline"/>
        </w:rPr>
        <w:t> </w:t>
      </w:r>
      <w:r>
        <w:rPr>
          <w:sz w:val="16"/>
          <w:vertAlign w:val="baseline"/>
        </w:rPr>
        <w:t>μέτρα</w:t>
      </w:r>
      <w:r>
        <w:rPr>
          <w:spacing w:val="-3"/>
          <w:sz w:val="16"/>
          <w:vertAlign w:val="baseline"/>
        </w:rPr>
        <w:t> </w:t>
      </w:r>
      <w:r>
        <w:rPr>
          <w:sz w:val="16"/>
          <w:vertAlign w:val="baseline"/>
        </w:rPr>
        <w:t>για</w:t>
      </w:r>
      <w:r>
        <w:rPr>
          <w:spacing w:val="-6"/>
          <w:sz w:val="16"/>
          <w:vertAlign w:val="baseline"/>
        </w:rPr>
        <w:t> </w:t>
      </w:r>
      <w:r>
        <w:rPr>
          <w:sz w:val="16"/>
          <w:vertAlign w:val="baseline"/>
        </w:rPr>
        <w:t>τον</w:t>
      </w:r>
      <w:r>
        <w:rPr>
          <w:spacing w:val="-4"/>
          <w:sz w:val="16"/>
          <w:vertAlign w:val="baseline"/>
        </w:rPr>
        <w:t> </w:t>
      </w:r>
      <w:r>
        <w:rPr>
          <w:sz w:val="16"/>
          <w:vertAlign w:val="baseline"/>
        </w:rPr>
        <w:t>μετριασμό</w:t>
      </w:r>
      <w:r>
        <w:rPr>
          <w:spacing w:val="-2"/>
          <w:sz w:val="16"/>
          <w:vertAlign w:val="baseline"/>
        </w:rPr>
        <w:t> </w:t>
      </w:r>
      <w:r>
        <w:rPr>
          <w:sz w:val="16"/>
          <w:vertAlign w:val="baseline"/>
        </w:rPr>
        <w:t>της</w:t>
      </w:r>
      <w:r>
        <w:rPr>
          <w:spacing w:val="-2"/>
          <w:sz w:val="16"/>
          <w:vertAlign w:val="baseline"/>
        </w:rPr>
        <w:t> </w:t>
      </w:r>
      <w:r>
        <w:rPr>
          <w:sz w:val="16"/>
          <w:vertAlign w:val="baseline"/>
        </w:rPr>
        <w:t>υπερβολι-κής</w:t>
      </w:r>
      <w:r>
        <w:rPr>
          <w:spacing w:val="-6"/>
          <w:sz w:val="16"/>
          <w:vertAlign w:val="baseline"/>
        </w:rPr>
        <w:t> </w:t>
      </w:r>
      <w:r>
        <w:rPr>
          <w:sz w:val="16"/>
          <w:vertAlign w:val="baseline"/>
        </w:rPr>
        <w:t>έκθεσης</w:t>
      </w:r>
      <w:r>
        <w:rPr>
          <w:spacing w:val="-6"/>
          <w:sz w:val="16"/>
          <w:vertAlign w:val="baseline"/>
        </w:rPr>
        <w:t> </w:t>
      </w:r>
      <w:r>
        <w:rPr>
          <w:sz w:val="16"/>
          <w:vertAlign w:val="baseline"/>
        </w:rPr>
        <w:t>σε</w:t>
      </w:r>
      <w:r>
        <w:rPr>
          <w:spacing w:val="-5"/>
          <w:sz w:val="16"/>
          <w:vertAlign w:val="baseline"/>
        </w:rPr>
        <w:t> </w:t>
      </w:r>
      <w:r>
        <w:rPr>
          <w:sz w:val="16"/>
          <w:vertAlign w:val="baseline"/>
        </w:rPr>
        <w:t>κεντρικούς</w:t>
      </w:r>
      <w:r>
        <w:rPr>
          <w:spacing w:val="-6"/>
          <w:sz w:val="16"/>
          <w:vertAlign w:val="baseline"/>
        </w:rPr>
        <w:t> </w:t>
      </w:r>
      <w:r>
        <w:rPr>
          <w:sz w:val="16"/>
          <w:vertAlign w:val="baseline"/>
        </w:rPr>
        <w:t>αντισυμβαλλομένους</w:t>
      </w:r>
      <w:r>
        <w:rPr>
          <w:spacing w:val="-6"/>
          <w:sz w:val="16"/>
          <w:vertAlign w:val="baseline"/>
        </w:rPr>
        <w:t> </w:t>
      </w:r>
      <w:r>
        <w:rPr>
          <w:sz w:val="16"/>
          <w:vertAlign w:val="baseline"/>
        </w:rPr>
        <w:t>τρίτων</w:t>
      </w:r>
      <w:r>
        <w:rPr>
          <w:spacing w:val="-7"/>
          <w:sz w:val="16"/>
          <w:vertAlign w:val="baseline"/>
        </w:rPr>
        <w:t> </w:t>
      </w:r>
      <w:r>
        <w:rPr>
          <w:sz w:val="16"/>
          <w:vertAlign w:val="baseline"/>
        </w:rPr>
        <w:t>χωρών</w:t>
      </w:r>
      <w:r>
        <w:rPr>
          <w:spacing w:val="-7"/>
          <w:sz w:val="16"/>
          <w:vertAlign w:val="baseline"/>
        </w:rPr>
        <w:t> </w:t>
      </w:r>
      <w:r>
        <w:rPr>
          <w:sz w:val="16"/>
          <w:vertAlign w:val="baseline"/>
        </w:rPr>
        <w:t>και</w:t>
      </w:r>
      <w:r>
        <w:rPr>
          <w:spacing w:val="-7"/>
          <w:sz w:val="16"/>
          <w:vertAlign w:val="baseline"/>
        </w:rPr>
        <w:t> </w:t>
      </w:r>
      <w:r>
        <w:rPr>
          <w:sz w:val="16"/>
          <w:vertAlign w:val="baseline"/>
        </w:rPr>
        <w:t>τη</w:t>
      </w:r>
      <w:r>
        <w:rPr>
          <w:spacing w:val="-4"/>
          <w:sz w:val="16"/>
          <w:vertAlign w:val="baseline"/>
        </w:rPr>
        <w:t> </w:t>
      </w:r>
      <w:r>
        <w:rPr>
          <w:sz w:val="16"/>
          <w:vertAlign w:val="baseline"/>
        </w:rPr>
        <w:t>βελτίωση</w:t>
      </w:r>
      <w:r>
        <w:rPr>
          <w:spacing w:val="-5"/>
          <w:sz w:val="16"/>
          <w:vertAlign w:val="baseline"/>
        </w:rPr>
        <w:t> </w:t>
      </w:r>
      <w:r>
        <w:rPr>
          <w:sz w:val="16"/>
          <w:vertAlign w:val="baseline"/>
        </w:rPr>
        <w:t>της</w:t>
      </w:r>
      <w:r>
        <w:rPr>
          <w:spacing w:val="-3"/>
          <w:sz w:val="16"/>
          <w:vertAlign w:val="baseline"/>
        </w:rPr>
        <w:t> </w:t>
      </w:r>
      <w:r>
        <w:rPr>
          <w:sz w:val="16"/>
          <w:vertAlign w:val="baseline"/>
        </w:rPr>
        <w:t>αποτελεσματικότητας</w:t>
      </w:r>
      <w:r>
        <w:rPr>
          <w:spacing w:val="-6"/>
          <w:sz w:val="16"/>
          <w:vertAlign w:val="baseline"/>
        </w:rPr>
        <w:t> </w:t>
      </w:r>
      <w:r>
        <w:rPr>
          <w:sz w:val="16"/>
          <w:vertAlign w:val="baseline"/>
        </w:rPr>
        <w:t>των</w:t>
      </w:r>
      <w:r>
        <w:rPr>
          <w:spacing w:val="-7"/>
          <w:sz w:val="16"/>
          <w:vertAlign w:val="baseline"/>
        </w:rPr>
        <w:t> </w:t>
      </w:r>
      <w:r>
        <w:rPr>
          <w:sz w:val="16"/>
          <w:vertAlign w:val="baseline"/>
        </w:rPr>
        <w:t>αγορών</w:t>
      </w:r>
      <w:r>
        <w:rPr>
          <w:spacing w:val="-5"/>
          <w:sz w:val="16"/>
          <w:vertAlign w:val="baseline"/>
        </w:rPr>
        <w:t> </w:t>
      </w:r>
      <w:r>
        <w:rPr>
          <w:sz w:val="16"/>
          <w:vertAlign w:val="baseline"/>
        </w:rPr>
        <w:t>εκκαθάρισης</w:t>
      </w:r>
      <w:r>
        <w:rPr>
          <w:spacing w:val="40"/>
          <w:sz w:val="16"/>
          <w:vertAlign w:val="baseline"/>
        </w:rPr>
        <w:t> </w:t>
      </w:r>
      <w:r>
        <w:rPr>
          <w:sz w:val="16"/>
          <w:vertAlign w:val="baseline"/>
        </w:rPr>
        <w:t>της</w:t>
      </w:r>
      <w:r>
        <w:rPr>
          <w:spacing w:val="-3"/>
          <w:sz w:val="16"/>
          <w:vertAlign w:val="baseline"/>
        </w:rPr>
        <w:t> </w:t>
      </w:r>
      <w:r>
        <w:rPr>
          <w:sz w:val="16"/>
          <w:vertAlign w:val="baseline"/>
        </w:rPr>
        <w:t>Ένωσης.</w:t>
      </w:r>
    </w:p>
    <w:p>
      <w:pPr>
        <w:spacing w:after="0"/>
        <w:jc w:val="both"/>
        <w:rPr>
          <w:sz w:val="16"/>
        </w:rPr>
        <w:sectPr>
          <w:pgSz w:w="11910" w:h="16850"/>
          <w:pgMar w:header="0" w:footer="1262" w:top="1800" w:bottom="1500" w:left="1417" w:right="850"/>
        </w:sectPr>
      </w:pPr>
    </w:p>
    <w:p>
      <w:pPr>
        <w:pStyle w:val="Heading3"/>
        <w:numPr>
          <w:ilvl w:val="2"/>
          <w:numId w:val="2"/>
        </w:numPr>
        <w:tabs>
          <w:tab w:pos="738" w:val="left" w:leader="none"/>
        </w:tabs>
        <w:spacing w:line="240" w:lineRule="auto" w:before="70" w:after="0"/>
        <w:ind w:left="738" w:right="0" w:hanging="566"/>
        <w:jc w:val="left"/>
        <w:rPr>
          <w:color w:val="1F487C"/>
        </w:rPr>
      </w:pPr>
      <w:bookmarkStart w:name="_bookmark155" w:id="156"/>
      <w:bookmarkEnd w:id="156"/>
      <w:r>
        <w:rPr>
          <w:b w:val="0"/>
        </w:rPr>
      </w:r>
      <w:r>
        <w:rPr>
          <w:color w:val="1F487C"/>
        </w:rPr>
        <w:t>EURONEXT</w:t>
      </w:r>
      <w:r>
        <w:rPr>
          <w:color w:val="1F487C"/>
          <w:spacing w:val="-9"/>
        </w:rPr>
        <w:t> </w:t>
      </w:r>
      <w:r>
        <w:rPr>
          <w:color w:val="1F487C"/>
        </w:rPr>
        <w:t>CLEARING</w:t>
      </w:r>
      <w:r>
        <w:rPr>
          <w:color w:val="1F487C"/>
          <w:spacing w:val="-7"/>
        </w:rPr>
        <w:t> </w:t>
      </w:r>
      <w:r>
        <w:rPr>
          <w:color w:val="1F487C"/>
        </w:rPr>
        <w:t>ATHENS</w:t>
      </w:r>
      <w:r>
        <w:rPr>
          <w:color w:val="1F487C"/>
          <w:spacing w:val="-7"/>
        </w:rPr>
        <w:t> </w:t>
      </w:r>
      <w:r>
        <w:rPr>
          <w:color w:val="1F487C"/>
          <w:spacing w:val="-4"/>
        </w:rPr>
        <w:t>Α.Ε.</w:t>
      </w:r>
    </w:p>
    <w:p>
      <w:pPr>
        <w:pStyle w:val="BodyText"/>
        <w:spacing w:line="302" w:lineRule="auto" w:before="66"/>
        <w:ind w:left="172" w:right="958"/>
        <w:jc w:val="both"/>
      </w:pPr>
      <w:r>
        <w:rPr/>
        <w:t>Η</w:t>
      </w:r>
      <w:r>
        <w:rPr>
          <w:spacing w:val="-6"/>
        </w:rPr>
        <w:t> </w:t>
      </w:r>
      <w:r>
        <w:rPr/>
        <w:t>Euronext</w:t>
      </w:r>
      <w:r>
        <w:rPr>
          <w:spacing w:val="-4"/>
        </w:rPr>
        <w:t> </w:t>
      </w:r>
      <w:r>
        <w:rPr/>
        <w:t>Clearing</w:t>
      </w:r>
      <w:r>
        <w:rPr>
          <w:spacing w:val="-5"/>
        </w:rPr>
        <w:t> </w:t>
      </w:r>
      <w:r>
        <w:rPr/>
        <w:t>Athens</w:t>
      </w:r>
      <w:r>
        <w:rPr>
          <w:spacing w:val="-3"/>
        </w:rPr>
        <w:t> </w:t>
      </w:r>
      <w:r>
        <w:rPr/>
        <w:t>Α.Ε</w:t>
      </w:r>
      <w:hyperlink w:history="true" w:anchor="_bookmark156">
        <w:r>
          <w:rPr/>
          <w:t>.</w:t>
        </w:r>
        <w:r>
          <w:rPr>
            <w:position w:val="6"/>
            <w:sz w:val="10"/>
          </w:rPr>
          <w:t>103</w:t>
        </w:r>
      </w:hyperlink>
      <w:r>
        <w:rPr>
          <w:spacing w:val="25"/>
          <w:position w:val="6"/>
          <w:sz w:val="10"/>
        </w:rPr>
        <w:t> </w:t>
      </w:r>
      <w:r>
        <w:rPr/>
        <w:t>παρέχει</w:t>
      </w:r>
      <w:r>
        <w:rPr>
          <w:spacing w:val="-4"/>
        </w:rPr>
        <w:t> </w:t>
      </w:r>
      <w:r>
        <w:rPr/>
        <w:t>υπηρεσίες</w:t>
      </w:r>
      <w:r>
        <w:rPr>
          <w:spacing w:val="-6"/>
        </w:rPr>
        <w:t> </w:t>
      </w:r>
      <w:r>
        <w:rPr/>
        <w:t>εκκαθάρισης</w:t>
      </w:r>
      <w:r>
        <w:rPr>
          <w:spacing w:val="-6"/>
        </w:rPr>
        <w:t> </w:t>
      </w:r>
      <w:r>
        <w:rPr/>
        <w:t>και</w:t>
      </w:r>
      <w:r>
        <w:rPr>
          <w:spacing w:val="-5"/>
        </w:rPr>
        <w:t> </w:t>
      </w:r>
      <w:r>
        <w:rPr/>
        <w:t>λειτουργεί</w:t>
      </w:r>
      <w:r>
        <w:rPr>
          <w:spacing w:val="-6"/>
        </w:rPr>
        <w:t> </w:t>
      </w:r>
      <w:r>
        <w:rPr/>
        <w:t>ως</w:t>
      </w:r>
      <w:r>
        <w:rPr>
          <w:spacing w:val="-6"/>
        </w:rPr>
        <w:t> </w:t>
      </w:r>
      <w:r>
        <w:rPr/>
        <w:t>κεντρικός αντισυμβαλλόμενος</w:t>
      </w:r>
      <w:r>
        <w:rPr>
          <w:spacing w:val="-3"/>
        </w:rPr>
        <w:t> </w:t>
      </w:r>
      <w:r>
        <w:rPr/>
        <w:t>για</w:t>
      </w:r>
      <w:r>
        <w:rPr>
          <w:spacing w:val="-4"/>
        </w:rPr>
        <w:t> </w:t>
      </w:r>
      <w:r>
        <w:rPr/>
        <w:t>τις</w:t>
      </w:r>
      <w:r>
        <w:rPr>
          <w:spacing w:val="-5"/>
        </w:rPr>
        <w:t> </w:t>
      </w:r>
      <w:r>
        <w:rPr/>
        <w:t>συναλλαγές</w:t>
      </w:r>
      <w:r>
        <w:rPr>
          <w:spacing w:val="-4"/>
        </w:rPr>
        <w:t> </w:t>
      </w:r>
      <w:r>
        <w:rPr/>
        <w:t>του</w:t>
      </w:r>
      <w:r>
        <w:rPr>
          <w:spacing w:val="-1"/>
        </w:rPr>
        <w:t> </w:t>
      </w:r>
      <w:r>
        <w:rPr/>
        <w:t>Euronext</w:t>
      </w:r>
      <w:r>
        <w:rPr>
          <w:spacing w:val="-4"/>
        </w:rPr>
        <w:t> </w:t>
      </w:r>
      <w:r>
        <w:rPr/>
        <w:t>Athens,</w:t>
      </w:r>
      <w:r>
        <w:rPr>
          <w:spacing w:val="-3"/>
        </w:rPr>
        <w:t> </w:t>
      </w:r>
      <w:r>
        <w:rPr/>
        <w:t>καλύπτοντας</w:t>
      </w:r>
      <w:r>
        <w:rPr>
          <w:spacing w:val="-4"/>
        </w:rPr>
        <w:t> </w:t>
      </w:r>
      <w:r>
        <w:rPr/>
        <w:t>τις</w:t>
      </w:r>
      <w:r>
        <w:rPr>
          <w:spacing w:val="-3"/>
        </w:rPr>
        <w:t> </w:t>
      </w:r>
      <w:r>
        <w:rPr/>
        <w:t>αγορές</w:t>
      </w:r>
      <w:r>
        <w:rPr>
          <w:spacing w:val="-4"/>
        </w:rPr>
        <w:t> </w:t>
      </w:r>
      <w:r>
        <w:rPr/>
        <w:t>αξιών</w:t>
      </w:r>
      <w:r>
        <w:rPr>
          <w:spacing w:val="-4"/>
        </w:rPr>
        <w:t> </w:t>
      </w:r>
      <w:r>
        <w:rPr/>
        <w:t>και παραγώγων, καθώς και τον μηχανισμό δανεισμού τίτλων. Επιπλέον, αναλαμβάνει την εκκαθά-ριση συναλλαγών σε παράγωγα του Χρηματιστηρίου Ενέργειας.</w:t>
      </w:r>
    </w:p>
    <w:p>
      <w:pPr>
        <w:pStyle w:val="BodyText"/>
        <w:spacing w:line="304" w:lineRule="auto" w:before="4"/>
        <w:ind w:left="172" w:right="957"/>
        <w:jc w:val="both"/>
      </w:pPr>
      <w:r>
        <w:rPr/>
        <w:t>Το 2025 οι συναλλαγές παραγώγων και δανεισμού τίτλων που εκκαθαρίστηκαν κεντρικά αυξή-θηκαν</w:t>
      </w:r>
      <w:r>
        <w:rPr>
          <w:spacing w:val="-2"/>
        </w:rPr>
        <w:t> </w:t>
      </w:r>
      <w:r>
        <w:rPr/>
        <w:t>αισθητά</w:t>
      </w:r>
      <w:r>
        <w:rPr>
          <w:spacing w:val="-5"/>
        </w:rPr>
        <w:t> </w:t>
      </w:r>
      <w:r>
        <w:rPr/>
        <w:t>σε</w:t>
      </w:r>
      <w:r>
        <w:rPr>
          <w:spacing w:val="-4"/>
        </w:rPr>
        <w:t> </w:t>
      </w:r>
      <w:r>
        <w:rPr/>
        <w:t>σχέση</w:t>
      </w:r>
      <w:r>
        <w:rPr>
          <w:spacing w:val="-2"/>
        </w:rPr>
        <w:t> </w:t>
      </w:r>
      <w:r>
        <w:rPr/>
        <w:t>με</w:t>
      </w:r>
      <w:r>
        <w:rPr>
          <w:spacing w:val="-3"/>
        </w:rPr>
        <w:t> </w:t>
      </w:r>
      <w:r>
        <w:rPr/>
        <w:t>το</w:t>
      </w:r>
      <w:r>
        <w:rPr>
          <w:spacing w:val="-2"/>
        </w:rPr>
        <w:t> </w:t>
      </w:r>
      <w:r>
        <w:rPr/>
        <w:t>2024</w:t>
      </w:r>
      <w:r>
        <w:rPr>
          <w:spacing w:val="-2"/>
        </w:rPr>
        <w:t> </w:t>
      </w:r>
      <w:r>
        <w:rPr/>
        <w:t>όσον</w:t>
      </w:r>
      <w:r>
        <w:rPr>
          <w:spacing w:val="-1"/>
        </w:rPr>
        <w:t> </w:t>
      </w:r>
      <w:r>
        <w:rPr/>
        <w:t>αφορά</w:t>
      </w:r>
      <w:r>
        <w:rPr>
          <w:spacing w:val="-4"/>
        </w:rPr>
        <w:t> </w:t>
      </w:r>
      <w:r>
        <w:rPr/>
        <w:t>τόσο</w:t>
      </w:r>
      <w:r>
        <w:rPr>
          <w:spacing w:val="-4"/>
        </w:rPr>
        <w:t> </w:t>
      </w:r>
      <w:r>
        <w:rPr/>
        <w:t>τον</w:t>
      </w:r>
      <w:r>
        <w:rPr>
          <w:spacing w:val="-1"/>
        </w:rPr>
        <w:t> </w:t>
      </w:r>
      <w:r>
        <w:rPr/>
        <w:t>μέσο</w:t>
      </w:r>
      <w:r>
        <w:rPr>
          <w:spacing w:val="-5"/>
        </w:rPr>
        <w:t> </w:t>
      </w:r>
      <w:r>
        <w:rPr/>
        <w:t>ημερήσιο</w:t>
      </w:r>
      <w:r>
        <w:rPr>
          <w:spacing w:val="-2"/>
        </w:rPr>
        <w:t> </w:t>
      </w:r>
      <w:r>
        <w:rPr/>
        <w:t>όγκο</w:t>
      </w:r>
      <w:r>
        <w:rPr>
          <w:spacing w:val="-1"/>
        </w:rPr>
        <w:t> </w:t>
      </w:r>
      <w:r>
        <w:rPr/>
        <w:t>όσο</w:t>
      </w:r>
      <w:r>
        <w:rPr>
          <w:spacing w:val="-2"/>
        </w:rPr>
        <w:t> </w:t>
      </w:r>
      <w:r>
        <w:rPr/>
        <w:t>και</w:t>
      </w:r>
      <w:r>
        <w:rPr>
          <w:spacing w:val="-2"/>
        </w:rPr>
        <w:t> </w:t>
      </w:r>
      <w:r>
        <w:rPr/>
        <w:t>τη</w:t>
      </w:r>
      <w:r>
        <w:rPr>
          <w:spacing w:val="-5"/>
        </w:rPr>
        <w:t> </w:t>
      </w:r>
      <w:r>
        <w:rPr/>
        <w:t>μέση ημερήσια αξία.</w:t>
      </w:r>
    </w:p>
    <w:p>
      <w:pPr>
        <w:pStyle w:val="BodyText"/>
        <w:spacing w:line="304" w:lineRule="auto"/>
        <w:ind w:left="172" w:right="957"/>
        <w:jc w:val="both"/>
      </w:pPr>
      <w:r>
        <w:rPr/>
        <w:t>Αναλυτικότερα, ο μέσος ημερήσιος όγκος συναλλαγών συνολικά στην αγορά παραγώγων και στον</w:t>
      </w:r>
      <w:r>
        <w:rPr>
          <w:spacing w:val="-4"/>
        </w:rPr>
        <w:t> </w:t>
      </w:r>
      <w:r>
        <w:rPr/>
        <w:t>μηχανισμό</w:t>
      </w:r>
      <w:r>
        <w:rPr>
          <w:spacing w:val="-5"/>
        </w:rPr>
        <w:t> </w:t>
      </w:r>
      <w:r>
        <w:rPr/>
        <w:t>δανεισμού</w:t>
      </w:r>
      <w:r>
        <w:rPr>
          <w:spacing w:val="-4"/>
        </w:rPr>
        <w:t> </w:t>
      </w:r>
      <w:r>
        <w:rPr/>
        <w:t>τίτλων</w:t>
      </w:r>
      <w:r>
        <w:rPr>
          <w:spacing w:val="-1"/>
        </w:rPr>
        <w:t> </w:t>
      </w:r>
      <w:r>
        <w:rPr/>
        <w:t>ανήλθε</w:t>
      </w:r>
      <w:r>
        <w:rPr>
          <w:spacing w:val="-2"/>
        </w:rPr>
        <w:t> </w:t>
      </w:r>
      <w:r>
        <w:rPr/>
        <w:t>το 2025</w:t>
      </w:r>
      <w:r>
        <w:rPr>
          <w:spacing w:val="-5"/>
        </w:rPr>
        <w:t> </w:t>
      </w:r>
      <w:r>
        <w:rPr/>
        <w:t>σε</w:t>
      </w:r>
      <w:r>
        <w:rPr>
          <w:spacing w:val="-4"/>
        </w:rPr>
        <w:t> </w:t>
      </w:r>
      <w:r>
        <w:rPr/>
        <w:t>58.414</w:t>
      </w:r>
      <w:r>
        <w:rPr>
          <w:spacing w:val="-5"/>
        </w:rPr>
        <w:t> </w:t>
      </w:r>
      <w:r>
        <w:rPr/>
        <w:t>συναλλαγές,</w:t>
      </w:r>
      <w:r>
        <w:rPr>
          <w:spacing w:val="-1"/>
        </w:rPr>
        <w:t> </w:t>
      </w:r>
      <w:r>
        <w:rPr/>
        <w:t>αυξημένος</w:t>
      </w:r>
      <w:r>
        <w:rPr>
          <w:spacing w:val="-3"/>
        </w:rPr>
        <w:t> </w:t>
      </w:r>
      <w:r>
        <w:rPr/>
        <w:t>κατά</w:t>
      </w:r>
      <w:r>
        <w:rPr>
          <w:spacing w:val="-3"/>
        </w:rPr>
        <w:t> </w:t>
      </w:r>
      <w:r>
        <w:rPr/>
        <w:t>55% έναντι</w:t>
      </w:r>
      <w:r>
        <w:rPr>
          <w:spacing w:val="-4"/>
        </w:rPr>
        <w:t> </w:t>
      </w:r>
      <w:r>
        <w:rPr/>
        <w:t>του</w:t>
      </w:r>
      <w:r>
        <w:rPr>
          <w:spacing w:val="-4"/>
        </w:rPr>
        <w:t> </w:t>
      </w:r>
      <w:r>
        <w:rPr/>
        <w:t>2024</w:t>
      </w:r>
      <w:r>
        <w:rPr>
          <w:spacing w:val="-5"/>
        </w:rPr>
        <w:t> </w:t>
      </w:r>
      <w:r>
        <w:rPr/>
        <w:t>(37.595</w:t>
      </w:r>
      <w:r>
        <w:rPr>
          <w:spacing w:val="-7"/>
        </w:rPr>
        <w:t> </w:t>
      </w:r>
      <w:r>
        <w:rPr/>
        <w:t>συναλλαγές),</w:t>
      </w:r>
      <w:r>
        <w:rPr>
          <w:spacing w:val="-5"/>
        </w:rPr>
        <w:t> </w:t>
      </w:r>
      <w:r>
        <w:rPr/>
        <w:t>όπως</w:t>
      </w:r>
      <w:r>
        <w:rPr>
          <w:spacing w:val="-6"/>
        </w:rPr>
        <w:t> </w:t>
      </w:r>
      <w:r>
        <w:rPr/>
        <w:t>παρουσιάζεται</w:t>
      </w:r>
      <w:r>
        <w:rPr>
          <w:spacing w:val="-7"/>
        </w:rPr>
        <w:t> </w:t>
      </w:r>
      <w:r>
        <w:rPr/>
        <w:t>στον</w:t>
      </w:r>
      <w:r>
        <w:rPr>
          <w:spacing w:val="-4"/>
        </w:rPr>
        <w:t> </w:t>
      </w:r>
      <w:r>
        <w:rPr/>
        <w:t>Πίνακα</w:t>
      </w:r>
      <w:r>
        <w:rPr>
          <w:spacing w:val="-5"/>
        </w:rPr>
        <w:t> </w:t>
      </w:r>
      <w:r>
        <w:rPr/>
        <w:t>VI.4.</w:t>
      </w:r>
      <w:r>
        <w:rPr>
          <w:spacing w:val="-5"/>
        </w:rPr>
        <w:t> </w:t>
      </w:r>
      <w:r>
        <w:rPr/>
        <w:t>Η</w:t>
      </w:r>
      <w:r>
        <w:rPr>
          <w:spacing w:val="-6"/>
        </w:rPr>
        <w:t> </w:t>
      </w:r>
      <w:r>
        <w:rPr/>
        <w:t>μεταβολή</w:t>
      </w:r>
      <w:r>
        <w:rPr>
          <w:spacing w:val="-5"/>
        </w:rPr>
        <w:t> </w:t>
      </w:r>
      <w:r>
        <w:rPr/>
        <w:t>αυτή οφείλεται κυρίως στην αύξηση που παρατηρήθηκε στα Συμβόλαια Μελλοντικής Εκπλήρωσης (Σ.Μ.Ε.) επί μετοχών.</w:t>
      </w: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0"/>
        <w:gridCol w:w="1149"/>
        <w:gridCol w:w="1276"/>
        <w:gridCol w:w="1133"/>
        <w:gridCol w:w="1276"/>
        <w:gridCol w:w="1703"/>
        <w:gridCol w:w="966"/>
      </w:tblGrid>
      <w:tr>
        <w:trPr>
          <w:trHeight w:val="532" w:hRule="atLeast"/>
        </w:trPr>
        <w:tc>
          <w:tcPr>
            <w:tcW w:w="8613" w:type="dxa"/>
            <w:gridSpan w:val="7"/>
            <w:shd w:val="clear" w:color="auto" w:fill="1F487C"/>
          </w:tcPr>
          <w:p>
            <w:pPr>
              <w:pStyle w:val="TableParagraph"/>
              <w:spacing w:before="46"/>
              <w:ind w:left="108" w:right="170"/>
              <w:rPr>
                <w:b/>
                <w:sz w:val="18"/>
              </w:rPr>
            </w:pPr>
            <w:r>
              <w:rPr>
                <w:b/>
                <w:color w:val="FFFFFF"/>
                <w:sz w:val="18"/>
              </w:rPr>
              <w:t>Πίνακας VI.4</w:t>
            </w:r>
            <w:r>
              <w:rPr>
                <w:b/>
                <w:color w:val="FFFFFF"/>
                <w:spacing w:val="-1"/>
                <w:sz w:val="18"/>
              </w:rPr>
              <w:t> </w:t>
            </w:r>
            <w:r>
              <w:rPr>
                <w:b/>
                <w:color w:val="FFFFFF"/>
                <w:sz w:val="18"/>
              </w:rPr>
              <w:t>Μέσος ημερήσ</w:t>
            </w:r>
            <w:r>
              <w:rPr>
                <w:b/>
                <w:smallCaps/>
                <w:color w:val="FFFFFF"/>
                <w:sz w:val="18"/>
              </w:rPr>
              <w:t>ιο</w:t>
            </w:r>
            <w:r>
              <w:rPr>
                <w:b/>
                <w:smallCaps w:val="0"/>
                <w:color w:val="FFFFFF"/>
                <w:sz w:val="18"/>
              </w:rPr>
              <w:t>ς</w:t>
            </w:r>
            <w:r>
              <w:rPr>
                <w:b/>
                <w:smallCaps w:val="0"/>
                <w:color w:val="FFFFFF"/>
                <w:spacing w:val="-1"/>
                <w:sz w:val="18"/>
              </w:rPr>
              <w:t> </w:t>
            </w:r>
            <w:r>
              <w:rPr>
                <w:b/>
                <w:smallCaps w:val="0"/>
                <w:color w:val="FFFFFF"/>
                <w:sz w:val="18"/>
              </w:rPr>
              <w:t>όγκος συναλλαγών</w:t>
            </w:r>
            <w:r>
              <w:rPr>
                <w:b/>
                <w:smallCaps w:val="0"/>
                <w:color w:val="FFFFFF"/>
                <w:spacing w:val="-1"/>
                <w:sz w:val="18"/>
              </w:rPr>
              <w:t> </w:t>
            </w:r>
            <w:r>
              <w:rPr>
                <w:b/>
                <w:smallCaps w:val="0"/>
                <w:color w:val="FFFFFF"/>
                <w:sz w:val="18"/>
              </w:rPr>
              <w:t>του Euronext Athens στην</w:t>
            </w:r>
            <w:r>
              <w:rPr>
                <w:b/>
                <w:smallCaps w:val="0"/>
                <w:color w:val="FFFFFF"/>
                <w:spacing w:val="-1"/>
                <w:sz w:val="18"/>
              </w:rPr>
              <w:t> </w:t>
            </w:r>
            <w:r>
              <w:rPr>
                <w:b/>
                <w:smallCaps w:val="0"/>
                <w:color w:val="FFFFFF"/>
                <w:sz w:val="18"/>
              </w:rPr>
              <w:t>αγορά παραγώγων ανά κατη-γορία παράγωγου προϊόντος κα</w:t>
            </w:r>
            <w:r>
              <w:rPr>
                <w:b/>
                <w:smallCaps/>
                <w:color w:val="FFFFFF"/>
                <w:sz w:val="18"/>
              </w:rPr>
              <w:t>ι</w:t>
            </w:r>
            <w:r>
              <w:rPr>
                <w:b/>
                <w:smallCaps w:val="0"/>
                <w:color w:val="FFFFFF"/>
                <w:sz w:val="18"/>
              </w:rPr>
              <w:t> στον Μηχαν</w:t>
            </w:r>
            <w:r>
              <w:rPr>
                <w:b/>
                <w:smallCaps/>
                <w:color w:val="FFFFFF"/>
                <w:sz w:val="18"/>
              </w:rPr>
              <w:t>ι</w:t>
            </w:r>
            <w:r>
              <w:rPr>
                <w:b/>
                <w:smallCaps w:val="0"/>
                <w:color w:val="FFFFFF"/>
                <w:sz w:val="18"/>
              </w:rPr>
              <w:t>σμό Δανε</w:t>
            </w:r>
            <w:r>
              <w:rPr>
                <w:b/>
                <w:smallCaps/>
                <w:color w:val="FFFFFF"/>
                <w:sz w:val="18"/>
              </w:rPr>
              <w:t>ι</w:t>
            </w:r>
            <w:r>
              <w:rPr>
                <w:b/>
                <w:smallCaps w:val="0"/>
                <w:color w:val="FFFFFF"/>
                <w:sz w:val="18"/>
              </w:rPr>
              <w:t>σμού Τίτλων</w:t>
            </w:r>
          </w:p>
        </w:tc>
      </w:tr>
      <w:tr>
        <w:trPr>
          <w:trHeight w:val="677" w:hRule="atLeast"/>
        </w:trPr>
        <w:tc>
          <w:tcPr>
            <w:tcW w:w="2259" w:type="dxa"/>
            <w:gridSpan w:val="2"/>
            <w:tcBorders>
              <w:bottom w:val="single" w:sz="12" w:space="0" w:color="FFFFFF"/>
            </w:tcBorders>
            <w:shd w:val="clear" w:color="auto" w:fill="BEBEBE"/>
          </w:tcPr>
          <w:p>
            <w:pPr>
              <w:pStyle w:val="TableParagraph"/>
              <w:spacing w:line="207" w:lineRule="exact" w:before="151"/>
              <w:ind w:right="99"/>
              <w:jc w:val="right"/>
              <w:rPr>
                <w:b/>
                <w:sz w:val="18"/>
              </w:rPr>
            </w:pPr>
            <w:r>
              <w:rPr>
                <w:b/>
                <w:color w:val="1F487C"/>
                <w:sz w:val="18"/>
              </w:rPr>
              <w:t>Σ.Μ.Ε.*</w:t>
            </w:r>
            <w:r>
              <w:rPr>
                <w:b/>
                <w:color w:val="1F487C"/>
                <w:spacing w:val="-1"/>
                <w:sz w:val="18"/>
              </w:rPr>
              <w:t> </w:t>
            </w:r>
            <w:r>
              <w:rPr>
                <w:b/>
                <w:color w:val="1F487C"/>
                <w:spacing w:val="-5"/>
                <w:sz w:val="18"/>
              </w:rPr>
              <w:t>επί</w:t>
            </w:r>
          </w:p>
          <w:p>
            <w:pPr>
              <w:pStyle w:val="TableParagraph"/>
              <w:spacing w:line="207" w:lineRule="exact"/>
              <w:ind w:right="98"/>
              <w:jc w:val="right"/>
              <w:rPr>
                <w:b/>
                <w:sz w:val="18"/>
              </w:rPr>
            </w:pPr>
            <w:r>
              <w:rPr>
                <w:b/>
                <w:color w:val="1F487C"/>
                <w:spacing w:val="-2"/>
                <w:sz w:val="18"/>
              </w:rPr>
              <w:t>δε</w:t>
            </w:r>
            <w:r>
              <w:rPr>
                <w:b/>
                <w:smallCaps/>
                <w:color w:val="1F487C"/>
                <w:spacing w:val="-2"/>
                <w:sz w:val="18"/>
              </w:rPr>
              <w:t>ι</w:t>
            </w:r>
            <w:r>
              <w:rPr>
                <w:b/>
                <w:smallCaps w:val="0"/>
                <w:color w:val="1F487C"/>
                <w:spacing w:val="-2"/>
                <w:sz w:val="18"/>
              </w:rPr>
              <w:t>κτών</w:t>
            </w:r>
          </w:p>
        </w:tc>
        <w:tc>
          <w:tcPr>
            <w:tcW w:w="1276" w:type="dxa"/>
            <w:tcBorders>
              <w:bottom w:val="single" w:sz="12" w:space="0" w:color="FFFFFF"/>
            </w:tcBorders>
            <w:shd w:val="clear" w:color="auto" w:fill="BEBEBE"/>
          </w:tcPr>
          <w:p>
            <w:pPr>
              <w:pStyle w:val="TableParagraph"/>
              <w:spacing w:before="46"/>
              <w:ind w:left="283" w:hanging="51"/>
              <w:rPr>
                <w:b/>
                <w:sz w:val="18"/>
              </w:rPr>
            </w:pPr>
            <w:r>
              <w:rPr>
                <w:b/>
                <w:color w:val="1F487C"/>
                <w:spacing w:val="-2"/>
                <w:sz w:val="18"/>
              </w:rPr>
              <w:t>Δ</w:t>
            </w:r>
            <w:r>
              <w:rPr>
                <w:b/>
                <w:smallCaps/>
                <w:color w:val="1F487C"/>
                <w:spacing w:val="-2"/>
                <w:sz w:val="18"/>
              </w:rPr>
              <w:t>ι</w:t>
            </w:r>
            <w:r>
              <w:rPr>
                <w:b/>
                <w:smallCaps w:val="0"/>
                <w:color w:val="1F487C"/>
                <w:spacing w:val="-2"/>
                <w:sz w:val="18"/>
              </w:rPr>
              <w:t>κα</w:t>
            </w:r>
            <w:r>
              <w:rPr>
                <w:b/>
                <w:smallCaps/>
                <w:color w:val="1F487C"/>
                <w:spacing w:val="-2"/>
                <w:sz w:val="18"/>
              </w:rPr>
              <w:t>ι</w:t>
            </w:r>
            <w:r>
              <w:rPr>
                <w:b/>
                <w:smallCaps w:val="0"/>
                <w:color w:val="1F487C"/>
                <w:spacing w:val="-2"/>
                <w:sz w:val="18"/>
              </w:rPr>
              <w:t>ώματα</w:t>
            </w:r>
          </w:p>
          <w:p>
            <w:pPr>
              <w:pStyle w:val="TableParagraph"/>
              <w:spacing w:line="206" w:lineRule="exact"/>
              <w:ind w:left="278" w:firstLine="4"/>
              <w:rPr>
                <w:b/>
                <w:sz w:val="18"/>
              </w:rPr>
            </w:pPr>
            <w:r>
              <w:rPr>
                <w:b/>
                <w:color w:val="1F487C"/>
                <w:spacing w:val="-2"/>
                <w:sz w:val="18"/>
              </w:rPr>
              <w:t>προαίρεσης </w:t>
            </w:r>
            <w:r>
              <w:rPr>
                <w:b/>
                <w:color w:val="1F487C"/>
                <w:sz w:val="18"/>
              </w:rPr>
              <w:t>επί</w:t>
            </w:r>
            <w:r>
              <w:rPr>
                <w:b/>
                <w:color w:val="1F487C"/>
                <w:spacing w:val="-3"/>
                <w:sz w:val="18"/>
              </w:rPr>
              <w:t> </w:t>
            </w:r>
            <w:r>
              <w:rPr>
                <w:b/>
                <w:color w:val="1F487C"/>
                <w:spacing w:val="-2"/>
                <w:sz w:val="18"/>
              </w:rPr>
              <w:t>δε</w:t>
            </w:r>
            <w:r>
              <w:rPr>
                <w:b/>
                <w:smallCaps/>
                <w:color w:val="1F487C"/>
                <w:spacing w:val="-2"/>
                <w:sz w:val="18"/>
              </w:rPr>
              <w:t>ι</w:t>
            </w:r>
            <w:r>
              <w:rPr>
                <w:b/>
                <w:smallCaps w:val="0"/>
                <w:color w:val="1F487C"/>
                <w:spacing w:val="-2"/>
                <w:sz w:val="18"/>
              </w:rPr>
              <w:t>κτών</w:t>
            </w:r>
          </w:p>
        </w:tc>
        <w:tc>
          <w:tcPr>
            <w:tcW w:w="1133" w:type="dxa"/>
            <w:tcBorders>
              <w:bottom w:val="single" w:sz="12" w:space="0" w:color="FFFFFF"/>
            </w:tcBorders>
            <w:shd w:val="clear" w:color="auto" w:fill="BEBEBE"/>
          </w:tcPr>
          <w:p>
            <w:pPr>
              <w:pStyle w:val="TableParagraph"/>
              <w:spacing w:before="151"/>
              <w:ind w:left="384" w:right="95" w:hanging="173"/>
              <w:rPr>
                <w:b/>
                <w:sz w:val="18"/>
              </w:rPr>
            </w:pPr>
            <w:r>
              <w:rPr>
                <w:b/>
                <w:color w:val="1F487C"/>
                <w:sz w:val="18"/>
              </w:rPr>
              <w:t>Σ.Μ.Ε.</w:t>
            </w:r>
            <w:r>
              <w:rPr>
                <w:b/>
                <w:color w:val="1F487C"/>
                <w:spacing w:val="-12"/>
                <w:sz w:val="18"/>
              </w:rPr>
              <w:t> </w:t>
            </w:r>
            <w:r>
              <w:rPr>
                <w:b/>
                <w:color w:val="1F487C"/>
                <w:sz w:val="18"/>
              </w:rPr>
              <w:t>επί </w:t>
            </w:r>
            <w:r>
              <w:rPr>
                <w:b/>
                <w:color w:val="1F487C"/>
                <w:spacing w:val="-2"/>
                <w:sz w:val="18"/>
              </w:rPr>
              <w:t>μετοχών</w:t>
            </w:r>
          </w:p>
        </w:tc>
        <w:tc>
          <w:tcPr>
            <w:tcW w:w="1276" w:type="dxa"/>
            <w:tcBorders>
              <w:bottom w:val="single" w:sz="12" w:space="0" w:color="FFFFFF"/>
            </w:tcBorders>
            <w:shd w:val="clear" w:color="auto" w:fill="BEBEBE"/>
          </w:tcPr>
          <w:p>
            <w:pPr>
              <w:pStyle w:val="TableParagraph"/>
              <w:spacing w:before="46"/>
              <w:ind w:left="281" w:hanging="51"/>
              <w:rPr>
                <w:b/>
                <w:sz w:val="18"/>
              </w:rPr>
            </w:pPr>
            <w:r>
              <w:rPr>
                <w:b/>
                <w:color w:val="1F487C"/>
                <w:spacing w:val="-2"/>
                <w:sz w:val="18"/>
              </w:rPr>
              <w:t>Δ</w:t>
            </w:r>
            <w:r>
              <w:rPr>
                <w:b/>
                <w:smallCaps/>
                <w:color w:val="1F487C"/>
                <w:spacing w:val="-2"/>
                <w:sz w:val="18"/>
              </w:rPr>
              <w:t>ι</w:t>
            </w:r>
            <w:r>
              <w:rPr>
                <w:b/>
                <w:smallCaps w:val="0"/>
                <w:color w:val="1F487C"/>
                <w:spacing w:val="-2"/>
                <w:sz w:val="18"/>
              </w:rPr>
              <w:t>κα</w:t>
            </w:r>
            <w:r>
              <w:rPr>
                <w:b/>
                <w:smallCaps/>
                <w:color w:val="1F487C"/>
                <w:spacing w:val="-2"/>
                <w:sz w:val="18"/>
              </w:rPr>
              <w:t>ι</w:t>
            </w:r>
            <w:r>
              <w:rPr>
                <w:b/>
                <w:smallCaps w:val="0"/>
                <w:color w:val="1F487C"/>
                <w:spacing w:val="-2"/>
                <w:sz w:val="18"/>
              </w:rPr>
              <w:t>ώματα</w:t>
            </w:r>
          </w:p>
          <w:p>
            <w:pPr>
              <w:pStyle w:val="TableParagraph"/>
              <w:spacing w:line="206" w:lineRule="exact"/>
              <w:ind w:left="250" w:firstLine="31"/>
              <w:rPr>
                <w:b/>
                <w:sz w:val="18"/>
              </w:rPr>
            </w:pPr>
            <w:r>
              <w:rPr>
                <w:b/>
                <w:color w:val="1F487C"/>
                <w:spacing w:val="-2"/>
                <w:sz w:val="18"/>
              </w:rPr>
              <w:t>προαίρεσης </w:t>
            </w:r>
            <w:r>
              <w:rPr>
                <w:b/>
                <w:color w:val="1F487C"/>
                <w:sz w:val="18"/>
              </w:rPr>
              <w:t>επί</w:t>
            </w:r>
            <w:r>
              <w:rPr>
                <w:b/>
                <w:color w:val="1F487C"/>
                <w:spacing w:val="-3"/>
                <w:sz w:val="18"/>
              </w:rPr>
              <w:t> </w:t>
            </w:r>
            <w:r>
              <w:rPr>
                <w:b/>
                <w:color w:val="1F487C"/>
                <w:spacing w:val="-2"/>
                <w:sz w:val="18"/>
              </w:rPr>
              <w:t>μετοχών</w:t>
            </w:r>
          </w:p>
        </w:tc>
        <w:tc>
          <w:tcPr>
            <w:tcW w:w="1703" w:type="dxa"/>
            <w:tcBorders>
              <w:bottom w:val="single" w:sz="12" w:space="0" w:color="FFFFFF"/>
            </w:tcBorders>
            <w:shd w:val="clear" w:color="auto" w:fill="BEBEBE"/>
          </w:tcPr>
          <w:p>
            <w:pPr>
              <w:pStyle w:val="TableParagraph"/>
              <w:spacing w:before="46"/>
              <w:ind w:left="366" w:right="94" w:hanging="116"/>
              <w:jc w:val="right"/>
              <w:rPr>
                <w:b/>
                <w:sz w:val="18"/>
              </w:rPr>
            </w:pPr>
            <w:r>
              <w:rPr>
                <w:b/>
                <w:color w:val="1F487C"/>
                <w:sz w:val="18"/>
              </w:rPr>
              <w:t>Πολυμερείς/Δ</w:t>
            </w:r>
            <w:r>
              <w:rPr>
                <w:b/>
                <w:smallCaps/>
                <w:color w:val="1F487C"/>
                <w:sz w:val="18"/>
              </w:rPr>
              <w:t>ι</w:t>
            </w:r>
            <w:r>
              <w:rPr>
                <w:b/>
                <w:smallCaps w:val="0"/>
                <w:color w:val="1F487C"/>
                <w:sz w:val="18"/>
              </w:rPr>
              <w:t>με-ρείς</w:t>
            </w:r>
            <w:r>
              <w:rPr>
                <w:b/>
                <w:smallCaps w:val="0"/>
                <w:color w:val="1F487C"/>
                <w:spacing w:val="-2"/>
                <w:sz w:val="18"/>
              </w:rPr>
              <w:t> συναλλαγές</w:t>
            </w:r>
          </w:p>
          <w:p>
            <w:pPr>
              <w:pStyle w:val="TableParagraph"/>
              <w:spacing w:line="196" w:lineRule="exact" w:before="1"/>
              <w:ind w:right="94"/>
              <w:jc w:val="right"/>
              <w:rPr>
                <w:b/>
                <w:sz w:val="18"/>
              </w:rPr>
            </w:pPr>
            <w:r>
              <w:rPr>
                <w:b/>
                <w:color w:val="1F487C"/>
                <w:spacing w:val="-2"/>
                <w:sz w:val="18"/>
              </w:rPr>
              <w:t>Δανε</w:t>
            </w:r>
            <w:r>
              <w:rPr>
                <w:b/>
                <w:smallCaps/>
                <w:color w:val="1F487C"/>
                <w:spacing w:val="-2"/>
                <w:sz w:val="18"/>
              </w:rPr>
              <w:t>ι</w:t>
            </w:r>
            <w:r>
              <w:rPr>
                <w:b/>
                <w:smallCaps w:val="0"/>
                <w:color w:val="1F487C"/>
                <w:spacing w:val="-2"/>
                <w:sz w:val="18"/>
              </w:rPr>
              <w:t>σμού</w:t>
            </w:r>
          </w:p>
        </w:tc>
        <w:tc>
          <w:tcPr>
            <w:tcW w:w="966" w:type="dxa"/>
            <w:tcBorders>
              <w:bottom w:val="single" w:sz="12" w:space="0" w:color="FFFFFF"/>
            </w:tcBorders>
            <w:shd w:val="clear" w:color="auto" w:fill="BEBEBE"/>
          </w:tcPr>
          <w:p>
            <w:pPr>
              <w:pStyle w:val="TableParagraph"/>
              <w:spacing w:before="151"/>
              <w:ind w:left="250" w:right="167" w:firstLine="21"/>
              <w:rPr>
                <w:b/>
                <w:sz w:val="18"/>
              </w:rPr>
            </w:pPr>
            <w:r>
              <w:rPr>
                <w:b/>
                <w:color w:val="1F487C"/>
                <w:spacing w:val="-2"/>
                <w:sz w:val="18"/>
              </w:rPr>
              <w:t>Γεν</w:t>
            </w:r>
            <w:r>
              <w:rPr>
                <w:b/>
                <w:smallCaps/>
                <w:color w:val="1F487C"/>
                <w:spacing w:val="-2"/>
                <w:sz w:val="18"/>
              </w:rPr>
              <w:t>ι</w:t>
            </w:r>
            <w:r>
              <w:rPr>
                <w:b/>
                <w:smallCaps w:val="0"/>
                <w:color w:val="1F487C"/>
                <w:spacing w:val="-2"/>
                <w:sz w:val="18"/>
              </w:rPr>
              <w:t>κό σύνολο</w:t>
            </w:r>
          </w:p>
        </w:tc>
      </w:tr>
      <w:tr>
        <w:trPr>
          <w:trHeight w:val="334" w:hRule="atLeast"/>
        </w:trPr>
        <w:tc>
          <w:tcPr>
            <w:tcW w:w="1110" w:type="dxa"/>
            <w:tcBorders>
              <w:top w:val="single" w:sz="12" w:space="0" w:color="FFFFFF"/>
            </w:tcBorders>
            <w:shd w:val="clear" w:color="auto" w:fill="D9D9D9"/>
          </w:tcPr>
          <w:p>
            <w:pPr>
              <w:pStyle w:val="TableParagraph"/>
              <w:spacing w:before="77"/>
              <w:ind w:left="108"/>
              <w:rPr>
                <w:sz w:val="18"/>
              </w:rPr>
            </w:pPr>
            <w:r>
              <w:rPr>
                <w:spacing w:val="-4"/>
                <w:sz w:val="18"/>
              </w:rPr>
              <w:t>2021</w:t>
            </w:r>
          </w:p>
        </w:tc>
        <w:tc>
          <w:tcPr>
            <w:tcW w:w="1149" w:type="dxa"/>
            <w:tcBorders>
              <w:top w:val="single" w:sz="12" w:space="0" w:color="FFFFFF"/>
            </w:tcBorders>
            <w:shd w:val="clear" w:color="auto" w:fill="D9D9D9"/>
          </w:tcPr>
          <w:p>
            <w:pPr>
              <w:pStyle w:val="TableParagraph"/>
              <w:spacing w:before="77"/>
              <w:ind w:right="98"/>
              <w:jc w:val="right"/>
              <w:rPr>
                <w:sz w:val="18"/>
              </w:rPr>
            </w:pPr>
            <w:r>
              <w:rPr>
                <w:spacing w:val="-2"/>
                <w:sz w:val="18"/>
              </w:rPr>
              <w:t>1.205</w:t>
            </w:r>
          </w:p>
        </w:tc>
        <w:tc>
          <w:tcPr>
            <w:tcW w:w="1276" w:type="dxa"/>
            <w:tcBorders>
              <w:top w:val="single" w:sz="12" w:space="0" w:color="FFFFFF"/>
            </w:tcBorders>
            <w:shd w:val="clear" w:color="auto" w:fill="D9D9D9"/>
          </w:tcPr>
          <w:p>
            <w:pPr>
              <w:pStyle w:val="TableParagraph"/>
              <w:spacing w:before="77"/>
              <w:ind w:right="273"/>
              <w:jc w:val="right"/>
              <w:rPr>
                <w:sz w:val="18"/>
              </w:rPr>
            </w:pPr>
            <w:r>
              <w:rPr>
                <w:spacing w:val="-5"/>
                <w:sz w:val="18"/>
              </w:rPr>
              <w:t>152</w:t>
            </w:r>
          </w:p>
        </w:tc>
        <w:tc>
          <w:tcPr>
            <w:tcW w:w="1133" w:type="dxa"/>
            <w:tcBorders>
              <w:top w:val="single" w:sz="12" w:space="0" w:color="FFFFFF"/>
            </w:tcBorders>
            <w:shd w:val="clear" w:color="auto" w:fill="D9D9D9"/>
          </w:tcPr>
          <w:p>
            <w:pPr>
              <w:pStyle w:val="TableParagraph"/>
              <w:spacing w:before="77"/>
              <w:ind w:right="97"/>
              <w:jc w:val="right"/>
              <w:rPr>
                <w:sz w:val="18"/>
              </w:rPr>
            </w:pPr>
            <w:r>
              <w:rPr>
                <w:spacing w:val="-2"/>
                <w:sz w:val="18"/>
              </w:rPr>
              <w:t>46.238</w:t>
            </w:r>
          </w:p>
        </w:tc>
        <w:tc>
          <w:tcPr>
            <w:tcW w:w="1276" w:type="dxa"/>
            <w:tcBorders>
              <w:top w:val="single" w:sz="12" w:space="0" w:color="FFFFFF"/>
            </w:tcBorders>
            <w:shd w:val="clear" w:color="auto" w:fill="D9D9D9"/>
          </w:tcPr>
          <w:p>
            <w:pPr>
              <w:pStyle w:val="TableParagraph"/>
              <w:spacing w:before="77"/>
              <w:ind w:right="272"/>
              <w:jc w:val="right"/>
              <w:rPr>
                <w:sz w:val="18"/>
              </w:rPr>
            </w:pPr>
            <w:r>
              <w:rPr>
                <w:spacing w:val="-5"/>
                <w:sz w:val="18"/>
              </w:rPr>
              <w:t>71</w:t>
            </w:r>
          </w:p>
        </w:tc>
        <w:tc>
          <w:tcPr>
            <w:tcW w:w="1703" w:type="dxa"/>
            <w:tcBorders>
              <w:top w:val="single" w:sz="12" w:space="0" w:color="FFFFFF"/>
            </w:tcBorders>
            <w:shd w:val="clear" w:color="auto" w:fill="D9D9D9"/>
          </w:tcPr>
          <w:p>
            <w:pPr>
              <w:pStyle w:val="TableParagraph"/>
              <w:spacing w:before="77"/>
              <w:ind w:right="276"/>
              <w:jc w:val="right"/>
              <w:rPr>
                <w:sz w:val="18"/>
              </w:rPr>
            </w:pPr>
            <w:r>
              <w:rPr>
                <w:spacing w:val="-5"/>
                <w:sz w:val="18"/>
              </w:rPr>
              <w:t>567</w:t>
            </w:r>
          </w:p>
        </w:tc>
        <w:tc>
          <w:tcPr>
            <w:tcW w:w="966" w:type="dxa"/>
            <w:tcBorders>
              <w:top w:val="single" w:sz="12" w:space="0" w:color="FFFFFF"/>
            </w:tcBorders>
            <w:shd w:val="clear" w:color="auto" w:fill="D9D9D9"/>
          </w:tcPr>
          <w:p>
            <w:pPr>
              <w:pStyle w:val="TableParagraph"/>
              <w:spacing w:before="77"/>
              <w:ind w:left="121"/>
              <w:jc w:val="center"/>
              <w:rPr>
                <w:sz w:val="18"/>
              </w:rPr>
            </w:pPr>
            <w:r>
              <w:rPr>
                <w:spacing w:val="-2"/>
                <w:sz w:val="18"/>
              </w:rPr>
              <w:t>48.233</w:t>
            </w:r>
          </w:p>
        </w:tc>
      </w:tr>
      <w:tr>
        <w:trPr>
          <w:trHeight w:val="340" w:hRule="atLeast"/>
        </w:trPr>
        <w:tc>
          <w:tcPr>
            <w:tcW w:w="1110" w:type="dxa"/>
            <w:shd w:val="clear" w:color="auto" w:fill="BEBEBE"/>
          </w:tcPr>
          <w:p>
            <w:pPr>
              <w:pStyle w:val="TableParagraph"/>
              <w:spacing w:before="82"/>
              <w:ind w:left="108"/>
              <w:rPr>
                <w:sz w:val="18"/>
              </w:rPr>
            </w:pPr>
            <w:r>
              <w:rPr>
                <w:spacing w:val="-4"/>
                <w:sz w:val="18"/>
              </w:rPr>
              <w:t>2022</w:t>
            </w:r>
          </w:p>
        </w:tc>
        <w:tc>
          <w:tcPr>
            <w:tcW w:w="1149" w:type="dxa"/>
            <w:shd w:val="clear" w:color="auto" w:fill="BEBEBE"/>
          </w:tcPr>
          <w:p>
            <w:pPr>
              <w:pStyle w:val="TableParagraph"/>
              <w:spacing w:before="82"/>
              <w:ind w:right="98"/>
              <w:jc w:val="right"/>
              <w:rPr>
                <w:sz w:val="18"/>
              </w:rPr>
            </w:pPr>
            <w:r>
              <w:rPr>
                <w:spacing w:val="-2"/>
                <w:sz w:val="18"/>
              </w:rPr>
              <w:t>1.162</w:t>
            </w:r>
          </w:p>
        </w:tc>
        <w:tc>
          <w:tcPr>
            <w:tcW w:w="1276" w:type="dxa"/>
            <w:shd w:val="clear" w:color="auto" w:fill="BEBEBE"/>
          </w:tcPr>
          <w:p>
            <w:pPr>
              <w:pStyle w:val="TableParagraph"/>
              <w:spacing w:before="82"/>
              <w:ind w:right="273"/>
              <w:jc w:val="right"/>
              <w:rPr>
                <w:sz w:val="18"/>
              </w:rPr>
            </w:pPr>
            <w:r>
              <w:rPr>
                <w:spacing w:val="-5"/>
                <w:sz w:val="18"/>
              </w:rPr>
              <w:t>87</w:t>
            </w:r>
          </w:p>
        </w:tc>
        <w:tc>
          <w:tcPr>
            <w:tcW w:w="1133" w:type="dxa"/>
            <w:shd w:val="clear" w:color="auto" w:fill="BEBEBE"/>
          </w:tcPr>
          <w:p>
            <w:pPr>
              <w:pStyle w:val="TableParagraph"/>
              <w:spacing w:before="82"/>
              <w:ind w:right="97"/>
              <w:jc w:val="right"/>
              <w:rPr>
                <w:sz w:val="18"/>
              </w:rPr>
            </w:pPr>
            <w:r>
              <w:rPr>
                <w:spacing w:val="-2"/>
                <w:sz w:val="18"/>
              </w:rPr>
              <w:t>33.064</w:t>
            </w:r>
          </w:p>
        </w:tc>
        <w:tc>
          <w:tcPr>
            <w:tcW w:w="1276" w:type="dxa"/>
            <w:shd w:val="clear" w:color="auto" w:fill="BEBEBE"/>
          </w:tcPr>
          <w:p>
            <w:pPr>
              <w:pStyle w:val="TableParagraph"/>
              <w:spacing w:before="82"/>
              <w:ind w:right="272"/>
              <w:jc w:val="right"/>
              <w:rPr>
                <w:sz w:val="18"/>
              </w:rPr>
            </w:pPr>
            <w:r>
              <w:rPr>
                <w:spacing w:val="-5"/>
                <w:sz w:val="18"/>
              </w:rPr>
              <w:t>39</w:t>
            </w:r>
          </w:p>
        </w:tc>
        <w:tc>
          <w:tcPr>
            <w:tcW w:w="1703" w:type="dxa"/>
            <w:shd w:val="clear" w:color="auto" w:fill="BEBEBE"/>
          </w:tcPr>
          <w:p>
            <w:pPr>
              <w:pStyle w:val="TableParagraph"/>
              <w:spacing w:before="82"/>
              <w:ind w:right="276"/>
              <w:jc w:val="right"/>
              <w:rPr>
                <w:sz w:val="18"/>
              </w:rPr>
            </w:pPr>
            <w:r>
              <w:rPr>
                <w:spacing w:val="-5"/>
                <w:sz w:val="18"/>
              </w:rPr>
              <w:t>678</w:t>
            </w:r>
          </w:p>
        </w:tc>
        <w:tc>
          <w:tcPr>
            <w:tcW w:w="966" w:type="dxa"/>
            <w:shd w:val="clear" w:color="auto" w:fill="BEBEBE"/>
          </w:tcPr>
          <w:p>
            <w:pPr>
              <w:pStyle w:val="TableParagraph"/>
              <w:spacing w:before="82"/>
              <w:ind w:left="121"/>
              <w:jc w:val="center"/>
              <w:rPr>
                <w:sz w:val="18"/>
              </w:rPr>
            </w:pPr>
            <w:r>
              <w:rPr>
                <w:spacing w:val="-2"/>
                <w:sz w:val="18"/>
              </w:rPr>
              <w:t>35.029</w:t>
            </w:r>
          </w:p>
        </w:tc>
      </w:tr>
      <w:tr>
        <w:trPr>
          <w:trHeight w:val="340" w:hRule="atLeast"/>
        </w:trPr>
        <w:tc>
          <w:tcPr>
            <w:tcW w:w="1110" w:type="dxa"/>
            <w:shd w:val="clear" w:color="auto" w:fill="D9D9D9"/>
          </w:tcPr>
          <w:p>
            <w:pPr>
              <w:pStyle w:val="TableParagraph"/>
              <w:spacing w:before="82"/>
              <w:ind w:left="108"/>
              <w:rPr>
                <w:sz w:val="18"/>
              </w:rPr>
            </w:pPr>
            <w:r>
              <w:rPr>
                <w:spacing w:val="-4"/>
                <w:sz w:val="18"/>
              </w:rPr>
              <w:t>2023</w:t>
            </w:r>
          </w:p>
        </w:tc>
        <w:tc>
          <w:tcPr>
            <w:tcW w:w="1149" w:type="dxa"/>
            <w:shd w:val="clear" w:color="auto" w:fill="D9D9D9"/>
          </w:tcPr>
          <w:p>
            <w:pPr>
              <w:pStyle w:val="TableParagraph"/>
              <w:spacing w:before="82"/>
              <w:ind w:right="98"/>
              <w:jc w:val="right"/>
              <w:rPr>
                <w:sz w:val="18"/>
              </w:rPr>
            </w:pPr>
            <w:r>
              <w:rPr>
                <w:spacing w:val="-2"/>
                <w:sz w:val="18"/>
              </w:rPr>
              <w:t>1.579</w:t>
            </w:r>
          </w:p>
        </w:tc>
        <w:tc>
          <w:tcPr>
            <w:tcW w:w="1276" w:type="dxa"/>
            <w:shd w:val="clear" w:color="auto" w:fill="D9D9D9"/>
          </w:tcPr>
          <w:p>
            <w:pPr>
              <w:pStyle w:val="TableParagraph"/>
              <w:spacing w:before="82"/>
              <w:ind w:right="273"/>
              <w:jc w:val="right"/>
              <w:rPr>
                <w:sz w:val="18"/>
              </w:rPr>
            </w:pPr>
            <w:r>
              <w:rPr>
                <w:spacing w:val="-5"/>
                <w:sz w:val="18"/>
              </w:rPr>
              <w:t>144</w:t>
            </w:r>
          </w:p>
        </w:tc>
        <w:tc>
          <w:tcPr>
            <w:tcW w:w="1133" w:type="dxa"/>
            <w:shd w:val="clear" w:color="auto" w:fill="D9D9D9"/>
          </w:tcPr>
          <w:p>
            <w:pPr>
              <w:pStyle w:val="TableParagraph"/>
              <w:spacing w:before="82"/>
              <w:ind w:right="97"/>
              <w:jc w:val="right"/>
              <w:rPr>
                <w:sz w:val="18"/>
              </w:rPr>
            </w:pPr>
            <w:r>
              <w:rPr>
                <w:spacing w:val="-2"/>
                <w:sz w:val="18"/>
              </w:rPr>
              <w:t>42.188</w:t>
            </w:r>
          </w:p>
        </w:tc>
        <w:tc>
          <w:tcPr>
            <w:tcW w:w="1276" w:type="dxa"/>
            <w:shd w:val="clear" w:color="auto" w:fill="D9D9D9"/>
          </w:tcPr>
          <w:p>
            <w:pPr>
              <w:pStyle w:val="TableParagraph"/>
              <w:spacing w:before="82"/>
              <w:ind w:right="272"/>
              <w:jc w:val="right"/>
              <w:rPr>
                <w:sz w:val="18"/>
              </w:rPr>
            </w:pPr>
            <w:r>
              <w:rPr>
                <w:spacing w:val="-5"/>
                <w:sz w:val="18"/>
              </w:rPr>
              <w:t>54</w:t>
            </w:r>
          </w:p>
        </w:tc>
        <w:tc>
          <w:tcPr>
            <w:tcW w:w="1703" w:type="dxa"/>
            <w:shd w:val="clear" w:color="auto" w:fill="D9D9D9"/>
          </w:tcPr>
          <w:p>
            <w:pPr>
              <w:pStyle w:val="TableParagraph"/>
              <w:spacing w:before="82"/>
              <w:ind w:right="276"/>
              <w:jc w:val="right"/>
              <w:rPr>
                <w:sz w:val="18"/>
              </w:rPr>
            </w:pPr>
            <w:r>
              <w:rPr>
                <w:spacing w:val="-5"/>
                <w:sz w:val="18"/>
              </w:rPr>
              <w:t>421</w:t>
            </w:r>
          </w:p>
        </w:tc>
        <w:tc>
          <w:tcPr>
            <w:tcW w:w="966" w:type="dxa"/>
            <w:shd w:val="clear" w:color="auto" w:fill="D9D9D9"/>
          </w:tcPr>
          <w:p>
            <w:pPr>
              <w:pStyle w:val="TableParagraph"/>
              <w:spacing w:before="82"/>
              <w:ind w:left="121"/>
              <w:jc w:val="center"/>
              <w:rPr>
                <w:sz w:val="18"/>
              </w:rPr>
            </w:pPr>
            <w:r>
              <w:rPr>
                <w:spacing w:val="-2"/>
                <w:sz w:val="18"/>
              </w:rPr>
              <w:t>44.386</w:t>
            </w:r>
          </w:p>
        </w:tc>
      </w:tr>
      <w:tr>
        <w:trPr>
          <w:trHeight w:val="338" w:hRule="atLeast"/>
        </w:trPr>
        <w:tc>
          <w:tcPr>
            <w:tcW w:w="1110" w:type="dxa"/>
            <w:shd w:val="clear" w:color="auto" w:fill="BEBEBE"/>
          </w:tcPr>
          <w:p>
            <w:pPr>
              <w:pStyle w:val="TableParagraph"/>
              <w:spacing w:before="82"/>
              <w:ind w:left="108"/>
              <w:rPr>
                <w:sz w:val="18"/>
              </w:rPr>
            </w:pPr>
            <w:r>
              <w:rPr>
                <w:spacing w:val="-4"/>
                <w:sz w:val="18"/>
              </w:rPr>
              <w:t>2024</w:t>
            </w:r>
          </w:p>
        </w:tc>
        <w:tc>
          <w:tcPr>
            <w:tcW w:w="1149" w:type="dxa"/>
            <w:shd w:val="clear" w:color="auto" w:fill="BEBEBE"/>
          </w:tcPr>
          <w:p>
            <w:pPr>
              <w:pStyle w:val="TableParagraph"/>
              <w:spacing w:before="82"/>
              <w:ind w:right="98"/>
              <w:jc w:val="right"/>
              <w:rPr>
                <w:sz w:val="18"/>
              </w:rPr>
            </w:pPr>
            <w:r>
              <w:rPr>
                <w:spacing w:val="-2"/>
                <w:sz w:val="18"/>
              </w:rPr>
              <w:t>1.306</w:t>
            </w:r>
          </w:p>
        </w:tc>
        <w:tc>
          <w:tcPr>
            <w:tcW w:w="1276" w:type="dxa"/>
            <w:shd w:val="clear" w:color="auto" w:fill="BEBEBE"/>
          </w:tcPr>
          <w:p>
            <w:pPr>
              <w:pStyle w:val="TableParagraph"/>
              <w:spacing w:before="82"/>
              <w:ind w:right="273"/>
              <w:jc w:val="right"/>
              <w:rPr>
                <w:sz w:val="18"/>
              </w:rPr>
            </w:pPr>
            <w:r>
              <w:rPr>
                <w:spacing w:val="-5"/>
                <w:sz w:val="18"/>
              </w:rPr>
              <w:t>79</w:t>
            </w:r>
          </w:p>
        </w:tc>
        <w:tc>
          <w:tcPr>
            <w:tcW w:w="1133" w:type="dxa"/>
            <w:shd w:val="clear" w:color="auto" w:fill="BEBEBE"/>
          </w:tcPr>
          <w:p>
            <w:pPr>
              <w:pStyle w:val="TableParagraph"/>
              <w:spacing w:before="82"/>
              <w:ind w:right="97"/>
              <w:jc w:val="right"/>
              <w:rPr>
                <w:sz w:val="18"/>
              </w:rPr>
            </w:pPr>
            <w:r>
              <w:rPr>
                <w:spacing w:val="-2"/>
                <w:sz w:val="18"/>
              </w:rPr>
              <w:t>35.807</w:t>
            </w:r>
          </w:p>
        </w:tc>
        <w:tc>
          <w:tcPr>
            <w:tcW w:w="1276" w:type="dxa"/>
            <w:shd w:val="clear" w:color="auto" w:fill="BEBEBE"/>
          </w:tcPr>
          <w:p>
            <w:pPr>
              <w:pStyle w:val="TableParagraph"/>
              <w:spacing w:before="82"/>
              <w:ind w:right="272"/>
              <w:jc w:val="right"/>
              <w:rPr>
                <w:sz w:val="18"/>
              </w:rPr>
            </w:pPr>
            <w:r>
              <w:rPr>
                <w:spacing w:val="-5"/>
                <w:sz w:val="18"/>
              </w:rPr>
              <w:t>20</w:t>
            </w:r>
          </w:p>
        </w:tc>
        <w:tc>
          <w:tcPr>
            <w:tcW w:w="1703" w:type="dxa"/>
            <w:shd w:val="clear" w:color="auto" w:fill="BEBEBE"/>
          </w:tcPr>
          <w:p>
            <w:pPr>
              <w:pStyle w:val="TableParagraph"/>
              <w:spacing w:before="82"/>
              <w:ind w:right="276"/>
              <w:jc w:val="right"/>
              <w:rPr>
                <w:sz w:val="18"/>
              </w:rPr>
            </w:pPr>
            <w:r>
              <w:rPr>
                <w:spacing w:val="-5"/>
                <w:sz w:val="18"/>
              </w:rPr>
              <w:t>383</w:t>
            </w:r>
          </w:p>
        </w:tc>
        <w:tc>
          <w:tcPr>
            <w:tcW w:w="966" w:type="dxa"/>
            <w:shd w:val="clear" w:color="auto" w:fill="BEBEBE"/>
          </w:tcPr>
          <w:p>
            <w:pPr>
              <w:pStyle w:val="TableParagraph"/>
              <w:spacing w:before="82"/>
              <w:ind w:left="121"/>
              <w:jc w:val="center"/>
              <w:rPr>
                <w:sz w:val="18"/>
              </w:rPr>
            </w:pPr>
            <w:r>
              <w:rPr>
                <w:spacing w:val="-2"/>
                <w:sz w:val="18"/>
              </w:rPr>
              <w:t>37.595</w:t>
            </w:r>
          </w:p>
        </w:tc>
      </w:tr>
      <w:tr>
        <w:trPr>
          <w:trHeight w:val="341" w:hRule="atLeast"/>
        </w:trPr>
        <w:tc>
          <w:tcPr>
            <w:tcW w:w="1110" w:type="dxa"/>
            <w:shd w:val="clear" w:color="auto" w:fill="D9D9D9"/>
          </w:tcPr>
          <w:p>
            <w:pPr>
              <w:pStyle w:val="TableParagraph"/>
              <w:spacing w:before="82"/>
              <w:ind w:left="108"/>
              <w:rPr>
                <w:sz w:val="18"/>
              </w:rPr>
            </w:pPr>
            <w:r>
              <w:rPr>
                <w:spacing w:val="-4"/>
                <w:sz w:val="18"/>
              </w:rPr>
              <w:t>2025</w:t>
            </w:r>
          </w:p>
        </w:tc>
        <w:tc>
          <w:tcPr>
            <w:tcW w:w="1149" w:type="dxa"/>
            <w:shd w:val="clear" w:color="auto" w:fill="D9D9D9"/>
          </w:tcPr>
          <w:p>
            <w:pPr>
              <w:pStyle w:val="TableParagraph"/>
              <w:spacing w:before="82"/>
              <w:ind w:right="98"/>
              <w:jc w:val="right"/>
              <w:rPr>
                <w:sz w:val="18"/>
              </w:rPr>
            </w:pPr>
            <w:r>
              <w:rPr>
                <w:spacing w:val="-2"/>
                <w:sz w:val="18"/>
              </w:rPr>
              <w:t>1.501</w:t>
            </w:r>
          </w:p>
        </w:tc>
        <w:tc>
          <w:tcPr>
            <w:tcW w:w="1276" w:type="dxa"/>
            <w:shd w:val="clear" w:color="auto" w:fill="D9D9D9"/>
          </w:tcPr>
          <w:p>
            <w:pPr>
              <w:pStyle w:val="TableParagraph"/>
              <w:spacing w:before="82"/>
              <w:ind w:right="273"/>
              <w:jc w:val="right"/>
              <w:rPr>
                <w:sz w:val="18"/>
              </w:rPr>
            </w:pPr>
            <w:r>
              <w:rPr>
                <w:spacing w:val="-5"/>
                <w:sz w:val="18"/>
              </w:rPr>
              <w:t>266</w:t>
            </w:r>
          </w:p>
        </w:tc>
        <w:tc>
          <w:tcPr>
            <w:tcW w:w="1133" w:type="dxa"/>
            <w:shd w:val="clear" w:color="auto" w:fill="D9D9D9"/>
          </w:tcPr>
          <w:p>
            <w:pPr>
              <w:pStyle w:val="TableParagraph"/>
              <w:spacing w:before="82"/>
              <w:ind w:right="97"/>
              <w:jc w:val="right"/>
              <w:rPr>
                <w:sz w:val="18"/>
              </w:rPr>
            </w:pPr>
            <w:r>
              <w:rPr>
                <w:spacing w:val="-2"/>
                <w:sz w:val="18"/>
              </w:rPr>
              <w:t>55.701</w:t>
            </w:r>
          </w:p>
        </w:tc>
        <w:tc>
          <w:tcPr>
            <w:tcW w:w="1276" w:type="dxa"/>
            <w:shd w:val="clear" w:color="auto" w:fill="D9D9D9"/>
          </w:tcPr>
          <w:p>
            <w:pPr>
              <w:pStyle w:val="TableParagraph"/>
              <w:spacing w:before="82"/>
              <w:ind w:right="272"/>
              <w:jc w:val="right"/>
              <w:rPr>
                <w:sz w:val="18"/>
              </w:rPr>
            </w:pPr>
            <w:r>
              <w:rPr>
                <w:spacing w:val="-5"/>
                <w:sz w:val="18"/>
              </w:rPr>
              <w:t>113</w:t>
            </w:r>
          </w:p>
        </w:tc>
        <w:tc>
          <w:tcPr>
            <w:tcW w:w="1703" w:type="dxa"/>
            <w:shd w:val="clear" w:color="auto" w:fill="D9D9D9"/>
          </w:tcPr>
          <w:p>
            <w:pPr>
              <w:pStyle w:val="TableParagraph"/>
              <w:spacing w:before="82"/>
              <w:ind w:right="276"/>
              <w:jc w:val="right"/>
              <w:rPr>
                <w:sz w:val="18"/>
              </w:rPr>
            </w:pPr>
            <w:r>
              <w:rPr>
                <w:spacing w:val="-5"/>
                <w:sz w:val="18"/>
              </w:rPr>
              <w:t>834</w:t>
            </w:r>
          </w:p>
        </w:tc>
        <w:tc>
          <w:tcPr>
            <w:tcW w:w="966" w:type="dxa"/>
            <w:shd w:val="clear" w:color="auto" w:fill="D9D9D9"/>
          </w:tcPr>
          <w:p>
            <w:pPr>
              <w:pStyle w:val="TableParagraph"/>
              <w:spacing w:before="82"/>
              <w:ind w:left="121"/>
              <w:jc w:val="center"/>
              <w:rPr>
                <w:sz w:val="18"/>
              </w:rPr>
            </w:pPr>
            <w:r>
              <w:rPr>
                <w:spacing w:val="-2"/>
                <w:sz w:val="18"/>
              </w:rPr>
              <w:t>58.414</w:t>
            </w:r>
          </w:p>
        </w:tc>
      </w:tr>
      <w:tr>
        <w:trPr>
          <w:trHeight w:val="501" w:hRule="atLeast"/>
        </w:trPr>
        <w:tc>
          <w:tcPr>
            <w:tcW w:w="8613" w:type="dxa"/>
            <w:gridSpan w:val="7"/>
            <w:shd w:val="clear" w:color="auto" w:fill="BEBEBE"/>
          </w:tcPr>
          <w:p>
            <w:pPr>
              <w:pStyle w:val="TableParagraph"/>
              <w:spacing w:before="45"/>
              <w:ind w:left="220"/>
              <w:rPr>
                <w:sz w:val="14"/>
              </w:rPr>
            </w:pPr>
            <w:r>
              <w:rPr>
                <w:sz w:val="14"/>
              </w:rPr>
              <w:t>Πηγή:</w:t>
            </w:r>
            <w:r>
              <w:rPr>
                <w:spacing w:val="-7"/>
                <w:sz w:val="14"/>
              </w:rPr>
              <w:t> </w:t>
            </w:r>
            <w:r>
              <w:rPr>
                <w:sz w:val="14"/>
              </w:rPr>
              <w:t>Μηνιαίο</w:t>
            </w:r>
            <w:r>
              <w:rPr>
                <w:spacing w:val="-6"/>
                <w:sz w:val="14"/>
              </w:rPr>
              <w:t> </w:t>
            </w:r>
            <w:r>
              <w:rPr>
                <w:sz w:val="14"/>
              </w:rPr>
              <w:t>Στατιστικό</w:t>
            </w:r>
            <w:r>
              <w:rPr>
                <w:spacing w:val="-3"/>
                <w:sz w:val="14"/>
              </w:rPr>
              <w:t> </w:t>
            </w:r>
            <w:r>
              <w:rPr>
                <w:sz w:val="14"/>
              </w:rPr>
              <w:t>Δελτίο</w:t>
            </w:r>
            <w:r>
              <w:rPr>
                <w:spacing w:val="-5"/>
                <w:sz w:val="14"/>
              </w:rPr>
              <w:t> </w:t>
            </w:r>
            <w:r>
              <w:rPr>
                <w:sz w:val="14"/>
              </w:rPr>
              <w:t>Axia</w:t>
            </w:r>
            <w:r>
              <w:rPr>
                <w:spacing w:val="-4"/>
                <w:sz w:val="14"/>
              </w:rPr>
              <w:t> </w:t>
            </w:r>
            <w:r>
              <w:rPr>
                <w:sz w:val="14"/>
              </w:rPr>
              <w:t>Numbers</w:t>
            </w:r>
            <w:r>
              <w:rPr>
                <w:spacing w:val="-4"/>
                <w:sz w:val="14"/>
              </w:rPr>
              <w:t> </w:t>
            </w:r>
            <w:r>
              <w:rPr>
                <w:sz w:val="14"/>
              </w:rPr>
              <w:t>(Παράγωγα),</w:t>
            </w:r>
            <w:r>
              <w:rPr>
                <w:spacing w:val="-4"/>
                <w:sz w:val="14"/>
              </w:rPr>
              <w:t> </w:t>
            </w:r>
            <w:r>
              <w:rPr>
                <w:sz w:val="14"/>
              </w:rPr>
              <w:t>Euronext</w:t>
            </w:r>
            <w:r>
              <w:rPr>
                <w:spacing w:val="-5"/>
                <w:sz w:val="14"/>
              </w:rPr>
              <w:t> </w:t>
            </w:r>
            <w:r>
              <w:rPr>
                <w:spacing w:val="-2"/>
                <w:sz w:val="14"/>
              </w:rPr>
              <w:t>Athens.</w:t>
            </w:r>
          </w:p>
          <w:p>
            <w:pPr>
              <w:pStyle w:val="TableParagraph"/>
              <w:spacing w:before="59"/>
              <w:ind w:left="220"/>
              <w:rPr>
                <w:sz w:val="14"/>
              </w:rPr>
            </w:pPr>
            <w:r>
              <w:rPr>
                <w:sz w:val="14"/>
              </w:rPr>
              <w:t>*</w:t>
            </w:r>
            <w:r>
              <w:rPr>
                <w:spacing w:val="-7"/>
                <w:sz w:val="14"/>
              </w:rPr>
              <w:t> </w:t>
            </w:r>
            <w:r>
              <w:rPr>
                <w:sz w:val="14"/>
              </w:rPr>
              <w:t>Σ.Μ.Ε.:</w:t>
            </w:r>
            <w:r>
              <w:rPr>
                <w:spacing w:val="-6"/>
                <w:sz w:val="14"/>
              </w:rPr>
              <w:t> </w:t>
            </w:r>
            <w:r>
              <w:rPr>
                <w:sz w:val="14"/>
              </w:rPr>
              <w:t>συμβόλαια</w:t>
            </w:r>
            <w:r>
              <w:rPr>
                <w:spacing w:val="-7"/>
                <w:sz w:val="14"/>
              </w:rPr>
              <w:t> </w:t>
            </w:r>
            <w:r>
              <w:rPr>
                <w:sz w:val="14"/>
              </w:rPr>
              <w:t>μελλοντικής</w:t>
            </w:r>
            <w:r>
              <w:rPr>
                <w:spacing w:val="-6"/>
                <w:sz w:val="14"/>
              </w:rPr>
              <w:t> </w:t>
            </w:r>
            <w:r>
              <w:rPr>
                <w:sz w:val="14"/>
              </w:rPr>
              <w:t>εκπλήρωσης</w:t>
            </w:r>
            <w:r>
              <w:rPr>
                <w:spacing w:val="-7"/>
                <w:sz w:val="14"/>
              </w:rPr>
              <w:t> </w:t>
            </w:r>
            <w:r>
              <w:rPr>
                <w:spacing w:val="-2"/>
                <w:sz w:val="14"/>
              </w:rPr>
              <w:t>(futures).</w:t>
            </w:r>
          </w:p>
        </w:tc>
      </w:tr>
    </w:tbl>
    <w:p>
      <w:pPr>
        <w:pStyle w:val="BodyText"/>
        <w:spacing w:line="304" w:lineRule="auto" w:before="56"/>
        <w:ind w:left="172" w:right="957"/>
        <w:jc w:val="both"/>
      </w:pPr>
      <w:r>
        <w:rPr/>
        <w:t>Υψηλότερος ρυθμός αύξησης (κατά 212% έναντι του 2024) παρατηρήθηκε στη μέση ημερήσια αξία συναλλαγών, η οποία ανήλθε το 2025 σε 42,6 εκατ. ευρώ, μεταβολή που οφείλεται στην αντίστοιχη</w:t>
      </w:r>
      <w:r>
        <w:rPr>
          <w:spacing w:val="-14"/>
        </w:rPr>
        <w:t> </w:t>
      </w:r>
      <w:r>
        <w:rPr/>
        <w:t>αύξηση</w:t>
      </w:r>
      <w:r>
        <w:rPr>
          <w:spacing w:val="-13"/>
        </w:rPr>
        <w:t> </w:t>
      </w:r>
      <w:r>
        <w:rPr/>
        <w:t>της</w:t>
      </w:r>
      <w:r>
        <w:rPr>
          <w:spacing w:val="-14"/>
        </w:rPr>
        <w:t> </w:t>
      </w:r>
      <w:r>
        <w:rPr/>
        <w:t>μέσης</w:t>
      </w:r>
      <w:r>
        <w:rPr>
          <w:spacing w:val="-12"/>
        </w:rPr>
        <w:t> </w:t>
      </w:r>
      <w:r>
        <w:rPr/>
        <w:t>ημερήσιας</w:t>
      </w:r>
      <w:r>
        <w:rPr>
          <w:spacing w:val="-13"/>
        </w:rPr>
        <w:t> </w:t>
      </w:r>
      <w:r>
        <w:rPr/>
        <w:t>αξίας</w:t>
      </w:r>
      <w:r>
        <w:rPr>
          <w:spacing w:val="-13"/>
        </w:rPr>
        <w:t> </w:t>
      </w:r>
      <w:r>
        <w:rPr/>
        <w:t>των</w:t>
      </w:r>
      <w:r>
        <w:rPr>
          <w:spacing w:val="-13"/>
        </w:rPr>
        <w:t> </w:t>
      </w:r>
      <w:r>
        <w:rPr/>
        <w:t>Σ.Μ.Ε.</w:t>
      </w:r>
      <w:r>
        <w:rPr>
          <w:spacing w:val="-12"/>
        </w:rPr>
        <w:t> </w:t>
      </w:r>
      <w:r>
        <w:rPr/>
        <w:t>τόσο</w:t>
      </w:r>
      <w:r>
        <w:rPr>
          <w:spacing w:val="-14"/>
        </w:rPr>
        <w:t> </w:t>
      </w:r>
      <w:r>
        <w:rPr/>
        <w:t>επί</w:t>
      </w:r>
      <w:r>
        <w:rPr>
          <w:spacing w:val="-14"/>
        </w:rPr>
        <w:t> </w:t>
      </w:r>
      <w:r>
        <w:rPr/>
        <w:t>δεικτών,</w:t>
      </w:r>
      <w:r>
        <w:rPr>
          <w:spacing w:val="-14"/>
        </w:rPr>
        <w:t> </w:t>
      </w:r>
      <w:r>
        <w:rPr/>
        <w:t>όσο</w:t>
      </w:r>
      <w:r>
        <w:rPr>
          <w:spacing w:val="-13"/>
        </w:rPr>
        <w:t> </w:t>
      </w:r>
      <w:r>
        <w:rPr/>
        <w:t>και</w:t>
      </w:r>
      <w:r>
        <w:rPr>
          <w:spacing w:val="-12"/>
        </w:rPr>
        <w:t> </w:t>
      </w:r>
      <w:r>
        <w:rPr/>
        <w:t>επί</w:t>
      </w:r>
      <w:r>
        <w:rPr>
          <w:spacing w:val="-14"/>
        </w:rPr>
        <w:t> </w:t>
      </w:r>
      <w:r>
        <w:rPr/>
        <w:t>μετοχών (βλ. Πίνακα VI.5).</w:t>
      </w:r>
    </w:p>
    <w:p>
      <w:pPr>
        <w:spacing w:line="240" w:lineRule="auto"/>
        <w:ind w:left="277" w:right="0" w:firstLine="0"/>
        <w:rPr>
          <w:sz w:val="20"/>
        </w:rPr>
      </w:pPr>
      <w:r>
        <w:rPr>
          <w:sz w:val="20"/>
        </w:rPr>
        <mc:AlternateContent>
          <mc:Choice Requires="wps">
            <w:drawing>
              <wp:inline distT="0" distB="0" distL="0" distR="0">
                <wp:extent cx="5401945" cy="360045"/>
                <wp:effectExtent l="0" t="0" r="0" b="0"/>
                <wp:docPr id="769" name="Textbox 769"/>
                <wp:cNvGraphicFramePr>
                  <a:graphicFrameLocks/>
                </wp:cNvGraphicFramePr>
                <a:graphic>
                  <a:graphicData uri="http://schemas.microsoft.com/office/word/2010/wordprocessingShape">
                    <wps:wsp>
                      <wps:cNvPr id="769" name="Textbox 769"/>
                      <wps:cNvSpPr txBox="1"/>
                      <wps:spPr>
                        <a:xfrm>
                          <a:off x="0" y="0"/>
                          <a:ext cx="5401945" cy="360045"/>
                        </a:xfrm>
                        <a:prstGeom prst="rect">
                          <a:avLst/>
                        </a:prstGeom>
                        <a:solidFill>
                          <a:srgbClr val="1F487C"/>
                        </a:solidFill>
                      </wps:spPr>
                      <wps:txbx>
                        <w:txbxContent>
                          <w:p>
                            <w:pPr>
                              <w:spacing w:before="60"/>
                              <w:ind w:left="108" w:right="49" w:firstLine="0"/>
                              <w:jc w:val="left"/>
                              <w:rPr>
                                <w:b/>
                                <w:color w:val="000000"/>
                                <w:sz w:val="18"/>
                              </w:rPr>
                            </w:pPr>
                            <w:r>
                              <w:rPr>
                                <w:b/>
                                <w:color w:val="FFFFFF"/>
                                <w:sz w:val="18"/>
                              </w:rPr>
                              <w:t>Πίνακας</w:t>
                            </w:r>
                            <w:r>
                              <w:rPr>
                                <w:b/>
                                <w:color w:val="FFFFFF"/>
                                <w:spacing w:val="-12"/>
                                <w:sz w:val="18"/>
                              </w:rPr>
                              <w:t> </w:t>
                            </w:r>
                            <w:r>
                              <w:rPr>
                                <w:b/>
                                <w:color w:val="FFFFFF"/>
                                <w:sz w:val="18"/>
                              </w:rPr>
                              <w:t>VI.5</w:t>
                            </w:r>
                            <w:r>
                              <w:rPr>
                                <w:b/>
                                <w:color w:val="FFFFFF"/>
                                <w:spacing w:val="-11"/>
                                <w:sz w:val="18"/>
                              </w:rPr>
                              <w:t> </w:t>
                            </w:r>
                            <w:r>
                              <w:rPr>
                                <w:b/>
                                <w:color w:val="FFFFFF"/>
                                <w:sz w:val="18"/>
                              </w:rPr>
                              <w:t>Μέση</w:t>
                            </w:r>
                            <w:r>
                              <w:rPr>
                                <w:b/>
                                <w:color w:val="FFFFFF"/>
                                <w:spacing w:val="-11"/>
                                <w:sz w:val="18"/>
                              </w:rPr>
                              <w:t> </w:t>
                            </w:r>
                            <w:r>
                              <w:rPr>
                                <w:b/>
                                <w:color w:val="FFFFFF"/>
                                <w:sz w:val="18"/>
                              </w:rPr>
                              <w:t>ημερήσ</w:t>
                            </w:r>
                            <w:r>
                              <w:rPr>
                                <w:b/>
                                <w:smallCaps/>
                                <w:color w:val="FFFFFF"/>
                                <w:sz w:val="18"/>
                              </w:rPr>
                              <w:t>ι</w:t>
                            </w:r>
                            <w:r>
                              <w:rPr>
                                <w:b/>
                                <w:smallCaps w:val="0"/>
                                <w:color w:val="FFFFFF"/>
                                <w:sz w:val="18"/>
                              </w:rPr>
                              <w:t>α</w:t>
                            </w:r>
                            <w:r>
                              <w:rPr>
                                <w:b/>
                                <w:smallCaps w:val="0"/>
                                <w:color w:val="FFFFFF"/>
                                <w:spacing w:val="-11"/>
                                <w:sz w:val="18"/>
                              </w:rPr>
                              <w:t> </w:t>
                            </w:r>
                            <w:r>
                              <w:rPr>
                                <w:b/>
                                <w:smallCaps w:val="0"/>
                                <w:color w:val="FFFFFF"/>
                                <w:sz w:val="18"/>
                              </w:rPr>
                              <w:t>αξία</w:t>
                            </w:r>
                            <w:r>
                              <w:rPr>
                                <w:b/>
                                <w:smallCaps w:val="0"/>
                                <w:color w:val="FFFFFF"/>
                                <w:spacing w:val="-12"/>
                                <w:sz w:val="18"/>
                              </w:rPr>
                              <w:t> </w:t>
                            </w:r>
                            <w:r>
                              <w:rPr>
                                <w:b/>
                                <w:smallCaps w:val="0"/>
                                <w:color w:val="FFFFFF"/>
                                <w:sz w:val="18"/>
                              </w:rPr>
                              <w:t>συναλλαγών</w:t>
                            </w:r>
                            <w:r>
                              <w:rPr>
                                <w:b/>
                                <w:smallCaps w:val="0"/>
                                <w:color w:val="FFFFFF"/>
                                <w:spacing w:val="-11"/>
                                <w:sz w:val="18"/>
                              </w:rPr>
                              <w:t> </w:t>
                            </w:r>
                            <w:r>
                              <w:rPr>
                                <w:b/>
                                <w:smallCaps w:val="0"/>
                                <w:color w:val="FFFFFF"/>
                                <w:sz w:val="18"/>
                              </w:rPr>
                              <w:t>στην</w:t>
                            </w:r>
                            <w:r>
                              <w:rPr>
                                <w:b/>
                                <w:smallCaps w:val="0"/>
                                <w:color w:val="FFFFFF"/>
                                <w:spacing w:val="-11"/>
                                <w:sz w:val="18"/>
                              </w:rPr>
                              <w:t> </w:t>
                            </w:r>
                            <w:r>
                              <w:rPr>
                                <w:b/>
                                <w:smallCaps w:val="0"/>
                                <w:color w:val="FFFFFF"/>
                                <w:sz w:val="18"/>
                              </w:rPr>
                              <w:t>αγορά</w:t>
                            </w:r>
                            <w:r>
                              <w:rPr>
                                <w:b/>
                                <w:smallCaps w:val="0"/>
                                <w:color w:val="FFFFFF"/>
                                <w:spacing w:val="-11"/>
                                <w:sz w:val="18"/>
                              </w:rPr>
                              <w:t> </w:t>
                            </w:r>
                            <w:r>
                              <w:rPr>
                                <w:b/>
                                <w:smallCaps w:val="0"/>
                                <w:color w:val="FFFFFF"/>
                                <w:sz w:val="18"/>
                              </w:rPr>
                              <w:t>παραγώγων</w:t>
                            </w:r>
                            <w:r>
                              <w:rPr>
                                <w:b/>
                                <w:smallCaps w:val="0"/>
                                <w:color w:val="FFFFFF"/>
                                <w:spacing w:val="-12"/>
                                <w:sz w:val="18"/>
                              </w:rPr>
                              <w:t> </w:t>
                            </w:r>
                            <w:r>
                              <w:rPr>
                                <w:b/>
                                <w:smallCaps w:val="0"/>
                                <w:color w:val="FFFFFF"/>
                                <w:sz w:val="18"/>
                              </w:rPr>
                              <w:t>του</w:t>
                            </w:r>
                            <w:r>
                              <w:rPr>
                                <w:b/>
                                <w:smallCaps w:val="0"/>
                                <w:color w:val="FFFFFF"/>
                                <w:spacing w:val="-10"/>
                                <w:sz w:val="18"/>
                              </w:rPr>
                              <w:t> </w:t>
                            </w:r>
                            <w:r>
                              <w:rPr>
                                <w:b/>
                                <w:smallCaps w:val="0"/>
                                <w:color w:val="FFFFFF"/>
                                <w:sz w:val="18"/>
                              </w:rPr>
                              <w:t>Euronext</w:t>
                            </w:r>
                            <w:r>
                              <w:rPr>
                                <w:b/>
                                <w:smallCaps w:val="0"/>
                                <w:color w:val="FFFFFF"/>
                                <w:spacing w:val="-12"/>
                                <w:sz w:val="18"/>
                              </w:rPr>
                              <w:t> </w:t>
                            </w:r>
                            <w:r>
                              <w:rPr>
                                <w:b/>
                                <w:smallCaps w:val="0"/>
                                <w:color w:val="FFFFFF"/>
                                <w:sz w:val="18"/>
                              </w:rPr>
                              <w:t>Athens</w:t>
                            </w:r>
                            <w:r>
                              <w:rPr>
                                <w:b/>
                                <w:smallCaps w:val="0"/>
                                <w:color w:val="FFFFFF"/>
                                <w:spacing w:val="-12"/>
                                <w:sz w:val="18"/>
                              </w:rPr>
                              <w:t> </w:t>
                            </w:r>
                            <w:r>
                              <w:rPr>
                                <w:b/>
                                <w:smallCaps w:val="0"/>
                                <w:color w:val="FFFFFF"/>
                                <w:sz w:val="18"/>
                              </w:rPr>
                              <w:t>ανά</w:t>
                            </w:r>
                            <w:r>
                              <w:rPr>
                                <w:b/>
                                <w:smallCaps w:val="0"/>
                                <w:color w:val="FFFFFF"/>
                                <w:spacing w:val="-11"/>
                                <w:sz w:val="18"/>
                              </w:rPr>
                              <w:t> </w:t>
                            </w:r>
                            <w:r>
                              <w:rPr>
                                <w:b/>
                                <w:smallCaps w:val="0"/>
                                <w:color w:val="FFFFFF"/>
                                <w:sz w:val="18"/>
                              </w:rPr>
                              <w:t>κατηγορία παράγωγου προϊόντος</w:t>
                            </w:r>
                          </w:p>
                        </w:txbxContent>
                      </wps:txbx>
                      <wps:bodyPr wrap="square" lIns="0" tIns="0" rIns="0" bIns="0" rtlCol="0">
                        <a:noAutofit/>
                      </wps:bodyPr>
                    </wps:wsp>
                  </a:graphicData>
                </a:graphic>
              </wp:inline>
            </w:drawing>
          </mc:Choice>
          <mc:Fallback>
            <w:pict>
              <v:shape style="width:425.35pt;height:28.35pt;mso-position-horizontal-relative:char;mso-position-vertical-relative:line" type="#_x0000_t202" id="docshape718" filled="true" fillcolor="#1f487c" stroked="false">
                <w10:anchorlock/>
                <v:textbox inset="0,0,0,0">
                  <w:txbxContent>
                    <w:p>
                      <w:pPr>
                        <w:spacing w:before="60"/>
                        <w:ind w:left="108" w:right="49" w:firstLine="0"/>
                        <w:jc w:val="left"/>
                        <w:rPr>
                          <w:b/>
                          <w:color w:val="000000"/>
                          <w:sz w:val="18"/>
                        </w:rPr>
                      </w:pPr>
                      <w:r>
                        <w:rPr>
                          <w:b/>
                          <w:color w:val="FFFFFF"/>
                          <w:sz w:val="18"/>
                        </w:rPr>
                        <w:t>Πίνακας</w:t>
                      </w:r>
                      <w:r>
                        <w:rPr>
                          <w:b/>
                          <w:color w:val="FFFFFF"/>
                          <w:spacing w:val="-12"/>
                          <w:sz w:val="18"/>
                        </w:rPr>
                        <w:t> </w:t>
                      </w:r>
                      <w:r>
                        <w:rPr>
                          <w:b/>
                          <w:color w:val="FFFFFF"/>
                          <w:sz w:val="18"/>
                        </w:rPr>
                        <w:t>VI.5</w:t>
                      </w:r>
                      <w:r>
                        <w:rPr>
                          <w:b/>
                          <w:color w:val="FFFFFF"/>
                          <w:spacing w:val="-11"/>
                          <w:sz w:val="18"/>
                        </w:rPr>
                        <w:t> </w:t>
                      </w:r>
                      <w:r>
                        <w:rPr>
                          <w:b/>
                          <w:color w:val="FFFFFF"/>
                          <w:sz w:val="18"/>
                        </w:rPr>
                        <w:t>Μέση</w:t>
                      </w:r>
                      <w:r>
                        <w:rPr>
                          <w:b/>
                          <w:color w:val="FFFFFF"/>
                          <w:spacing w:val="-11"/>
                          <w:sz w:val="18"/>
                        </w:rPr>
                        <w:t> </w:t>
                      </w:r>
                      <w:r>
                        <w:rPr>
                          <w:b/>
                          <w:color w:val="FFFFFF"/>
                          <w:sz w:val="18"/>
                        </w:rPr>
                        <w:t>ημερήσ</w:t>
                      </w:r>
                      <w:r>
                        <w:rPr>
                          <w:b/>
                          <w:smallCaps/>
                          <w:color w:val="FFFFFF"/>
                          <w:sz w:val="18"/>
                        </w:rPr>
                        <w:t>ι</w:t>
                      </w:r>
                      <w:r>
                        <w:rPr>
                          <w:b/>
                          <w:smallCaps w:val="0"/>
                          <w:color w:val="FFFFFF"/>
                          <w:sz w:val="18"/>
                        </w:rPr>
                        <w:t>α</w:t>
                      </w:r>
                      <w:r>
                        <w:rPr>
                          <w:b/>
                          <w:smallCaps w:val="0"/>
                          <w:color w:val="FFFFFF"/>
                          <w:spacing w:val="-11"/>
                          <w:sz w:val="18"/>
                        </w:rPr>
                        <w:t> </w:t>
                      </w:r>
                      <w:r>
                        <w:rPr>
                          <w:b/>
                          <w:smallCaps w:val="0"/>
                          <w:color w:val="FFFFFF"/>
                          <w:sz w:val="18"/>
                        </w:rPr>
                        <w:t>αξία</w:t>
                      </w:r>
                      <w:r>
                        <w:rPr>
                          <w:b/>
                          <w:smallCaps w:val="0"/>
                          <w:color w:val="FFFFFF"/>
                          <w:spacing w:val="-12"/>
                          <w:sz w:val="18"/>
                        </w:rPr>
                        <w:t> </w:t>
                      </w:r>
                      <w:r>
                        <w:rPr>
                          <w:b/>
                          <w:smallCaps w:val="0"/>
                          <w:color w:val="FFFFFF"/>
                          <w:sz w:val="18"/>
                        </w:rPr>
                        <w:t>συναλλαγών</w:t>
                      </w:r>
                      <w:r>
                        <w:rPr>
                          <w:b/>
                          <w:smallCaps w:val="0"/>
                          <w:color w:val="FFFFFF"/>
                          <w:spacing w:val="-11"/>
                          <w:sz w:val="18"/>
                        </w:rPr>
                        <w:t> </w:t>
                      </w:r>
                      <w:r>
                        <w:rPr>
                          <w:b/>
                          <w:smallCaps w:val="0"/>
                          <w:color w:val="FFFFFF"/>
                          <w:sz w:val="18"/>
                        </w:rPr>
                        <w:t>στην</w:t>
                      </w:r>
                      <w:r>
                        <w:rPr>
                          <w:b/>
                          <w:smallCaps w:val="0"/>
                          <w:color w:val="FFFFFF"/>
                          <w:spacing w:val="-11"/>
                          <w:sz w:val="18"/>
                        </w:rPr>
                        <w:t> </w:t>
                      </w:r>
                      <w:r>
                        <w:rPr>
                          <w:b/>
                          <w:smallCaps w:val="0"/>
                          <w:color w:val="FFFFFF"/>
                          <w:sz w:val="18"/>
                        </w:rPr>
                        <w:t>αγορά</w:t>
                      </w:r>
                      <w:r>
                        <w:rPr>
                          <w:b/>
                          <w:smallCaps w:val="0"/>
                          <w:color w:val="FFFFFF"/>
                          <w:spacing w:val="-11"/>
                          <w:sz w:val="18"/>
                        </w:rPr>
                        <w:t> </w:t>
                      </w:r>
                      <w:r>
                        <w:rPr>
                          <w:b/>
                          <w:smallCaps w:val="0"/>
                          <w:color w:val="FFFFFF"/>
                          <w:sz w:val="18"/>
                        </w:rPr>
                        <w:t>παραγώγων</w:t>
                      </w:r>
                      <w:r>
                        <w:rPr>
                          <w:b/>
                          <w:smallCaps w:val="0"/>
                          <w:color w:val="FFFFFF"/>
                          <w:spacing w:val="-12"/>
                          <w:sz w:val="18"/>
                        </w:rPr>
                        <w:t> </w:t>
                      </w:r>
                      <w:r>
                        <w:rPr>
                          <w:b/>
                          <w:smallCaps w:val="0"/>
                          <w:color w:val="FFFFFF"/>
                          <w:sz w:val="18"/>
                        </w:rPr>
                        <w:t>του</w:t>
                      </w:r>
                      <w:r>
                        <w:rPr>
                          <w:b/>
                          <w:smallCaps w:val="0"/>
                          <w:color w:val="FFFFFF"/>
                          <w:spacing w:val="-10"/>
                          <w:sz w:val="18"/>
                        </w:rPr>
                        <w:t> </w:t>
                      </w:r>
                      <w:r>
                        <w:rPr>
                          <w:b/>
                          <w:smallCaps w:val="0"/>
                          <w:color w:val="FFFFFF"/>
                          <w:sz w:val="18"/>
                        </w:rPr>
                        <w:t>Euronext</w:t>
                      </w:r>
                      <w:r>
                        <w:rPr>
                          <w:b/>
                          <w:smallCaps w:val="0"/>
                          <w:color w:val="FFFFFF"/>
                          <w:spacing w:val="-12"/>
                          <w:sz w:val="18"/>
                        </w:rPr>
                        <w:t> </w:t>
                      </w:r>
                      <w:r>
                        <w:rPr>
                          <w:b/>
                          <w:smallCaps w:val="0"/>
                          <w:color w:val="FFFFFF"/>
                          <w:sz w:val="18"/>
                        </w:rPr>
                        <w:t>Athens</w:t>
                      </w:r>
                      <w:r>
                        <w:rPr>
                          <w:b/>
                          <w:smallCaps w:val="0"/>
                          <w:color w:val="FFFFFF"/>
                          <w:spacing w:val="-12"/>
                          <w:sz w:val="18"/>
                        </w:rPr>
                        <w:t> </w:t>
                      </w:r>
                      <w:r>
                        <w:rPr>
                          <w:b/>
                          <w:smallCaps w:val="0"/>
                          <w:color w:val="FFFFFF"/>
                          <w:sz w:val="18"/>
                        </w:rPr>
                        <w:t>ανά</w:t>
                      </w:r>
                      <w:r>
                        <w:rPr>
                          <w:b/>
                          <w:smallCaps w:val="0"/>
                          <w:color w:val="FFFFFF"/>
                          <w:spacing w:val="-11"/>
                          <w:sz w:val="18"/>
                        </w:rPr>
                        <w:t> </w:t>
                      </w:r>
                      <w:r>
                        <w:rPr>
                          <w:b/>
                          <w:smallCaps w:val="0"/>
                          <w:color w:val="FFFFFF"/>
                          <w:sz w:val="18"/>
                        </w:rPr>
                        <w:t>κατηγορία παράγωγου προϊόντος</w:t>
                      </w:r>
                    </w:p>
                  </w:txbxContent>
                </v:textbox>
                <v:fill type="solid"/>
              </v:shape>
            </w:pict>
          </mc:Fallback>
        </mc:AlternateContent>
      </w:r>
      <w:r>
        <w:rPr>
          <w:sz w:val="20"/>
        </w:rPr>
      </w:r>
    </w:p>
    <w:p>
      <w:pPr>
        <w:spacing w:before="0" w:after="13"/>
        <w:ind w:left="443" w:right="0" w:firstLine="0"/>
        <w:jc w:val="left"/>
        <w:rPr>
          <w:sz w:val="14"/>
        </w:rPr>
      </w:pPr>
      <w:r>
        <w:rPr>
          <w:color w:val="1F487C"/>
          <w:sz w:val="14"/>
        </w:rPr>
        <w:t>(εκατ.</w:t>
      </w:r>
      <w:r>
        <w:rPr>
          <w:color w:val="1F487C"/>
          <w:spacing w:val="-5"/>
          <w:sz w:val="14"/>
        </w:rPr>
        <w:t> </w:t>
      </w:r>
      <w:r>
        <w:rPr>
          <w:color w:val="1F487C"/>
          <w:spacing w:val="-2"/>
          <w:sz w:val="14"/>
        </w:rPr>
        <w:t>ευρώ)</w:t>
      </w:r>
    </w:p>
    <w:tbl>
      <w:tblPr>
        <w:tblW w:w="0" w:type="auto"/>
        <w:jc w:val="left"/>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8"/>
        <w:gridCol w:w="1256"/>
        <w:gridCol w:w="1597"/>
        <w:gridCol w:w="1319"/>
        <w:gridCol w:w="1611"/>
        <w:gridCol w:w="1340"/>
      </w:tblGrid>
      <w:tr>
        <w:trPr>
          <w:trHeight w:val="474" w:hRule="atLeast"/>
        </w:trPr>
        <w:tc>
          <w:tcPr>
            <w:tcW w:w="2644" w:type="dxa"/>
            <w:gridSpan w:val="2"/>
            <w:tcBorders>
              <w:bottom w:val="single" w:sz="8" w:space="0" w:color="FFFFFF"/>
              <w:right w:val="single" w:sz="6" w:space="0" w:color="FFFFFF"/>
            </w:tcBorders>
            <w:shd w:val="clear" w:color="auto" w:fill="BEBEBE"/>
          </w:tcPr>
          <w:p>
            <w:pPr>
              <w:pStyle w:val="TableParagraph"/>
              <w:spacing w:line="206" w:lineRule="exact" w:before="43"/>
              <w:ind w:left="1749" w:right="67" w:hanging="423"/>
              <w:rPr>
                <w:b/>
                <w:sz w:val="18"/>
              </w:rPr>
            </w:pPr>
            <w:r>
              <w:rPr>
                <w:b/>
                <w:color w:val="1F487C"/>
                <w:sz w:val="18"/>
              </w:rPr>
              <w:t>Σ.Μ.Ε.*</w:t>
            </w:r>
            <w:r>
              <w:rPr>
                <w:b/>
                <w:color w:val="1F487C"/>
                <w:spacing w:val="-12"/>
                <w:sz w:val="18"/>
              </w:rPr>
              <w:t> </w:t>
            </w:r>
            <w:r>
              <w:rPr>
                <w:b/>
                <w:color w:val="1F487C"/>
                <w:sz w:val="18"/>
              </w:rPr>
              <w:t>επί</w:t>
            </w:r>
            <w:r>
              <w:rPr>
                <w:b/>
                <w:color w:val="1F487C"/>
                <w:spacing w:val="-11"/>
                <w:sz w:val="18"/>
              </w:rPr>
              <w:t> </w:t>
            </w:r>
            <w:r>
              <w:rPr>
                <w:b/>
                <w:color w:val="1F487C"/>
                <w:sz w:val="18"/>
              </w:rPr>
              <w:t>δε</w:t>
            </w:r>
            <w:r>
              <w:rPr>
                <w:b/>
                <w:smallCaps/>
                <w:color w:val="1F487C"/>
                <w:sz w:val="18"/>
              </w:rPr>
              <w:t>ι</w:t>
            </w:r>
            <w:r>
              <w:rPr>
                <w:b/>
                <w:smallCaps w:val="0"/>
                <w:color w:val="1F487C"/>
                <w:sz w:val="18"/>
              </w:rPr>
              <w:t>-</w:t>
            </w:r>
            <w:r>
              <w:rPr>
                <w:b/>
                <w:smallCaps w:val="0"/>
                <w:color w:val="1F487C"/>
                <w:spacing w:val="-4"/>
                <w:sz w:val="18"/>
              </w:rPr>
              <w:t>κτών</w:t>
            </w:r>
          </w:p>
        </w:tc>
        <w:tc>
          <w:tcPr>
            <w:tcW w:w="1597" w:type="dxa"/>
            <w:tcBorders>
              <w:left w:val="single" w:sz="6" w:space="0" w:color="FFFFFF"/>
              <w:bottom w:val="single" w:sz="8" w:space="0" w:color="FFFFFF"/>
              <w:right w:val="single" w:sz="6" w:space="0" w:color="FFFFFF"/>
            </w:tcBorders>
            <w:shd w:val="clear" w:color="auto" w:fill="BEBEBE"/>
          </w:tcPr>
          <w:p>
            <w:pPr>
              <w:pStyle w:val="TableParagraph"/>
              <w:spacing w:line="206" w:lineRule="exact" w:before="43"/>
              <w:ind w:left="99" w:right="38" w:hanging="48"/>
              <w:rPr>
                <w:b/>
                <w:sz w:val="18"/>
              </w:rPr>
            </w:pPr>
            <w:r>
              <w:rPr>
                <w:b/>
                <w:color w:val="1F487C"/>
                <w:sz w:val="18"/>
              </w:rPr>
              <w:t>Δ</w:t>
            </w:r>
            <w:r>
              <w:rPr>
                <w:b/>
                <w:smallCaps/>
                <w:color w:val="1F487C"/>
                <w:sz w:val="18"/>
              </w:rPr>
              <w:t>ι</w:t>
            </w:r>
            <w:r>
              <w:rPr>
                <w:b/>
                <w:smallCaps w:val="0"/>
                <w:color w:val="1F487C"/>
                <w:sz w:val="18"/>
              </w:rPr>
              <w:t>κα</w:t>
            </w:r>
            <w:r>
              <w:rPr>
                <w:b/>
                <w:smallCaps/>
                <w:color w:val="1F487C"/>
                <w:sz w:val="18"/>
              </w:rPr>
              <w:t>ι</w:t>
            </w:r>
            <w:r>
              <w:rPr>
                <w:b/>
                <w:smallCaps w:val="0"/>
                <w:color w:val="1F487C"/>
                <w:sz w:val="18"/>
              </w:rPr>
              <w:t>ώματα</w:t>
            </w:r>
            <w:r>
              <w:rPr>
                <w:b/>
                <w:smallCaps w:val="0"/>
                <w:color w:val="1F487C"/>
                <w:spacing w:val="-12"/>
                <w:sz w:val="18"/>
              </w:rPr>
              <w:t> </w:t>
            </w:r>
            <w:r>
              <w:rPr>
                <w:b/>
                <w:smallCaps w:val="0"/>
                <w:color w:val="1F487C"/>
                <w:sz w:val="18"/>
              </w:rPr>
              <w:t>προαί-ρεσης</w:t>
            </w:r>
            <w:r>
              <w:rPr>
                <w:b/>
                <w:smallCaps w:val="0"/>
                <w:color w:val="1F487C"/>
                <w:spacing w:val="-1"/>
                <w:sz w:val="18"/>
              </w:rPr>
              <w:t> </w:t>
            </w:r>
            <w:r>
              <w:rPr>
                <w:b/>
                <w:smallCaps w:val="0"/>
                <w:color w:val="1F487C"/>
                <w:sz w:val="18"/>
              </w:rPr>
              <w:t>επί</w:t>
            </w:r>
            <w:r>
              <w:rPr>
                <w:b/>
                <w:smallCaps w:val="0"/>
                <w:color w:val="1F487C"/>
                <w:spacing w:val="-1"/>
                <w:sz w:val="18"/>
              </w:rPr>
              <w:t> </w:t>
            </w:r>
            <w:r>
              <w:rPr>
                <w:b/>
                <w:smallCaps w:val="0"/>
                <w:color w:val="1F487C"/>
                <w:spacing w:val="-2"/>
                <w:sz w:val="18"/>
              </w:rPr>
              <w:t>δε</w:t>
            </w:r>
            <w:r>
              <w:rPr>
                <w:b/>
                <w:smallCaps/>
                <w:color w:val="1F487C"/>
                <w:spacing w:val="-2"/>
                <w:sz w:val="18"/>
              </w:rPr>
              <w:t>ι</w:t>
            </w:r>
            <w:r>
              <w:rPr>
                <w:b/>
                <w:smallCaps w:val="0"/>
                <w:color w:val="1F487C"/>
                <w:spacing w:val="-2"/>
                <w:sz w:val="18"/>
              </w:rPr>
              <w:t>κτών</w:t>
            </w:r>
          </w:p>
        </w:tc>
        <w:tc>
          <w:tcPr>
            <w:tcW w:w="1319" w:type="dxa"/>
            <w:tcBorders>
              <w:left w:val="single" w:sz="6" w:space="0" w:color="FFFFFF"/>
              <w:bottom w:val="single" w:sz="8" w:space="0" w:color="FFFFFF"/>
              <w:right w:val="single" w:sz="6" w:space="0" w:color="FFFFFF"/>
            </w:tcBorders>
            <w:shd w:val="clear" w:color="auto" w:fill="BEBEBE"/>
          </w:tcPr>
          <w:p>
            <w:pPr>
              <w:pStyle w:val="TableParagraph"/>
              <w:spacing w:line="206" w:lineRule="exact" w:before="43"/>
              <w:ind w:left="427" w:right="48" w:hanging="368"/>
              <w:rPr>
                <w:b/>
                <w:sz w:val="18"/>
              </w:rPr>
            </w:pPr>
            <w:r>
              <w:rPr>
                <w:b/>
                <w:color w:val="1F487C"/>
                <w:sz w:val="18"/>
              </w:rPr>
              <w:t>Σ.Μ.Ε.*</w:t>
            </w:r>
            <w:r>
              <w:rPr>
                <w:b/>
                <w:color w:val="1F487C"/>
                <w:spacing w:val="-12"/>
                <w:sz w:val="18"/>
              </w:rPr>
              <w:t> </w:t>
            </w:r>
            <w:r>
              <w:rPr>
                <w:b/>
                <w:color w:val="1F487C"/>
                <w:sz w:val="18"/>
              </w:rPr>
              <w:t>επί</w:t>
            </w:r>
            <w:r>
              <w:rPr>
                <w:b/>
                <w:color w:val="1F487C"/>
                <w:spacing w:val="-11"/>
                <w:sz w:val="18"/>
              </w:rPr>
              <w:t> </w:t>
            </w:r>
            <w:r>
              <w:rPr>
                <w:b/>
                <w:color w:val="1F487C"/>
                <w:sz w:val="18"/>
              </w:rPr>
              <w:t>με-</w:t>
            </w:r>
            <w:r>
              <w:rPr>
                <w:b/>
                <w:color w:val="1F487C"/>
                <w:spacing w:val="-2"/>
                <w:sz w:val="18"/>
              </w:rPr>
              <w:t>τοχών</w:t>
            </w:r>
          </w:p>
        </w:tc>
        <w:tc>
          <w:tcPr>
            <w:tcW w:w="1611" w:type="dxa"/>
            <w:tcBorders>
              <w:left w:val="single" w:sz="6" w:space="0" w:color="FFFFFF"/>
              <w:bottom w:val="single" w:sz="8" w:space="0" w:color="FFFFFF"/>
              <w:right w:val="single" w:sz="6" w:space="0" w:color="FFFFFF"/>
            </w:tcBorders>
            <w:shd w:val="clear" w:color="auto" w:fill="BEBEBE"/>
          </w:tcPr>
          <w:p>
            <w:pPr>
              <w:pStyle w:val="TableParagraph"/>
              <w:spacing w:line="206" w:lineRule="exact" w:before="43"/>
              <w:ind w:left="109" w:right="66" w:hanging="75"/>
              <w:rPr>
                <w:b/>
                <w:sz w:val="18"/>
              </w:rPr>
            </w:pPr>
            <w:r>
              <w:rPr>
                <w:b/>
                <w:color w:val="1F487C"/>
                <w:sz w:val="18"/>
              </w:rPr>
              <w:t>Δ</w:t>
            </w:r>
            <w:r>
              <w:rPr>
                <w:b/>
                <w:smallCaps/>
                <w:color w:val="1F487C"/>
                <w:sz w:val="18"/>
              </w:rPr>
              <w:t>ι</w:t>
            </w:r>
            <w:r>
              <w:rPr>
                <w:b/>
                <w:smallCaps w:val="0"/>
                <w:color w:val="1F487C"/>
                <w:sz w:val="18"/>
              </w:rPr>
              <w:t>κα</w:t>
            </w:r>
            <w:r>
              <w:rPr>
                <w:b/>
                <w:smallCaps/>
                <w:color w:val="1F487C"/>
                <w:sz w:val="18"/>
              </w:rPr>
              <w:t>ι</w:t>
            </w:r>
            <w:r>
              <w:rPr>
                <w:b/>
                <w:smallCaps w:val="0"/>
                <w:color w:val="1F487C"/>
                <w:sz w:val="18"/>
              </w:rPr>
              <w:t>ώματα</w:t>
            </w:r>
            <w:r>
              <w:rPr>
                <w:b/>
                <w:smallCaps w:val="0"/>
                <w:color w:val="1F487C"/>
                <w:spacing w:val="-12"/>
                <w:sz w:val="18"/>
              </w:rPr>
              <w:t> </w:t>
            </w:r>
            <w:r>
              <w:rPr>
                <w:b/>
                <w:smallCaps w:val="0"/>
                <w:color w:val="1F487C"/>
                <w:sz w:val="18"/>
              </w:rPr>
              <w:t>προαί-ρεσης</w:t>
            </w:r>
            <w:r>
              <w:rPr>
                <w:b/>
                <w:smallCaps w:val="0"/>
                <w:color w:val="1F487C"/>
                <w:spacing w:val="-3"/>
                <w:sz w:val="18"/>
              </w:rPr>
              <w:t> </w:t>
            </w:r>
            <w:r>
              <w:rPr>
                <w:b/>
                <w:smallCaps w:val="0"/>
                <w:color w:val="1F487C"/>
                <w:sz w:val="18"/>
              </w:rPr>
              <w:t>επί</w:t>
            </w:r>
            <w:r>
              <w:rPr>
                <w:b/>
                <w:smallCaps w:val="0"/>
                <w:color w:val="1F487C"/>
                <w:spacing w:val="-1"/>
                <w:sz w:val="18"/>
              </w:rPr>
              <w:t> </w:t>
            </w:r>
            <w:r>
              <w:rPr>
                <w:b/>
                <w:smallCaps w:val="0"/>
                <w:color w:val="1F487C"/>
                <w:spacing w:val="-2"/>
                <w:sz w:val="18"/>
              </w:rPr>
              <w:t>μετοχών</w:t>
            </w:r>
          </w:p>
        </w:tc>
        <w:tc>
          <w:tcPr>
            <w:tcW w:w="1340" w:type="dxa"/>
            <w:tcBorders>
              <w:left w:val="single" w:sz="6" w:space="0" w:color="FFFFFF"/>
              <w:bottom w:val="single" w:sz="8" w:space="0" w:color="FFFFFF"/>
            </w:tcBorders>
            <w:shd w:val="clear" w:color="auto" w:fill="BEBEBE"/>
          </w:tcPr>
          <w:p>
            <w:pPr>
              <w:pStyle w:val="TableParagraph"/>
              <w:spacing w:before="163"/>
              <w:ind w:left="108"/>
              <w:rPr>
                <w:b/>
                <w:sz w:val="18"/>
              </w:rPr>
            </w:pPr>
            <w:r>
              <w:rPr>
                <w:b/>
                <w:color w:val="1F487C"/>
                <w:sz w:val="18"/>
              </w:rPr>
              <w:t>Γεν</w:t>
            </w:r>
            <w:r>
              <w:rPr>
                <w:b/>
                <w:smallCaps/>
                <w:color w:val="1F487C"/>
                <w:sz w:val="18"/>
              </w:rPr>
              <w:t>ι</w:t>
            </w:r>
            <w:r>
              <w:rPr>
                <w:b/>
                <w:smallCaps w:val="0"/>
                <w:color w:val="1F487C"/>
                <w:sz w:val="18"/>
              </w:rPr>
              <w:t>κό</w:t>
            </w:r>
            <w:r>
              <w:rPr>
                <w:b/>
                <w:smallCaps w:val="0"/>
                <w:color w:val="1F487C"/>
                <w:spacing w:val="-1"/>
                <w:sz w:val="18"/>
              </w:rPr>
              <w:t> </w:t>
            </w:r>
            <w:r>
              <w:rPr>
                <w:b/>
                <w:smallCaps w:val="0"/>
                <w:color w:val="1F487C"/>
                <w:spacing w:val="-2"/>
                <w:sz w:val="18"/>
              </w:rPr>
              <w:t>σύνολο</w:t>
            </w:r>
          </w:p>
        </w:tc>
      </w:tr>
      <w:tr>
        <w:trPr>
          <w:trHeight w:val="340" w:hRule="atLeast"/>
        </w:trPr>
        <w:tc>
          <w:tcPr>
            <w:tcW w:w="1388" w:type="dxa"/>
            <w:tcBorders>
              <w:top w:val="single" w:sz="8" w:space="0" w:color="FFFFFF"/>
            </w:tcBorders>
            <w:shd w:val="clear" w:color="auto" w:fill="D9D9D9"/>
          </w:tcPr>
          <w:p>
            <w:pPr>
              <w:pStyle w:val="TableParagraph"/>
              <w:spacing w:before="95"/>
              <w:ind w:left="460"/>
              <w:rPr>
                <w:sz w:val="18"/>
              </w:rPr>
            </w:pPr>
            <w:r>
              <w:rPr>
                <w:spacing w:val="-4"/>
                <w:sz w:val="18"/>
              </w:rPr>
              <w:t>2021</w:t>
            </w:r>
          </w:p>
        </w:tc>
        <w:tc>
          <w:tcPr>
            <w:tcW w:w="1256" w:type="dxa"/>
            <w:tcBorders>
              <w:top w:val="single" w:sz="8" w:space="0" w:color="FFFFFF"/>
            </w:tcBorders>
            <w:shd w:val="clear" w:color="auto" w:fill="D9D9D9"/>
          </w:tcPr>
          <w:p>
            <w:pPr>
              <w:pStyle w:val="TableParagraph"/>
              <w:spacing w:before="95"/>
              <w:ind w:right="373"/>
              <w:jc w:val="right"/>
              <w:rPr>
                <w:sz w:val="18"/>
              </w:rPr>
            </w:pPr>
            <w:r>
              <w:rPr>
                <w:spacing w:val="-5"/>
                <w:sz w:val="18"/>
              </w:rPr>
              <w:t>5,0</w:t>
            </w:r>
          </w:p>
        </w:tc>
        <w:tc>
          <w:tcPr>
            <w:tcW w:w="1597" w:type="dxa"/>
            <w:tcBorders>
              <w:top w:val="single" w:sz="8" w:space="0" w:color="FFFFFF"/>
            </w:tcBorders>
            <w:shd w:val="clear" w:color="auto" w:fill="D9D9D9"/>
          </w:tcPr>
          <w:p>
            <w:pPr>
              <w:pStyle w:val="TableParagraph"/>
              <w:spacing w:before="95"/>
              <w:ind w:right="270"/>
              <w:jc w:val="right"/>
              <w:rPr>
                <w:sz w:val="18"/>
              </w:rPr>
            </w:pPr>
            <w:r>
              <w:rPr>
                <w:spacing w:val="-5"/>
                <w:sz w:val="18"/>
              </w:rPr>
              <w:t>0,6</w:t>
            </w:r>
          </w:p>
        </w:tc>
        <w:tc>
          <w:tcPr>
            <w:tcW w:w="1319" w:type="dxa"/>
            <w:tcBorders>
              <w:top w:val="single" w:sz="8" w:space="0" w:color="FFFFFF"/>
            </w:tcBorders>
            <w:shd w:val="clear" w:color="auto" w:fill="D9D9D9"/>
          </w:tcPr>
          <w:p>
            <w:pPr>
              <w:pStyle w:val="TableParagraph"/>
              <w:spacing w:before="95"/>
              <w:ind w:right="309"/>
              <w:jc w:val="right"/>
              <w:rPr>
                <w:sz w:val="18"/>
              </w:rPr>
            </w:pPr>
            <w:r>
              <w:rPr>
                <w:spacing w:val="-5"/>
                <w:sz w:val="18"/>
              </w:rPr>
              <w:t>8,3</w:t>
            </w:r>
          </w:p>
        </w:tc>
        <w:tc>
          <w:tcPr>
            <w:tcW w:w="1611" w:type="dxa"/>
            <w:tcBorders>
              <w:top w:val="single" w:sz="8" w:space="0" w:color="FFFFFF"/>
            </w:tcBorders>
            <w:shd w:val="clear" w:color="auto" w:fill="D9D9D9"/>
          </w:tcPr>
          <w:p>
            <w:pPr>
              <w:pStyle w:val="TableParagraph"/>
              <w:spacing w:before="95"/>
              <w:ind w:right="363"/>
              <w:jc w:val="right"/>
              <w:rPr>
                <w:sz w:val="18"/>
              </w:rPr>
            </w:pPr>
            <w:r>
              <w:rPr>
                <w:spacing w:val="-4"/>
                <w:sz w:val="18"/>
              </w:rPr>
              <w:t>0,06</w:t>
            </w:r>
          </w:p>
        </w:tc>
        <w:tc>
          <w:tcPr>
            <w:tcW w:w="1340" w:type="dxa"/>
            <w:tcBorders>
              <w:top w:val="single" w:sz="8" w:space="0" w:color="FFFFFF"/>
            </w:tcBorders>
            <w:shd w:val="clear" w:color="auto" w:fill="D9D9D9"/>
          </w:tcPr>
          <w:p>
            <w:pPr>
              <w:pStyle w:val="TableParagraph"/>
              <w:spacing w:before="95"/>
              <w:ind w:left="736"/>
              <w:rPr>
                <w:sz w:val="18"/>
              </w:rPr>
            </w:pPr>
            <w:r>
              <w:rPr>
                <w:spacing w:val="-4"/>
                <w:sz w:val="18"/>
              </w:rPr>
              <w:t>14,0</w:t>
            </w:r>
          </w:p>
        </w:tc>
      </w:tr>
      <w:tr>
        <w:trPr>
          <w:trHeight w:val="338" w:hRule="atLeast"/>
        </w:trPr>
        <w:tc>
          <w:tcPr>
            <w:tcW w:w="1388" w:type="dxa"/>
            <w:shd w:val="clear" w:color="auto" w:fill="BEBEBE"/>
          </w:tcPr>
          <w:p>
            <w:pPr>
              <w:pStyle w:val="TableParagraph"/>
              <w:spacing w:before="96"/>
              <w:ind w:left="460"/>
              <w:rPr>
                <w:sz w:val="18"/>
              </w:rPr>
            </w:pPr>
            <w:r>
              <w:rPr>
                <w:spacing w:val="-4"/>
                <w:sz w:val="18"/>
              </w:rPr>
              <w:t>2022</w:t>
            </w:r>
          </w:p>
        </w:tc>
        <w:tc>
          <w:tcPr>
            <w:tcW w:w="1256" w:type="dxa"/>
            <w:shd w:val="clear" w:color="auto" w:fill="BEBEBE"/>
          </w:tcPr>
          <w:p>
            <w:pPr>
              <w:pStyle w:val="TableParagraph"/>
              <w:spacing w:before="96"/>
              <w:ind w:right="373"/>
              <w:jc w:val="right"/>
              <w:rPr>
                <w:sz w:val="18"/>
              </w:rPr>
            </w:pPr>
            <w:r>
              <w:rPr>
                <w:spacing w:val="-5"/>
                <w:sz w:val="18"/>
              </w:rPr>
              <w:t>4,9</w:t>
            </w:r>
          </w:p>
        </w:tc>
        <w:tc>
          <w:tcPr>
            <w:tcW w:w="1597" w:type="dxa"/>
            <w:shd w:val="clear" w:color="auto" w:fill="BEBEBE"/>
          </w:tcPr>
          <w:p>
            <w:pPr>
              <w:pStyle w:val="TableParagraph"/>
              <w:spacing w:before="96"/>
              <w:ind w:right="270"/>
              <w:jc w:val="right"/>
              <w:rPr>
                <w:sz w:val="18"/>
              </w:rPr>
            </w:pPr>
            <w:r>
              <w:rPr>
                <w:spacing w:val="-5"/>
                <w:sz w:val="18"/>
              </w:rPr>
              <w:t>0,4</w:t>
            </w:r>
          </w:p>
        </w:tc>
        <w:tc>
          <w:tcPr>
            <w:tcW w:w="1319" w:type="dxa"/>
            <w:shd w:val="clear" w:color="auto" w:fill="BEBEBE"/>
          </w:tcPr>
          <w:p>
            <w:pPr>
              <w:pStyle w:val="TableParagraph"/>
              <w:spacing w:before="96"/>
              <w:ind w:right="309"/>
              <w:jc w:val="right"/>
              <w:rPr>
                <w:sz w:val="18"/>
              </w:rPr>
            </w:pPr>
            <w:r>
              <w:rPr>
                <w:spacing w:val="-5"/>
                <w:sz w:val="18"/>
              </w:rPr>
              <w:t>8,2</w:t>
            </w:r>
          </w:p>
        </w:tc>
        <w:tc>
          <w:tcPr>
            <w:tcW w:w="1611" w:type="dxa"/>
            <w:shd w:val="clear" w:color="auto" w:fill="BEBEBE"/>
          </w:tcPr>
          <w:p>
            <w:pPr>
              <w:pStyle w:val="TableParagraph"/>
              <w:spacing w:before="96"/>
              <w:ind w:right="363"/>
              <w:jc w:val="right"/>
              <w:rPr>
                <w:sz w:val="18"/>
              </w:rPr>
            </w:pPr>
            <w:r>
              <w:rPr>
                <w:spacing w:val="-4"/>
                <w:sz w:val="18"/>
              </w:rPr>
              <w:t>0,03</w:t>
            </w:r>
          </w:p>
        </w:tc>
        <w:tc>
          <w:tcPr>
            <w:tcW w:w="1340" w:type="dxa"/>
            <w:shd w:val="clear" w:color="auto" w:fill="BEBEBE"/>
          </w:tcPr>
          <w:p>
            <w:pPr>
              <w:pStyle w:val="TableParagraph"/>
              <w:spacing w:before="96"/>
              <w:ind w:left="736"/>
              <w:rPr>
                <w:sz w:val="18"/>
              </w:rPr>
            </w:pPr>
            <w:r>
              <w:rPr>
                <w:spacing w:val="-4"/>
                <w:sz w:val="18"/>
              </w:rPr>
              <w:t>13,5</w:t>
            </w:r>
          </w:p>
        </w:tc>
      </w:tr>
      <w:tr>
        <w:trPr>
          <w:trHeight w:val="340" w:hRule="atLeast"/>
        </w:trPr>
        <w:tc>
          <w:tcPr>
            <w:tcW w:w="1388" w:type="dxa"/>
            <w:shd w:val="clear" w:color="auto" w:fill="D9D9D9"/>
          </w:tcPr>
          <w:p>
            <w:pPr>
              <w:pStyle w:val="TableParagraph"/>
              <w:spacing w:before="98"/>
              <w:ind w:left="460"/>
              <w:rPr>
                <w:sz w:val="18"/>
              </w:rPr>
            </w:pPr>
            <w:r>
              <w:rPr>
                <w:spacing w:val="-4"/>
                <w:sz w:val="18"/>
              </w:rPr>
              <w:t>2023</w:t>
            </w:r>
          </w:p>
        </w:tc>
        <w:tc>
          <w:tcPr>
            <w:tcW w:w="1256" w:type="dxa"/>
            <w:shd w:val="clear" w:color="auto" w:fill="D9D9D9"/>
          </w:tcPr>
          <w:p>
            <w:pPr>
              <w:pStyle w:val="TableParagraph"/>
              <w:spacing w:before="98"/>
              <w:ind w:right="373"/>
              <w:jc w:val="right"/>
              <w:rPr>
                <w:sz w:val="18"/>
              </w:rPr>
            </w:pPr>
            <w:r>
              <w:rPr>
                <w:spacing w:val="-5"/>
                <w:sz w:val="18"/>
              </w:rPr>
              <w:t>8,1</w:t>
            </w:r>
          </w:p>
        </w:tc>
        <w:tc>
          <w:tcPr>
            <w:tcW w:w="1597" w:type="dxa"/>
            <w:shd w:val="clear" w:color="auto" w:fill="D9D9D9"/>
          </w:tcPr>
          <w:p>
            <w:pPr>
              <w:pStyle w:val="TableParagraph"/>
              <w:spacing w:before="98"/>
              <w:ind w:right="270"/>
              <w:jc w:val="right"/>
              <w:rPr>
                <w:sz w:val="18"/>
              </w:rPr>
            </w:pPr>
            <w:r>
              <w:rPr>
                <w:spacing w:val="-5"/>
                <w:sz w:val="18"/>
              </w:rPr>
              <w:t>0,8</w:t>
            </w:r>
          </w:p>
        </w:tc>
        <w:tc>
          <w:tcPr>
            <w:tcW w:w="1319" w:type="dxa"/>
            <w:shd w:val="clear" w:color="auto" w:fill="D9D9D9"/>
          </w:tcPr>
          <w:p>
            <w:pPr>
              <w:pStyle w:val="TableParagraph"/>
              <w:spacing w:before="98"/>
              <w:ind w:right="309"/>
              <w:jc w:val="right"/>
              <w:rPr>
                <w:sz w:val="18"/>
              </w:rPr>
            </w:pPr>
            <w:r>
              <w:rPr>
                <w:spacing w:val="-4"/>
                <w:sz w:val="18"/>
              </w:rPr>
              <w:t>14,4</w:t>
            </w:r>
          </w:p>
        </w:tc>
        <w:tc>
          <w:tcPr>
            <w:tcW w:w="1611" w:type="dxa"/>
            <w:shd w:val="clear" w:color="auto" w:fill="D9D9D9"/>
          </w:tcPr>
          <w:p>
            <w:pPr>
              <w:pStyle w:val="TableParagraph"/>
              <w:spacing w:before="98"/>
              <w:ind w:right="363"/>
              <w:jc w:val="right"/>
              <w:rPr>
                <w:sz w:val="18"/>
              </w:rPr>
            </w:pPr>
            <w:r>
              <w:rPr>
                <w:spacing w:val="-4"/>
                <w:sz w:val="18"/>
              </w:rPr>
              <w:t>0,04</w:t>
            </w:r>
          </w:p>
        </w:tc>
        <w:tc>
          <w:tcPr>
            <w:tcW w:w="1340" w:type="dxa"/>
            <w:shd w:val="clear" w:color="auto" w:fill="D9D9D9"/>
          </w:tcPr>
          <w:p>
            <w:pPr>
              <w:pStyle w:val="TableParagraph"/>
              <w:spacing w:before="98"/>
              <w:ind w:left="736"/>
              <w:rPr>
                <w:sz w:val="18"/>
              </w:rPr>
            </w:pPr>
            <w:r>
              <w:rPr>
                <w:spacing w:val="-4"/>
                <w:sz w:val="18"/>
              </w:rPr>
              <w:t>23,4</w:t>
            </w:r>
          </w:p>
        </w:tc>
      </w:tr>
      <w:tr>
        <w:trPr>
          <w:trHeight w:val="340" w:hRule="atLeast"/>
        </w:trPr>
        <w:tc>
          <w:tcPr>
            <w:tcW w:w="1388" w:type="dxa"/>
            <w:shd w:val="clear" w:color="auto" w:fill="BEBEBE"/>
          </w:tcPr>
          <w:p>
            <w:pPr>
              <w:pStyle w:val="TableParagraph"/>
              <w:spacing w:before="96"/>
              <w:ind w:left="460"/>
              <w:rPr>
                <w:sz w:val="18"/>
              </w:rPr>
            </w:pPr>
            <w:r>
              <w:rPr>
                <w:spacing w:val="-4"/>
                <w:sz w:val="18"/>
              </w:rPr>
              <w:t>2024</w:t>
            </w:r>
          </w:p>
        </w:tc>
        <w:tc>
          <w:tcPr>
            <w:tcW w:w="1256" w:type="dxa"/>
            <w:shd w:val="clear" w:color="auto" w:fill="BEBEBE"/>
          </w:tcPr>
          <w:p>
            <w:pPr>
              <w:pStyle w:val="TableParagraph"/>
              <w:spacing w:before="96"/>
              <w:ind w:right="373"/>
              <w:jc w:val="right"/>
              <w:rPr>
                <w:sz w:val="18"/>
              </w:rPr>
            </w:pPr>
            <w:r>
              <w:rPr>
                <w:spacing w:val="-5"/>
                <w:sz w:val="18"/>
              </w:rPr>
              <w:t>4,5</w:t>
            </w:r>
          </w:p>
        </w:tc>
        <w:tc>
          <w:tcPr>
            <w:tcW w:w="1597" w:type="dxa"/>
            <w:shd w:val="clear" w:color="auto" w:fill="BEBEBE"/>
          </w:tcPr>
          <w:p>
            <w:pPr>
              <w:pStyle w:val="TableParagraph"/>
              <w:spacing w:before="96"/>
              <w:ind w:right="270"/>
              <w:jc w:val="right"/>
              <w:rPr>
                <w:sz w:val="18"/>
              </w:rPr>
            </w:pPr>
            <w:r>
              <w:rPr>
                <w:spacing w:val="-5"/>
                <w:sz w:val="18"/>
              </w:rPr>
              <w:t>0,3</w:t>
            </w:r>
          </w:p>
        </w:tc>
        <w:tc>
          <w:tcPr>
            <w:tcW w:w="1319" w:type="dxa"/>
            <w:shd w:val="clear" w:color="auto" w:fill="BEBEBE"/>
          </w:tcPr>
          <w:p>
            <w:pPr>
              <w:pStyle w:val="TableParagraph"/>
              <w:spacing w:before="96"/>
              <w:ind w:right="309"/>
              <w:jc w:val="right"/>
              <w:rPr>
                <w:sz w:val="18"/>
              </w:rPr>
            </w:pPr>
            <w:r>
              <w:rPr>
                <w:spacing w:val="-5"/>
                <w:sz w:val="18"/>
              </w:rPr>
              <w:t>8,9</w:t>
            </w:r>
          </w:p>
        </w:tc>
        <w:tc>
          <w:tcPr>
            <w:tcW w:w="1611" w:type="dxa"/>
            <w:shd w:val="clear" w:color="auto" w:fill="BEBEBE"/>
          </w:tcPr>
          <w:p>
            <w:pPr>
              <w:pStyle w:val="TableParagraph"/>
              <w:spacing w:before="96"/>
              <w:ind w:right="363"/>
              <w:jc w:val="right"/>
              <w:rPr>
                <w:sz w:val="18"/>
              </w:rPr>
            </w:pPr>
            <w:r>
              <w:rPr>
                <w:spacing w:val="-4"/>
                <w:sz w:val="18"/>
              </w:rPr>
              <w:t>0,01</w:t>
            </w:r>
          </w:p>
        </w:tc>
        <w:tc>
          <w:tcPr>
            <w:tcW w:w="1340" w:type="dxa"/>
            <w:shd w:val="clear" w:color="auto" w:fill="BEBEBE"/>
          </w:tcPr>
          <w:p>
            <w:pPr>
              <w:pStyle w:val="TableParagraph"/>
              <w:spacing w:before="96"/>
              <w:ind w:left="736"/>
              <w:rPr>
                <w:sz w:val="18"/>
              </w:rPr>
            </w:pPr>
            <w:r>
              <w:rPr>
                <w:spacing w:val="-4"/>
                <w:sz w:val="18"/>
              </w:rPr>
              <w:t>13,7</w:t>
            </w:r>
          </w:p>
        </w:tc>
      </w:tr>
      <w:tr>
        <w:trPr>
          <w:trHeight w:val="338" w:hRule="atLeast"/>
        </w:trPr>
        <w:tc>
          <w:tcPr>
            <w:tcW w:w="1388" w:type="dxa"/>
            <w:shd w:val="clear" w:color="auto" w:fill="D9D9D9"/>
          </w:tcPr>
          <w:p>
            <w:pPr>
              <w:pStyle w:val="TableParagraph"/>
              <w:spacing w:before="96"/>
              <w:ind w:left="460"/>
              <w:rPr>
                <w:sz w:val="18"/>
              </w:rPr>
            </w:pPr>
            <w:r>
              <w:rPr>
                <w:spacing w:val="-4"/>
                <w:sz w:val="18"/>
              </w:rPr>
              <w:t>2025</w:t>
            </w:r>
          </w:p>
        </w:tc>
        <w:tc>
          <w:tcPr>
            <w:tcW w:w="1256" w:type="dxa"/>
            <w:shd w:val="clear" w:color="auto" w:fill="D9D9D9"/>
          </w:tcPr>
          <w:p>
            <w:pPr>
              <w:pStyle w:val="TableParagraph"/>
              <w:spacing w:before="96"/>
              <w:ind w:right="373"/>
              <w:jc w:val="right"/>
              <w:rPr>
                <w:sz w:val="18"/>
              </w:rPr>
            </w:pPr>
            <w:r>
              <w:rPr>
                <w:spacing w:val="-4"/>
                <w:sz w:val="18"/>
              </w:rPr>
              <w:t>15,5</w:t>
            </w:r>
          </w:p>
        </w:tc>
        <w:tc>
          <w:tcPr>
            <w:tcW w:w="1597" w:type="dxa"/>
            <w:shd w:val="clear" w:color="auto" w:fill="D9D9D9"/>
          </w:tcPr>
          <w:p>
            <w:pPr>
              <w:pStyle w:val="TableParagraph"/>
              <w:spacing w:before="96"/>
              <w:ind w:right="270"/>
              <w:jc w:val="right"/>
              <w:rPr>
                <w:sz w:val="18"/>
              </w:rPr>
            </w:pPr>
            <w:r>
              <w:rPr>
                <w:spacing w:val="-5"/>
                <w:sz w:val="18"/>
              </w:rPr>
              <w:t>2,6</w:t>
            </w:r>
          </w:p>
        </w:tc>
        <w:tc>
          <w:tcPr>
            <w:tcW w:w="1319" w:type="dxa"/>
            <w:shd w:val="clear" w:color="auto" w:fill="D9D9D9"/>
          </w:tcPr>
          <w:p>
            <w:pPr>
              <w:pStyle w:val="TableParagraph"/>
              <w:spacing w:before="96"/>
              <w:ind w:right="309"/>
              <w:jc w:val="right"/>
              <w:rPr>
                <w:sz w:val="18"/>
              </w:rPr>
            </w:pPr>
            <w:r>
              <w:rPr>
                <w:spacing w:val="-4"/>
                <w:sz w:val="18"/>
              </w:rPr>
              <w:t>24,4</w:t>
            </w:r>
          </w:p>
        </w:tc>
        <w:tc>
          <w:tcPr>
            <w:tcW w:w="1611" w:type="dxa"/>
            <w:shd w:val="clear" w:color="auto" w:fill="D9D9D9"/>
          </w:tcPr>
          <w:p>
            <w:pPr>
              <w:pStyle w:val="TableParagraph"/>
              <w:spacing w:before="96"/>
              <w:ind w:right="363"/>
              <w:jc w:val="right"/>
              <w:rPr>
                <w:sz w:val="18"/>
              </w:rPr>
            </w:pPr>
            <w:r>
              <w:rPr>
                <w:spacing w:val="-4"/>
                <w:sz w:val="18"/>
              </w:rPr>
              <w:t>0,11</w:t>
            </w:r>
          </w:p>
        </w:tc>
        <w:tc>
          <w:tcPr>
            <w:tcW w:w="1340" w:type="dxa"/>
            <w:shd w:val="clear" w:color="auto" w:fill="D9D9D9"/>
          </w:tcPr>
          <w:p>
            <w:pPr>
              <w:pStyle w:val="TableParagraph"/>
              <w:spacing w:before="96"/>
              <w:ind w:left="736"/>
              <w:rPr>
                <w:sz w:val="18"/>
              </w:rPr>
            </w:pPr>
            <w:r>
              <w:rPr>
                <w:spacing w:val="-4"/>
                <w:sz w:val="18"/>
              </w:rPr>
              <w:t>42,6</w:t>
            </w:r>
          </w:p>
        </w:tc>
      </w:tr>
      <w:tr>
        <w:trPr>
          <w:trHeight w:val="443" w:hRule="atLeast"/>
        </w:trPr>
        <w:tc>
          <w:tcPr>
            <w:tcW w:w="8511" w:type="dxa"/>
            <w:gridSpan w:val="6"/>
            <w:shd w:val="clear" w:color="auto" w:fill="BEBEBE"/>
          </w:tcPr>
          <w:p>
            <w:pPr>
              <w:pStyle w:val="TableParagraph"/>
              <w:spacing w:before="59"/>
              <w:ind w:left="220"/>
              <w:rPr>
                <w:sz w:val="14"/>
              </w:rPr>
            </w:pPr>
            <w:r>
              <w:rPr>
                <w:sz w:val="14"/>
              </w:rPr>
              <w:t>Πηγή:</w:t>
            </w:r>
            <w:r>
              <w:rPr>
                <w:spacing w:val="-7"/>
                <w:sz w:val="14"/>
              </w:rPr>
              <w:t> </w:t>
            </w:r>
            <w:r>
              <w:rPr>
                <w:sz w:val="14"/>
              </w:rPr>
              <w:t>Μηνιαίο</w:t>
            </w:r>
            <w:r>
              <w:rPr>
                <w:spacing w:val="-6"/>
                <w:sz w:val="14"/>
              </w:rPr>
              <w:t> </w:t>
            </w:r>
            <w:r>
              <w:rPr>
                <w:sz w:val="14"/>
              </w:rPr>
              <w:t>Στατιστικό</w:t>
            </w:r>
            <w:r>
              <w:rPr>
                <w:spacing w:val="-3"/>
                <w:sz w:val="14"/>
              </w:rPr>
              <w:t> </w:t>
            </w:r>
            <w:r>
              <w:rPr>
                <w:sz w:val="14"/>
              </w:rPr>
              <w:t>Δελτίο</w:t>
            </w:r>
            <w:r>
              <w:rPr>
                <w:spacing w:val="-5"/>
                <w:sz w:val="14"/>
              </w:rPr>
              <w:t> </w:t>
            </w:r>
            <w:r>
              <w:rPr>
                <w:sz w:val="14"/>
              </w:rPr>
              <w:t>Axia</w:t>
            </w:r>
            <w:r>
              <w:rPr>
                <w:spacing w:val="-4"/>
                <w:sz w:val="14"/>
              </w:rPr>
              <w:t> </w:t>
            </w:r>
            <w:r>
              <w:rPr>
                <w:sz w:val="14"/>
              </w:rPr>
              <w:t>Numbers</w:t>
            </w:r>
            <w:r>
              <w:rPr>
                <w:spacing w:val="-4"/>
                <w:sz w:val="14"/>
              </w:rPr>
              <w:t> </w:t>
            </w:r>
            <w:r>
              <w:rPr>
                <w:sz w:val="14"/>
              </w:rPr>
              <w:t>(Παράγωγα),</w:t>
            </w:r>
            <w:r>
              <w:rPr>
                <w:spacing w:val="-4"/>
                <w:sz w:val="14"/>
              </w:rPr>
              <w:t> </w:t>
            </w:r>
            <w:r>
              <w:rPr>
                <w:sz w:val="14"/>
              </w:rPr>
              <w:t>Euronext</w:t>
            </w:r>
            <w:r>
              <w:rPr>
                <w:spacing w:val="-5"/>
                <w:sz w:val="14"/>
              </w:rPr>
              <w:t> </w:t>
            </w:r>
            <w:r>
              <w:rPr>
                <w:spacing w:val="-2"/>
                <w:sz w:val="14"/>
              </w:rPr>
              <w:t>Athens.</w:t>
            </w:r>
          </w:p>
          <w:p>
            <w:pPr>
              <w:pStyle w:val="TableParagraph"/>
              <w:ind w:left="220"/>
              <w:rPr>
                <w:sz w:val="14"/>
              </w:rPr>
            </w:pPr>
            <w:r>
              <w:rPr>
                <w:sz w:val="14"/>
              </w:rPr>
              <w:t>*</w:t>
            </w:r>
            <w:r>
              <w:rPr>
                <w:spacing w:val="-7"/>
                <w:sz w:val="14"/>
              </w:rPr>
              <w:t> </w:t>
            </w:r>
            <w:r>
              <w:rPr>
                <w:sz w:val="14"/>
              </w:rPr>
              <w:t>Σ.Μ.Ε.:</w:t>
            </w:r>
            <w:r>
              <w:rPr>
                <w:spacing w:val="-6"/>
                <w:sz w:val="14"/>
              </w:rPr>
              <w:t> </w:t>
            </w:r>
            <w:r>
              <w:rPr>
                <w:sz w:val="14"/>
              </w:rPr>
              <w:t>συμβόλαια</w:t>
            </w:r>
            <w:r>
              <w:rPr>
                <w:spacing w:val="-7"/>
                <w:sz w:val="14"/>
              </w:rPr>
              <w:t> </w:t>
            </w:r>
            <w:r>
              <w:rPr>
                <w:sz w:val="14"/>
              </w:rPr>
              <w:t>μελλοντικής</w:t>
            </w:r>
            <w:r>
              <w:rPr>
                <w:spacing w:val="-6"/>
                <w:sz w:val="14"/>
              </w:rPr>
              <w:t> </w:t>
            </w:r>
            <w:r>
              <w:rPr>
                <w:sz w:val="14"/>
              </w:rPr>
              <w:t>εκπλήρωσης</w:t>
            </w:r>
            <w:r>
              <w:rPr>
                <w:spacing w:val="-7"/>
                <w:sz w:val="14"/>
              </w:rPr>
              <w:t> </w:t>
            </w:r>
            <w:r>
              <w:rPr>
                <w:spacing w:val="-2"/>
                <w:sz w:val="14"/>
              </w:rPr>
              <w:t>(futures).</w:t>
            </w:r>
          </w:p>
        </w:tc>
      </w:tr>
    </w:tbl>
    <w:p>
      <w:pPr>
        <w:pStyle w:val="BodyText"/>
        <w:spacing w:before="108"/>
        <w:rPr>
          <w:sz w:val="20"/>
        </w:rPr>
      </w:pPr>
      <w:r>
        <w:rPr>
          <w:sz w:val="20"/>
        </w:rPr>
        <mc:AlternateContent>
          <mc:Choice Requires="wps">
            <w:drawing>
              <wp:anchor distT="0" distB="0" distL="0" distR="0" allowOverlap="1" layoutInCell="1" locked="0" behindDoc="1" simplePos="0" relativeHeight="487673856">
                <wp:simplePos x="0" y="0"/>
                <wp:positionH relativeFrom="page">
                  <wp:posOffset>1009192</wp:posOffset>
                </wp:positionH>
                <wp:positionV relativeFrom="paragraph">
                  <wp:posOffset>230377</wp:posOffset>
                </wp:positionV>
                <wp:extent cx="1829435" cy="7620"/>
                <wp:effectExtent l="0" t="0" r="0" b="0"/>
                <wp:wrapTopAndBottom/>
                <wp:docPr id="770" name="Graphic 770"/>
                <wp:cNvGraphicFramePr>
                  <a:graphicFrameLocks/>
                </wp:cNvGraphicFramePr>
                <a:graphic>
                  <a:graphicData uri="http://schemas.microsoft.com/office/word/2010/wordprocessingShape">
                    <wps:wsp>
                      <wps:cNvPr id="770" name="Graphic 77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8.139959pt;width:144.020pt;height:.60004pt;mso-position-horizontal-relative:page;mso-position-vertical-relative:paragraph;z-index:-15642624;mso-wrap-distance-left:0;mso-wrap-distance-right:0" id="docshape719" filled="true" fillcolor="#000000" stroked="false">
                <v:fill type="solid"/>
                <w10:wrap type="topAndBottom"/>
              </v:rect>
            </w:pict>
          </mc:Fallback>
        </mc:AlternateContent>
      </w:r>
    </w:p>
    <w:p>
      <w:pPr>
        <w:pStyle w:val="BodyText"/>
        <w:spacing w:before="6"/>
        <w:rPr>
          <w:sz w:val="14"/>
        </w:rPr>
      </w:pPr>
    </w:p>
    <w:p>
      <w:pPr>
        <w:spacing w:before="0"/>
        <w:ind w:left="172" w:right="962" w:firstLine="0"/>
        <w:jc w:val="both"/>
        <w:rPr>
          <w:sz w:val="16"/>
        </w:rPr>
      </w:pPr>
      <w:bookmarkStart w:name="_bookmark156" w:id="157"/>
      <w:bookmarkEnd w:id="157"/>
      <w:r>
        <w:rPr/>
      </w:r>
      <w:r>
        <w:rPr>
          <w:sz w:val="16"/>
          <w:vertAlign w:val="superscript"/>
        </w:rPr>
        <w:t>103</w:t>
      </w:r>
      <w:r>
        <w:rPr>
          <w:sz w:val="16"/>
          <w:vertAlign w:val="baseline"/>
        </w:rPr>
        <w:t> Στις 20 Απριλίου 2026 η Euronext ανακοίνωσε τη μετονομασία του Ομίλου Χρηματιστηρίου Αθηνών σε Euronext Athens, ολο-κληρώνοντας</w:t>
      </w:r>
      <w:r>
        <w:rPr>
          <w:spacing w:val="-3"/>
          <w:sz w:val="16"/>
          <w:vertAlign w:val="baseline"/>
        </w:rPr>
        <w:t> </w:t>
      </w:r>
      <w:r>
        <w:rPr>
          <w:sz w:val="16"/>
          <w:vertAlign w:val="baseline"/>
        </w:rPr>
        <w:t>την</w:t>
      </w:r>
      <w:r>
        <w:rPr>
          <w:spacing w:val="-5"/>
          <w:sz w:val="16"/>
          <w:vertAlign w:val="baseline"/>
        </w:rPr>
        <w:t> </w:t>
      </w:r>
      <w:r>
        <w:rPr>
          <w:sz w:val="16"/>
          <w:vertAlign w:val="baseline"/>
        </w:rPr>
        <w:t>ενσωμάτωση</w:t>
      </w:r>
      <w:r>
        <w:rPr>
          <w:spacing w:val="-2"/>
          <w:sz w:val="16"/>
          <w:vertAlign w:val="baseline"/>
        </w:rPr>
        <w:t> </w:t>
      </w:r>
      <w:r>
        <w:rPr>
          <w:sz w:val="16"/>
          <w:vertAlign w:val="baseline"/>
        </w:rPr>
        <w:t>της</w:t>
      </w:r>
      <w:r>
        <w:rPr>
          <w:spacing w:val="-3"/>
          <w:sz w:val="16"/>
          <w:vertAlign w:val="baseline"/>
        </w:rPr>
        <w:t> </w:t>
      </w:r>
      <w:r>
        <w:rPr>
          <w:sz w:val="16"/>
          <w:vertAlign w:val="baseline"/>
        </w:rPr>
        <w:t>ελληνικής</w:t>
      </w:r>
      <w:r>
        <w:rPr>
          <w:spacing w:val="-3"/>
          <w:sz w:val="16"/>
          <w:vertAlign w:val="baseline"/>
        </w:rPr>
        <w:t> </w:t>
      </w:r>
      <w:r>
        <w:rPr>
          <w:sz w:val="16"/>
          <w:vertAlign w:val="baseline"/>
        </w:rPr>
        <w:t>κεφαλαιαγοράς</w:t>
      </w:r>
      <w:r>
        <w:rPr>
          <w:spacing w:val="-3"/>
          <w:sz w:val="16"/>
          <w:vertAlign w:val="baseline"/>
        </w:rPr>
        <w:t> </w:t>
      </w:r>
      <w:r>
        <w:rPr>
          <w:sz w:val="16"/>
          <w:vertAlign w:val="baseline"/>
        </w:rPr>
        <w:t>στον</w:t>
      </w:r>
      <w:r>
        <w:rPr>
          <w:spacing w:val="-5"/>
          <w:sz w:val="16"/>
          <w:vertAlign w:val="baseline"/>
        </w:rPr>
        <w:t> </w:t>
      </w:r>
      <w:r>
        <w:rPr>
          <w:sz w:val="16"/>
          <w:vertAlign w:val="baseline"/>
        </w:rPr>
        <w:t>Όμιλο</w:t>
      </w:r>
      <w:r>
        <w:rPr>
          <w:spacing w:val="-3"/>
          <w:sz w:val="16"/>
          <w:vertAlign w:val="baseline"/>
        </w:rPr>
        <w:t> </w:t>
      </w:r>
      <w:r>
        <w:rPr>
          <w:sz w:val="16"/>
          <w:vertAlign w:val="baseline"/>
        </w:rPr>
        <w:t>Euronext.</w:t>
      </w:r>
      <w:r>
        <w:rPr>
          <w:spacing w:val="-1"/>
          <w:sz w:val="16"/>
          <w:vertAlign w:val="baseline"/>
        </w:rPr>
        <w:t> </w:t>
      </w:r>
      <w:r>
        <w:rPr>
          <w:sz w:val="16"/>
          <w:vertAlign w:val="baseline"/>
        </w:rPr>
        <w:t>Στο</w:t>
      </w:r>
      <w:r>
        <w:rPr>
          <w:spacing w:val="-3"/>
          <w:sz w:val="16"/>
          <w:vertAlign w:val="baseline"/>
        </w:rPr>
        <w:t> </w:t>
      </w:r>
      <w:r>
        <w:rPr>
          <w:sz w:val="16"/>
          <w:vertAlign w:val="baseline"/>
        </w:rPr>
        <w:t>πλαίσιο</w:t>
      </w:r>
      <w:r>
        <w:rPr>
          <w:spacing w:val="-3"/>
          <w:sz w:val="16"/>
          <w:vertAlign w:val="baseline"/>
        </w:rPr>
        <w:t> </w:t>
      </w:r>
      <w:r>
        <w:rPr>
          <w:sz w:val="16"/>
          <w:vertAlign w:val="baseline"/>
        </w:rPr>
        <w:t>της</w:t>
      </w:r>
      <w:r>
        <w:rPr>
          <w:spacing w:val="-3"/>
          <w:sz w:val="16"/>
          <w:vertAlign w:val="baseline"/>
        </w:rPr>
        <w:t> </w:t>
      </w:r>
      <w:r>
        <w:rPr>
          <w:sz w:val="16"/>
          <w:vertAlign w:val="baseline"/>
        </w:rPr>
        <w:t>μετάβασης</w:t>
      </w:r>
      <w:r>
        <w:rPr>
          <w:spacing w:val="-3"/>
          <w:sz w:val="16"/>
          <w:vertAlign w:val="baseline"/>
        </w:rPr>
        <w:t> </w:t>
      </w:r>
      <w:r>
        <w:rPr>
          <w:sz w:val="16"/>
          <w:vertAlign w:val="baseline"/>
        </w:rPr>
        <w:t>στη</w:t>
      </w:r>
      <w:r>
        <w:rPr>
          <w:spacing w:val="-2"/>
          <w:sz w:val="16"/>
          <w:vertAlign w:val="baseline"/>
        </w:rPr>
        <w:t> </w:t>
      </w:r>
      <w:r>
        <w:rPr>
          <w:sz w:val="16"/>
          <w:vertAlign w:val="baseline"/>
        </w:rPr>
        <w:t>νέα</w:t>
      </w:r>
      <w:r>
        <w:rPr>
          <w:spacing w:val="-5"/>
          <w:sz w:val="16"/>
          <w:vertAlign w:val="baseline"/>
        </w:rPr>
        <w:t> </w:t>
      </w:r>
      <w:r>
        <w:rPr>
          <w:sz w:val="16"/>
          <w:vertAlign w:val="baseline"/>
        </w:rPr>
        <w:t>ταυτότητα,</w:t>
      </w:r>
      <w:r>
        <w:rPr>
          <w:spacing w:val="40"/>
          <w:sz w:val="16"/>
          <w:vertAlign w:val="baseline"/>
        </w:rPr>
        <w:t> </w:t>
      </w:r>
      <w:r>
        <w:rPr>
          <w:sz w:val="16"/>
          <w:vertAlign w:val="baseline"/>
        </w:rPr>
        <w:t>η ATHEXCLEAR μετονομάζεται σε Euronext Clearing Athens.</w:t>
      </w:r>
    </w:p>
    <w:p>
      <w:pPr>
        <w:spacing w:after="0"/>
        <w:jc w:val="both"/>
        <w:rPr>
          <w:sz w:val="16"/>
        </w:rPr>
        <w:sectPr>
          <w:pgSz w:w="11910" w:h="16850"/>
          <w:pgMar w:header="0" w:footer="1262" w:top="1800" w:bottom="1460" w:left="1417" w:right="850"/>
        </w:sectPr>
      </w:pPr>
    </w:p>
    <w:p>
      <w:pPr>
        <w:pStyle w:val="Heading2"/>
        <w:numPr>
          <w:ilvl w:val="1"/>
          <w:numId w:val="2"/>
        </w:numPr>
        <w:tabs>
          <w:tab w:pos="568" w:val="left" w:leader="none"/>
        </w:tabs>
        <w:spacing w:line="240" w:lineRule="auto" w:before="70" w:after="0"/>
        <w:ind w:left="568" w:right="0" w:hanging="396"/>
        <w:jc w:val="left"/>
        <w:rPr>
          <w:color w:val="1F487C"/>
        </w:rPr>
      </w:pPr>
      <w:bookmarkStart w:name="_bookmark157" w:id="158"/>
      <w:bookmarkEnd w:id="158"/>
      <w:r>
        <w:rPr>
          <w:b w:val="0"/>
        </w:rPr>
      </w:r>
      <w:r>
        <w:rPr>
          <w:color w:val="1F487C"/>
        </w:rPr>
        <w:t>ΚΕΝΤΡΙΚΑ</w:t>
      </w:r>
      <w:r>
        <w:rPr>
          <w:color w:val="1F487C"/>
          <w:spacing w:val="-7"/>
        </w:rPr>
        <w:t> </w:t>
      </w:r>
      <w:r>
        <w:rPr>
          <w:color w:val="1F487C"/>
        </w:rPr>
        <w:t>ΑΠΟΘΕΤΗΡΙΑ</w:t>
      </w:r>
      <w:r>
        <w:rPr>
          <w:color w:val="1F487C"/>
          <w:spacing w:val="-5"/>
        </w:rPr>
        <w:t> </w:t>
      </w:r>
      <w:r>
        <w:rPr>
          <w:color w:val="1F487C"/>
          <w:spacing w:val="-2"/>
        </w:rPr>
        <w:t>ΤΙΤΛΩΝ</w:t>
      </w:r>
    </w:p>
    <w:p>
      <w:pPr>
        <w:pStyle w:val="BodyText"/>
        <w:spacing w:before="206"/>
        <w:rPr>
          <w:b/>
          <w:sz w:val="24"/>
        </w:rPr>
      </w:pPr>
    </w:p>
    <w:p>
      <w:pPr>
        <w:pStyle w:val="Heading3"/>
        <w:numPr>
          <w:ilvl w:val="2"/>
          <w:numId w:val="2"/>
        </w:numPr>
        <w:tabs>
          <w:tab w:pos="738" w:val="left" w:leader="none"/>
        </w:tabs>
        <w:spacing w:line="240" w:lineRule="auto" w:before="0" w:after="0"/>
        <w:ind w:left="738" w:right="0" w:hanging="566"/>
        <w:jc w:val="left"/>
        <w:rPr>
          <w:color w:val="1F487C"/>
        </w:rPr>
      </w:pPr>
      <w:bookmarkStart w:name="_bookmark158" w:id="159"/>
      <w:bookmarkEnd w:id="159"/>
      <w:r>
        <w:rPr>
          <w:b w:val="0"/>
        </w:rPr>
      </w:r>
      <w:r>
        <w:rPr>
          <w:color w:val="1F487C"/>
        </w:rPr>
        <w:t>ΕΞΕΛΙΞΕΙΣ</w:t>
      </w:r>
      <w:r>
        <w:rPr>
          <w:color w:val="1F487C"/>
          <w:spacing w:val="-7"/>
        </w:rPr>
        <w:t> </w:t>
      </w:r>
      <w:r>
        <w:rPr>
          <w:color w:val="1F487C"/>
        </w:rPr>
        <w:t>ΣΤΟ</w:t>
      </w:r>
      <w:r>
        <w:rPr>
          <w:color w:val="1F487C"/>
          <w:spacing w:val="-5"/>
        </w:rPr>
        <w:t> </w:t>
      </w:r>
      <w:r>
        <w:rPr>
          <w:color w:val="1F487C"/>
        </w:rPr>
        <w:t>ΡΥΘΜΙΣΤΙΚΟ</w:t>
      </w:r>
      <w:r>
        <w:rPr>
          <w:color w:val="1F487C"/>
          <w:spacing w:val="-7"/>
        </w:rPr>
        <w:t> </w:t>
      </w:r>
      <w:r>
        <w:rPr>
          <w:color w:val="1F487C"/>
          <w:spacing w:val="-2"/>
        </w:rPr>
        <w:t>ΠΛΑΙΣΙΟ</w:t>
      </w:r>
    </w:p>
    <w:p>
      <w:pPr>
        <w:pStyle w:val="BodyText"/>
        <w:spacing w:line="285" w:lineRule="auto" w:before="93"/>
        <w:ind w:left="172" w:right="959"/>
        <w:jc w:val="both"/>
        <w:rPr>
          <w:position w:val="6"/>
          <w:sz w:val="10"/>
        </w:rPr>
      </w:pPr>
      <w:r>
        <w:rPr/>
        <w:t>Τον Οκτώβριο του 2025 το Ευρωπαϊκό Κοινοβούλιο ενέκρινε την πρόταση της Ευρωπαϊκής Ε-πιτροπής</w:t>
      </w:r>
      <w:r>
        <w:rPr>
          <w:spacing w:val="-9"/>
        </w:rPr>
        <w:t> </w:t>
      </w:r>
      <w:r>
        <w:rPr/>
        <w:t>για</w:t>
      </w:r>
      <w:r>
        <w:rPr>
          <w:spacing w:val="-9"/>
        </w:rPr>
        <w:t> </w:t>
      </w:r>
      <w:r>
        <w:rPr/>
        <w:t>τη</w:t>
      </w:r>
      <w:r>
        <w:rPr>
          <w:spacing w:val="-10"/>
        </w:rPr>
        <w:t> </w:t>
      </w:r>
      <w:r>
        <w:rPr/>
        <w:t>συντόμευση</w:t>
      </w:r>
      <w:r>
        <w:rPr>
          <w:spacing w:val="-8"/>
        </w:rPr>
        <w:t> </w:t>
      </w:r>
      <w:r>
        <w:rPr/>
        <w:t>του</w:t>
      </w:r>
      <w:r>
        <w:rPr>
          <w:spacing w:val="-9"/>
        </w:rPr>
        <w:t> </w:t>
      </w:r>
      <w:r>
        <w:rPr/>
        <w:t>κύκλου</w:t>
      </w:r>
      <w:r>
        <w:rPr>
          <w:spacing w:val="-7"/>
        </w:rPr>
        <w:t> </w:t>
      </w:r>
      <w:r>
        <w:rPr/>
        <w:t>διακανονισμού</w:t>
      </w:r>
      <w:r>
        <w:rPr>
          <w:spacing w:val="-7"/>
        </w:rPr>
        <w:t> </w:t>
      </w:r>
      <w:r>
        <w:rPr/>
        <w:t>των</w:t>
      </w:r>
      <w:r>
        <w:rPr>
          <w:spacing w:val="-9"/>
        </w:rPr>
        <w:t> </w:t>
      </w:r>
      <w:r>
        <w:rPr/>
        <w:t>συναλλαγών</w:t>
      </w:r>
      <w:r>
        <w:rPr>
          <w:spacing w:val="-9"/>
        </w:rPr>
        <w:t> </w:t>
      </w:r>
      <w:r>
        <w:rPr/>
        <w:t>επί</w:t>
      </w:r>
      <w:r>
        <w:rPr>
          <w:spacing w:val="-7"/>
        </w:rPr>
        <w:t> </w:t>
      </w:r>
      <w:r>
        <w:rPr/>
        <w:t>κινητών</w:t>
      </w:r>
      <w:r>
        <w:rPr>
          <w:spacing w:val="-9"/>
        </w:rPr>
        <w:t> </w:t>
      </w:r>
      <w:r>
        <w:rPr/>
        <w:t>αξιών</w:t>
      </w:r>
      <w:r>
        <w:rPr>
          <w:spacing w:val="-9"/>
        </w:rPr>
        <w:t> </w:t>
      </w:r>
      <w:r>
        <w:rPr/>
        <w:t>που εκτελούνται</w:t>
      </w:r>
      <w:r>
        <w:rPr>
          <w:spacing w:val="-1"/>
        </w:rPr>
        <w:t> </w:t>
      </w:r>
      <w:r>
        <w:rPr/>
        <w:t>σε τόπους διαπραγμάτευσης</w:t>
      </w:r>
      <w:hyperlink w:history="true" w:anchor="_bookmark159">
        <w:r>
          <w:rPr/>
          <w:t>.</w:t>
        </w:r>
        <w:r>
          <w:rPr>
            <w:position w:val="6"/>
            <w:sz w:val="10"/>
          </w:rPr>
          <w:t>104</w:t>
        </w:r>
      </w:hyperlink>
      <w:r>
        <w:rPr>
          <w:spacing w:val="32"/>
          <w:position w:val="6"/>
          <w:sz w:val="10"/>
        </w:rPr>
        <w:t> </w:t>
      </w:r>
      <w:r>
        <w:rPr/>
        <w:t>Έτσι, προβλέπεται ότι, από τις 11 Οκτωβρίου 2027, οι συναλλαγές</w:t>
      </w:r>
      <w:r>
        <w:rPr>
          <w:spacing w:val="-1"/>
        </w:rPr>
        <w:t> </w:t>
      </w:r>
      <w:r>
        <w:rPr/>
        <w:t>επί κινητών</w:t>
      </w:r>
      <w:r>
        <w:rPr>
          <w:spacing w:val="-1"/>
        </w:rPr>
        <w:t> </w:t>
      </w:r>
      <w:r>
        <w:rPr/>
        <w:t>αξιών που εκτελούνται σε τόπους</w:t>
      </w:r>
      <w:r>
        <w:rPr>
          <w:spacing w:val="-1"/>
        </w:rPr>
        <w:t> </w:t>
      </w:r>
      <w:r>
        <w:rPr/>
        <w:t>διαπραγμάτευσης</w:t>
      </w:r>
      <w:r>
        <w:rPr>
          <w:spacing w:val="-1"/>
        </w:rPr>
        <w:t> </w:t>
      </w:r>
      <w:r>
        <w:rPr/>
        <w:t>θα</w:t>
      </w:r>
      <w:r>
        <w:rPr>
          <w:spacing w:val="-3"/>
        </w:rPr>
        <w:t> </w:t>
      </w:r>
      <w:r>
        <w:rPr/>
        <w:t>διακανονίζο-νται σε μία εργάσιμη ημέρα από την ημερομηνία της διαπραγμάτευσης (Τ+1), από δύο ημέρες που είναι σήμερα.</w:t>
      </w:r>
      <w:hyperlink w:history="true" w:anchor="_bookmark160">
        <w:r>
          <w:rPr>
            <w:position w:val="6"/>
            <w:sz w:val="10"/>
          </w:rPr>
          <w:t>105</w:t>
        </w:r>
      </w:hyperlink>
    </w:p>
    <w:p>
      <w:pPr>
        <w:pStyle w:val="BodyText"/>
        <w:spacing w:line="285" w:lineRule="auto" w:before="54"/>
        <w:ind w:left="172" w:right="956"/>
        <w:jc w:val="both"/>
      </w:pPr>
      <w:r>
        <w:rPr/>
        <w:t>Η συντόμευση του κύκλου διακανονισμού στην Ευρωπαϊκή Ένωση (ΕΕ) σε T+1 εκτιμάται ότι θα περιορίσει σημαντικά τους κινδύνους στην αγορά, ιδίως όσον αφορά τον κίνδυνο αντισυμ-βαλλομένου και τον κίνδυνο μεταβλητότητας, και θα μειώσει τα κεφάλαια που απαιτούνται για την κάλυψη των απαιτήσεων περιθωρίου ασφαλείας. Κατ’</w:t>
      </w:r>
      <w:r>
        <w:rPr>
          <w:spacing w:val="-2"/>
        </w:rPr>
        <w:t> </w:t>
      </w:r>
      <w:r>
        <w:rPr/>
        <w:t>αυτόν τον τρόπο, οι πρακτικές των αγορών</w:t>
      </w:r>
      <w:r>
        <w:rPr>
          <w:spacing w:val="-5"/>
        </w:rPr>
        <w:t> </w:t>
      </w:r>
      <w:r>
        <w:rPr/>
        <w:t>της</w:t>
      </w:r>
      <w:r>
        <w:rPr>
          <w:spacing w:val="-6"/>
        </w:rPr>
        <w:t> </w:t>
      </w:r>
      <w:r>
        <w:rPr/>
        <w:t>ΕΕ</w:t>
      </w:r>
      <w:r>
        <w:rPr>
          <w:spacing w:val="-5"/>
        </w:rPr>
        <w:t> </w:t>
      </w:r>
      <w:r>
        <w:rPr/>
        <w:t>εναρμονίζονται</w:t>
      </w:r>
      <w:r>
        <w:rPr>
          <w:spacing w:val="-6"/>
        </w:rPr>
        <w:t> </w:t>
      </w:r>
      <w:r>
        <w:rPr/>
        <w:t>με</w:t>
      </w:r>
      <w:r>
        <w:rPr>
          <w:spacing w:val="-5"/>
        </w:rPr>
        <w:t> </w:t>
      </w:r>
      <w:r>
        <w:rPr/>
        <w:t>αυτές</w:t>
      </w:r>
      <w:r>
        <w:rPr>
          <w:spacing w:val="-6"/>
        </w:rPr>
        <w:t> </w:t>
      </w:r>
      <w:r>
        <w:rPr/>
        <w:t>των</w:t>
      </w:r>
      <w:r>
        <w:rPr>
          <w:spacing w:val="-3"/>
        </w:rPr>
        <w:t> </w:t>
      </w:r>
      <w:r>
        <w:rPr/>
        <w:t>παγκόσμιων</w:t>
      </w:r>
      <w:r>
        <w:rPr>
          <w:spacing w:val="-4"/>
        </w:rPr>
        <w:t> </w:t>
      </w:r>
      <w:r>
        <w:rPr/>
        <w:t>χρηματοπιστωτικών</w:t>
      </w:r>
      <w:r>
        <w:rPr>
          <w:spacing w:val="-5"/>
        </w:rPr>
        <w:t> </w:t>
      </w:r>
      <w:r>
        <w:rPr/>
        <w:t>αγορών</w:t>
      </w:r>
      <w:r>
        <w:rPr>
          <w:spacing w:val="-5"/>
        </w:rPr>
        <w:t> </w:t>
      </w:r>
      <w:r>
        <w:rPr/>
        <w:t>που</w:t>
      </w:r>
      <w:r>
        <w:rPr>
          <w:spacing w:val="-5"/>
        </w:rPr>
        <w:t> </w:t>
      </w:r>
      <w:r>
        <w:rPr/>
        <w:t>ακο-λουθούν ήδη τον κύκλο Τ+1, με αποτέλεσμα να μειωθεί το κόστος που απορρέει για τους συμ-μετέχοντες</w:t>
      </w:r>
      <w:r>
        <w:rPr>
          <w:spacing w:val="-4"/>
        </w:rPr>
        <w:t> </w:t>
      </w:r>
      <w:r>
        <w:rPr/>
        <w:t>από</w:t>
      </w:r>
      <w:r>
        <w:rPr>
          <w:spacing w:val="-3"/>
        </w:rPr>
        <w:t> </w:t>
      </w:r>
      <w:r>
        <w:rPr/>
        <w:t>την</w:t>
      </w:r>
      <w:r>
        <w:rPr>
          <w:spacing w:val="-3"/>
        </w:rPr>
        <w:t> </w:t>
      </w:r>
      <w:r>
        <w:rPr/>
        <w:t>τρέχουσα</w:t>
      </w:r>
      <w:r>
        <w:rPr>
          <w:spacing w:val="-3"/>
        </w:rPr>
        <w:t> </w:t>
      </w:r>
      <w:r>
        <w:rPr/>
        <w:t>απόκλιση</w:t>
      </w:r>
      <w:r>
        <w:rPr>
          <w:spacing w:val="-3"/>
        </w:rPr>
        <w:t> </w:t>
      </w:r>
      <w:r>
        <w:rPr/>
        <w:t>των κύκλων</w:t>
      </w:r>
      <w:r>
        <w:rPr>
          <w:spacing w:val="-2"/>
        </w:rPr>
        <w:t> </w:t>
      </w:r>
      <w:r>
        <w:rPr/>
        <w:t>διακανονισμού</w:t>
      </w:r>
      <w:r>
        <w:rPr>
          <w:spacing w:val="-2"/>
        </w:rPr>
        <w:t> </w:t>
      </w:r>
      <w:r>
        <w:rPr/>
        <w:t>και</w:t>
      </w:r>
      <w:r>
        <w:rPr>
          <w:spacing w:val="-3"/>
        </w:rPr>
        <w:t> </w:t>
      </w:r>
      <w:r>
        <w:rPr/>
        <w:t>να</w:t>
      </w:r>
      <w:r>
        <w:rPr>
          <w:spacing w:val="-3"/>
        </w:rPr>
        <w:t> </w:t>
      </w:r>
      <w:r>
        <w:rPr/>
        <w:t>αυξηθεί</w:t>
      </w:r>
      <w:r>
        <w:rPr>
          <w:spacing w:val="-3"/>
        </w:rPr>
        <w:t> </w:t>
      </w:r>
      <w:r>
        <w:rPr/>
        <w:t>η</w:t>
      </w:r>
      <w:r>
        <w:rPr>
          <w:spacing w:val="-3"/>
        </w:rPr>
        <w:t> </w:t>
      </w:r>
      <w:r>
        <w:rPr/>
        <w:t>ανταγωνι-στικότητα των κεφαλαιαγορών της ΕΕ.</w:t>
      </w:r>
    </w:p>
    <w:p>
      <w:pPr>
        <w:pStyle w:val="BodyText"/>
        <w:spacing w:line="285" w:lineRule="auto" w:before="52"/>
        <w:ind w:left="172" w:right="956"/>
        <w:jc w:val="both"/>
      </w:pPr>
      <w:r>
        <w:rPr/>
        <w:t>Γενικότερα,</w:t>
      </w:r>
      <w:r>
        <w:rPr>
          <w:spacing w:val="-1"/>
        </w:rPr>
        <w:t> </w:t>
      </w:r>
      <w:r>
        <w:rPr/>
        <w:t>όπως επισημαίνεται σε σχετική έκθεση της Ευρωπαϊκής Αρχής Κινητών Αξιών και Αγορών (EAKAA)</w:t>
      </w:r>
      <w:hyperlink w:history="true" w:anchor="_bookmark161">
        <w:r>
          <w:rPr/>
          <w:t>,</w:t>
        </w:r>
        <w:r>
          <w:rPr>
            <w:position w:val="6"/>
            <w:sz w:val="10"/>
          </w:rPr>
          <w:t>106</w:t>
        </w:r>
      </w:hyperlink>
      <w:r>
        <w:rPr>
          <w:spacing w:val="32"/>
          <w:position w:val="6"/>
          <w:sz w:val="10"/>
        </w:rPr>
        <w:t> </w:t>
      </w:r>
      <w:r>
        <w:rPr/>
        <w:t>η συντόμευση του κύκλου διακανονισμού στην ΕΕ</w:t>
      </w:r>
      <w:r>
        <w:rPr>
          <w:spacing w:val="-2"/>
        </w:rPr>
        <w:t> </w:t>
      </w:r>
      <w:r>
        <w:rPr/>
        <w:t>θα</w:t>
      </w:r>
      <w:r>
        <w:rPr>
          <w:spacing w:val="-2"/>
        </w:rPr>
        <w:t> </w:t>
      </w:r>
      <w:r>
        <w:rPr/>
        <w:t>ενισχύσει την απο-τελεσματικότητα και την ανθεκτικότητα των μετασυναλλακτικών (post-trading) εργασιών. Επι-πλέον, η μετάβαση</w:t>
      </w:r>
      <w:r>
        <w:rPr>
          <w:spacing w:val="-1"/>
        </w:rPr>
        <w:t> </w:t>
      </w:r>
      <w:r>
        <w:rPr/>
        <w:t>σε κύκλο Τ+1, σε συνδυασμό με την εναρμόνιση και τυποποίηση των διαδι-κασιών, θα συμβάλει στην ενοποίηση των αγορών και την επίτευξη των στόχων της Ένωσης Αποταμιεύσεων και Επενδύσεων (Savings and Investment Union).</w:t>
      </w:r>
    </w:p>
    <w:p>
      <w:pPr>
        <w:pStyle w:val="BodyText"/>
        <w:spacing w:line="285" w:lineRule="auto" w:before="54"/>
        <w:ind w:left="172" w:right="956"/>
        <w:jc w:val="both"/>
      </w:pPr>
      <w:r>
        <w:rPr/>
        <w:t>Από την άλλη πλευρά, μια από τις βασικές προκλήσεις του βραχύτερου κύκλου διακανονισμού είναι η συμπίεση όλων των διαδικασιών που μπορεί να οδηγήσει σε αύξηση του κινδύνου απο-τυχίας διακανονισμού.</w:t>
      </w:r>
    </w:p>
    <w:p>
      <w:pPr>
        <w:pStyle w:val="BodyText"/>
        <w:spacing w:line="285" w:lineRule="auto" w:before="57"/>
        <w:ind w:left="172" w:right="954"/>
        <w:jc w:val="both"/>
      </w:pPr>
      <w:r>
        <w:rPr/>
        <w:t>Για τη μετάβαση στον βραχύτερο κύκλο διακανονισμού, και λόγω της πολυπλοκότητας των α-παιτούμενων</w:t>
      </w:r>
      <w:r>
        <w:rPr>
          <w:spacing w:val="-2"/>
        </w:rPr>
        <w:t> </w:t>
      </w:r>
      <w:r>
        <w:rPr/>
        <w:t>αλλαγών,</w:t>
      </w:r>
      <w:r>
        <w:rPr>
          <w:spacing w:val="-3"/>
        </w:rPr>
        <w:t> </w:t>
      </w:r>
      <w:r>
        <w:rPr/>
        <w:t>η</w:t>
      </w:r>
      <w:r>
        <w:rPr>
          <w:spacing w:val="-5"/>
        </w:rPr>
        <w:t> </w:t>
      </w:r>
      <w:r>
        <w:rPr/>
        <w:t>EAKAA,</w:t>
      </w:r>
      <w:r>
        <w:rPr>
          <w:spacing w:val="-3"/>
        </w:rPr>
        <w:t> </w:t>
      </w:r>
      <w:r>
        <w:rPr/>
        <w:t>η</w:t>
      </w:r>
      <w:r>
        <w:rPr>
          <w:spacing w:val="-3"/>
        </w:rPr>
        <w:t> </w:t>
      </w:r>
      <w:r>
        <w:rPr/>
        <w:t>Ευρωπαϊκή</w:t>
      </w:r>
      <w:r>
        <w:rPr>
          <w:spacing w:val="-3"/>
        </w:rPr>
        <w:t> </w:t>
      </w:r>
      <w:r>
        <w:rPr/>
        <w:t>Επιτροπή</w:t>
      </w:r>
      <w:r>
        <w:rPr>
          <w:spacing w:val="-3"/>
        </w:rPr>
        <w:t> </w:t>
      </w:r>
      <w:r>
        <w:rPr/>
        <w:t>και</w:t>
      </w:r>
      <w:r>
        <w:rPr>
          <w:spacing w:val="-3"/>
        </w:rPr>
        <w:t> </w:t>
      </w:r>
      <w:r>
        <w:rPr/>
        <w:t>η</w:t>
      </w:r>
      <w:r>
        <w:rPr>
          <w:spacing w:val="-3"/>
        </w:rPr>
        <w:t> </w:t>
      </w:r>
      <w:r>
        <w:rPr/>
        <w:t>Ευρωπαϊκή</w:t>
      </w:r>
      <w:r>
        <w:rPr>
          <w:spacing w:val="-3"/>
        </w:rPr>
        <w:t> </w:t>
      </w:r>
      <w:r>
        <w:rPr/>
        <w:t>Κεντρική</w:t>
      </w:r>
      <w:r>
        <w:rPr>
          <w:spacing w:val="-3"/>
        </w:rPr>
        <w:t> </w:t>
      </w:r>
      <w:r>
        <w:rPr/>
        <w:t>Τράπεζα θέσπισαν</w:t>
      </w:r>
      <w:r>
        <w:rPr>
          <w:spacing w:val="-2"/>
        </w:rPr>
        <w:t> </w:t>
      </w:r>
      <w:r>
        <w:rPr/>
        <w:t>ένα</w:t>
      </w:r>
      <w:r>
        <w:rPr>
          <w:spacing w:val="-2"/>
        </w:rPr>
        <w:t> </w:t>
      </w:r>
      <w:r>
        <w:rPr/>
        <w:t>σχήμα</w:t>
      </w:r>
      <w:r>
        <w:rPr>
          <w:spacing w:val="-2"/>
        </w:rPr>
        <w:t> </w:t>
      </w:r>
      <w:r>
        <w:rPr/>
        <w:t>διακυβέρνησης</w:t>
      </w:r>
      <w:r>
        <w:rPr>
          <w:spacing w:val="-4"/>
        </w:rPr>
        <w:t> </w:t>
      </w:r>
      <w:r>
        <w:rPr/>
        <w:t>για τον</w:t>
      </w:r>
      <w:r>
        <w:rPr>
          <w:spacing w:val="-1"/>
        </w:rPr>
        <w:t> </w:t>
      </w:r>
      <w:r>
        <w:rPr/>
        <w:t>συντονισμό των απαραίτητων</w:t>
      </w:r>
      <w:r>
        <w:rPr>
          <w:spacing w:val="-1"/>
        </w:rPr>
        <w:t> </w:t>
      </w:r>
      <w:r>
        <w:rPr/>
        <w:t>ενεργειών.</w:t>
      </w:r>
      <w:r>
        <w:rPr>
          <w:spacing w:val="-2"/>
        </w:rPr>
        <w:t> </w:t>
      </w:r>
      <w:r>
        <w:rPr/>
        <w:t>Tο</w:t>
      </w:r>
      <w:r>
        <w:rPr>
          <w:spacing w:val="-2"/>
        </w:rPr>
        <w:t> </w:t>
      </w:r>
      <w:r>
        <w:rPr/>
        <w:t>σχήμα περιλαμβάνει μια επιτροπή συντονισμού (T+1 Coordination Committee) και μια κλαδική επι-τροπή (T+1 Industry Committee), στην οποία συμμετέχουν φορείς της αγοράς. Η T+1 Industry Committee, συνεπικουρούμενη από εξειδικευμένες ομάδες εργασίας, εξέδωσε τον Ιούνιο του 2025</w:t>
      </w:r>
      <w:r>
        <w:rPr>
          <w:spacing w:val="-2"/>
        </w:rPr>
        <w:t> </w:t>
      </w:r>
      <w:r>
        <w:rPr/>
        <w:t>γενικές</w:t>
      </w:r>
      <w:r>
        <w:rPr>
          <w:spacing w:val="-3"/>
        </w:rPr>
        <w:t> </w:t>
      </w:r>
      <w:r>
        <w:rPr/>
        <w:t>συστάσεις που χρησιμεύουν</w:t>
      </w:r>
      <w:r>
        <w:rPr>
          <w:spacing w:val="-1"/>
        </w:rPr>
        <w:t> </w:t>
      </w:r>
      <w:r>
        <w:rPr/>
        <w:t>ως</w:t>
      </w:r>
      <w:r>
        <w:rPr>
          <w:spacing w:val="-1"/>
        </w:rPr>
        <w:t> </w:t>
      </w:r>
      <w:r>
        <w:rPr/>
        <w:t>οδικός</w:t>
      </w:r>
      <w:r>
        <w:rPr>
          <w:spacing w:val="-4"/>
        </w:rPr>
        <w:t> </w:t>
      </w:r>
      <w:r>
        <w:rPr/>
        <w:t>χάρτης</w:t>
      </w:r>
      <w:r>
        <w:rPr>
          <w:spacing w:val="-2"/>
        </w:rPr>
        <w:t> </w:t>
      </w:r>
      <w:r>
        <w:rPr/>
        <w:t>για</w:t>
      </w:r>
      <w:r>
        <w:rPr>
          <w:spacing w:val="-2"/>
        </w:rPr>
        <w:t> </w:t>
      </w:r>
      <w:r>
        <w:rPr/>
        <w:t>τον κλάδο</w:t>
      </w:r>
      <w:r>
        <w:rPr>
          <w:spacing w:val="-3"/>
        </w:rPr>
        <w:t> </w:t>
      </w:r>
      <w:r>
        <w:rPr/>
        <w:t>των</w:t>
      </w:r>
      <w:r>
        <w:rPr>
          <w:spacing w:val="-1"/>
        </w:rPr>
        <w:t> </w:t>
      </w:r>
      <w:r>
        <w:rPr/>
        <w:t>χρηματοπιστωτι-κών υπηρεσιών, καθοδηγώντας τα εμπλεκόμενα μέρη στις απαραίτητες αλλαγές που πρέπει να κάνουν για την επίτευξη αυτού του καίριου στόχου.</w:t>
      </w:r>
      <w:r>
        <w:rPr>
          <w:spacing w:val="-21"/>
        </w:rPr>
        <w:t> </w:t>
      </w:r>
      <w:hyperlink w:history="true" w:anchor="_bookmark162">
        <w:r>
          <w:rPr>
            <w:vertAlign w:val="superscript"/>
          </w:rPr>
          <w:t>107</w:t>
        </w:r>
      </w:hyperlink>
    </w:p>
    <w:p>
      <w:pPr>
        <w:pStyle w:val="BodyText"/>
        <w:rPr>
          <w:sz w:val="20"/>
        </w:rPr>
      </w:pPr>
    </w:p>
    <w:p>
      <w:pPr>
        <w:pStyle w:val="BodyText"/>
        <w:rPr>
          <w:sz w:val="20"/>
        </w:rPr>
      </w:pPr>
    </w:p>
    <w:p>
      <w:pPr>
        <w:pStyle w:val="BodyText"/>
        <w:spacing w:before="212"/>
        <w:rPr>
          <w:sz w:val="20"/>
        </w:rPr>
      </w:pPr>
      <w:r>
        <w:rPr>
          <w:sz w:val="20"/>
        </w:rPr>
        <mc:AlternateContent>
          <mc:Choice Requires="wps">
            <w:drawing>
              <wp:anchor distT="0" distB="0" distL="0" distR="0" allowOverlap="1" layoutInCell="1" locked="0" behindDoc="1" simplePos="0" relativeHeight="487674368">
                <wp:simplePos x="0" y="0"/>
                <wp:positionH relativeFrom="page">
                  <wp:posOffset>1009192</wp:posOffset>
                </wp:positionH>
                <wp:positionV relativeFrom="paragraph">
                  <wp:posOffset>296217</wp:posOffset>
                </wp:positionV>
                <wp:extent cx="1829435" cy="7620"/>
                <wp:effectExtent l="0" t="0" r="0" b="0"/>
                <wp:wrapTopAndBottom/>
                <wp:docPr id="771" name="Graphic 771"/>
                <wp:cNvGraphicFramePr>
                  <a:graphicFrameLocks/>
                </wp:cNvGraphicFramePr>
                <a:graphic>
                  <a:graphicData uri="http://schemas.microsoft.com/office/word/2010/wordprocessingShape">
                    <wps:wsp>
                      <wps:cNvPr id="771" name="Graphic 77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3.324238pt;width:144.020pt;height:.60004pt;mso-position-horizontal-relative:page;mso-position-vertical-relative:paragraph;z-index:-15642112;mso-wrap-distance-left:0;mso-wrap-distance-right:0" id="docshape720" filled="true" fillcolor="#000000" stroked="false">
                <v:fill type="solid"/>
                <w10:wrap type="topAndBottom"/>
              </v:rect>
            </w:pict>
          </mc:Fallback>
        </mc:AlternateContent>
      </w:r>
    </w:p>
    <w:p>
      <w:pPr>
        <w:spacing w:before="167"/>
        <w:ind w:left="172" w:right="956" w:firstLine="0"/>
        <w:jc w:val="left"/>
        <w:rPr>
          <w:sz w:val="16"/>
        </w:rPr>
      </w:pPr>
      <w:bookmarkStart w:name="_bookmark159" w:id="160"/>
      <w:bookmarkEnd w:id="160"/>
      <w:r>
        <w:rPr/>
      </w:r>
      <w:r>
        <w:rPr>
          <w:sz w:val="16"/>
          <w:vertAlign w:val="superscript"/>
        </w:rPr>
        <w:t>104</w:t>
      </w:r>
      <w:r>
        <w:rPr>
          <w:spacing w:val="-3"/>
          <w:sz w:val="16"/>
          <w:vertAlign w:val="baseline"/>
        </w:rPr>
        <w:t> </w:t>
      </w:r>
      <w:r>
        <w:rPr>
          <w:sz w:val="16"/>
          <w:vertAlign w:val="baseline"/>
        </w:rPr>
        <w:t>Βλ.</w:t>
      </w:r>
      <w:r>
        <w:rPr>
          <w:spacing w:val="-5"/>
          <w:sz w:val="16"/>
          <w:vertAlign w:val="baseline"/>
        </w:rPr>
        <w:t> </w:t>
      </w:r>
      <w:hyperlink r:id="rId140">
        <w:r>
          <w:rPr>
            <w:color w:val="0000FF"/>
            <w:sz w:val="16"/>
            <w:u w:val="single" w:color="0000FF"/>
            <w:vertAlign w:val="baseline"/>
          </w:rPr>
          <w:t>Κανονισμός</w:t>
        </w:r>
        <w:r>
          <w:rPr>
            <w:color w:val="0000FF"/>
            <w:spacing w:val="-2"/>
            <w:sz w:val="16"/>
            <w:u w:val="single" w:color="0000FF"/>
            <w:vertAlign w:val="baseline"/>
          </w:rPr>
          <w:t> </w:t>
        </w:r>
        <w:r>
          <w:rPr>
            <w:color w:val="0000FF"/>
            <w:sz w:val="16"/>
            <w:u w:val="single" w:color="0000FF"/>
            <w:vertAlign w:val="baseline"/>
          </w:rPr>
          <w:t>(ΕΕ)</w:t>
        </w:r>
        <w:r>
          <w:rPr>
            <w:color w:val="0000FF"/>
            <w:spacing w:val="-6"/>
            <w:sz w:val="16"/>
            <w:u w:val="single" w:color="0000FF"/>
            <w:vertAlign w:val="baseline"/>
          </w:rPr>
          <w:t> </w:t>
        </w:r>
        <w:r>
          <w:rPr>
            <w:color w:val="0000FF"/>
            <w:sz w:val="16"/>
            <w:u w:val="single" w:color="0000FF"/>
            <w:vertAlign w:val="baseline"/>
          </w:rPr>
          <w:t>2025/2075</w:t>
        </w:r>
        <w:r>
          <w:rPr>
            <w:color w:val="0000FF"/>
            <w:spacing w:val="-2"/>
            <w:sz w:val="16"/>
            <w:u w:val="single" w:color="0000FF"/>
            <w:vertAlign w:val="baseline"/>
          </w:rPr>
          <w:t> </w:t>
        </w:r>
        <w:r>
          <w:rPr>
            <w:color w:val="0000FF"/>
            <w:sz w:val="16"/>
            <w:u w:val="single" w:color="0000FF"/>
            <w:vertAlign w:val="baseline"/>
          </w:rPr>
          <w:t>του</w:t>
        </w:r>
        <w:r>
          <w:rPr>
            <w:color w:val="0000FF"/>
            <w:spacing w:val="-4"/>
            <w:sz w:val="16"/>
            <w:u w:val="single" w:color="0000FF"/>
            <w:vertAlign w:val="baseline"/>
          </w:rPr>
          <w:t> </w:t>
        </w:r>
        <w:r>
          <w:rPr>
            <w:color w:val="0000FF"/>
            <w:sz w:val="16"/>
            <w:u w:val="single" w:color="0000FF"/>
            <w:vertAlign w:val="baseline"/>
          </w:rPr>
          <w:t>Ευρωπαϊκού</w:t>
        </w:r>
        <w:r>
          <w:rPr>
            <w:color w:val="0000FF"/>
            <w:spacing w:val="-4"/>
            <w:sz w:val="16"/>
            <w:u w:val="single" w:color="0000FF"/>
            <w:vertAlign w:val="baseline"/>
          </w:rPr>
          <w:t> </w:t>
        </w:r>
        <w:r>
          <w:rPr>
            <w:color w:val="0000FF"/>
            <w:sz w:val="16"/>
            <w:u w:val="single" w:color="0000FF"/>
            <w:vertAlign w:val="baseline"/>
          </w:rPr>
          <w:t>Κοινοβουλίου</w:t>
        </w:r>
        <w:r>
          <w:rPr>
            <w:color w:val="0000FF"/>
            <w:spacing w:val="-4"/>
            <w:sz w:val="16"/>
            <w:u w:val="single" w:color="0000FF"/>
            <w:vertAlign w:val="baseline"/>
          </w:rPr>
          <w:t> </w:t>
        </w:r>
        <w:r>
          <w:rPr>
            <w:color w:val="0000FF"/>
            <w:sz w:val="16"/>
            <w:u w:val="single" w:color="0000FF"/>
            <w:vertAlign w:val="baseline"/>
          </w:rPr>
          <w:t>και</w:t>
        </w:r>
        <w:r>
          <w:rPr>
            <w:color w:val="0000FF"/>
            <w:spacing w:val="-3"/>
            <w:sz w:val="16"/>
            <w:u w:val="single" w:color="0000FF"/>
            <w:vertAlign w:val="baseline"/>
          </w:rPr>
          <w:t> </w:t>
        </w:r>
        <w:r>
          <w:rPr>
            <w:color w:val="0000FF"/>
            <w:sz w:val="16"/>
            <w:u w:val="single" w:color="0000FF"/>
            <w:vertAlign w:val="baseline"/>
          </w:rPr>
          <w:t>του</w:t>
        </w:r>
        <w:r>
          <w:rPr>
            <w:color w:val="0000FF"/>
            <w:spacing w:val="-4"/>
            <w:sz w:val="16"/>
            <w:u w:val="single" w:color="0000FF"/>
            <w:vertAlign w:val="baseline"/>
          </w:rPr>
          <w:t> </w:t>
        </w:r>
        <w:r>
          <w:rPr>
            <w:color w:val="0000FF"/>
            <w:sz w:val="16"/>
            <w:u w:val="single" w:color="0000FF"/>
            <w:vertAlign w:val="baseline"/>
          </w:rPr>
          <w:t>Συμβουλίου</w:t>
        </w:r>
        <w:r>
          <w:rPr>
            <w:color w:val="0000FF"/>
            <w:spacing w:val="-4"/>
            <w:sz w:val="16"/>
            <w:u w:val="single" w:color="0000FF"/>
            <w:vertAlign w:val="baseline"/>
          </w:rPr>
          <w:t> </w:t>
        </w:r>
        <w:r>
          <w:rPr>
            <w:color w:val="0000FF"/>
            <w:sz w:val="16"/>
            <w:u w:val="single" w:color="0000FF"/>
            <w:vertAlign w:val="baseline"/>
          </w:rPr>
          <w:t>της</w:t>
        </w:r>
        <w:r>
          <w:rPr>
            <w:color w:val="0000FF"/>
            <w:spacing w:val="-5"/>
            <w:sz w:val="16"/>
            <w:u w:val="single" w:color="0000FF"/>
            <w:vertAlign w:val="baseline"/>
          </w:rPr>
          <w:t> </w:t>
        </w:r>
        <w:r>
          <w:rPr>
            <w:color w:val="0000FF"/>
            <w:sz w:val="16"/>
            <w:u w:val="single" w:color="0000FF"/>
            <w:vertAlign w:val="baseline"/>
          </w:rPr>
          <w:t>8ης Οκτωβρίου</w:t>
        </w:r>
        <w:r>
          <w:rPr>
            <w:color w:val="0000FF"/>
            <w:spacing w:val="-4"/>
            <w:sz w:val="16"/>
            <w:u w:val="single" w:color="0000FF"/>
            <w:vertAlign w:val="baseline"/>
          </w:rPr>
          <w:t> </w:t>
        </w:r>
        <w:r>
          <w:rPr>
            <w:color w:val="0000FF"/>
            <w:sz w:val="16"/>
            <w:u w:val="single" w:color="0000FF"/>
            <w:vertAlign w:val="baseline"/>
          </w:rPr>
          <w:t>2025</w:t>
        </w:r>
        <w:r>
          <w:rPr>
            <w:color w:val="0000FF"/>
            <w:spacing w:val="-5"/>
            <w:sz w:val="16"/>
            <w:u w:val="single" w:color="0000FF"/>
            <w:vertAlign w:val="baseline"/>
          </w:rPr>
          <w:t> </w:t>
        </w:r>
        <w:r>
          <w:rPr>
            <w:color w:val="0000FF"/>
            <w:sz w:val="16"/>
            <w:u w:val="single" w:color="0000FF"/>
            <w:vertAlign w:val="baseline"/>
          </w:rPr>
          <w:t>για</w:t>
        </w:r>
        <w:r>
          <w:rPr>
            <w:color w:val="0000FF"/>
            <w:spacing w:val="-3"/>
            <w:sz w:val="16"/>
            <w:u w:val="single" w:color="0000FF"/>
            <w:vertAlign w:val="baseline"/>
          </w:rPr>
          <w:t> </w:t>
        </w:r>
        <w:r>
          <w:rPr>
            <w:color w:val="0000FF"/>
            <w:sz w:val="16"/>
            <w:u w:val="single" w:color="0000FF"/>
            <w:vertAlign w:val="baseline"/>
          </w:rPr>
          <w:t>την</w:t>
        </w:r>
        <w:r>
          <w:rPr>
            <w:color w:val="0000FF"/>
            <w:spacing w:val="-4"/>
            <w:sz w:val="16"/>
            <w:u w:val="single" w:color="0000FF"/>
            <w:vertAlign w:val="baseline"/>
          </w:rPr>
          <w:t> </w:t>
        </w:r>
        <w:r>
          <w:rPr>
            <w:color w:val="0000FF"/>
            <w:sz w:val="16"/>
            <w:u w:val="single" w:color="0000FF"/>
            <w:vertAlign w:val="baseline"/>
          </w:rPr>
          <w:t>τροποποί-</w:t>
        </w:r>
      </w:hyperlink>
      <w:hyperlink r:id="rId140">
        <w:r>
          <w:rPr>
            <w:color w:val="0000FF"/>
            <w:sz w:val="16"/>
            <w:u w:val="single" w:color="0000FF"/>
            <w:vertAlign w:val="baseline"/>
          </w:rPr>
          <w:t>ηση του κανονισμού (ΕΕ) αριθ. 909/2014 σχετικά με βραχύτερο κύκλο διακανονισμού στην Ένωση</w:t>
        </w:r>
        <w:r>
          <w:rPr>
            <w:sz w:val="16"/>
            <w:vertAlign w:val="baseline"/>
          </w:rPr>
          <w:t>.</w:t>
        </w:r>
      </w:hyperlink>
    </w:p>
    <w:p>
      <w:pPr>
        <w:spacing w:before="19"/>
        <w:ind w:left="172" w:right="956" w:firstLine="0"/>
        <w:jc w:val="left"/>
        <w:rPr>
          <w:sz w:val="16"/>
        </w:rPr>
      </w:pPr>
      <w:bookmarkStart w:name="_bookmark160" w:id="161"/>
      <w:bookmarkEnd w:id="161"/>
      <w:r>
        <w:rPr/>
      </w:r>
      <w:r>
        <w:rPr>
          <w:sz w:val="16"/>
          <w:vertAlign w:val="superscript"/>
        </w:rPr>
        <w:t>105</w:t>
      </w:r>
      <w:r>
        <w:rPr>
          <w:sz w:val="16"/>
          <w:vertAlign w:val="baseline"/>
        </w:rPr>
        <w:t> Εξαιρούνται</w:t>
      </w:r>
      <w:r>
        <w:rPr>
          <w:spacing w:val="-1"/>
          <w:sz w:val="16"/>
          <w:vertAlign w:val="baseline"/>
        </w:rPr>
        <w:t> </w:t>
      </w:r>
      <w:r>
        <w:rPr>
          <w:sz w:val="16"/>
          <w:vertAlign w:val="baseline"/>
        </w:rPr>
        <w:t>οι συναλλαγές χρηματοδότησης τίτλων</w:t>
      </w:r>
      <w:r>
        <w:rPr>
          <w:spacing w:val="-2"/>
          <w:sz w:val="16"/>
          <w:vertAlign w:val="baseline"/>
        </w:rPr>
        <w:t> </w:t>
      </w:r>
      <w:r>
        <w:rPr>
          <w:sz w:val="16"/>
          <w:vertAlign w:val="baseline"/>
        </w:rPr>
        <w:t>που</w:t>
      </w:r>
      <w:r>
        <w:rPr>
          <w:spacing w:val="-1"/>
          <w:sz w:val="16"/>
          <w:vertAlign w:val="baseline"/>
        </w:rPr>
        <w:t> </w:t>
      </w:r>
      <w:r>
        <w:rPr>
          <w:sz w:val="16"/>
          <w:vertAlign w:val="baseline"/>
        </w:rPr>
        <w:t>δεν είναι τυποποιημένες και</w:t>
      </w:r>
      <w:r>
        <w:rPr>
          <w:spacing w:val="-1"/>
          <w:sz w:val="16"/>
          <w:vertAlign w:val="baseline"/>
        </w:rPr>
        <w:t> </w:t>
      </w:r>
      <w:r>
        <w:rPr>
          <w:sz w:val="16"/>
          <w:vertAlign w:val="baseline"/>
        </w:rPr>
        <w:t>οι οποίες συνάπτονται εγγράφως ως ενιαία</w:t>
      </w:r>
      <w:r>
        <w:rPr>
          <w:spacing w:val="40"/>
          <w:sz w:val="16"/>
          <w:vertAlign w:val="baseline"/>
        </w:rPr>
        <w:t> </w:t>
      </w:r>
      <w:r>
        <w:rPr>
          <w:sz w:val="16"/>
          <w:vertAlign w:val="baseline"/>
        </w:rPr>
        <w:t>συναλλαγή αποτελούμενη από δύο συνδεδεμένες πράξεις.</w:t>
      </w:r>
    </w:p>
    <w:p>
      <w:pPr>
        <w:spacing w:before="20"/>
        <w:ind w:left="172" w:right="0" w:firstLine="0"/>
        <w:jc w:val="left"/>
        <w:rPr>
          <w:sz w:val="16"/>
        </w:rPr>
      </w:pPr>
      <w:bookmarkStart w:name="_bookmark161" w:id="162"/>
      <w:bookmarkEnd w:id="162"/>
      <w:r>
        <w:rPr/>
      </w:r>
      <w:r>
        <w:rPr>
          <w:sz w:val="16"/>
          <w:vertAlign w:val="superscript"/>
        </w:rPr>
        <w:t>106</w:t>
      </w:r>
      <w:r>
        <w:rPr>
          <w:spacing w:val="-5"/>
          <w:sz w:val="16"/>
          <w:vertAlign w:val="baseline"/>
        </w:rPr>
        <w:t> </w:t>
      </w:r>
      <w:r>
        <w:rPr>
          <w:sz w:val="16"/>
          <w:vertAlign w:val="baseline"/>
        </w:rPr>
        <w:t>Βλ.</w:t>
      </w:r>
      <w:r>
        <w:rPr>
          <w:spacing w:val="-3"/>
          <w:sz w:val="16"/>
          <w:vertAlign w:val="baseline"/>
        </w:rPr>
        <w:t> </w:t>
      </w:r>
      <w:r>
        <w:rPr>
          <w:sz w:val="16"/>
          <w:vertAlign w:val="baseline"/>
        </w:rPr>
        <w:t>European</w:t>
      </w:r>
      <w:r>
        <w:rPr>
          <w:spacing w:val="-3"/>
          <w:sz w:val="16"/>
          <w:vertAlign w:val="baseline"/>
        </w:rPr>
        <w:t> </w:t>
      </w:r>
      <w:r>
        <w:rPr>
          <w:sz w:val="16"/>
          <w:vertAlign w:val="baseline"/>
        </w:rPr>
        <w:t>Securities</w:t>
      </w:r>
      <w:r>
        <w:rPr>
          <w:spacing w:val="-6"/>
          <w:sz w:val="16"/>
          <w:vertAlign w:val="baseline"/>
        </w:rPr>
        <w:t> </w:t>
      </w:r>
      <w:r>
        <w:rPr>
          <w:sz w:val="16"/>
          <w:vertAlign w:val="baseline"/>
        </w:rPr>
        <w:t>and</w:t>
      </w:r>
      <w:r>
        <w:rPr>
          <w:spacing w:val="-5"/>
          <w:sz w:val="16"/>
          <w:vertAlign w:val="baseline"/>
        </w:rPr>
        <w:t> </w:t>
      </w:r>
      <w:r>
        <w:rPr>
          <w:sz w:val="16"/>
          <w:vertAlign w:val="baseline"/>
        </w:rPr>
        <w:t>Markets</w:t>
      </w:r>
      <w:r>
        <w:rPr>
          <w:spacing w:val="-6"/>
          <w:sz w:val="16"/>
          <w:vertAlign w:val="baseline"/>
        </w:rPr>
        <w:t> </w:t>
      </w:r>
      <w:r>
        <w:rPr>
          <w:sz w:val="16"/>
          <w:vertAlign w:val="baseline"/>
        </w:rPr>
        <w:t>Authority,</w:t>
      </w:r>
      <w:r>
        <w:rPr>
          <w:spacing w:val="-5"/>
          <w:sz w:val="16"/>
          <w:vertAlign w:val="baseline"/>
        </w:rPr>
        <w:t> </w:t>
      </w:r>
      <w:hyperlink r:id="rId141">
        <w:r>
          <w:rPr>
            <w:color w:val="0000FF"/>
            <w:sz w:val="16"/>
            <w:u w:val="single" w:color="0000FF"/>
            <w:vertAlign w:val="baseline"/>
          </w:rPr>
          <w:t>Report</w:t>
        </w:r>
        <w:r>
          <w:rPr>
            <w:color w:val="0000FF"/>
            <w:spacing w:val="-5"/>
            <w:sz w:val="16"/>
            <w:u w:val="single" w:color="0000FF"/>
            <w:vertAlign w:val="baseline"/>
          </w:rPr>
          <w:t> </w:t>
        </w:r>
        <w:r>
          <w:rPr>
            <w:color w:val="0000FF"/>
            <w:sz w:val="16"/>
            <w:u w:val="single" w:color="0000FF"/>
            <w:vertAlign w:val="baseline"/>
          </w:rPr>
          <w:t>on</w:t>
        </w:r>
        <w:r>
          <w:rPr>
            <w:color w:val="0000FF"/>
            <w:spacing w:val="-5"/>
            <w:sz w:val="16"/>
            <w:u w:val="single" w:color="0000FF"/>
            <w:vertAlign w:val="baseline"/>
          </w:rPr>
          <w:t> </w:t>
        </w:r>
        <w:r>
          <w:rPr>
            <w:color w:val="0000FF"/>
            <w:sz w:val="16"/>
            <w:u w:val="single" w:color="0000FF"/>
            <w:vertAlign w:val="baseline"/>
          </w:rPr>
          <w:t>ESMA</w:t>
        </w:r>
        <w:r>
          <w:rPr>
            <w:color w:val="0000FF"/>
            <w:spacing w:val="-7"/>
            <w:sz w:val="16"/>
            <w:u w:val="single" w:color="0000FF"/>
            <w:vertAlign w:val="baseline"/>
          </w:rPr>
          <w:t> </w:t>
        </w:r>
        <w:r>
          <w:rPr>
            <w:color w:val="0000FF"/>
            <w:sz w:val="16"/>
            <w:u w:val="single" w:color="0000FF"/>
            <w:vertAlign w:val="baseline"/>
          </w:rPr>
          <w:t>assessment</w:t>
        </w:r>
        <w:r>
          <w:rPr>
            <w:color w:val="0000FF"/>
            <w:spacing w:val="-5"/>
            <w:sz w:val="16"/>
            <w:u w:val="single" w:color="0000FF"/>
            <w:vertAlign w:val="baseline"/>
          </w:rPr>
          <w:t> </w:t>
        </w:r>
        <w:r>
          <w:rPr>
            <w:color w:val="0000FF"/>
            <w:sz w:val="16"/>
            <w:u w:val="single" w:color="0000FF"/>
            <w:vertAlign w:val="baseline"/>
          </w:rPr>
          <w:t>of</w:t>
        </w:r>
        <w:r>
          <w:rPr>
            <w:color w:val="0000FF"/>
            <w:spacing w:val="-5"/>
            <w:sz w:val="16"/>
            <w:u w:val="single" w:color="0000FF"/>
            <w:vertAlign w:val="baseline"/>
          </w:rPr>
          <w:t> </w:t>
        </w:r>
        <w:r>
          <w:rPr>
            <w:color w:val="0000FF"/>
            <w:sz w:val="16"/>
            <w:u w:val="single" w:color="0000FF"/>
            <w:vertAlign w:val="baseline"/>
          </w:rPr>
          <w:t>the</w:t>
        </w:r>
        <w:r>
          <w:rPr>
            <w:color w:val="0000FF"/>
            <w:spacing w:val="-6"/>
            <w:sz w:val="16"/>
            <w:u w:val="single" w:color="0000FF"/>
            <w:vertAlign w:val="baseline"/>
          </w:rPr>
          <w:t> </w:t>
        </w:r>
        <w:r>
          <w:rPr>
            <w:color w:val="0000FF"/>
            <w:sz w:val="16"/>
            <w:u w:val="single" w:color="0000FF"/>
            <w:vertAlign w:val="baseline"/>
          </w:rPr>
          <w:t>shortening</w:t>
        </w:r>
        <w:r>
          <w:rPr>
            <w:color w:val="0000FF"/>
            <w:spacing w:val="-5"/>
            <w:sz w:val="16"/>
            <w:u w:val="single" w:color="0000FF"/>
            <w:vertAlign w:val="baseline"/>
          </w:rPr>
          <w:t> </w:t>
        </w:r>
        <w:r>
          <w:rPr>
            <w:color w:val="0000FF"/>
            <w:sz w:val="16"/>
            <w:u w:val="single" w:color="0000FF"/>
            <w:vertAlign w:val="baseline"/>
          </w:rPr>
          <w:t>of</w:t>
        </w:r>
        <w:r>
          <w:rPr>
            <w:color w:val="0000FF"/>
            <w:spacing w:val="-7"/>
            <w:sz w:val="16"/>
            <w:u w:val="single" w:color="0000FF"/>
            <w:vertAlign w:val="baseline"/>
          </w:rPr>
          <w:t> </w:t>
        </w:r>
        <w:r>
          <w:rPr>
            <w:color w:val="0000FF"/>
            <w:sz w:val="16"/>
            <w:u w:val="single" w:color="0000FF"/>
            <w:vertAlign w:val="baseline"/>
          </w:rPr>
          <w:t>the</w:t>
        </w:r>
        <w:r>
          <w:rPr>
            <w:color w:val="0000FF"/>
            <w:spacing w:val="-3"/>
            <w:sz w:val="16"/>
            <w:u w:val="single" w:color="0000FF"/>
            <w:vertAlign w:val="baseline"/>
          </w:rPr>
          <w:t> </w:t>
        </w:r>
        <w:r>
          <w:rPr>
            <w:color w:val="0000FF"/>
            <w:sz w:val="16"/>
            <w:u w:val="single" w:color="0000FF"/>
            <w:vertAlign w:val="baseline"/>
          </w:rPr>
          <w:t>settlement</w:t>
        </w:r>
        <w:r>
          <w:rPr>
            <w:color w:val="0000FF"/>
            <w:spacing w:val="-5"/>
            <w:sz w:val="16"/>
            <w:u w:val="single" w:color="0000FF"/>
            <w:vertAlign w:val="baseline"/>
          </w:rPr>
          <w:t> </w:t>
        </w:r>
        <w:r>
          <w:rPr>
            <w:color w:val="0000FF"/>
            <w:sz w:val="16"/>
            <w:u w:val="single" w:color="0000FF"/>
            <w:vertAlign w:val="baseline"/>
          </w:rPr>
          <w:t>cycle</w:t>
        </w:r>
        <w:r>
          <w:rPr>
            <w:color w:val="0000FF"/>
            <w:spacing w:val="-6"/>
            <w:sz w:val="16"/>
            <w:u w:val="single" w:color="0000FF"/>
            <w:vertAlign w:val="baseline"/>
          </w:rPr>
          <w:t> </w:t>
        </w:r>
        <w:r>
          <w:rPr>
            <w:color w:val="0000FF"/>
            <w:sz w:val="16"/>
            <w:u w:val="single" w:color="0000FF"/>
            <w:vertAlign w:val="baseline"/>
          </w:rPr>
          <w:t>in</w:t>
        </w:r>
        <w:r>
          <w:rPr>
            <w:color w:val="0000FF"/>
            <w:spacing w:val="-5"/>
            <w:sz w:val="16"/>
            <w:u w:val="single" w:color="0000FF"/>
            <w:vertAlign w:val="baseline"/>
          </w:rPr>
          <w:t> </w:t>
        </w:r>
        <w:r>
          <w:rPr>
            <w:color w:val="0000FF"/>
            <w:sz w:val="16"/>
            <w:u w:val="single" w:color="0000FF"/>
            <w:vertAlign w:val="baseline"/>
          </w:rPr>
          <w:t>the</w:t>
        </w:r>
        <w:r>
          <w:rPr>
            <w:color w:val="0000FF"/>
            <w:spacing w:val="-6"/>
            <w:sz w:val="16"/>
            <w:u w:val="single" w:color="0000FF"/>
            <w:vertAlign w:val="baseline"/>
          </w:rPr>
          <w:t> </w:t>
        </w:r>
        <w:r>
          <w:rPr>
            <w:color w:val="0000FF"/>
            <w:spacing w:val="-5"/>
            <w:sz w:val="16"/>
            <w:u w:val="single" w:color="0000FF"/>
            <w:vertAlign w:val="baseline"/>
          </w:rPr>
          <w:t>EU</w:t>
        </w:r>
        <w:r>
          <w:rPr>
            <w:spacing w:val="-5"/>
            <w:sz w:val="16"/>
            <w:vertAlign w:val="baseline"/>
          </w:rPr>
          <w:t>.</w:t>
        </w:r>
      </w:hyperlink>
    </w:p>
    <w:p>
      <w:pPr>
        <w:spacing w:before="20"/>
        <w:ind w:left="172" w:right="0" w:firstLine="0"/>
        <w:jc w:val="left"/>
        <w:rPr>
          <w:sz w:val="16"/>
        </w:rPr>
      </w:pPr>
      <w:bookmarkStart w:name="_bookmark162" w:id="163"/>
      <w:bookmarkEnd w:id="163"/>
      <w:r>
        <w:rPr/>
      </w:r>
      <w:r>
        <w:rPr>
          <w:sz w:val="16"/>
          <w:vertAlign w:val="superscript"/>
        </w:rPr>
        <w:t>107</w:t>
      </w:r>
      <w:r>
        <w:rPr>
          <w:spacing w:val="-4"/>
          <w:sz w:val="16"/>
          <w:vertAlign w:val="baseline"/>
        </w:rPr>
        <w:t> </w:t>
      </w:r>
      <w:r>
        <w:rPr>
          <w:sz w:val="16"/>
          <w:vertAlign w:val="baseline"/>
        </w:rPr>
        <w:t>Βλ.</w:t>
      </w:r>
      <w:r>
        <w:rPr>
          <w:spacing w:val="-3"/>
          <w:sz w:val="16"/>
          <w:vertAlign w:val="baseline"/>
        </w:rPr>
        <w:t> </w:t>
      </w:r>
      <w:r>
        <w:rPr>
          <w:sz w:val="16"/>
          <w:vertAlign w:val="baseline"/>
        </w:rPr>
        <w:t>EU</w:t>
      </w:r>
      <w:r>
        <w:rPr>
          <w:spacing w:val="-6"/>
          <w:sz w:val="16"/>
          <w:vertAlign w:val="baseline"/>
        </w:rPr>
        <w:t> </w:t>
      </w:r>
      <w:r>
        <w:rPr>
          <w:sz w:val="16"/>
          <w:vertAlign w:val="baseline"/>
        </w:rPr>
        <w:t>T</w:t>
      </w:r>
      <w:r>
        <w:rPr>
          <w:spacing w:val="-5"/>
          <w:sz w:val="16"/>
          <w:vertAlign w:val="baseline"/>
        </w:rPr>
        <w:t> </w:t>
      </w:r>
      <w:r>
        <w:rPr>
          <w:sz w:val="16"/>
          <w:vertAlign w:val="baseline"/>
        </w:rPr>
        <w:t>+</w:t>
      </w:r>
      <w:r>
        <w:rPr>
          <w:spacing w:val="-6"/>
          <w:sz w:val="16"/>
          <w:vertAlign w:val="baseline"/>
        </w:rPr>
        <w:t> </w:t>
      </w:r>
      <w:r>
        <w:rPr>
          <w:sz w:val="16"/>
          <w:vertAlign w:val="baseline"/>
        </w:rPr>
        <w:t>1</w:t>
      </w:r>
      <w:r>
        <w:rPr>
          <w:spacing w:val="-2"/>
          <w:sz w:val="16"/>
          <w:vertAlign w:val="baseline"/>
        </w:rPr>
        <w:t> </w:t>
      </w:r>
      <w:r>
        <w:rPr>
          <w:sz w:val="16"/>
          <w:vertAlign w:val="baseline"/>
        </w:rPr>
        <w:t>Industry</w:t>
      </w:r>
      <w:r>
        <w:rPr>
          <w:spacing w:val="-5"/>
          <w:sz w:val="16"/>
          <w:vertAlign w:val="baseline"/>
        </w:rPr>
        <w:t> </w:t>
      </w:r>
      <w:r>
        <w:rPr>
          <w:sz w:val="16"/>
          <w:vertAlign w:val="baseline"/>
        </w:rPr>
        <w:t>Committee,</w:t>
      </w:r>
      <w:r>
        <w:rPr>
          <w:spacing w:val="1"/>
          <w:sz w:val="16"/>
          <w:vertAlign w:val="baseline"/>
        </w:rPr>
        <w:t> </w:t>
      </w:r>
      <w:hyperlink r:id="rId142">
        <w:r>
          <w:rPr>
            <w:color w:val="0000FF"/>
            <w:sz w:val="16"/>
            <w:u w:val="single" w:color="0000FF"/>
            <w:vertAlign w:val="baseline"/>
          </w:rPr>
          <w:t>High-level</w:t>
        </w:r>
        <w:r>
          <w:rPr>
            <w:color w:val="0000FF"/>
            <w:spacing w:val="-5"/>
            <w:sz w:val="16"/>
            <w:u w:val="single" w:color="0000FF"/>
            <w:vertAlign w:val="baseline"/>
          </w:rPr>
          <w:t> </w:t>
        </w:r>
        <w:r>
          <w:rPr>
            <w:color w:val="0000FF"/>
            <w:sz w:val="16"/>
            <w:u w:val="single" w:color="0000FF"/>
            <w:vertAlign w:val="baseline"/>
          </w:rPr>
          <w:t>Roadmap</w:t>
        </w:r>
        <w:r>
          <w:rPr>
            <w:color w:val="0000FF"/>
            <w:spacing w:val="-3"/>
            <w:sz w:val="16"/>
            <w:u w:val="single" w:color="0000FF"/>
            <w:vertAlign w:val="baseline"/>
          </w:rPr>
          <w:t> </w:t>
        </w:r>
        <w:r>
          <w:rPr>
            <w:color w:val="0000FF"/>
            <w:sz w:val="16"/>
            <w:u w:val="single" w:color="0000FF"/>
            <w:vertAlign w:val="baseline"/>
          </w:rPr>
          <w:t>to</w:t>
        </w:r>
        <w:r>
          <w:rPr>
            <w:color w:val="0000FF"/>
            <w:spacing w:val="-5"/>
            <w:sz w:val="16"/>
            <w:u w:val="single" w:color="0000FF"/>
            <w:vertAlign w:val="baseline"/>
          </w:rPr>
          <w:t> </w:t>
        </w:r>
        <w:r>
          <w:rPr>
            <w:color w:val="0000FF"/>
            <w:sz w:val="16"/>
            <w:u w:val="single" w:color="0000FF"/>
            <w:vertAlign w:val="baseline"/>
          </w:rPr>
          <w:t>T+1</w:t>
        </w:r>
        <w:r>
          <w:rPr>
            <w:color w:val="0000FF"/>
            <w:spacing w:val="-1"/>
            <w:sz w:val="16"/>
            <w:u w:val="single" w:color="0000FF"/>
            <w:vertAlign w:val="baseline"/>
          </w:rPr>
          <w:t> </w:t>
        </w:r>
        <w:r>
          <w:rPr>
            <w:color w:val="0000FF"/>
            <w:sz w:val="16"/>
            <w:u w:val="single" w:color="0000FF"/>
            <w:vertAlign w:val="baseline"/>
          </w:rPr>
          <w:t>Securities</w:t>
        </w:r>
        <w:r>
          <w:rPr>
            <w:color w:val="0000FF"/>
            <w:spacing w:val="-8"/>
            <w:sz w:val="16"/>
            <w:u w:val="single" w:color="0000FF"/>
            <w:vertAlign w:val="baseline"/>
          </w:rPr>
          <w:t> </w:t>
        </w:r>
        <w:r>
          <w:rPr>
            <w:color w:val="0000FF"/>
            <w:sz w:val="16"/>
            <w:u w:val="single" w:color="0000FF"/>
            <w:vertAlign w:val="baseline"/>
          </w:rPr>
          <w:t>Settlement</w:t>
        </w:r>
        <w:r>
          <w:rPr>
            <w:color w:val="0000FF"/>
            <w:spacing w:val="-3"/>
            <w:sz w:val="16"/>
            <w:u w:val="single" w:color="0000FF"/>
            <w:vertAlign w:val="baseline"/>
          </w:rPr>
          <w:t> </w:t>
        </w:r>
        <w:r>
          <w:rPr>
            <w:color w:val="0000FF"/>
            <w:sz w:val="16"/>
            <w:u w:val="single" w:color="0000FF"/>
            <w:vertAlign w:val="baseline"/>
          </w:rPr>
          <w:t>in</w:t>
        </w:r>
        <w:r>
          <w:rPr>
            <w:color w:val="0000FF"/>
            <w:spacing w:val="-5"/>
            <w:sz w:val="16"/>
            <w:u w:val="single" w:color="0000FF"/>
            <w:vertAlign w:val="baseline"/>
          </w:rPr>
          <w:t> </w:t>
        </w:r>
        <w:r>
          <w:rPr>
            <w:color w:val="0000FF"/>
            <w:sz w:val="16"/>
            <w:u w:val="single" w:color="0000FF"/>
            <w:vertAlign w:val="baseline"/>
          </w:rPr>
          <w:t>the</w:t>
        </w:r>
        <w:r>
          <w:rPr>
            <w:color w:val="0000FF"/>
            <w:spacing w:val="-4"/>
            <w:sz w:val="16"/>
            <w:u w:val="single" w:color="0000FF"/>
            <w:vertAlign w:val="baseline"/>
          </w:rPr>
          <w:t> </w:t>
        </w:r>
        <w:r>
          <w:rPr>
            <w:color w:val="0000FF"/>
            <w:spacing w:val="-5"/>
            <w:sz w:val="16"/>
            <w:u w:val="single" w:color="0000FF"/>
            <w:vertAlign w:val="baseline"/>
          </w:rPr>
          <w:t>EU</w:t>
        </w:r>
        <w:r>
          <w:rPr>
            <w:spacing w:val="-5"/>
            <w:sz w:val="16"/>
            <w:vertAlign w:val="baseline"/>
          </w:rPr>
          <w:t>.</w:t>
        </w:r>
      </w:hyperlink>
    </w:p>
    <w:p>
      <w:pPr>
        <w:spacing w:before="20"/>
        <w:ind w:left="172" w:right="0" w:firstLine="0"/>
        <w:jc w:val="left"/>
        <w:rPr>
          <w:sz w:val="16"/>
        </w:rPr>
      </w:pPr>
      <w:r>
        <w:rPr>
          <w:spacing w:val="-10"/>
          <w:sz w:val="16"/>
        </w:rPr>
        <w:t>.</w:t>
      </w:r>
    </w:p>
    <w:p>
      <w:pPr>
        <w:spacing w:after="0"/>
        <w:jc w:val="left"/>
        <w:rPr>
          <w:sz w:val="16"/>
        </w:rPr>
        <w:sectPr>
          <w:pgSz w:w="11910" w:h="16850"/>
          <w:pgMar w:header="0" w:footer="1262" w:top="1800" w:bottom="1460" w:left="1417" w:right="850"/>
        </w:sectPr>
      </w:pPr>
    </w:p>
    <w:p>
      <w:pPr>
        <w:pStyle w:val="BodyText"/>
        <w:spacing w:line="285" w:lineRule="auto" w:before="66"/>
        <w:ind w:left="172" w:right="955"/>
        <w:jc w:val="both"/>
      </w:pPr>
      <w:r>
        <w:rPr/>
        <w:t>Οι συστάσεις αφορούν όλο το φάσμα της συναλλακτικής δραστηριότητας: τη διαπραγμάτευση, την</w:t>
      </w:r>
      <w:r>
        <w:rPr>
          <w:spacing w:val="-1"/>
        </w:rPr>
        <w:t> </w:t>
      </w:r>
      <w:r>
        <w:rPr/>
        <w:t>εκκαθάριση, τον διακανονισμό,</w:t>
      </w:r>
      <w:r>
        <w:rPr>
          <w:spacing w:val="-1"/>
        </w:rPr>
        <w:t> </w:t>
      </w:r>
      <w:r>
        <w:rPr/>
        <w:t>τη</w:t>
      </w:r>
      <w:r>
        <w:rPr>
          <w:spacing w:val="-1"/>
        </w:rPr>
        <w:t> </w:t>
      </w:r>
      <w:r>
        <w:rPr/>
        <w:t>διαχείριση</w:t>
      </w:r>
      <w:r>
        <w:rPr>
          <w:spacing w:val="-1"/>
        </w:rPr>
        <w:t> </w:t>
      </w:r>
      <w:r>
        <w:rPr/>
        <w:t>αξιών,</w:t>
      </w:r>
      <w:r>
        <w:rPr>
          <w:spacing w:val="-1"/>
        </w:rPr>
        <w:t> </w:t>
      </w:r>
      <w:r>
        <w:rPr/>
        <w:t>τις πράξεις</w:t>
      </w:r>
      <w:r>
        <w:rPr>
          <w:spacing w:val="-2"/>
        </w:rPr>
        <w:t> </w:t>
      </w:r>
      <w:r>
        <w:rPr/>
        <w:t>συναλλάγματος,</w:t>
      </w:r>
      <w:r>
        <w:rPr>
          <w:spacing w:val="-1"/>
        </w:rPr>
        <w:t> </w:t>
      </w:r>
      <w:r>
        <w:rPr/>
        <w:t>τις</w:t>
      </w:r>
      <w:r>
        <w:rPr>
          <w:spacing w:val="-2"/>
        </w:rPr>
        <w:t> </w:t>
      </w:r>
      <w:r>
        <w:rPr/>
        <w:t>εταιρι-κές πράξεις, τις συναλλαγές χρηματοδότησης τίτλων, καθώς και νομικές και θεσμικές πτυχές. Μετά τη δημοσίευση του οδικού χάρτη, κατέστη σαφές ότι θα ήταν χρήσιμη για τους συμμετέ-χοντες στην αγορά πρόσθετη, πρακτική καθοδήγηση. Έτσι, τον Φεβρουάριο του 2026 η T+1 Industry</w:t>
      </w:r>
      <w:r>
        <w:rPr>
          <w:spacing w:val="-2"/>
        </w:rPr>
        <w:t> </w:t>
      </w:r>
      <w:r>
        <w:rPr/>
        <w:t>Committee</w:t>
      </w:r>
      <w:r>
        <w:rPr>
          <w:spacing w:val="-1"/>
        </w:rPr>
        <w:t> </w:t>
      </w:r>
      <w:r>
        <w:rPr/>
        <w:t>δημοσίευσε</w:t>
      </w:r>
      <w:r>
        <w:rPr>
          <w:spacing w:val="-2"/>
        </w:rPr>
        <w:t> </w:t>
      </w:r>
      <w:r>
        <w:rPr/>
        <w:t>ένα</w:t>
      </w:r>
      <w:r>
        <w:rPr>
          <w:spacing w:val="-2"/>
        </w:rPr>
        <w:t> </w:t>
      </w:r>
      <w:r>
        <w:rPr/>
        <w:t>εγχειρίδιο</w:t>
      </w:r>
      <w:r>
        <w:rPr>
          <w:spacing w:val="-2"/>
        </w:rPr>
        <w:t> </w:t>
      </w:r>
      <w:r>
        <w:rPr/>
        <w:t>που</w:t>
      </w:r>
      <w:r>
        <w:rPr>
          <w:spacing w:val="-1"/>
        </w:rPr>
        <w:t> </w:t>
      </w:r>
      <w:r>
        <w:rPr/>
        <w:t>στόχο</w:t>
      </w:r>
      <w:r>
        <w:rPr>
          <w:spacing w:val="-2"/>
        </w:rPr>
        <w:t> </w:t>
      </w:r>
      <w:r>
        <w:rPr/>
        <w:t>έχει</w:t>
      </w:r>
      <w:r>
        <w:rPr>
          <w:spacing w:val="-2"/>
        </w:rPr>
        <w:t> </w:t>
      </w:r>
      <w:r>
        <w:rPr/>
        <w:t>να</w:t>
      </w:r>
      <w:r>
        <w:rPr>
          <w:spacing w:val="-2"/>
        </w:rPr>
        <w:t> </w:t>
      </w:r>
      <w:r>
        <w:rPr/>
        <w:t>μετατρέψει</w:t>
      </w:r>
      <w:r>
        <w:rPr>
          <w:spacing w:val="-2"/>
        </w:rPr>
        <w:t> </w:t>
      </w:r>
      <w:r>
        <w:rPr/>
        <w:t>τις</w:t>
      </w:r>
      <w:r>
        <w:rPr>
          <w:spacing w:val="-6"/>
        </w:rPr>
        <w:t> </w:t>
      </w:r>
      <w:r>
        <w:rPr/>
        <w:t>γενικές</w:t>
      </w:r>
      <w:r>
        <w:rPr>
          <w:spacing w:val="-2"/>
        </w:rPr>
        <w:t> </w:t>
      </w:r>
      <w:r>
        <w:rPr/>
        <w:t>συστά-σεις σε εφαρμόσιμες επιχειρησιακές οδηγίες</w:t>
      </w:r>
      <w:hyperlink w:history="true" w:anchor="_bookmark163">
        <w:r>
          <w:rPr/>
          <w:t>.</w:t>
        </w:r>
        <w:r>
          <w:rPr>
            <w:vertAlign w:val="superscript"/>
          </w:rPr>
          <w:t>108</w:t>
        </w:r>
      </w:hyperlink>
    </w:p>
    <w:p>
      <w:pPr>
        <w:pStyle w:val="BodyText"/>
        <w:spacing w:line="285" w:lineRule="auto" w:before="53"/>
        <w:ind w:left="172" w:right="954"/>
        <w:jc w:val="both"/>
      </w:pPr>
      <w:r>
        <w:rPr/>
        <w:t>Παράλληλα, από έρευνα που δημοσίευσε η T+1 Industry Committee τον Φεβρουάριο του 2026,</w:t>
      </w:r>
      <w:hyperlink w:history="true" w:anchor="_bookmark164">
        <w:r>
          <w:rPr>
            <w:vertAlign w:val="superscript"/>
          </w:rPr>
          <w:t>109</w:t>
        </w:r>
      </w:hyperlink>
      <w:r>
        <w:rPr>
          <w:vertAlign w:val="baseline"/>
        </w:rPr>
        <w:t> στην οποία συμμετείχε μεγάλος αριθμός εταιριών, όπως πιστωτικά ιδρύματα, ασφαλι-στικές εταιρίες, εταιρίες διαχείρισης περιουσιακών στοιχείων, κεντρικά αποθετήρια τίτλων, κε-ντρικοί αντισυμβαλλόμενοι, χρηματιστήρια κ.λπ., προέκυψε ότι το 23% του συνόλου των εται-ριών δεν είχε ενημερωθεί για τις γενικές συστάσεις του οδικού χάρτη, ενώ το 50% του συνόλου των</w:t>
      </w:r>
      <w:r>
        <w:rPr>
          <w:spacing w:val="-1"/>
          <w:vertAlign w:val="baseline"/>
        </w:rPr>
        <w:t> </w:t>
      </w:r>
      <w:r>
        <w:rPr>
          <w:vertAlign w:val="baseline"/>
        </w:rPr>
        <w:t>εταιριών δεν είχε ακόμη καταρτίσει σχέδιο για την υλοποίηση των απαιτούμενων αλλαγών. Από την άλλη πλευρά, η πλειοψηφία των εταιριών αναγνωρίζει ότι οι κύριες προκλήσεις για τη μετάβαση</w:t>
      </w:r>
      <w:r>
        <w:rPr>
          <w:spacing w:val="-10"/>
          <w:vertAlign w:val="baseline"/>
        </w:rPr>
        <w:t> </w:t>
      </w:r>
      <w:r>
        <w:rPr>
          <w:vertAlign w:val="baseline"/>
        </w:rPr>
        <w:t>σε</w:t>
      </w:r>
      <w:r>
        <w:rPr>
          <w:spacing w:val="-7"/>
          <w:vertAlign w:val="baseline"/>
        </w:rPr>
        <w:t> </w:t>
      </w:r>
      <w:r>
        <w:rPr>
          <w:vertAlign w:val="baseline"/>
        </w:rPr>
        <w:t>κύκλο</w:t>
      </w:r>
      <w:r>
        <w:rPr>
          <w:spacing w:val="-8"/>
          <w:vertAlign w:val="baseline"/>
        </w:rPr>
        <w:t> </w:t>
      </w:r>
      <w:r>
        <w:rPr>
          <w:vertAlign w:val="baseline"/>
        </w:rPr>
        <w:t>Τ+1</w:t>
      </w:r>
      <w:r>
        <w:rPr>
          <w:spacing w:val="-8"/>
          <w:vertAlign w:val="baseline"/>
        </w:rPr>
        <w:t> </w:t>
      </w:r>
      <w:r>
        <w:rPr>
          <w:vertAlign w:val="baseline"/>
        </w:rPr>
        <w:t>είναι</w:t>
      </w:r>
      <w:r>
        <w:rPr>
          <w:spacing w:val="-8"/>
          <w:vertAlign w:val="baseline"/>
        </w:rPr>
        <w:t> </w:t>
      </w:r>
      <w:r>
        <w:rPr>
          <w:vertAlign w:val="baseline"/>
        </w:rPr>
        <w:t>η</w:t>
      </w:r>
      <w:r>
        <w:rPr>
          <w:spacing w:val="-8"/>
          <w:vertAlign w:val="baseline"/>
        </w:rPr>
        <w:t> </w:t>
      </w:r>
      <w:r>
        <w:rPr>
          <w:vertAlign w:val="baseline"/>
        </w:rPr>
        <w:t>ανάπτυξη</w:t>
      </w:r>
      <w:r>
        <w:rPr>
          <w:spacing w:val="-8"/>
          <w:vertAlign w:val="baseline"/>
        </w:rPr>
        <w:t> </w:t>
      </w:r>
      <w:r>
        <w:rPr>
          <w:vertAlign w:val="baseline"/>
        </w:rPr>
        <w:t>αυτοματοποιημένων</w:t>
      </w:r>
      <w:r>
        <w:rPr>
          <w:spacing w:val="-7"/>
          <w:vertAlign w:val="baseline"/>
        </w:rPr>
        <w:t> </w:t>
      </w:r>
      <w:r>
        <w:rPr>
          <w:vertAlign w:val="baseline"/>
        </w:rPr>
        <w:t>διαδικασιών</w:t>
      </w:r>
      <w:r>
        <w:rPr>
          <w:spacing w:val="-7"/>
          <w:vertAlign w:val="baseline"/>
        </w:rPr>
        <w:t> </w:t>
      </w:r>
      <w:r>
        <w:rPr>
          <w:vertAlign w:val="baseline"/>
        </w:rPr>
        <w:t>και</w:t>
      </w:r>
      <w:r>
        <w:rPr>
          <w:spacing w:val="-8"/>
          <w:vertAlign w:val="baseline"/>
        </w:rPr>
        <w:t> </w:t>
      </w:r>
      <w:r>
        <w:rPr>
          <w:vertAlign w:val="baseline"/>
        </w:rPr>
        <w:t>οι</w:t>
      </w:r>
      <w:r>
        <w:rPr>
          <w:spacing w:val="-10"/>
          <w:vertAlign w:val="baseline"/>
        </w:rPr>
        <w:t> </w:t>
      </w:r>
      <w:r>
        <w:rPr>
          <w:vertAlign w:val="baseline"/>
        </w:rPr>
        <w:t>αλληλεπιδρά-σεις μεταξύ των φορέων. Καθώς μόνο το 30% των συστάσεων είχαν υλοποιηθεί, οι επόμενοι μήνες</w:t>
      </w:r>
      <w:r>
        <w:rPr>
          <w:spacing w:val="-6"/>
          <w:vertAlign w:val="baseline"/>
        </w:rPr>
        <w:t> </w:t>
      </w:r>
      <w:r>
        <w:rPr>
          <w:vertAlign w:val="baseline"/>
        </w:rPr>
        <w:t>θα</w:t>
      </w:r>
      <w:r>
        <w:rPr>
          <w:spacing w:val="-5"/>
          <w:vertAlign w:val="baseline"/>
        </w:rPr>
        <w:t> </w:t>
      </w:r>
      <w:r>
        <w:rPr>
          <w:vertAlign w:val="baseline"/>
        </w:rPr>
        <w:t>είναι</w:t>
      </w:r>
      <w:r>
        <w:rPr>
          <w:spacing w:val="-4"/>
          <w:vertAlign w:val="baseline"/>
        </w:rPr>
        <w:t> </w:t>
      </w:r>
      <w:r>
        <w:rPr>
          <w:vertAlign w:val="baseline"/>
        </w:rPr>
        <w:t>καθοριστικοί</w:t>
      </w:r>
      <w:r>
        <w:rPr>
          <w:spacing w:val="-4"/>
          <w:vertAlign w:val="baseline"/>
        </w:rPr>
        <w:t> </w:t>
      </w:r>
      <w:r>
        <w:rPr>
          <w:vertAlign w:val="baseline"/>
        </w:rPr>
        <w:t>για</w:t>
      </w:r>
      <w:r>
        <w:rPr>
          <w:spacing w:val="-7"/>
          <w:vertAlign w:val="baseline"/>
        </w:rPr>
        <w:t> </w:t>
      </w:r>
      <w:r>
        <w:rPr>
          <w:vertAlign w:val="baseline"/>
        </w:rPr>
        <w:t>την</w:t>
      </w:r>
      <w:r>
        <w:rPr>
          <w:spacing w:val="-4"/>
          <w:vertAlign w:val="baseline"/>
        </w:rPr>
        <w:t> </w:t>
      </w:r>
      <w:r>
        <w:rPr>
          <w:vertAlign w:val="baseline"/>
        </w:rPr>
        <w:t>κατάρτιση</w:t>
      </w:r>
      <w:r>
        <w:rPr>
          <w:spacing w:val="-2"/>
          <w:vertAlign w:val="baseline"/>
        </w:rPr>
        <w:t> </w:t>
      </w:r>
      <w:r>
        <w:rPr>
          <w:vertAlign w:val="baseline"/>
        </w:rPr>
        <w:t>των</w:t>
      </w:r>
      <w:r>
        <w:rPr>
          <w:spacing w:val="-6"/>
          <w:vertAlign w:val="baseline"/>
        </w:rPr>
        <w:t> </w:t>
      </w:r>
      <w:r>
        <w:rPr>
          <w:vertAlign w:val="baseline"/>
        </w:rPr>
        <w:t>σχεδίων</w:t>
      </w:r>
      <w:r>
        <w:rPr>
          <w:spacing w:val="-6"/>
          <w:vertAlign w:val="baseline"/>
        </w:rPr>
        <w:t> </w:t>
      </w:r>
      <w:r>
        <w:rPr>
          <w:vertAlign w:val="baseline"/>
        </w:rPr>
        <w:t>υλοποίησης</w:t>
      </w:r>
      <w:r>
        <w:rPr>
          <w:spacing w:val="-6"/>
          <w:vertAlign w:val="baseline"/>
        </w:rPr>
        <w:t> </w:t>
      </w:r>
      <w:r>
        <w:rPr>
          <w:vertAlign w:val="baseline"/>
        </w:rPr>
        <w:t>και</w:t>
      </w:r>
      <w:r>
        <w:rPr>
          <w:spacing w:val="-5"/>
          <w:vertAlign w:val="baseline"/>
        </w:rPr>
        <w:t> </w:t>
      </w:r>
      <w:r>
        <w:rPr>
          <w:vertAlign w:val="baseline"/>
        </w:rPr>
        <w:t>την</w:t>
      </w:r>
      <w:r>
        <w:rPr>
          <w:spacing w:val="-7"/>
          <w:vertAlign w:val="baseline"/>
        </w:rPr>
        <w:t> </w:t>
      </w:r>
      <w:r>
        <w:rPr>
          <w:vertAlign w:val="baseline"/>
        </w:rPr>
        <w:t>εφαρμογή</w:t>
      </w:r>
      <w:r>
        <w:rPr>
          <w:spacing w:val="-5"/>
          <w:vertAlign w:val="baseline"/>
        </w:rPr>
        <w:t> </w:t>
      </w:r>
      <w:r>
        <w:rPr>
          <w:vertAlign w:val="baseline"/>
        </w:rPr>
        <w:t>τους.</w:t>
      </w:r>
    </w:p>
    <w:p>
      <w:pPr>
        <w:pStyle w:val="BodyText"/>
        <w:spacing w:line="285" w:lineRule="auto" w:before="50"/>
        <w:ind w:left="172" w:right="954"/>
        <w:jc w:val="both"/>
      </w:pPr>
      <w:r>
        <w:rPr/>
        <w:t>Επιπλέον, τον Μάρτιο του 2026 η Συμβουλευτική Ομάδα για τις Υποδομές Αγορών Κινητών Αξιών και Εξασφαλίσεων (Advisory Group on Market Infrastructures for Securities and Collateral – AMI-SeCo) δημοσίευσε έναν οδηγό ειδικά για τις εταιρικές πράξεις, που συμπλη-ρώνει τις γενικές συστάσεις του οδικού χάρτη.</w:t>
      </w:r>
      <w:hyperlink w:history="true" w:anchor="_bookmark165">
        <w:r>
          <w:rPr>
            <w:vertAlign w:val="superscript"/>
          </w:rPr>
          <w:t>110</w:t>
        </w:r>
      </w:hyperlink>
      <w:r>
        <w:rPr>
          <w:vertAlign w:val="baseline"/>
        </w:rPr>
        <w:t> Ο οδηγός αυτός δίνει λεπτομερή καθοδήγηση στους ενδιαφερόμενους φορείς της αγοράς</w:t>
      </w:r>
      <w:r>
        <w:rPr>
          <w:spacing w:val="-1"/>
          <w:vertAlign w:val="baseline"/>
        </w:rPr>
        <w:t> </w:t>
      </w:r>
      <w:r>
        <w:rPr>
          <w:vertAlign w:val="baseline"/>
        </w:rPr>
        <w:t>για την εναρμονισμένη εφαρμογή αλλαγών που σχε-τίζονται με τις εταιρικές πράξεις.</w:t>
      </w:r>
    </w:p>
    <w:p>
      <w:pPr>
        <w:pStyle w:val="BodyText"/>
        <w:spacing w:line="285" w:lineRule="auto" w:before="54"/>
        <w:ind w:left="172" w:right="955"/>
        <w:jc w:val="both"/>
      </w:pPr>
      <w:r>
        <w:rPr/>
        <w:t>Τέλος, τον Μάρτιο 2026 αρμόδιες ομάδες εργασίας της ΕΕ, του Ηνωμένου Βασιλείου και της Ελβετίας που ασχολούνται με τη συντόμευση του κύκλου διακανονισμού, λαμβάνοντας υπόψη τον υψηλό βαθμό αλληλεπίδρασης μεταξύ των αγορών, καθώς και τις ομοιότητες των μετασυ-ναλλακτικών διαδικασιών σε όλες τις αγορές, δημοσίευσαν από κοινού ένα σχέδιο δοκιμών και ετοιμότητας</w:t>
      </w:r>
      <w:hyperlink w:history="true" w:anchor="_bookmark166">
        <w:r>
          <w:rPr/>
          <w:t>.</w:t>
        </w:r>
        <w:r>
          <w:rPr>
            <w:vertAlign w:val="superscript"/>
          </w:rPr>
          <w:t>111</w:t>
        </w:r>
      </w:hyperlink>
      <w:r>
        <w:rPr>
          <w:vertAlign w:val="baseline"/>
        </w:rPr>
        <w:t> Το σχέδιο υπογραμμίζει τη σημασία της ανάπτυξης αυτοματοποιημένων διαδι-κασιών και</w:t>
      </w:r>
      <w:r>
        <w:rPr>
          <w:spacing w:val="-1"/>
          <w:vertAlign w:val="baseline"/>
        </w:rPr>
        <w:t> </w:t>
      </w:r>
      <w:r>
        <w:rPr>
          <w:vertAlign w:val="baseline"/>
        </w:rPr>
        <w:t>της έγκαιρης προετοιμασίας όλων των φορέων που εμπλέκονται στον διακανονισμό των</w:t>
      </w:r>
      <w:r>
        <w:rPr>
          <w:spacing w:val="-1"/>
          <w:vertAlign w:val="baseline"/>
        </w:rPr>
        <w:t> </w:t>
      </w:r>
      <w:r>
        <w:rPr>
          <w:vertAlign w:val="baseline"/>
        </w:rPr>
        <w:t>συναλλαγών</w:t>
      </w:r>
      <w:r>
        <w:rPr>
          <w:spacing w:val="-1"/>
          <w:vertAlign w:val="baseline"/>
        </w:rPr>
        <w:t> </w:t>
      </w:r>
      <w:r>
        <w:rPr>
          <w:vertAlign w:val="baseline"/>
        </w:rPr>
        <w:t>(συμμετέχοντες</w:t>
      </w:r>
      <w:r>
        <w:rPr>
          <w:spacing w:val="-3"/>
          <w:vertAlign w:val="baseline"/>
        </w:rPr>
        <w:t> </w:t>
      </w:r>
      <w:r>
        <w:rPr>
          <w:vertAlign w:val="baseline"/>
        </w:rPr>
        <w:t>στις αγορές, πάροχοι κρίσιμων υπηρεσιών</w:t>
      </w:r>
      <w:r>
        <w:rPr>
          <w:spacing w:val="-1"/>
          <w:vertAlign w:val="baseline"/>
        </w:rPr>
        <w:t> </w:t>
      </w:r>
      <w:r>
        <w:rPr>
          <w:vertAlign w:val="baseline"/>
        </w:rPr>
        <w:t>και</w:t>
      </w:r>
      <w:r>
        <w:rPr>
          <w:spacing w:val="-2"/>
          <w:vertAlign w:val="baseline"/>
        </w:rPr>
        <w:t> </w:t>
      </w:r>
      <w:r>
        <w:rPr>
          <w:vertAlign w:val="baseline"/>
        </w:rPr>
        <w:t>χρηματοπιστω-τικές υποδομές). Επίσης, τονίζει ότι, όπου είναι εφικτό, οι δοκιμές ετοιμότητας θα πρέπει να ξεκινήσουν άμεσα ώστε να υπάρχει αρκετός χρόνος για την ανάπτυξη και τη βελτιστοποίηση διαδικασιών και εργαλείων. Έτσι, το σχέδιο προτρέπει τις χρηματοπιστωτικές υποδομές να δια-θέσουν το περιβάλλον δοκιμών τους για την υποστήριξη των συμμετεχόντων το συντομότερο δυνατόν. Επιπλέον, προβλέπονται πέντε συγκεκριμένες περίοδοι δοκιμών εντός του 2027, στις οποίες όλες οι υποδομές θα είναι διαθέσιμες και οι συμμετέχοντες φορείς θα μπορούν να ελέγ-χουν τις διαδικασίες τους σε πολλαπλές αγορές και σε ολόκληρο το φάσμα της συναλλακτικής </w:t>
      </w:r>
      <w:r>
        <w:rPr>
          <w:spacing w:val="-2"/>
          <w:vertAlign w:val="baseline"/>
        </w:rPr>
        <w:t>δραστηριότητας.</w:t>
      </w:r>
    </w:p>
    <w:p>
      <w:pPr>
        <w:spacing w:before="45"/>
        <w:ind w:left="38" w:right="824" w:firstLine="0"/>
        <w:jc w:val="center"/>
        <w:rPr>
          <w:sz w:val="22"/>
        </w:rPr>
      </w:pPr>
      <w:r>
        <w:rPr>
          <w:spacing w:val="-5"/>
          <w:sz w:val="22"/>
        </w:rPr>
        <w:t>***</w:t>
      </w:r>
    </w:p>
    <w:p>
      <w:pPr>
        <w:pStyle w:val="BodyText"/>
        <w:spacing w:before="84"/>
        <w:rPr>
          <w:sz w:val="20"/>
        </w:rPr>
      </w:pPr>
      <w:r>
        <w:rPr>
          <w:sz w:val="20"/>
        </w:rPr>
        <mc:AlternateContent>
          <mc:Choice Requires="wps">
            <w:drawing>
              <wp:anchor distT="0" distB="0" distL="0" distR="0" allowOverlap="1" layoutInCell="1" locked="0" behindDoc="1" simplePos="0" relativeHeight="487674880">
                <wp:simplePos x="0" y="0"/>
                <wp:positionH relativeFrom="page">
                  <wp:posOffset>1009192</wp:posOffset>
                </wp:positionH>
                <wp:positionV relativeFrom="paragraph">
                  <wp:posOffset>215221</wp:posOffset>
                </wp:positionV>
                <wp:extent cx="1829435" cy="7620"/>
                <wp:effectExtent l="0" t="0" r="0" b="0"/>
                <wp:wrapTopAndBottom/>
                <wp:docPr id="772" name="Graphic 772"/>
                <wp:cNvGraphicFramePr>
                  <a:graphicFrameLocks/>
                </wp:cNvGraphicFramePr>
                <a:graphic>
                  <a:graphicData uri="http://schemas.microsoft.com/office/word/2010/wordprocessingShape">
                    <wps:wsp>
                      <wps:cNvPr id="772" name="Graphic 77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6.946609pt;width:144.020pt;height:.60004pt;mso-position-horizontal-relative:page;mso-position-vertical-relative:paragraph;z-index:-15641600;mso-wrap-distance-left:0;mso-wrap-distance-right:0" id="docshape721" filled="true" fillcolor="#000000" stroked="false">
                <v:fill type="solid"/>
                <w10:wrap type="topAndBottom"/>
              </v:rect>
            </w:pict>
          </mc:Fallback>
        </mc:AlternateContent>
      </w:r>
    </w:p>
    <w:p>
      <w:pPr>
        <w:spacing w:before="167"/>
        <w:ind w:left="172" w:right="0" w:firstLine="0"/>
        <w:jc w:val="left"/>
        <w:rPr>
          <w:sz w:val="16"/>
        </w:rPr>
      </w:pPr>
      <w:bookmarkStart w:name="_bookmark163" w:id="164"/>
      <w:bookmarkEnd w:id="164"/>
      <w:r>
        <w:rPr/>
      </w:r>
      <w:r>
        <w:rPr>
          <w:sz w:val="16"/>
          <w:vertAlign w:val="superscript"/>
        </w:rPr>
        <w:t>108</w:t>
      </w:r>
      <w:r>
        <w:rPr>
          <w:spacing w:val="-5"/>
          <w:sz w:val="16"/>
          <w:vertAlign w:val="baseline"/>
        </w:rPr>
        <w:t> </w:t>
      </w:r>
      <w:r>
        <w:rPr>
          <w:sz w:val="16"/>
          <w:vertAlign w:val="baseline"/>
        </w:rPr>
        <w:t>Βλ.</w:t>
      </w:r>
      <w:r>
        <w:rPr>
          <w:spacing w:val="-4"/>
          <w:sz w:val="16"/>
          <w:vertAlign w:val="baseline"/>
        </w:rPr>
        <w:t> </w:t>
      </w:r>
      <w:r>
        <w:rPr>
          <w:sz w:val="16"/>
          <w:vertAlign w:val="baseline"/>
        </w:rPr>
        <w:t>EU</w:t>
      </w:r>
      <w:r>
        <w:rPr>
          <w:spacing w:val="-8"/>
          <w:sz w:val="16"/>
          <w:vertAlign w:val="baseline"/>
        </w:rPr>
        <w:t> </w:t>
      </w:r>
      <w:r>
        <w:rPr>
          <w:sz w:val="16"/>
          <w:vertAlign w:val="baseline"/>
        </w:rPr>
        <w:t>T+1</w:t>
      </w:r>
      <w:r>
        <w:rPr>
          <w:spacing w:val="-4"/>
          <w:sz w:val="16"/>
          <w:vertAlign w:val="baseline"/>
        </w:rPr>
        <w:t> </w:t>
      </w:r>
      <w:r>
        <w:rPr>
          <w:sz w:val="16"/>
          <w:vertAlign w:val="baseline"/>
        </w:rPr>
        <w:t>Industry</w:t>
      </w:r>
      <w:r>
        <w:rPr>
          <w:spacing w:val="-6"/>
          <w:sz w:val="16"/>
          <w:vertAlign w:val="baseline"/>
        </w:rPr>
        <w:t> </w:t>
      </w:r>
      <w:r>
        <w:rPr>
          <w:sz w:val="16"/>
          <w:vertAlign w:val="baseline"/>
        </w:rPr>
        <w:t>Committee,</w:t>
      </w:r>
      <w:r>
        <w:rPr>
          <w:spacing w:val="-4"/>
          <w:sz w:val="16"/>
          <w:vertAlign w:val="baseline"/>
        </w:rPr>
        <w:t> </w:t>
      </w:r>
      <w:hyperlink r:id="rId143">
        <w:r>
          <w:rPr>
            <w:color w:val="0000FF"/>
            <w:sz w:val="16"/>
            <w:u w:val="single" w:color="0000FF"/>
            <w:vertAlign w:val="baseline"/>
          </w:rPr>
          <w:t>EU-T+1</w:t>
        </w:r>
        <w:r>
          <w:rPr>
            <w:color w:val="0000FF"/>
            <w:spacing w:val="-3"/>
            <w:sz w:val="16"/>
            <w:u w:val="single" w:color="0000FF"/>
            <w:vertAlign w:val="baseline"/>
          </w:rPr>
          <w:t> </w:t>
        </w:r>
        <w:r>
          <w:rPr>
            <w:color w:val="0000FF"/>
            <w:sz w:val="16"/>
            <w:u w:val="single" w:color="0000FF"/>
            <w:vertAlign w:val="baseline"/>
          </w:rPr>
          <w:t>Securities</w:t>
        </w:r>
        <w:r>
          <w:rPr>
            <w:color w:val="0000FF"/>
            <w:spacing w:val="-5"/>
            <w:sz w:val="16"/>
            <w:u w:val="single" w:color="0000FF"/>
            <w:vertAlign w:val="baseline"/>
          </w:rPr>
          <w:t> </w:t>
        </w:r>
        <w:r>
          <w:rPr>
            <w:color w:val="0000FF"/>
            <w:sz w:val="16"/>
            <w:u w:val="single" w:color="0000FF"/>
            <w:vertAlign w:val="baseline"/>
          </w:rPr>
          <w:t>Settlement</w:t>
        </w:r>
        <w:r>
          <w:rPr>
            <w:color w:val="0000FF"/>
            <w:spacing w:val="-3"/>
            <w:sz w:val="16"/>
            <w:u w:val="single" w:color="0000FF"/>
            <w:vertAlign w:val="baseline"/>
          </w:rPr>
          <w:t> </w:t>
        </w:r>
        <w:r>
          <w:rPr>
            <w:color w:val="0000FF"/>
            <w:spacing w:val="-2"/>
            <w:sz w:val="16"/>
            <w:u w:val="single" w:color="0000FF"/>
            <w:vertAlign w:val="baseline"/>
          </w:rPr>
          <w:t>Handbook</w:t>
        </w:r>
        <w:r>
          <w:rPr>
            <w:spacing w:val="-2"/>
            <w:sz w:val="16"/>
            <w:vertAlign w:val="baseline"/>
          </w:rPr>
          <w:t>.</w:t>
        </w:r>
      </w:hyperlink>
    </w:p>
    <w:p>
      <w:pPr>
        <w:spacing w:before="20"/>
        <w:ind w:left="172" w:right="0" w:firstLine="0"/>
        <w:jc w:val="left"/>
        <w:rPr>
          <w:sz w:val="16"/>
        </w:rPr>
      </w:pPr>
      <w:bookmarkStart w:name="_bookmark164" w:id="165"/>
      <w:bookmarkEnd w:id="165"/>
      <w:r>
        <w:rPr/>
      </w:r>
      <w:r>
        <w:rPr>
          <w:sz w:val="16"/>
          <w:vertAlign w:val="superscript"/>
        </w:rPr>
        <w:t>109</w:t>
      </w:r>
      <w:r>
        <w:rPr>
          <w:spacing w:val="-4"/>
          <w:sz w:val="16"/>
          <w:vertAlign w:val="baseline"/>
        </w:rPr>
        <w:t> </w:t>
      </w:r>
      <w:r>
        <w:rPr>
          <w:sz w:val="16"/>
          <w:vertAlign w:val="baseline"/>
        </w:rPr>
        <w:t>Βλ.</w:t>
      </w:r>
      <w:r>
        <w:rPr>
          <w:spacing w:val="-3"/>
          <w:sz w:val="16"/>
          <w:vertAlign w:val="baseline"/>
        </w:rPr>
        <w:t> </w:t>
      </w:r>
      <w:hyperlink r:id="rId144">
        <w:r>
          <w:rPr>
            <w:color w:val="0000FF"/>
            <w:sz w:val="16"/>
            <w:u w:val="single" w:color="0000FF"/>
            <w:vertAlign w:val="baseline"/>
          </w:rPr>
          <w:t>EU</w:t>
        </w:r>
        <w:r>
          <w:rPr>
            <w:color w:val="0000FF"/>
            <w:spacing w:val="-7"/>
            <w:sz w:val="16"/>
            <w:u w:val="single" w:color="0000FF"/>
            <w:vertAlign w:val="baseline"/>
          </w:rPr>
          <w:t> </w:t>
        </w:r>
        <w:r>
          <w:rPr>
            <w:color w:val="0000FF"/>
            <w:sz w:val="16"/>
            <w:u w:val="single" w:color="0000FF"/>
            <w:vertAlign w:val="baseline"/>
          </w:rPr>
          <w:t>T+1</w:t>
        </w:r>
        <w:r>
          <w:rPr>
            <w:color w:val="0000FF"/>
            <w:spacing w:val="-3"/>
            <w:sz w:val="16"/>
            <w:u w:val="single" w:color="0000FF"/>
            <w:vertAlign w:val="baseline"/>
          </w:rPr>
          <w:t> </w:t>
        </w:r>
        <w:r>
          <w:rPr>
            <w:color w:val="0000FF"/>
            <w:sz w:val="16"/>
            <w:u w:val="single" w:color="0000FF"/>
            <w:vertAlign w:val="baseline"/>
          </w:rPr>
          <w:t>Industry</w:t>
        </w:r>
        <w:r>
          <w:rPr>
            <w:color w:val="0000FF"/>
            <w:spacing w:val="-5"/>
            <w:sz w:val="16"/>
            <w:u w:val="single" w:color="0000FF"/>
            <w:vertAlign w:val="baseline"/>
          </w:rPr>
          <w:t> </w:t>
        </w:r>
        <w:r>
          <w:rPr>
            <w:color w:val="0000FF"/>
            <w:sz w:val="16"/>
            <w:u w:val="single" w:color="0000FF"/>
            <w:vertAlign w:val="baseline"/>
          </w:rPr>
          <w:t>Committee</w:t>
        </w:r>
        <w:r>
          <w:rPr>
            <w:color w:val="0000FF"/>
            <w:spacing w:val="-5"/>
            <w:sz w:val="16"/>
            <w:u w:val="single" w:color="0000FF"/>
            <w:vertAlign w:val="baseline"/>
          </w:rPr>
          <w:t> </w:t>
        </w:r>
        <w:r>
          <w:rPr>
            <w:color w:val="0000FF"/>
            <w:sz w:val="16"/>
            <w:u w:val="single" w:color="0000FF"/>
            <w:vertAlign w:val="baseline"/>
          </w:rPr>
          <w:t>Readiness</w:t>
        </w:r>
        <w:r>
          <w:rPr>
            <w:color w:val="0000FF"/>
            <w:spacing w:val="-7"/>
            <w:sz w:val="16"/>
            <w:u w:val="single" w:color="0000FF"/>
            <w:vertAlign w:val="baseline"/>
          </w:rPr>
          <w:t> </w:t>
        </w:r>
        <w:r>
          <w:rPr>
            <w:color w:val="0000FF"/>
            <w:spacing w:val="-2"/>
            <w:sz w:val="16"/>
            <w:u w:val="single" w:color="0000FF"/>
            <w:vertAlign w:val="baseline"/>
          </w:rPr>
          <w:t>Survey</w:t>
        </w:r>
        <w:r>
          <w:rPr>
            <w:spacing w:val="-2"/>
            <w:sz w:val="16"/>
            <w:vertAlign w:val="baseline"/>
          </w:rPr>
          <w:t>.</w:t>
        </w:r>
      </w:hyperlink>
    </w:p>
    <w:p>
      <w:pPr>
        <w:spacing w:before="18"/>
        <w:ind w:left="172" w:right="956" w:firstLine="0"/>
        <w:jc w:val="left"/>
        <w:rPr>
          <w:sz w:val="16"/>
        </w:rPr>
      </w:pPr>
      <w:bookmarkStart w:name="_bookmark165" w:id="166"/>
      <w:bookmarkEnd w:id="166"/>
      <w:r>
        <w:rPr/>
      </w:r>
      <w:r>
        <w:rPr>
          <w:sz w:val="16"/>
          <w:vertAlign w:val="superscript"/>
        </w:rPr>
        <w:t>110</w:t>
      </w:r>
      <w:r>
        <w:rPr>
          <w:spacing w:val="-5"/>
          <w:sz w:val="16"/>
          <w:vertAlign w:val="baseline"/>
        </w:rPr>
        <w:t> </w:t>
      </w:r>
      <w:r>
        <w:rPr>
          <w:sz w:val="16"/>
          <w:vertAlign w:val="baseline"/>
        </w:rPr>
        <w:t>Βλ.</w:t>
      </w:r>
      <w:r>
        <w:rPr>
          <w:spacing w:val="-7"/>
          <w:sz w:val="16"/>
          <w:vertAlign w:val="baseline"/>
        </w:rPr>
        <w:t> </w:t>
      </w:r>
      <w:r>
        <w:rPr>
          <w:sz w:val="16"/>
          <w:vertAlign w:val="baseline"/>
        </w:rPr>
        <w:t>Advisory</w:t>
      </w:r>
      <w:r>
        <w:rPr>
          <w:spacing w:val="-4"/>
          <w:sz w:val="16"/>
          <w:vertAlign w:val="baseline"/>
        </w:rPr>
        <w:t> </w:t>
      </w:r>
      <w:r>
        <w:rPr>
          <w:sz w:val="16"/>
          <w:vertAlign w:val="baseline"/>
        </w:rPr>
        <w:t>Group</w:t>
      </w:r>
      <w:r>
        <w:rPr>
          <w:spacing w:val="-6"/>
          <w:sz w:val="16"/>
          <w:vertAlign w:val="baseline"/>
        </w:rPr>
        <w:t> </w:t>
      </w:r>
      <w:r>
        <w:rPr>
          <w:sz w:val="16"/>
          <w:vertAlign w:val="baseline"/>
        </w:rPr>
        <w:t>on</w:t>
      </w:r>
      <w:r>
        <w:rPr>
          <w:spacing w:val="-6"/>
          <w:sz w:val="16"/>
          <w:vertAlign w:val="baseline"/>
        </w:rPr>
        <w:t> </w:t>
      </w:r>
      <w:r>
        <w:rPr>
          <w:sz w:val="16"/>
          <w:vertAlign w:val="baseline"/>
        </w:rPr>
        <w:t>Market</w:t>
      </w:r>
      <w:r>
        <w:rPr>
          <w:spacing w:val="-6"/>
          <w:sz w:val="16"/>
          <w:vertAlign w:val="baseline"/>
        </w:rPr>
        <w:t> </w:t>
      </w:r>
      <w:r>
        <w:rPr>
          <w:sz w:val="16"/>
          <w:vertAlign w:val="baseline"/>
        </w:rPr>
        <w:t>Infrastructures</w:t>
      </w:r>
      <w:r>
        <w:rPr>
          <w:spacing w:val="-5"/>
          <w:sz w:val="16"/>
          <w:vertAlign w:val="baseline"/>
        </w:rPr>
        <w:t> </w:t>
      </w:r>
      <w:r>
        <w:rPr>
          <w:sz w:val="16"/>
          <w:vertAlign w:val="baseline"/>
        </w:rPr>
        <w:t>for</w:t>
      </w:r>
      <w:r>
        <w:rPr>
          <w:spacing w:val="-6"/>
          <w:sz w:val="16"/>
          <w:vertAlign w:val="baseline"/>
        </w:rPr>
        <w:t> </w:t>
      </w:r>
      <w:r>
        <w:rPr>
          <w:sz w:val="16"/>
          <w:vertAlign w:val="baseline"/>
        </w:rPr>
        <w:t>Securities</w:t>
      </w:r>
      <w:r>
        <w:rPr>
          <w:spacing w:val="-7"/>
          <w:sz w:val="16"/>
          <w:vertAlign w:val="baseline"/>
        </w:rPr>
        <w:t> </w:t>
      </w:r>
      <w:r>
        <w:rPr>
          <w:sz w:val="16"/>
          <w:vertAlign w:val="baseline"/>
        </w:rPr>
        <w:t>and</w:t>
      </w:r>
      <w:r>
        <w:rPr>
          <w:spacing w:val="-7"/>
          <w:sz w:val="16"/>
          <w:vertAlign w:val="baseline"/>
        </w:rPr>
        <w:t> </w:t>
      </w:r>
      <w:r>
        <w:rPr>
          <w:sz w:val="16"/>
          <w:vertAlign w:val="baseline"/>
        </w:rPr>
        <w:t>Collateral</w:t>
      </w:r>
      <w:hyperlink r:id="rId145">
        <w:r>
          <w:rPr>
            <w:sz w:val="16"/>
            <w:vertAlign w:val="baseline"/>
          </w:rPr>
          <w:t>,</w:t>
        </w:r>
        <w:r>
          <w:rPr>
            <w:color w:val="0000FF"/>
            <w:spacing w:val="-5"/>
            <w:sz w:val="16"/>
            <w:u w:val="single" w:color="0000FF"/>
            <w:vertAlign w:val="baseline"/>
          </w:rPr>
          <w:t> </w:t>
        </w:r>
        <w:r>
          <w:rPr>
            <w:color w:val="0000FF"/>
            <w:sz w:val="16"/>
            <w:u w:val="single" w:color="0000FF"/>
            <w:vertAlign w:val="baseline"/>
          </w:rPr>
          <w:t>T+1</w:t>
        </w:r>
        <w:r>
          <w:rPr>
            <w:color w:val="0000FF"/>
            <w:spacing w:val="-6"/>
            <w:sz w:val="16"/>
            <w:u w:val="single" w:color="0000FF"/>
            <w:vertAlign w:val="baseline"/>
          </w:rPr>
          <w:t> </w:t>
        </w:r>
        <w:r>
          <w:rPr>
            <w:color w:val="0000FF"/>
            <w:sz w:val="16"/>
            <w:u w:val="single" w:color="0000FF"/>
            <w:vertAlign w:val="baseline"/>
          </w:rPr>
          <w:t>–</w:t>
        </w:r>
        <w:r>
          <w:rPr>
            <w:color w:val="0000FF"/>
            <w:spacing w:val="-6"/>
            <w:sz w:val="16"/>
            <w:u w:val="single" w:color="0000FF"/>
            <w:vertAlign w:val="baseline"/>
          </w:rPr>
          <w:t> </w:t>
        </w:r>
        <w:r>
          <w:rPr>
            <w:color w:val="0000FF"/>
            <w:sz w:val="16"/>
            <w:u w:val="single" w:color="0000FF"/>
            <w:vertAlign w:val="baseline"/>
          </w:rPr>
          <w:t>Corporate</w:t>
        </w:r>
        <w:r>
          <w:rPr>
            <w:color w:val="0000FF"/>
            <w:spacing w:val="-6"/>
            <w:sz w:val="16"/>
            <w:u w:val="single" w:color="0000FF"/>
            <w:vertAlign w:val="baseline"/>
          </w:rPr>
          <w:t> </w:t>
        </w:r>
        <w:r>
          <w:rPr>
            <w:color w:val="0000FF"/>
            <w:sz w:val="16"/>
            <w:u w:val="single" w:color="0000FF"/>
            <w:vertAlign w:val="baseline"/>
          </w:rPr>
          <w:t>Events:</w:t>
        </w:r>
        <w:r>
          <w:rPr>
            <w:color w:val="0000FF"/>
            <w:spacing w:val="-7"/>
            <w:sz w:val="16"/>
            <w:u w:val="single" w:color="0000FF"/>
            <w:vertAlign w:val="baseline"/>
          </w:rPr>
          <w:t> </w:t>
        </w:r>
        <w:r>
          <w:rPr>
            <w:color w:val="0000FF"/>
            <w:sz w:val="16"/>
            <w:u w:val="single" w:color="0000FF"/>
            <w:vertAlign w:val="baseline"/>
          </w:rPr>
          <w:t>Harmonised</w:t>
        </w:r>
        <w:r>
          <w:rPr>
            <w:color w:val="0000FF"/>
            <w:spacing w:val="-6"/>
            <w:sz w:val="16"/>
            <w:u w:val="single" w:color="0000FF"/>
            <w:vertAlign w:val="baseline"/>
          </w:rPr>
          <w:t> </w:t>
        </w:r>
        <w:r>
          <w:rPr>
            <w:color w:val="0000FF"/>
            <w:sz w:val="16"/>
            <w:u w:val="single" w:color="0000FF"/>
            <w:vertAlign w:val="baseline"/>
          </w:rPr>
          <w:t>Implementation</w:t>
        </w:r>
      </w:hyperlink>
      <w:r>
        <w:rPr>
          <w:color w:val="0000FF"/>
          <w:spacing w:val="40"/>
          <w:sz w:val="16"/>
          <w:vertAlign w:val="baseline"/>
        </w:rPr>
        <w:t> </w:t>
      </w:r>
      <w:hyperlink r:id="rId145">
        <w:r>
          <w:rPr>
            <w:color w:val="0000FF"/>
            <w:sz w:val="16"/>
            <w:vertAlign w:val="baseline"/>
          </w:rPr>
          <w:t>Guide</w:t>
        </w:r>
        <w:r>
          <w:rPr>
            <w:color w:val="0000FF"/>
            <w:spacing w:val="-3"/>
            <w:sz w:val="16"/>
            <w:vertAlign w:val="baseline"/>
          </w:rPr>
          <w:t> </w:t>
        </w:r>
        <w:r>
          <w:rPr>
            <w:sz w:val="16"/>
            <w:vertAlign w:val="baseline"/>
          </w:rPr>
          <w:t>.</w:t>
        </w:r>
      </w:hyperlink>
    </w:p>
    <w:p>
      <w:pPr>
        <w:spacing w:line="20" w:lineRule="exact"/>
        <w:ind w:left="172" w:right="0" w:firstLine="0"/>
        <w:rPr>
          <w:sz w:val="2"/>
        </w:rPr>
      </w:pPr>
      <w:r>
        <w:rPr>
          <w:sz w:val="2"/>
        </w:rPr>
        <mc:AlternateContent>
          <mc:Choice Requires="wps">
            <w:drawing>
              <wp:inline distT="0" distB="0" distL="0" distR="0">
                <wp:extent cx="274320" cy="5080"/>
                <wp:effectExtent l="0" t="0" r="0" b="0"/>
                <wp:docPr id="773" name="Group 773"/>
                <wp:cNvGraphicFramePr>
                  <a:graphicFrameLocks/>
                </wp:cNvGraphicFramePr>
                <a:graphic>
                  <a:graphicData uri="http://schemas.microsoft.com/office/word/2010/wordprocessingGroup">
                    <wpg:wgp>
                      <wpg:cNvPr id="773" name="Group 773"/>
                      <wpg:cNvGrpSpPr/>
                      <wpg:grpSpPr>
                        <a:xfrm>
                          <a:off x="0" y="0"/>
                          <a:ext cx="274320" cy="5080"/>
                          <a:chExt cx="274320" cy="5080"/>
                        </a:xfrm>
                      </wpg:grpSpPr>
                      <wps:wsp>
                        <wps:cNvPr id="774" name="Graphic 774"/>
                        <wps:cNvSpPr/>
                        <wps:spPr>
                          <a:xfrm>
                            <a:off x="0" y="0"/>
                            <a:ext cx="274320" cy="5080"/>
                          </a:xfrm>
                          <a:custGeom>
                            <a:avLst/>
                            <a:gdLst/>
                            <a:ahLst/>
                            <a:cxnLst/>
                            <a:rect l="l" t="t" r="r" b="b"/>
                            <a:pathLst>
                              <a:path w="274320" h="5080">
                                <a:moveTo>
                                  <a:pt x="274319" y="0"/>
                                </a:moveTo>
                                <a:lnTo>
                                  <a:pt x="0" y="0"/>
                                </a:lnTo>
                                <a:lnTo>
                                  <a:pt x="0" y="4572"/>
                                </a:lnTo>
                                <a:lnTo>
                                  <a:pt x="274319" y="4572"/>
                                </a:lnTo>
                                <a:lnTo>
                                  <a:pt x="274319" y="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style="width:21.6pt;height:.4pt;mso-position-horizontal-relative:char;mso-position-vertical-relative:line" id="docshapegroup722" coordorigin="0,0" coordsize="432,8">
                <v:rect style="position:absolute;left:0;top:0;width:432;height:8" id="docshape723" filled="true" fillcolor="#0000ff" stroked="false">
                  <v:fill type="solid"/>
                </v:rect>
              </v:group>
            </w:pict>
          </mc:Fallback>
        </mc:AlternateContent>
      </w:r>
      <w:r>
        <w:rPr>
          <w:sz w:val="2"/>
        </w:rPr>
      </w:r>
    </w:p>
    <w:p>
      <w:pPr>
        <w:spacing w:before="1"/>
        <w:ind w:left="172" w:right="0" w:firstLine="0"/>
        <w:jc w:val="left"/>
        <w:rPr>
          <w:sz w:val="16"/>
        </w:rPr>
      </w:pPr>
      <w:bookmarkStart w:name="_bookmark166" w:id="167"/>
      <w:bookmarkEnd w:id="167"/>
      <w:r>
        <w:rPr/>
      </w:r>
      <w:r>
        <w:rPr>
          <w:sz w:val="16"/>
          <w:vertAlign w:val="superscript"/>
        </w:rPr>
        <w:t>111</w:t>
      </w:r>
      <w:r>
        <w:rPr>
          <w:spacing w:val="-5"/>
          <w:sz w:val="16"/>
          <w:vertAlign w:val="baseline"/>
        </w:rPr>
        <w:t> </w:t>
      </w:r>
      <w:r>
        <w:rPr>
          <w:sz w:val="16"/>
          <w:vertAlign w:val="baseline"/>
        </w:rPr>
        <w:t>Βλ.</w:t>
      </w:r>
      <w:r>
        <w:rPr>
          <w:spacing w:val="-4"/>
          <w:sz w:val="16"/>
          <w:vertAlign w:val="baseline"/>
        </w:rPr>
        <w:t> </w:t>
      </w:r>
      <w:hyperlink r:id="rId146">
        <w:r>
          <w:rPr>
            <w:color w:val="0000FF"/>
            <w:sz w:val="16"/>
            <w:vertAlign w:val="baseline"/>
          </w:rPr>
          <w:t>European</w:t>
        </w:r>
        <w:r>
          <w:rPr>
            <w:color w:val="0000FF"/>
            <w:spacing w:val="-4"/>
            <w:sz w:val="16"/>
            <w:vertAlign w:val="baseline"/>
          </w:rPr>
          <w:t> </w:t>
        </w:r>
        <w:r>
          <w:rPr>
            <w:color w:val="0000FF"/>
            <w:sz w:val="16"/>
            <w:vertAlign w:val="baseline"/>
          </w:rPr>
          <w:t>Union</w:t>
        </w:r>
        <w:r>
          <w:rPr>
            <w:color w:val="0000FF"/>
            <w:spacing w:val="-6"/>
            <w:sz w:val="16"/>
            <w:vertAlign w:val="baseline"/>
          </w:rPr>
          <w:t> </w:t>
        </w:r>
        <w:r>
          <w:rPr>
            <w:color w:val="0000FF"/>
            <w:sz w:val="16"/>
            <w:vertAlign w:val="baseline"/>
          </w:rPr>
          <w:t>(EU),</w:t>
        </w:r>
        <w:r>
          <w:rPr>
            <w:color w:val="0000FF"/>
            <w:spacing w:val="-4"/>
            <w:sz w:val="16"/>
            <w:vertAlign w:val="baseline"/>
          </w:rPr>
          <w:t> </w:t>
        </w:r>
        <w:r>
          <w:rPr>
            <w:color w:val="0000FF"/>
            <w:sz w:val="16"/>
            <w:vertAlign w:val="baseline"/>
          </w:rPr>
          <w:t>United</w:t>
        </w:r>
        <w:r>
          <w:rPr>
            <w:color w:val="0000FF"/>
            <w:spacing w:val="-6"/>
            <w:sz w:val="16"/>
            <w:vertAlign w:val="baseline"/>
          </w:rPr>
          <w:t> </w:t>
        </w:r>
        <w:r>
          <w:rPr>
            <w:color w:val="0000FF"/>
            <w:sz w:val="16"/>
            <w:vertAlign w:val="baseline"/>
          </w:rPr>
          <w:t>Kingdom</w:t>
        </w:r>
        <w:r>
          <w:rPr>
            <w:color w:val="0000FF"/>
            <w:spacing w:val="-5"/>
            <w:sz w:val="16"/>
            <w:vertAlign w:val="baseline"/>
          </w:rPr>
          <w:t> </w:t>
        </w:r>
        <w:r>
          <w:rPr>
            <w:color w:val="0000FF"/>
            <w:sz w:val="16"/>
            <w:vertAlign w:val="baseline"/>
          </w:rPr>
          <w:t>(UK),</w:t>
        </w:r>
        <w:r>
          <w:rPr>
            <w:color w:val="0000FF"/>
            <w:spacing w:val="-4"/>
            <w:sz w:val="16"/>
            <w:vertAlign w:val="baseline"/>
          </w:rPr>
          <w:t> </w:t>
        </w:r>
        <w:r>
          <w:rPr>
            <w:color w:val="0000FF"/>
            <w:sz w:val="16"/>
            <w:vertAlign w:val="baseline"/>
          </w:rPr>
          <w:t>and</w:t>
        </w:r>
        <w:r>
          <w:rPr>
            <w:color w:val="0000FF"/>
            <w:spacing w:val="-4"/>
            <w:sz w:val="16"/>
            <w:vertAlign w:val="baseline"/>
          </w:rPr>
          <w:t> </w:t>
        </w:r>
        <w:r>
          <w:rPr>
            <w:color w:val="0000FF"/>
            <w:sz w:val="16"/>
            <w:vertAlign w:val="baseline"/>
          </w:rPr>
          <w:t>Switzerland</w:t>
        </w:r>
        <w:r>
          <w:rPr>
            <w:color w:val="0000FF"/>
            <w:spacing w:val="-4"/>
            <w:sz w:val="16"/>
            <w:vertAlign w:val="baseline"/>
          </w:rPr>
          <w:t> </w:t>
        </w:r>
        <w:r>
          <w:rPr>
            <w:color w:val="0000FF"/>
            <w:sz w:val="16"/>
            <w:vertAlign w:val="baseline"/>
          </w:rPr>
          <w:t>(CH)</w:t>
        </w:r>
        <w:r>
          <w:rPr>
            <w:color w:val="0000FF"/>
            <w:spacing w:val="-7"/>
            <w:sz w:val="16"/>
            <w:vertAlign w:val="baseline"/>
          </w:rPr>
          <w:t> </w:t>
        </w:r>
        <w:r>
          <w:rPr>
            <w:color w:val="0000FF"/>
            <w:sz w:val="16"/>
            <w:vertAlign w:val="baseline"/>
          </w:rPr>
          <w:t>T+1</w:t>
        </w:r>
        <w:r>
          <w:rPr>
            <w:color w:val="0000FF"/>
            <w:spacing w:val="-6"/>
            <w:sz w:val="16"/>
            <w:vertAlign w:val="baseline"/>
          </w:rPr>
          <w:t> </w:t>
        </w:r>
        <w:r>
          <w:rPr>
            <w:color w:val="0000FF"/>
            <w:sz w:val="16"/>
            <w:vertAlign w:val="baseline"/>
          </w:rPr>
          <w:t>Testing</w:t>
        </w:r>
        <w:r>
          <w:rPr>
            <w:color w:val="0000FF"/>
            <w:spacing w:val="-6"/>
            <w:sz w:val="16"/>
            <w:vertAlign w:val="baseline"/>
          </w:rPr>
          <w:t> </w:t>
        </w:r>
        <w:r>
          <w:rPr>
            <w:color w:val="0000FF"/>
            <w:spacing w:val="-2"/>
            <w:sz w:val="16"/>
            <w:vertAlign w:val="baseline"/>
          </w:rPr>
          <w:t>Plan</w:t>
        </w:r>
        <w:r>
          <w:rPr>
            <w:spacing w:val="-2"/>
            <w:sz w:val="16"/>
            <w:vertAlign w:val="baseline"/>
          </w:rPr>
          <w:t>.</w:t>
        </w:r>
      </w:hyperlink>
    </w:p>
    <w:p>
      <w:pPr>
        <w:spacing w:line="20" w:lineRule="exact"/>
        <w:ind w:left="630" w:right="0" w:firstLine="0"/>
        <w:rPr>
          <w:sz w:val="2"/>
        </w:rPr>
      </w:pPr>
      <w:r>
        <w:rPr>
          <w:sz w:val="2"/>
        </w:rPr>
        <mc:AlternateContent>
          <mc:Choice Requires="wps">
            <w:drawing>
              <wp:inline distT="0" distB="0" distL="0" distR="0">
                <wp:extent cx="3547110" cy="5080"/>
                <wp:effectExtent l="0" t="0" r="0" b="0"/>
                <wp:docPr id="775" name="Group 775"/>
                <wp:cNvGraphicFramePr>
                  <a:graphicFrameLocks/>
                </wp:cNvGraphicFramePr>
                <a:graphic>
                  <a:graphicData uri="http://schemas.microsoft.com/office/word/2010/wordprocessingGroup">
                    <wpg:wgp>
                      <wpg:cNvPr id="775" name="Group 775"/>
                      <wpg:cNvGrpSpPr/>
                      <wpg:grpSpPr>
                        <a:xfrm>
                          <a:off x="0" y="0"/>
                          <a:ext cx="3547110" cy="5080"/>
                          <a:chExt cx="3547110" cy="5080"/>
                        </a:xfrm>
                      </wpg:grpSpPr>
                      <wps:wsp>
                        <wps:cNvPr id="776" name="Graphic 776"/>
                        <wps:cNvSpPr/>
                        <wps:spPr>
                          <a:xfrm>
                            <a:off x="0" y="0"/>
                            <a:ext cx="3547110" cy="5080"/>
                          </a:xfrm>
                          <a:custGeom>
                            <a:avLst/>
                            <a:gdLst/>
                            <a:ahLst/>
                            <a:cxnLst/>
                            <a:rect l="l" t="t" r="r" b="b"/>
                            <a:pathLst>
                              <a:path w="3547110" h="5080">
                                <a:moveTo>
                                  <a:pt x="3546983" y="0"/>
                                </a:moveTo>
                                <a:lnTo>
                                  <a:pt x="0" y="0"/>
                                </a:lnTo>
                                <a:lnTo>
                                  <a:pt x="0" y="4571"/>
                                </a:lnTo>
                                <a:lnTo>
                                  <a:pt x="3546983" y="4571"/>
                                </a:lnTo>
                                <a:lnTo>
                                  <a:pt x="3546983" y="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style="width:279.3pt;height:.4pt;mso-position-horizontal-relative:char;mso-position-vertical-relative:line" id="docshapegroup724" coordorigin="0,0" coordsize="5586,8">
                <v:rect style="position:absolute;left:0;top:0;width:5586;height:8" id="docshape725" filled="true" fillcolor="#0000ff" stroked="false">
                  <v:fill type="solid"/>
                </v:rect>
              </v:group>
            </w:pict>
          </mc:Fallback>
        </mc:AlternateContent>
      </w:r>
      <w:r>
        <w:rPr>
          <w:sz w:val="2"/>
        </w:rPr>
      </w:r>
    </w:p>
    <w:p>
      <w:pPr>
        <w:spacing w:after="0" w:line="20" w:lineRule="exact"/>
        <w:rPr>
          <w:sz w:val="2"/>
        </w:rPr>
        <w:sectPr>
          <w:pgSz w:w="11910" w:h="16850"/>
          <w:pgMar w:header="0" w:footer="1262" w:top="1840" w:bottom="1460" w:left="1417" w:right="850"/>
        </w:sectPr>
      </w:pPr>
    </w:p>
    <w:p>
      <w:pPr>
        <w:pStyle w:val="BodyText"/>
        <w:spacing w:line="285" w:lineRule="auto" w:before="66"/>
        <w:ind w:left="172" w:right="955"/>
        <w:jc w:val="both"/>
      </w:pPr>
      <w:r>
        <w:rPr/>
        <w:t>Η υιοθέτηση της τεχνολογίας κατανεμημένου καθολικού (distributed ledger technology ‒ DLT) διερευνάται και εφαρμόζεται ολοένα περισσότερο στον χρηματοπιστωτικό κλάδο. Το Ευρωσύ-στημα</w:t>
      </w:r>
      <w:r>
        <w:rPr>
          <w:spacing w:val="-8"/>
        </w:rPr>
        <w:t> </w:t>
      </w:r>
      <w:r>
        <w:rPr/>
        <w:t>έχει</w:t>
      </w:r>
      <w:r>
        <w:rPr>
          <w:spacing w:val="-6"/>
        </w:rPr>
        <w:t> </w:t>
      </w:r>
      <w:r>
        <w:rPr/>
        <w:t>δηλώσει</w:t>
      </w:r>
      <w:r>
        <w:rPr>
          <w:spacing w:val="-6"/>
        </w:rPr>
        <w:t> </w:t>
      </w:r>
      <w:r>
        <w:rPr/>
        <w:t>ότι</w:t>
      </w:r>
      <w:r>
        <w:rPr>
          <w:spacing w:val="-6"/>
        </w:rPr>
        <w:t> </w:t>
      </w:r>
      <w:r>
        <w:rPr/>
        <w:t>υποστηρίζει</w:t>
      </w:r>
      <w:r>
        <w:rPr>
          <w:spacing w:val="-6"/>
        </w:rPr>
        <w:t> </w:t>
      </w:r>
      <w:r>
        <w:rPr/>
        <w:t>την</w:t>
      </w:r>
      <w:r>
        <w:rPr>
          <w:spacing w:val="-6"/>
        </w:rPr>
        <w:t> </w:t>
      </w:r>
      <w:r>
        <w:rPr/>
        <w:t>εφαρμογή</w:t>
      </w:r>
      <w:r>
        <w:rPr>
          <w:spacing w:val="-7"/>
        </w:rPr>
        <w:t> </w:t>
      </w:r>
      <w:r>
        <w:rPr/>
        <w:t>καινοτόμων</w:t>
      </w:r>
      <w:r>
        <w:rPr>
          <w:spacing w:val="-6"/>
        </w:rPr>
        <w:t> </w:t>
      </w:r>
      <w:r>
        <w:rPr/>
        <w:t>λύσεων</w:t>
      </w:r>
      <w:r>
        <w:rPr>
          <w:spacing w:val="-6"/>
        </w:rPr>
        <w:t> </w:t>
      </w:r>
      <w:r>
        <w:rPr/>
        <w:t>από</w:t>
      </w:r>
      <w:r>
        <w:rPr>
          <w:spacing w:val="-7"/>
        </w:rPr>
        <w:t> </w:t>
      </w:r>
      <w:r>
        <w:rPr/>
        <w:t>τις</w:t>
      </w:r>
      <w:r>
        <w:rPr>
          <w:spacing w:val="-8"/>
        </w:rPr>
        <w:t> </w:t>
      </w:r>
      <w:r>
        <w:rPr/>
        <w:t>χρηματοπιστωτι-κές υποδομές που χρησιμοποιεί, εφόσον διαφυλάσσεται η ασφάλεια και η αποτελεσματικότητα των</w:t>
      </w:r>
      <w:r>
        <w:rPr>
          <w:spacing w:val="-6"/>
        </w:rPr>
        <w:t> </w:t>
      </w:r>
      <w:r>
        <w:rPr/>
        <w:t>Υπηρεσιών</w:t>
      </w:r>
      <w:r>
        <w:rPr>
          <w:spacing w:val="-6"/>
        </w:rPr>
        <w:t> </w:t>
      </w:r>
      <w:r>
        <w:rPr/>
        <w:t>TARGET,</w:t>
      </w:r>
      <w:r>
        <w:rPr>
          <w:spacing w:val="-7"/>
        </w:rPr>
        <w:t> </w:t>
      </w:r>
      <w:r>
        <w:rPr/>
        <w:t>με</w:t>
      </w:r>
      <w:r>
        <w:rPr>
          <w:spacing w:val="-5"/>
        </w:rPr>
        <w:t> </w:t>
      </w:r>
      <w:r>
        <w:rPr/>
        <w:t>στόχο</w:t>
      </w:r>
      <w:r>
        <w:rPr>
          <w:spacing w:val="-7"/>
        </w:rPr>
        <w:t> </w:t>
      </w:r>
      <w:r>
        <w:rPr/>
        <w:t>τη</w:t>
      </w:r>
      <w:r>
        <w:rPr>
          <w:spacing w:val="-7"/>
        </w:rPr>
        <w:t> </w:t>
      </w:r>
      <w:r>
        <w:rPr/>
        <w:t>γενικότερη</w:t>
      </w:r>
      <w:r>
        <w:rPr>
          <w:spacing w:val="-7"/>
        </w:rPr>
        <w:t> </w:t>
      </w:r>
      <w:r>
        <w:rPr/>
        <w:t>ενίσχυση</w:t>
      </w:r>
      <w:r>
        <w:rPr>
          <w:spacing w:val="-7"/>
        </w:rPr>
        <w:t> </w:t>
      </w:r>
      <w:r>
        <w:rPr/>
        <w:t>της</w:t>
      </w:r>
      <w:r>
        <w:rPr>
          <w:spacing w:val="-6"/>
        </w:rPr>
        <w:t> </w:t>
      </w:r>
      <w:r>
        <w:rPr/>
        <w:t>αποτελεσματικότητας</w:t>
      </w:r>
      <w:r>
        <w:rPr>
          <w:spacing w:val="-6"/>
        </w:rPr>
        <w:t> </w:t>
      </w:r>
      <w:r>
        <w:rPr/>
        <w:t>των</w:t>
      </w:r>
      <w:r>
        <w:rPr>
          <w:spacing w:val="-5"/>
        </w:rPr>
        <w:t> </w:t>
      </w:r>
      <w:r>
        <w:rPr/>
        <w:t>αγο-ρών και την ενοποίηση των κεφαλαιαγορών.</w:t>
      </w:r>
    </w:p>
    <w:p>
      <w:pPr>
        <w:pStyle w:val="BodyText"/>
        <w:spacing w:line="285" w:lineRule="auto" w:before="54"/>
        <w:ind w:left="172" w:right="953"/>
        <w:jc w:val="both"/>
      </w:pPr>
      <w:r>
        <w:rPr/>
        <w:t>Σε</w:t>
      </w:r>
      <w:r>
        <w:rPr>
          <w:spacing w:val="-4"/>
        </w:rPr>
        <w:t> </w:t>
      </w:r>
      <w:r>
        <w:rPr/>
        <w:t>αυτή</w:t>
      </w:r>
      <w:r>
        <w:rPr>
          <w:spacing w:val="-5"/>
        </w:rPr>
        <w:t> </w:t>
      </w:r>
      <w:r>
        <w:rPr/>
        <w:t>την</w:t>
      </w:r>
      <w:r>
        <w:rPr>
          <w:spacing w:val="-4"/>
        </w:rPr>
        <w:t> </w:t>
      </w:r>
      <w:r>
        <w:rPr/>
        <w:t>κατεύθυνση,</w:t>
      </w:r>
      <w:r>
        <w:rPr>
          <w:spacing w:val="-5"/>
        </w:rPr>
        <w:t> </w:t>
      </w:r>
      <w:r>
        <w:rPr/>
        <w:t>το</w:t>
      </w:r>
      <w:r>
        <w:rPr>
          <w:spacing w:val="-5"/>
        </w:rPr>
        <w:t> </w:t>
      </w:r>
      <w:r>
        <w:rPr/>
        <w:t>Ευρωσύστημα</w:t>
      </w:r>
      <w:r>
        <w:rPr>
          <w:spacing w:val="-5"/>
        </w:rPr>
        <w:t> </w:t>
      </w:r>
      <w:r>
        <w:rPr/>
        <w:t>αποφάσισε</w:t>
      </w:r>
      <w:r>
        <w:rPr>
          <w:spacing w:val="-4"/>
        </w:rPr>
        <w:t> </w:t>
      </w:r>
      <w:r>
        <w:rPr/>
        <w:t>ότι,</w:t>
      </w:r>
      <w:r>
        <w:rPr>
          <w:spacing w:val="-1"/>
        </w:rPr>
        <w:t> </w:t>
      </w:r>
      <w:r>
        <w:rPr/>
        <w:t>από</w:t>
      </w:r>
      <w:r>
        <w:rPr>
          <w:spacing w:val="-7"/>
        </w:rPr>
        <w:t> </w:t>
      </w:r>
      <w:r>
        <w:rPr/>
        <w:t>τις</w:t>
      </w:r>
      <w:r>
        <w:rPr>
          <w:spacing w:val="-5"/>
        </w:rPr>
        <w:t> </w:t>
      </w:r>
      <w:r>
        <w:rPr/>
        <w:t>30</w:t>
      </w:r>
      <w:r>
        <w:rPr>
          <w:spacing w:val="-7"/>
        </w:rPr>
        <w:t> </w:t>
      </w:r>
      <w:r>
        <w:rPr/>
        <w:t>Μαρτίου</w:t>
      </w:r>
      <w:r>
        <w:rPr>
          <w:spacing w:val="-4"/>
        </w:rPr>
        <w:t> </w:t>
      </w:r>
      <w:r>
        <w:rPr/>
        <w:t>2026,</w:t>
      </w:r>
      <w:r>
        <w:rPr>
          <w:spacing w:val="-5"/>
        </w:rPr>
        <w:t> </w:t>
      </w:r>
      <w:r>
        <w:rPr/>
        <w:t>τα</w:t>
      </w:r>
      <w:r>
        <w:rPr>
          <w:spacing w:val="-5"/>
        </w:rPr>
        <w:t> </w:t>
      </w:r>
      <w:r>
        <w:rPr/>
        <w:t>περιου-σιακά</w:t>
      </w:r>
      <w:r>
        <w:rPr>
          <w:spacing w:val="-13"/>
        </w:rPr>
        <w:t> </w:t>
      </w:r>
      <w:r>
        <w:rPr/>
        <w:t>στοιχεία</w:t>
      </w:r>
      <w:r>
        <w:rPr>
          <w:spacing w:val="-10"/>
        </w:rPr>
        <w:t> </w:t>
      </w:r>
      <w:r>
        <w:rPr/>
        <w:t>που</w:t>
      </w:r>
      <w:r>
        <w:rPr>
          <w:spacing w:val="-12"/>
        </w:rPr>
        <w:t> </w:t>
      </w:r>
      <w:r>
        <w:rPr/>
        <w:t>εκδίδονται</w:t>
      </w:r>
      <w:r>
        <w:rPr>
          <w:spacing w:val="-13"/>
        </w:rPr>
        <w:t> </w:t>
      </w:r>
      <w:r>
        <w:rPr/>
        <w:t>σε</w:t>
      </w:r>
      <w:r>
        <w:rPr>
          <w:spacing w:val="-12"/>
        </w:rPr>
        <w:t> </w:t>
      </w:r>
      <w:r>
        <w:rPr/>
        <w:t>Κεντρικά</w:t>
      </w:r>
      <w:r>
        <w:rPr>
          <w:spacing w:val="-13"/>
        </w:rPr>
        <w:t> </w:t>
      </w:r>
      <w:r>
        <w:rPr/>
        <w:t>Αποθετήρια</w:t>
      </w:r>
      <w:r>
        <w:rPr>
          <w:spacing w:val="-11"/>
        </w:rPr>
        <w:t> </w:t>
      </w:r>
      <w:r>
        <w:rPr/>
        <w:t>Τίτλων</w:t>
      </w:r>
      <w:r>
        <w:rPr>
          <w:spacing w:val="-10"/>
        </w:rPr>
        <w:t> </w:t>
      </w:r>
      <w:r>
        <w:rPr/>
        <w:t>με</w:t>
      </w:r>
      <w:r>
        <w:rPr>
          <w:spacing w:val="-12"/>
        </w:rPr>
        <w:t> </w:t>
      </w:r>
      <w:r>
        <w:rPr/>
        <w:t>χρήση</w:t>
      </w:r>
      <w:r>
        <w:rPr>
          <w:spacing w:val="-11"/>
        </w:rPr>
        <w:t> </w:t>
      </w:r>
      <w:r>
        <w:rPr/>
        <w:t>τεχνολογίας</w:t>
      </w:r>
      <w:r>
        <w:rPr>
          <w:spacing w:val="-7"/>
        </w:rPr>
        <w:t> </w:t>
      </w:r>
      <w:r>
        <w:rPr/>
        <w:t>DLT</w:t>
      </w:r>
      <w:r>
        <w:rPr>
          <w:spacing w:val="-11"/>
        </w:rPr>
        <w:t> </w:t>
      </w:r>
      <w:r>
        <w:rPr/>
        <w:t>μπο-ρούν να χρησιμοποιούνται ως εξασφαλίσεις για πράξεις νομισματικής πολιτικής</w:t>
      </w:r>
      <w:hyperlink w:history="true" w:anchor="_bookmark168">
        <w:r>
          <w:rPr/>
          <w:t>.</w:t>
        </w:r>
        <w:r>
          <w:rPr>
            <w:vertAlign w:val="superscript"/>
          </w:rPr>
          <w:t>112</w:t>
        </w:r>
      </w:hyperlink>
    </w:p>
    <w:p>
      <w:pPr>
        <w:pStyle w:val="BodyText"/>
        <w:spacing w:before="190"/>
      </w:pPr>
    </w:p>
    <w:p>
      <w:pPr>
        <w:pStyle w:val="Heading3"/>
        <w:numPr>
          <w:ilvl w:val="2"/>
          <w:numId w:val="2"/>
        </w:numPr>
        <w:tabs>
          <w:tab w:pos="738" w:val="left" w:leader="none"/>
        </w:tabs>
        <w:spacing w:line="240" w:lineRule="auto" w:before="1" w:after="0"/>
        <w:ind w:left="738" w:right="0" w:hanging="566"/>
        <w:jc w:val="left"/>
        <w:rPr>
          <w:color w:val="1F487C"/>
        </w:rPr>
      </w:pPr>
      <w:bookmarkStart w:name="_bookmark167" w:id="168"/>
      <w:bookmarkEnd w:id="168"/>
      <w:r>
        <w:rPr>
          <w:b w:val="0"/>
        </w:rPr>
      </w:r>
      <w:r>
        <w:rPr>
          <w:color w:val="1F487C"/>
        </w:rPr>
        <w:t>ΣΥΣΤΗΜΑ</w:t>
      </w:r>
      <w:r>
        <w:rPr>
          <w:color w:val="1F487C"/>
          <w:spacing w:val="-10"/>
        </w:rPr>
        <w:t> </w:t>
      </w:r>
      <w:r>
        <w:rPr>
          <w:color w:val="1F487C"/>
        </w:rPr>
        <w:t>ΔΙΑΚΑΝΟΝΙΣΜΟΥ</w:t>
      </w:r>
      <w:r>
        <w:rPr>
          <w:color w:val="1F487C"/>
          <w:spacing w:val="-8"/>
        </w:rPr>
        <w:t> </w:t>
      </w:r>
      <w:r>
        <w:rPr>
          <w:color w:val="1F487C"/>
        </w:rPr>
        <w:t>ΤΙΤΛΩΝ</w:t>
      </w:r>
      <w:r>
        <w:rPr>
          <w:color w:val="1F487C"/>
          <w:spacing w:val="-7"/>
        </w:rPr>
        <w:t> </w:t>
      </w:r>
      <w:r>
        <w:rPr>
          <w:color w:val="1F487C"/>
        </w:rPr>
        <w:t>ΤΗΣ</w:t>
      </w:r>
      <w:r>
        <w:rPr>
          <w:color w:val="1F487C"/>
          <w:spacing w:val="-7"/>
        </w:rPr>
        <w:t> </w:t>
      </w:r>
      <w:r>
        <w:rPr>
          <w:color w:val="1F487C"/>
        </w:rPr>
        <w:t>ΤΡΑΠΕΖΑΣ</w:t>
      </w:r>
      <w:r>
        <w:rPr>
          <w:color w:val="1F487C"/>
          <w:spacing w:val="-7"/>
        </w:rPr>
        <w:t> </w:t>
      </w:r>
      <w:r>
        <w:rPr>
          <w:color w:val="1F487C"/>
        </w:rPr>
        <w:t>ΤΗΣ</w:t>
      </w:r>
      <w:r>
        <w:rPr>
          <w:color w:val="1F487C"/>
          <w:spacing w:val="-7"/>
        </w:rPr>
        <w:t> </w:t>
      </w:r>
      <w:r>
        <w:rPr>
          <w:color w:val="1F487C"/>
          <w:spacing w:val="-2"/>
        </w:rPr>
        <w:t>ΕΛΛΑΔΟΣ</w:t>
      </w:r>
    </w:p>
    <w:p>
      <w:pPr>
        <w:pStyle w:val="BodyText"/>
        <w:spacing w:line="285" w:lineRule="auto" w:before="92"/>
        <w:ind w:left="172" w:right="955"/>
        <w:jc w:val="both"/>
      </w:pPr>
      <w:r>
        <w:rPr/>
        <w:t>Το 2025 το Σύστημα Διακανονισμού Τίτλων παρουσίασε υψηλό επίπεδο ασφάλειας και αποδο-τικότητας των παρεχόμενων υπηρεσιών,</w:t>
      </w:r>
      <w:r>
        <w:rPr>
          <w:spacing w:val="-1"/>
        </w:rPr>
        <w:t> </w:t>
      </w:r>
      <w:r>
        <w:rPr/>
        <w:t>εξυπηρετώντας αποτελεσματικά</w:t>
      </w:r>
      <w:r>
        <w:rPr>
          <w:spacing w:val="-2"/>
        </w:rPr>
        <w:t> </w:t>
      </w:r>
      <w:r>
        <w:rPr/>
        <w:t>τόσο τους συμμετέχο-ντες φορείς όσο και το Ελληνικό Δημόσιο, το οποίο είναι ο κύριος εκδότης των τίτλων που κα-ταχωρίζονται και παρακολουθούνται μέσω του Συστήματος. Η αποτελεσματική λειτουργία του Συστήματος είναι κρίσιμη για τη διαχείριση των εξασφαλίσεων (collateral) στο πλαίσιο της ε-φαρμογής</w:t>
      </w:r>
      <w:r>
        <w:rPr>
          <w:spacing w:val="-8"/>
        </w:rPr>
        <w:t> </w:t>
      </w:r>
      <w:r>
        <w:rPr/>
        <w:t>της</w:t>
      </w:r>
      <w:r>
        <w:rPr>
          <w:spacing w:val="-8"/>
        </w:rPr>
        <w:t> </w:t>
      </w:r>
      <w:r>
        <w:rPr/>
        <w:t>νομισματικής</w:t>
      </w:r>
      <w:r>
        <w:rPr>
          <w:spacing w:val="-9"/>
        </w:rPr>
        <w:t> </w:t>
      </w:r>
      <w:r>
        <w:rPr/>
        <w:t>πολιτικής</w:t>
      </w:r>
      <w:r>
        <w:rPr>
          <w:spacing w:val="-8"/>
        </w:rPr>
        <w:t> </w:t>
      </w:r>
      <w:r>
        <w:rPr/>
        <w:t>και</w:t>
      </w:r>
      <w:r>
        <w:rPr>
          <w:spacing w:val="-8"/>
        </w:rPr>
        <w:t> </w:t>
      </w:r>
      <w:r>
        <w:rPr/>
        <w:t>για</w:t>
      </w:r>
      <w:r>
        <w:rPr>
          <w:spacing w:val="-7"/>
        </w:rPr>
        <w:t> </w:t>
      </w:r>
      <w:r>
        <w:rPr/>
        <w:t>τη</w:t>
      </w:r>
      <w:r>
        <w:rPr>
          <w:spacing w:val="-10"/>
        </w:rPr>
        <w:t> </w:t>
      </w:r>
      <w:r>
        <w:rPr/>
        <w:t>σταθερότητα</w:t>
      </w:r>
      <w:r>
        <w:rPr>
          <w:spacing w:val="-10"/>
        </w:rPr>
        <w:t> </w:t>
      </w:r>
      <w:r>
        <w:rPr/>
        <w:t>του</w:t>
      </w:r>
      <w:r>
        <w:rPr>
          <w:spacing w:val="-8"/>
        </w:rPr>
        <w:t> </w:t>
      </w:r>
      <w:r>
        <w:rPr/>
        <w:t>εγχώριου</w:t>
      </w:r>
      <w:r>
        <w:rPr>
          <w:spacing w:val="-6"/>
        </w:rPr>
        <w:t> </w:t>
      </w:r>
      <w:r>
        <w:rPr/>
        <w:t>χρηματοπιστωτικού </w:t>
      </w:r>
      <w:r>
        <w:rPr>
          <w:spacing w:val="-2"/>
        </w:rPr>
        <w:t>συστήματος.</w:t>
      </w:r>
    </w:p>
    <w:p>
      <w:pPr>
        <w:pStyle w:val="BodyText"/>
        <w:spacing w:line="285" w:lineRule="auto" w:before="53"/>
        <w:ind w:left="172" w:right="954"/>
        <w:jc w:val="both"/>
      </w:pPr>
      <w:r>
        <w:rPr/>
        <w:t>Η</w:t>
      </w:r>
      <w:r>
        <w:rPr>
          <w:spacing w:val="-1"/>
        </w:rPr>
        <w:t> </w:t>
      </w:r>
      <w:r>
        <w:rPr/>
        <w:t>μέση</w:t>
      </w:r>
      <w:r>
        <w:rPr>
          <w:spacing w:val="-3"/>
        </w:rPr>
        <w:t> </w:t>
      </w:r>
      <w:r>
        <w:rPr/>
        <w:t>ημερήσια</w:t>
      </w:r>
      <w:r>
        <w:rPr>
          <w:spacing w:val="-2"/>
        </w:rPr>
        <w:t> </w:t>
      </w:r>
      <w:r>
        <w:rPr/>
        <w:t>αξία</w:t>
      </w:r>
      <w:r>
        <w:rPr>
          <w:spacing w:val="-3"/>
        </w:rPr>
        <w:t> </w:t>
      </w:r>
      <w:r>
        <w:rPr/>
        <w:t>των</w:t>
      </w:r>
      <w:r>
        <w:rPr>
          <w:spacing w:val="-1"/>
        </w:rPr>
        <w:t> </w:t>
      </w:r>
      <w:r>
        <w:rPr/>
        <w:t>συναλλαγών</w:t>
      </w:r>
      <w:r>
        <w:rPr>
          <w:spacing w:val="-1"/>
        </w:rPr>
        <w:t> </w:t>
      </w:r>
      <w:r>
        <w:rPr/>
        <w:t>που</w:t>
      </w:r>
      <w:r>
        <w:rPr>
          <w:spacing w:val="-1"/>
        </w:rPr>
        <w:t> </w:t>
      </w:r>
      <w:r>
        <w:rPr/>
        <w:t>διακανονίστηκαν</w:t>
      </w:r>
      <w:r>
        <w:rPr>
          <w:spacing w:val="-2"/>
        </w:rPr>
        <w:t> </w:t>
      </w:r>
      <w:r>
        <w:rPr/>
        <w:t>στο</w:t>
      </w:r>
      <w:r>
        <w:rPr>
          <w:spacing w:val="-5"/>
        </w:rPr>
        <w:t> </w:t>
      </w:r>
      <w:r>
        <w:rPr/>
        <w:t>Σύστημα</w:t>
      </w:r>
      <w:r>
        <w:rPr>
          <w:spacing w:val="-1"/>
        </w:rPr>
        <w:t> </w:t>
      </w:r>
      <w:r>
        <w:rPr/>
        <w:t>το 2025 (αγοραπω-λησίες, συναλλαγές</w:t>
      </w:r>
      <w:r>
        <w:rPr>
          <w:spacing w:val="-1"/>
        </w:rPr>
        <w:t> </w:t>
      </w:r>
      <w:r>
        <w:rPr/>
        <w:t>repos,</w:t>
      </w:r>
      <w:r>
        <w:rPr>
          <w:spacing w:val="-2"/>
        </w:rPr>
        <w:t> </w:t>
      </w:r>
      <w:r>
        <w:rPr/>
        <w:t>εσωτερικές</w:t>
      </w:r>
      <w:r>
        <w:rPr>
          <w:spacing w:val="-1"/>
        </w:rPr>
        <w:t> </w:t>
      </w:r>
      <w:r>
        <w:rPr/>
        <w:t>μεταφορές</w:t>
      </w:r>
      <w:r>
        <w:rPr>
          <w:spacing w:val="-1"/>
        </w:rPr>
        <w:t> </w:t>
      </w:r>
      <w:r>
        <w:rPr/>
        <w:t>κ.λπ.) ανήλθε σε 14,1 δισεκ. ευρώ, παρουσιά-ζοντας αύξηση κατά 12,6% έναντι του 2024 (12,5 δισεκ. ευρώ). Η άνοδος της συναλλακτικής δραστηριότητας οφείλεται εν μέρει στην αύξηση της αξίας των συναλλαγών επί του εντόκου γραμματίου</w:t>
      </w:r>
      <w:r>
        <w:rPr>
          <w:spacing w:val="-2"/>
        </w:rPr>
        <w:t> </w:t>
      </w:r>
      <w:r>
        <w:rPr/>
        <w:t>ειδικού</w:t>
      </w:r>
      <w:r>
        <w:rPr>
          <w:spacing w:val="-4"/>
        </w:rPr>
        <w:t> </w:t>
      </w:r>
      <w:r>
        <w:rPr/>
        <w:t>σκοπού</w:t>
      </w:r>
      <w:r>
        <w:rPr>
          <w:spacing w:val="-2"/>
        </w:rPr>
        <w:t> </w:t>
      </w:r>
      <w:r>
        <w:rPr/>
        <w:t>του</w:t>
      </w:r>
      <w:r>
        <w:rPr>
          <w:spacing w:val="-2"/>
        </w:rPr>
        <w:t> </w:t>
      </w:r>
      <w:r>
        <w:rPr/>
        <w:t>Ελληνικού</w:t>
      </w:r>
      <w:r>
        <w:rPr>
          <w:spacing w:val="-3"/>
        </w:rPr>
        <w:t> </w:t>
      </w:r>
      <w:r>
        <w:rPr/>
        <w:t>Δημοσίου,</w:t>
      </w:r>
      <w:r>
        <w:rPr>
          <w:spacing w:val="-3"/>
        </w:rPr>
        <w:t> </w:t>
      </w:r>
      <w:r>
        <w:rPr/>
        <w:t>το</w:t>
      </w:r>
      <w:r>
        <w:rPr>
          <w:spacing w:val="-3"/>
        </w:rPr>
        <w:t> </w:t>
      </w:r>
      <w:r>
        <w:rPr/>
        <w:t>οποίο</w:t>
      </w:r>
      <w:r>
        <w:rPr>
          <w:spacing w:val="-3"/>
        </w:rPr>
        <w:t> </w:t>
      </w:r>
      <w:r>
        <w:rPr/>
        <w:t>χρησιμοποιείται</w:t>
      </w:r>
      <w:r>
        <w:rPr>
          <w:spacing w:val="-5"/>
        </w:rPr>
        <w:t> </w:t>
      </w:r>
      <w:r>
        <w:rPr/>
        <w:t>εκτενώς</w:t>
      </w:r>
      <w:r>
        <w:rPr>
          <w:spacing w:val="-3"/>
        </w:rPr>
        <w:t> </w:t>
      </w:r>
      <w:r>
        <w:rPr/>
        <w:t>σε</w:t>
      </w:r>
      <w:r>
        <w:rPr>
          <w:spacing w:val="-3"/>
        </w:rPr>
        <w:t> </w:t>
      </w:r>
      <w:r>
        <w:rPr/>
        <w:t>συ-ναλλαγές repos</w:t>
      </w:r>
      <w:hyperlink w:history="true" w:anchor="_bookmark169">
        <w:r>
          <w:rPr/>
          <w:t>,</w:t>
        </w:r>
        <w:r>
          <w:rPr>
            <w:position w:val="6"/>
            <w:sz w:val="10"/>
          </w:rPr>
          <w:t>113</w:t>
        </w:r>
      </w:hyperlink>
      <w:r>
        <w:rPr>
          <w:spacing w:val="32"/>
          <w:position w:val="6"/>
          <w:sz w:val="10"/>
        </w:rPr>
        <w:t> </w:t>
      </w:r>
      <w:r>
        <w:rPr/>
        <w:t>καθώς και</w:t>
      </w:r>
      <w:r>
        <w:rPr>
          <w:spacing w:val="-3"/>
        </w:rPr>
        <w:t> </w:t>
      </w:r>
      <w:r>
        <w:rPr/>
        <w:t>στην εκδοτική δραστηριότητα που ανέπτυξε ο Οργανισμός Διαχεί-ρισης Δημοσίου Χρέους (Ο.Δ.ΔΗ.Χ.) στο υπό εξέταση διάστημα (έκδοση 10ετούς, επαναγορά 5ετούς</w:t>
      </w:r>
      <w:r>
        <w:rPr>
          <w:spacing w:val="-8"/>
        </w:rPr>
        <w:t> </w:t>
      </w:r>
      <w:r>
        <w:rPr/>
        <w:t>και</w:t>
      </w:r>
      <w:r>
        <w:rPr>
          <w:spacing w:val="-7"/>
        </w:rPr>
        <w:t> </w:t>
      </w:r>
      <w:r>
        <w:rPr/>
        <w:t>7ετούς</w:t>
      </w:r>
      <w:r>
        <w:rPr>
          <w:spacing w:val="-7"/>
        </w:rPr>
        <w:t> </w:t>
      </w:r>
      <w:r>
        <w:rPr/>
        <w:t>και</w:t>
      </w:r>
      <w:r>
        <w:rPr>
          <w:spacing w:val="-7"/>
        </w:rPr>
        <w:t> </w:t>
      </w:r>
      <w:r>
        <w:rPr/>
        <w:t>επανέκδοση</w:t>
      </w:r>
      <w:r>
        <w:rPr>
          <w:spacing w:val="-7"/>
        </w:rPr>
        <w:t> </w:t>
      </w:r>
      <w:r>
        <w:rPr/>
        <w:t>15ετούς</w:t>
      </w:r>
      <w:r>
        <w:rPr>
          <w:spacing w:val="-8"/>
        </w:rPr>
        <w:t> </w:t>
      </w:r>
      <w:r>
        <w:rPr/>
        <w:t>και</w:t>
      </w:r>
      <w:r>
        <w:rPr>
          <w:spacing w:val="-7"/>
        </w:rPr>
        <w:t> </w:t>
      </w:r>
      <w:r>
        <w:rPr/>
        <w:t>30ετούς</w:t>
      </w:r>
      <w:r>
        <w:rPr>
          <w:spacing w:val="-8"/>
        </w:rPr>
        <w:t> </w:t>
      </w:r>
      <w:r>
        <w:rPr/>
        <w:t>ομολόγου).</w:t>
      </w:r>
      <w:r>
        <w:rPr>
          <w:spacing w:val="-7"/>
        </w:rPr>
        <w:t> </w:t>
      </w:r>
      <w:r>
        <w:rPr/>
        <w:t>Ειδικότερα</w:t>
      </w:r>
      <w:r>
        <w:rPr>
          <w:spacing w:val="-7"/>
        </w:rPr>
        <w:t> </w:t>
      </w:r>
      <w:r>
        <w:rPr/>
        <w:t>για</w:t>
      </w:r>
      <w:r>
        <w:rPr>
          <w:spacing w:val="-8"/>
        </w:rPr>
        <w:t> </w:t>
      </w:r>
      <w:r>
        <w:rPr/>
        <w:t>τις</w:t>
      </w:r>
      <w:r>
        <w:rPr>
          <w:spacing w:val="-8"/>
        </w:rPr>
        <w:t> </w:t>
      </w:r>
      <w:r>
        <w:rPr/>
        <w:t>αγοραπω-λησίες τίτλων, η μέση ημερήσια αξία τους το 2025 ανήλθε σε 608 εκατ. ευρώ, αυξημένη κατά 25% σε ετήσια βάση (2024: 487 εκατ. ευρώ).</w:t>
      </w:r>
    </w:p>
    <w:p>
      <w:pPr>
        <w:pStyle w:val="BodyText"/>
        <w:spacing w:line="285" w:lineRule="auto" w:before="50"/>
        <w:ind w:left="172" w:right="962"/>
        <w:jc w:val="both"/>
      </w:pPr>
      <w:r>
        <w:rPr/>
        <w:t>Ο μέσος ημερήσιος όγκος των συναλλαγών το 2025 μειώθηκε έναντι του προηγούμενου έτους και</w:t>
      </w:r>
      <w:r>
        <w:rPr>
          <w:spacing w:val="-1"/>
        </w:rPr>
        <w:t> </w:t>
      </w:r>
      <w:r>
        <w:rPr/>
        <w:t>διαμορφώθηκε</w:t>
      </w:r>
      <w:r>
        <w:rPr>
          <w:spacing w:val="-3"/>
        </w:rPr>
        <w:t> </w:t>
      </w:r>
      <w:r>
        <w:rPr/>
        <w:t>στις</w:t>
      </w:r>
      <w:r>
        <w:rPr>
          <w:spacing w:val="-1"/>
        </w:rPr>
        <w:t> </w:t>
      </w:r>
      <w:r>
        <w:rPr/>
        <w:t>234</w:t>
      </w:r>
      <w:r>
        <w:rPr>
          <w:spacing w:val="-4"/>
        </w:rPr>
        <w:t> </w:t>
      </w:r>
      <w:r>
        <w:rPr/>
        <w:t>συναλλαγές</w:t>
      </w:r>
      <w:r>
        <w:rPr>
          <w:spacing w:val="-2"/>
        </w:rPr>
        <w:t> </w:t>
      </w:r>
      <w:r>
        <w:rPr/>
        <w:t>(2024:</w:t>
      </w:r>
      <w:r>
        <w:rPr>
          <w:spacing w:val="-1"/>
        </w:rPr>
        <w:t> </w:t>
      </w:r>
      <w:r>
        <w:rPr/>
        <w:t>259</w:t>
      </w:r>
      <w:r>
        <w:rPr>
          <w:spacing w:val="-1"/>
        </w:rPr>
        <w:t> </w:t>
      </w:r>
      <w:r>
        <w:rPr/>
        <w:t>συναλλαγές</w:t>
      </w:r>
      <w:r>
        <w:rPr>
          <w:spacing w:val="-2"/>
        </w:rPr>
        <w:t> </w:t>
      </w:r>
      <w:r>
        <w:rPr/>
        <w:t>κατά</w:t>
      </w:r>
      <w:r>
        <w:rPr>
          <w:spacing w:val="-2"/>
        </w:rPr>
        <w:t> </w:t>
      </w:r>
      <w:r>
        <w:rPr/>
        <w:t>μέσο</w:t>
      </w:r>
      <w:r>
        <w:rPr>
          <w:spacing w:val="-1"/>
        </w:rPr>
        <w:t> </w:t>
      </w:r>
      <w:r>
        <w:rPr/>
        <w:t>όρο),</w:t>
      </w:r>
      <w:r>
        <w:rPr>
          <w:spacing w:val="-4"/>
        </w:rPr>
        <w:t> </w:t>
      </w:r>
      <w:r>
        <w:rPr/>
        <w:t>εκ</w:t>
      </w:r>
      <w:r>
        <w:rPr>
          <w:spacing w:val="-2"/>
        </w:rPr>
        <w:t> </w:t>
      </w:r>
      <w:r>
        <w:rPr/>
        <w:t>των</w:t>
      </w:r>
      <w:r>
        <w:rPr>
          <w:spacing w:val="-1"/>
        </w:rPr>
        <w:t> </w:t>
      </w:r>
      <w:r>
        <w:rPr/>
        <w:t>οποίων 118 ήταν αγοραπωλησίες (2024: 129 συναλλαγές κατά μέσο όρο, βλ. Διάγραμμα VI.7).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sz w:val="20"/>
        </w:rPr>
        <mc:AlternateContent>
          <mc:Choice Requires="wps">
            <w:drawing>
              <wp:anchor distT="0" distB="0" distL="0" distR="0" allowOverlap="1" layoutInCell="1" locked="0" behindDoc="1" simplePos="0" relativeHeight="487676416">
                <wp:simplePos x="0" y="0"/>
                <wp:positionH relativeFrom="page">
                  <wp:posOffset>1009192</wp:posOffset>
                </wp:positionH>
                <wp:positionV relativeFrom="paragraph">
                  <wp:posOffset>162478</wp:posOffset>
                </wp:positionV>
                <wp:extent cx="1829435" cy="7620"/>
                <wp:effectExtent l="0" t="0" r="0" b="0"/>
                <wp:wrapTopAndBottom/>
                <wp:docPr id="777" name="Graphic 777"/>
                <wp:cNvGraphicFramePr>
                  <a:graphicFrameLocks/>
                </wp:cNvGraphicFramePr>
                <a:graphic>
                  <a:graphicData uri="http://schemas.microsoft.com/office/word/2010/wordprocessingShape">
                    <wps:wsp>
                      <wps:cNvPr id="777" name="Graphic 77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2.793599pt;width:144.020pt;height:.599980pt;mso-position-horizontal-relative:page;mso-position-vertical-relative:paragraph;z-index:-15640064;mso-wrap-distance-left:0;mso-wrap-distance-right:0" id="docshape726" filled="true" fillcolor="#000000" stroked="false">
                <v:fill type="solid"/>
                <w10:wrap type="topAndBottom"/>
              </v:rect>
            </w:pict>
          </mc:Fallback>
        </mc:AlternateContent>
      </w:r>
    </w:p>
    <w:p>
      <w:pPr>
        <w:spacing w:line="266" w:lineRule="auto" w:before="167"/>
        <w:ind w:left="172" w:right="3176" w:firstLine="0"/>
        <w:jc w:val="both"/>
        <w:rPr>
          <w:sz w:val="16"/>
        </w:rPr>
      </w:pPr>
      <w:bookmarkStart w:name="_bookmark168" w:id="169"/>
      <w:bookmarkEnd w:id="169"/>
      <w:r>
        <w:rPr/>
      </w:r>
      <w:r>
        <w:rPr>
          <w:sz w:val="16"/>
          <w:vertAlign w:val="superscript"/>
        </w:rPr>
        <w:t>112</w:t>
      </w:r>
      <w:r>
        <w:rPr>
          <w:spacing w:val="-3"/>
          <w:sz w:val="16"/>
          <w:vertAlign w:val="baseline"/>
        </w:rPr>
        <w:t> </w:t>
      </w:r>
      <w:r>
        <w:rPr>
          <w:sz w:val="16"/>
          <w:vertAlign w:val="baseline"/>
        </w:rPr>
        <w:t>Βλ.</w:t>
      </w:r>
      <w:r>
        <w:rPr>
          <w:spacing w:val="-2"/>
          <w:sz w:val="16"/>
          <w:vertAlign w:val="baseline"/>
        </w:rPr>
        <w:t> </w:t>
      </w:r>
      <w:r>
        <w:rPr>
          <w:sz w:val="16"/>
          <w:vertAlign w:val="baseline"/>
        </w:rPr>
        <w:t>Ειδικό</w:t>
      </w:r>
      <w:r>
        <w:rPr>
          <w:spacing w:val="-4"/>
          <w:sz w:val="16"/>
          <w:vertAlign w:val="baseline"/>
        </w:rPr>
        <w:t> </w:t>
      </w:r>
      <w:r>
        <w:rPr>
          <w:sz w:val="16"/>
          <w:vertAlign w:val="baseline"/>
        </w:rPr>
        <w:t>θέμα</w:t>
      </w:r>
      <w:r>
        <w:rPr>
          <w:spacing w:val="-3"/>
          <w:sz w:val="16"/>
          <w:vertAlign w:val="baseline"/>
        </w:rPr>
        <w:t> </w:t>
      </w:r>
      <w:r>
        <w:rPr>
          <w:sz w:val="16"/>
          <w:vertAlign w:val="baseline"/>
        </w:rPr>
        <w:t>ΙΙ</w:t>
      </w:r>
      <w:r>
        <w:rPr>
          <w:spacing w:val="-5"/>
          <w:sz w:val="16"/>
          <w:vertAlign w:val="baseline"/>
        </w:rPr>
        <w:t> </w:t>
      </w:r>
      <w:r>
        <w:rPr>
          <w:sz w:val="16"/>
          <w:vertAlign w:val="baseline"/>
        </w:rPr>
        <w:t>“</w:t>
      </w:r>
      <w:hyperlink w:history="true" w:anchor="_bookmark185">
        <w:r>
          <w:rPr>
            <w:sz w:val="16"/>
            <w:vertAlign w:val="baseline"/>
          </w:rPr>
          <w:t>Εξελίξεις</w:t>
        </w:r>
        <w:r>
          <w:rPr>
            <w:spacing w:val="-2"/>
            <w:sz w:val="16"/>
            <w:vertAlign w:val="baseline"/>
          </w:rPr>
          <w:t> </w:t>
        </w:r>
        <w:r>
          <w:rPr>
            <w:sz w:val="16"/>
            <w:vertAlign w:val="baseline"/>
          </w:rPr>
          <w:t>στη</w:t>
        </w:r>
        <w:r>
          <w:rPr>
            <w:spacing w:val="-3"/>
            <w:sz w:val="16"/>
            <w:vertAlign w:val="baseline"/>
          </w:rPr>
          <w:t> </w:t>
        </w:r>
        <w:r>
          <w:rPr>
            <w:sz w:val="16"/>
            <w:vertAlign w:val="baseline"/>
          </w:rPr>
          <w:t>χρήση</w:t>
        </w:r>
        <w:r>
          <w:rPr>
            <w:spacing w:val="-3"/>
            <w:sz w:val="16"/>
            <w:vertAlign w:val="baseline"/>
          </w:rPr>
          <w:t> </w:t>
        </w:r>
        <w:r>
          <w:rPr>
            <w:sz w:val="16"/>
            <w:vertAlign w:val="baseline"/>
          </w:rPr>
          <w:t>της</w:t>
        </w:r>
        <w:r>
          <w:rPr>
            <w:spacing w:val="-2"/>
            <w:sz w:val="16"/>
            <w:vertAlign w:val="baseline"/>
          </w:rPr>
          <w:t> </w:t>
        </w:r>
        <w:r>
          <w:rPr>
            <w:sz w:val="16"/>
            <w:vertAlign w:val="baseline"/>
          </w:rPr>
          <w:t>τεχνολογίας</w:t>
        </w:r>
        <w:r>
          <w:rPr>
            <w:spacing w:val="-2"/>
            <w:sz w:val="16"/>
            <w:vertAlign w:val="baseline"/>
          </w:rPr>
          <w:t> </w:t>
        </w:r>
        <w:r>
          <w:rPr>
            <w:sz w:val="16"/>
            <w:vertAlign w:val="baseline"/>
          </w:rPr>
          <w:t>DLT</w:t>
        </w:r>
        <w:r>
          <w:rPr>
            <w:spacing w:val="-5"/>
            <w:sz w:val="16"/>
            <w:vertAlign w:val="baseline"/>
          </w:rPr>
          <w:t> </w:t>
        </w:r>
        <w:r>
          <w:rPr>
            <w:sz w:val="16"/>
            <w:vertAlign w:val="baseline"/>
          </w:rPr>
          <w:t>στις</w:t>
        </w:r>
        <w:r>
          <w:rPr>
            <w:spacing w:val="-2"/>
            <w:sz w:val="16"/>
            <w:vertAlign w:val="baseline"/>
          </w:rPr>
          <w:t> </w:t>
        </w:r>
        <w:r>
          <w:rPr>
            <w:sz w:val="16"/>
            <w:vertAlign w:val="baseline"/>
          </w:rPr>
          <w:t>χρηματοπιστωτικές</w:t>
        </w:r>
        <w:r>
          <w:rPr>
            <w:spacing w:val="-2"/>
            <w:sz w:val="16"/>
            <w:vertAlign w:val="baseline"/>
          </w:rPr>
          <w:t> </w:t>
        </w:r>
        <w:r>
          <w:rPr>
            <w:sz w:val="16"/>
            <w:vertAlign w:val="baseline"/>
          </w:rPr>
          <w:t>αγορές</w:t>
        </w:r>
      </w:hyperlink>
      <w:r>
        <w:rPr>
          <w:spacing w:val="40"/>
          <w:sz w:val="16"/>
          <w:vertAlign w:val="baseline"/>
        </w:rPr>
        <w:t> </w:t>
      </w:r>
      <w:hyperlink w:history="true" w:anchor="_bookmark185">
        <w:r>
          <w:rPr>
            <w:sz w:val="16"/>
            <w:vertAlign w:val="baseline"/>
          </w:rPr>
          <w:t>Εξελίξεις στη χρήση της τεχνολογίας DLT στις χρηματοπιστωτικές αγορές</w:t>
        </w:r>
      </w:hyperlink>
    </w:p>
    <w:p>
      <w:pPr>
        <w:spacing w:line="184" w:lineRule="exact" w:before="0"/>
        <w:ind w:left="172" w:right="0" w:firstLine="0"/>
        <w:jc w:val="both"/>
        <w:rPr>
          <w:sz w:val="16"/>
        </w:rPr>
      </w:pPr>
      <w:r>
        <w:rPr>
          <w:sz w:val="16"/>
        </w:rPr>
        <w:t>”</w:t>
      </w:r>
      <w:r>
        <w:rPr>
          <w:spacing w:val="-2"/>
          <w:sz w:val="16"/>
        </w:rPr>
        <w:t> </w:t>
      </w:r>
      <w:r>
        <w:rPr>
          <w:sz w:val="16"/>
        </w:rPr>
        <w:t>στην</w:t>
      </w:r>
      <w:r>
        <w:rPr>
          <w:spacing w:val="-5"/>
          <w:sz w:val="16"/>
        </w:rPr>
        <w:t> </w:t>
      </w:r>
      <w:r>
        <w:rPr>
          <w:sz w:val="16"/>
        </w:rPr>
        <w:t>παρούσα</w:t>
      </w:r>
      <w:r>
        <w:rPr>
          <w:spacing w:val="-4"/>
          <w:sz w:val="16"/>
        </w:rPr>
        <w:t> </w:t>
      </w:r>
      <w:r>
        <w:rPr>
          <w:spacing w:val="-2"/>
          <w:sz w:val="16"/>
        </w:rPr>
        <w:t>Έκθεση.</w:t>
      </w:r>
    </w:p>
    <w:p>
      <w:pPr>
        <w:spacing w:before="20"/>
        <w:ind w:left="172" w:right="955" w:firstLine="0"/>
        <w:jc w:val="both"/>
        <w:rPr>
          <w:sz w:val="16"/>
        </w:rPr>
      </w:pPr>
      <w:bookmarkStart w:name="_bookmark169" w:id="170"/>
      <w:bookmarkEnd w:id="170"/>
      <w:r>
        <w:rPr/>
      </w:r>
      <w:r>
        <w:rPr>
          <w:sz w:val="16"/>
          <w:vertAlign w:val="superscript"/>
        </w:rPr>
        <w:t>113</w:t>
      </w:r>
      <w:r>
        <w:rPr>
          <w:sz w:val="16"/>
          <w:vertAlign w:val="baseline"/>
        </w:rPr>
        <w:t> Το έντοκο γραμμάτιο ειδικού σκοπού του Ελληνικού Δημοσίου εκδόθηκε βάσει του ν. 4254/14, άρθρο 1, υποπαρ. Γ4, που προ-βλέπει</w:t>
      </w:r>
      <w:r>
        <w:rPr>
          <w:spacing w:val="-7"/>
          <w:sz w:val="16"/>
          <w:vertAlign w:val="baseline"/>
        </w:rPr>
        <w:t> </w:t>
      </w:r>
      <w:r>
        <w:rPr>
          <w:sz w:val="16"/>
          <w:vertAlign w:val="baseline"/>
        </w:rPr>
        <w:t>ότι</w:t>
      </w:r>
      <w:r>
        <w:rPr>
          <w:spacing w:val="-4"/>
          <w:sz w:val="16"/>
          <w:vertAlign w:val="baseline"/>
        </w:rPr>
        <w:t> </w:t>
      </w:r>
      <w:r>
        <w:rPr>
          <w:sz w:val="16"/>
          <w:vertAlign w:val="baseline"/>
        </w:rPr>
        <w:t>ο</w:t>
      </w:r>
      <w:r>
        <w:rPr>
          <w:spacing w:val="-2"/>
          <w:sz w:val="16"/>
          <w:vertAlign w:val="baseline"/>
        </w:rPr>
        <w:t> </w:t>
      </w:r>
      <w:r>
        <w:rPr>
          <w:sz w:val="16"/>
          <w:vertAlign w:val="baseline"/>
        </w:rPr>
        <w:t>Οργανισμός</w:t>
      </w:r>
      <w:r>
        <w:rPr>
          <w:spacing w:val="-3"/>
          <w:sz w:val="16"/>
          <w:vertAlign w:val="baseline"/>
        </w:rPr>
        <w:t> </w:t>
      </w:r>
      <w:r>
        <w:rPr>
          <w:sz w:val="16"/>
          <w:vertAlign w:val="baseline"/>
        </w:rPr>
        <w:t>Διαχείρισης</w:t>
      </w:r>
      <w:r>
        <w:rPr>
          <w:spacing w:val="-3"/>
          <w:sz w:val="16"/>
          <w:vertAlign w:val="baseline"/>
        </w:rPr>
        <w:t> </w:t>
      </w:r>
      <w:r>
        <w:rPr>
          <w:sz w:val="16"/>
          <w:vertAlign w:val="baseline"/>
        </w:rPr>
        <w:t>Δημόσιου</w:t>
      </w:r>
      <w:r>
        <w:rPr>
          <w:spacing w:val="-5"/>
          <w:sz w:val="16"/>
          <w:vertAlign w:val="baseline"/>
        </w:rPr>
        <w:t> </w:t>
      </w:r>
      <w:r>
        <w:rPr>
          <w:sz w:val="16"/>
          <w:vertAlign w:val="baseline"/>
        </w:rPr>
        <w:t>Χρέους</w:t>
      </w:r>
      <w:r>
        <w:rPr>
          <w:spacing w:val="-1"/>
          <w:sz w:val="16"/>
          <w:vertAlign w:val="baseline"/>
        </w:rPr>
        <w:t> </w:t>
      </w:r>
      <w:r>
        <w:rPr>
          <w:sz w:val="16"/>
          <w:vertAlign w:val="baseline"/>
        </w:rPr>
        <w:t>(Ο.Δ.Δ.Η.Χ.)</w:t>
      </w:r>
      <w:r>
        <w:rPr>
          <w:spacing w:val="-2"/>
          <w:sz w:val="16"/>
          <w:vertAlign w:val="baseline"/>
        </w:rPr>
        <w:t> </w:t>
      </w:r>
      <w:r>
        <w:rPr>
          <w:sz w:val="16"/>
          <w:vertAlign w:val="baseline"/>
        </w:rPr>
        <w:t>για</w:t>
      </w:r>
      <w:r>
        <w:rPr>
          <w:spacing w:val="-5"/>
          <w:sz w:val="16"/>
          <w:vertAlign w:val="baseline"/>
        </w:rPr>
        <w:t> </w:t>
      </w:r>
      <w:r>
        <w:rPr>
          <w:sz w:val="16"/>
          <w:vertAlign w:val="baseline"/>
        </w:rPr>
        <w:t>την</w:t>
      </w:r>
      <w:r>
        <w:rPr>
          <w:spacing w:val="-3"/>
          <w:sz w:val="16"/>
          <w:vertAlign w:val="baseline"/>
        </w:rPr>
        <w:t> </w:t>
      </w:r>
      <w:r>
        <w:rPr>
          <w:sz w:val="16"/>
          <w:vertAlign w:val="baseline"/>
        </w:rPr>
        <w:t>πραγματοποίηση</w:t>
      </w:r>
      <w:r>
        <w:rPr>
          <w:spacing w:val="-5"/>
          <w:sz w:val="16"/>
          <w:vertAlign w:val="baseline"/>
        </w:rPr>
        <w:t> </w:t>
      </w:r>
      <w:r>
        <w:rPr>
          <w:sz w:val="16"/>
          <w:vertAlign w:val="baseline"/>
        </w:rPr>
        <w:t>του</w:t>
      </w:r>
      <w:r>
        <w:rPr>
          <w:spacing w:val="-2"/>
          <w:sz w:val="16"/>
          <w:vertAlign w:val="baseline"/>
        </w:rPr>
        <w:t> </w:t>
      </w:r>
      <w:r>
        <w:rPr>
          <w:sz w:val="16"/>
          <w:vertAlign w:val="baseline"/>
        </w:rPr>
        <w:t>σκοπού</w:t>
      </w:r>
      <w:r>
        <w:rPr>
          <w:spacing w:val="-5"/>
          <w:sz w:val="16"/>
          <w:vertAlign w:val="baseline"/>
        </w:rPr>
        <w:t> </w:t>
      </w:r>
      <w:r>
        <w:rPr>
          <w:sz w:val="16"/>
          <w:vertAlign w:val="baseline"/>
        </w:rPr>
        <w:t>του</w:t>
      </w:r>
      <w:r>
        <w:rPr>
          <w:spacing w:val="-2"/>
          <w:sz w:val="16"/>
          <w:vertAlign w:val="baseline"/>
        </w:rPr>
        <w:t> </w:t>
      </w:r>
      <w:r>
        <w:rPr>
          <w:sz w:val="16"/>
          <w:vertAlign w:val="baseline"/>
        </w:rPr>
        <w:t>“[δ]ύναται,</w:t>
      </w:r>
      <w:r>
        <w:rPr>
          <w:spacing w:val="-4"/>
          <w:sz w:val="16"/>
          <w:vertAlign w:val="baseline"/>
        </w:rPr>
        <w:t> </w:t>
      </w:r>
      <w:r>
        <w:rPr>
          <w:sz w:val="16"/>
          <w:vertAlign w:val="baseline"/>
        </w:rPr>
        <w:t>ως</w:t>
      </w:r>
      <w:r>
        <w:rPr>
          <w:spacing w:val="-3"/>
          <w:sz w:val="16"/>
          <w:vertAlign w:val="baseline"/>
        </w:rPr>
        <w:t> </w:t>
      </w:r>
      <w:r>
        <w:rPr>
          <w:sz w:val="16"/>
          <w:vertAlign w:val="baseline"/>
        </w:rPr>
        <w:t>εντο-λοδόχος και για λογαριασμό του Ελληνικού Δημοσίου και σύμφωνα με τη διαδικασία που προβλέπεται στο ν. 2628/1998 (Α΄ 151),</w:t>
      </w:r>
      <w:r>
        <w:rPr>
          <w:spacing w:val="40"/>
          <w:sz w:val="16"/>
          <w:vertAlign w:val="baseline"/>
        </w:rPr>
        <w:t> </w:t>
      </w:r>
      <w:r>
        <w:rPr>
          <w:sz w:val="16"/>
          <w:vertAlign w:val="baseline"/>
        </w:rPr>
        <w:t>όπως ισχύει, να εκδίδει, να</w:t>
      </w:r>
      <w:r>
        <w:rPr>
          <w:spacing w:val="-1"/>
          <w:sz w:val="16"/>
          <w:vertAlign w:val="baseline"/>
        </w:rPr>
        <w:t> </w:t>
      </w:r>
      <w:r>
        <w:rPr>
          <w:sz w:val="16"/>
          <w:vertAlign w:val="baseline"/>
        </w:rPr>
        <w:t>διακρατεί</w:t>
      </w:r>
      <w:r>
        <w:rPr>
          <w:spacing w:val="-1"/>
          <w:sz w:val="16"/>
          <w:vertAlign w:val="baseline"/>
        </w:rPr>
        <w:t> </w:t>
      </w:r>
      <w:r>
        <w:rPr>
          <w:sz w:val="16"/>
          <w:vertAlign w:val="baseline"/>
        </w:rPr>
        <w:t>και να διαχειρίζεται τίτλους του Ελληνικού Δημόσιου, με αποκλειστικό σκοπό τη χρήση τους</w:t>
      </w:r>
      <w:r>
        <w:rPr>
          <w:spacing w:val="40"/>
          <w:sz w:val="16"/>
          <w:vertAlign w:val="baseline"/>
        </w:rPr>
        <w:t> </w:t>
      </w:r>
      <w:r>
        <w:rPr>
          <w:sz w:val="16"/>
          <w:vertAlign w:val="baseline"/>
        </w:rPr>
        <w:t>για</w:t>
      </w:r>
      <w:r>
        <w:rPr>
          <w:spacing w:val="-2"/>
          <w:sz w:val="16"/>
          <w:vertAlign w:val="baseline"/>
        </w:rPr>
        <w:t> </w:t>
      </w:r>
      <w:r>
        <w:rPr>
          <w:sz w:val="16"/>
          <w:vertAlign w:val="baseline"/>
        </w:rPr>
        <w:t>τη</w:t>
      </w:r>
      <w:r>
        <w:rPr>
          <w:spacing w:val="-1"/>
          <w:sz w:val="16"/>
          <w:vertAlign w:val="baseline"/>
        </w:rPr>
        <w:t> </w:t>
      </w:r>
      <w:r>
        <w:rPr>
          <w:sz w:val="16"/>
          <w:vertAlign w:val="baseline"/>
        </w:rPr>
        <w:t>σύναψη</w:t>
      </w:r>
      <w:r>
        <w:rPr>
          <w:spacing w:val="-2"/>
          <w:sz w:val="16"/>
          <w:vertAlign w:val="baseline"/>
        </w:rPr>
        <w:t> </w:t>
      </w:r>
      <w:r>
        <w:rPr>
          <w:sz w:val="16"/>
          <w:vertAlign w:val="baseline"/>
        </w:rPr>
        <w:t>πράξεων</w:t>
      </w:r>
      <w:r>
        <w:rPr>
          <w:spacing w:val="-2"/>
          <w:sz w:val="16"/>
          <w:vertAlign w:val="baseline"/>
        </w:rPr>
        <w:t> </w:t>
      </w:r>
      <w:r>
        <w:rPr>
          <w:sz w:val="16"/>
          <w:vertAlign w:val="baseline"/>
        </w:rPr>
        <w:t>πώλησης</w:t>
      </w:r>
      <w:r>
        <w:rPr>
          <w:spacing w:val="-3"/>
          <w:sz w:val="16"/>
          <w:vertAlign w:val="baseline"/>
        </w:rPr>
        <w:t> </w:t>
      </w:r>
      <w:r>
        <w:rPr>
          <w:sz w:val="16"/>
          <w:vertAlign w:val="baseline"/>
        </w:rPr>
        <w:t>με</w:t>
      </w:r>
      <w:r>
        <w:rPr>
          <w:spacing w:val="-4"/>
          <w:sz w:val="16"/>
          <w:vertAlign w:val="baseline"/>
        </w:rPr>
        <w:t> </w:t>
      </w:r>
      <w:r>
        <w:rPr>
          <w:sz w:val="16"/>
          <w:vertAlign w:val="baseline"/>
        </w:rPr>
        <w:t>συμφωνία</w:t>
      </w:r>
      <w:r>
        <w:rPr>
          <w:spacing w:val="-2"/>
          <w:sz w:val="16"/>
          <w:vertAlign w:val="baseline"/>
        </w:rPr>
        <w:t> </w:t>
      </w:r>
      <w:r>
        <w:rPr>
          <w:sz w:val="16"/>
          <w:vertAlign w:val="baseline"/>
        </w:rPr>
        <w:t>επαναγοράς</w:t>
      </w:r>
      <w:r>
        <w:rPr>
          <w:spacing w:val="-1"/>
          <w:sz w:val="16"/>
          <w:vertAlign w:val="baseline"/>
        </w:rPr>
        <w:t> </w:t>
      </w:r>
      <w:r>
        <w:rPr>
          <w:sz w:val="16"/>
          <w:vertAlign w:val="baseline"/>
        </w:rPr>
        <w:t>(repos)</w:t>
      </w:r>
      <w:r>
        <w:rPr>
          <w:spacing w:val="-3"/>
          <w:sz w:val="16"/>
          <w:vertAlign w:val="baseline"/>
        </w:rPr>
        <w:t> </w:t>
      </w:r>
      <w:r>
        <w:rPr>
          <w:sz w:val="16"/>
          <w:vertAlign w:val="baseline"/>
        </w:rPr>
        <w:t>ή</w:t>
      </w:r>
      <w:r>
        <w:rPr>
          <w:spacing w:val="-4"/>
          <w:sz w:val="16"/>
          <w:vertAlign w:val="baseline"/>
        </w:rPr>
        <w:t> </w:t>
      </w:r>
      <w:r>
        <w:rPr>
          <w:sz w:val="16"/>
          <w:vertAlign w:val="baseline"/>
        </w:rPr>
        <w:t>για</w:t>
      </w:r>
      <w:r>
        <w:rPr>
          <w:spacing w:val="-2"/>
          <w:sz w:val="16"/>
          <w:vertAlign w:val="baseline"/>
        </w:rPr>
        <w:t> </w:t>
      </w:r>
      <w:r>
        <w:rPr>
          <w:sz w:val="16"/>
          <w:vertAlign w:val="baseline"/>
        </w:rPr>
        <w:t>την</w:t>
      </w:r>
      <w:r>
        <w:rPr>
          <w:spacing w:val="-3"/>
          <w:sz w:val="16"/>
          <w:vertAlign w:val="baseline"/>
        </w:rPr>
        <w:t> </w:t>
      </w:r>
      <w:r>
        <w:rPr>
          <w:sz w:val="16"/>
          <w:vertAlign w:val="baseline"/>
        </w:rPr>
        <w:t>παροχή</w:t>
      </w:r>
      <w:r>
        <w:rPr>
          <w:spacing w:val="-4"/>
          <w:sz w:val="16"/>
          <w:vertAlign w:val="baseline"/>
        </w:rPr>
        <w:t> </w:t>
      </w:r>
      <w:r>
        <w:rPr>
          <w:sz w:val="16"/>
          <w:vertAlign w:val="baseline"/>
        </w:rPr>
        <w:t>εξασφάλισης</w:t>
      </w:r>
      <w:r>
        <w:rPr>
          <w:spacing w:val="-1"/>
          <w:sz w:val="16"/>
          <w:vertAlign w:val="baseline"/>
        </w:rPr>
        <w:t> </w:t>
      </w:r>
      <w:r>
        <w:rPr>
          <w:sz w:val="16"/>
          <w:vertAlign w:val="baseline"/>
        </w:rPr>
        <w:t>σε πράξεις</w:t>
      </w:r>
      <w:r>
        <w:rPr>
          <w:spacing w:val="-1"/>
          <w:sz w:val="16"/>
          <w:vertAlign w:val="baseline"/>
        </w:rPr>
        <w:t> </w:t>
      </w:r>
      <w:r>
        <w:rPr>
          <w:sz w:val="16"/>
          <w:vertAlign w:val="baseline"/>
        </w:rPr>
        <w:t>αντιστάθμισης</w:t>
      </w:r>
      <w:r>
        <w:rPr>
          <w:spacing w:val="-1"/>
          <w:sz w:val="16"/>
          <w:vertAlign w:val="baseline"/>
        </w:rPr>
        <w:t> </w:t>
      </w:r>
      <w:r>
        <w:rPr>
          <w:sz w:val="16"/>
          <w:vertAlign w:val="baseline"/>
        </w:rPr>
        <w:t>κινδύ-νων (hedging), επί του συνόλου του χρέους του Ελληνικού Δημοσίου, διενεργώντας ταυτόχρονα και τον ταμειακό τους διακανονι-</w:t>
      </w:r>
      <w:r>
        <w:rPr>
          <w:spacing w:val="-2"/>
          <w:sz w:val="16"/>
          <w:vertAlign w:val="baseline"/>
        </w:rPr>
        <w:t>σμό”.</w:t>
      </w:r>
    </w:p>
    <w:p>
      <w:pPr>
        <w:spacing w:after="0"/>
        <w:jc w:val="both"/>
        <w:rPr>
          <w:sz w:val="16"/>
        </w:rPr>
        <w:sectPr>
          <w:pgSz w:w="11910" w:h="16850"/>
          <w:pgMar w:header="0" w:footer="1262" w:top="1840" w:bottom="1460" w:left="1417" w:right="850"/>
        </w:sectPr>
      </w:pPr>
    </w:p>
    <w:p>
      <w:pPr>
        <w:pStyle w:val="BodyText"/>
        <w:spacing w:before="61"/>
        <w:rPr>
          <w:sz w:val="20"/>
        </w:rPr>
      </w:pPr>
    </w:p>
    <w:p>
      <w:pPr>
        <w:spacing w:line="240" w:lineRule="auto"/>
        <w:ind w:left="172" w:right="0" w:firstLine="0"/>
        <w:rPr>
          <w:sz w:val="20"/>
        </w:rPr>
      </w:pPr>
      <w:r>
        <w:rPr>
          <w:sz w:val="20"/>
        </w:rPr>
        <mc:AlternateContent>
          <mc:Choice Requires="wps">
            <w:drawing>
              <wp:inline distT="0" distB="0" distL="0" distR="0">
                <wp:extent cx="5508625" cy="3132455"/>
                <wp:effectExtent l="0" t="0" r="0" b="1269"/>
                <wp:docPr id="778" name="Group 778"/>
                <wp:cNvGraphicFramePr>
                  <a:graphicFrameLocks/>
                </wp:cNvGraphicFramePr>
                <a:graphic>
                  <a:graphicData uri="http://schemas.microsoft.com/office/word/2010/wordprocessingGroup">
                    <wpg:wgp>
                      <wpg:cNvPr id="778" name="Group 778"/>
                      <wpg:cNvGrpSpPr/>
                      <wpg:grpSpPr>
                        <a:xfrm>
                          <a:off x="0" y="0"/>
                          <a:ext cx="5508625" cy="3132455"/>
                          <a:chExt cx="5508625" cy="3132455"/>
                        </a:xfrm>
                      </wpg:grpSpPr>
                      <wps:wsp>
                        <wps:cNvPr id="779" name="Graphic 779"/>
                        <wps:cNvSpPr/>
                        <wps:spPr>
                          <a:xfrm>
                            <a:off x="0" y="338454"/>
                            <a:ext cx="5508625" cy="2794000"/>
                          </a:xfrm>
                          <a:custGeom>
                            <a:avLst/>
                            <a:gdLst/>
                            <a:ahLst/>
                            <a:cxnLst/>
                            <a:rect l="l" t="t" r="r" b="b"/>
                            <a:pathLst>
                              <a:path w="5508625" h="2794000">
                                <a:moveTo>
                                  <a:pt x="5508612" y="0"/>
                                </a:moveTo>
                                <a:lnTo>
                                  <a:pt x="0" y="0"/>
                                </a:lnTo>
                                <a:lnTo>
                                  <a:pt x="0" y="2575814"/>
                                </a:lnTo>
                                <a:lnTo>
                                  <a:pt x="0" y="2793746"/>
                                </a:lnTo>
                                <a:lnTo>
                                  <a:pt x="5508612" y="2793746"/>
                                </a:lnTo>
                                <a:lnTo>
                                  <a:pt x="5508612" y="2575814"/>
                                </a:lnTo>
                                <a:lnTo>
                                  <a:pt x="5508612" y="0"/>
                                </a:lnTo>
                                <a:close/>
                              </a:path>
                            </a:pathLst>
                          </a:custGeom>
                          <a:solidFill>
                            <a:srgbClr val="D9D9D9"/>
                          </a:solidFill>
                        </wps:spPr>
                        <wps:bodyPr wrap="square" lIns="0" tIns="0" rIns="0" bIns="0" rtlCol="0">
                          <a:prstTxWarp prst="textNoShape">
                            <a:avLst/>
                          </a:prstTxWarp>
                          <a:noAutofit/>
                        </wps:bodyPr>
                      </wps:wsp>
                      <pic:pic>
                        <pic:nvPicPr>
                          <pic:cNvPr id="780" name="Image 780"/>
                          <pic:cNvPicPr/>
                        </pic:nvPicPr>
                        <pic:blipFill>
                          <a:blip r:embed="rId147" cstate="print"/>
                          <a:stretch>
                            <a:fillRect/>
                          </a:stretch>
                        </pic:blipFill>
                        <pic:spPr>
                          <a:xfrm>
                            <a:off x="109042" y="338200"/>
                            <a:ext cx="5398389" cy="2575432"/>
                          </a:xfrm>
                          <a:prstGeom prst="rect">
                            <a:avLst/>
                          </a:prstGeom>
                        </pic:spPr>
                      </pic:pic>
                      <wps:wsp>
                        <wps:cNvPr id="781" name="Textbox 781"/>
                        <wps:cNvSpPr txBox="1"/>
                        <wps:spPr>
                          <a:xfrm>
                            <a:off x="71627" y="2993997"/>
                            <a:ext cx="1056640" cy="98425"/>
                          </a:xfrm>
                          <a:prstGeom prst="rect">
                            <a:avLst/>
                          </a:prstGeom>
                        </wps:spPr>
                        <wps:txbx>
                          <w:txbxContent>
                            <w:p>
                              <w:pPr>
                                <w:spacing w:line="154" w:lineRule="exact" w:before="0"/>
                                <w:ind w:left="0"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wps:txbx>
                        <wps:bodyPr wrap="square" lIns="0" tIns="0" rIns="0" bIns="0" rtlCol="0">
                          <a:noAutofit/>
                        </wps:bodyPr>
                      </wps:wsp>
                      <wps:wsp>
                        <wps:cNvPr id="782" name="Textbox 782"/>
                        <wps:cNvSpPr txBox="1"/>
                        <wps:spPr>
                          <a:xfrm>
                            <a:off x="0" y="0"/>
                            <a:ext cx="5508625" cy="338455"/>
                          </a:xfrm>
                          <a:prstGeom prst="rect">
                            <a:avLst/>
                          </a:prstGeom>
                          <a:solidFill>
                            <a:srgbClr val="1F487C"/>
                          </a:solidFill>
                        </wps:spPr>
                        <wps:txbx>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4"/>
                                  <w:sz w:val="18"/>
                                </w:rPr>
                                <w:t> </w:t>
                              </w:r>
                              <w:r>
                                <w:rPr>
                                  <w:b/>
                                  <w:smallCaps w:val="0"/>
                                  <w:color w:val="FFFFFF"/>
                                  <w:sz w:val="18"/>
                                </w:rPr>
                                <w:t>VI.7</w:t>
                              </w:r>
                              <w:r>
                                <w:rPr>
                                  <w:b/>
                                  <w:smallCaps w:val="0"/>
                                  <w:color w:val="FFFFFF"/>
                                  <w:spacing w:val="-3"/>
                                  <w:sz w:val="18"/>
                                </w:rPr>
                                <w:t> </w:t>
                              </w:r>
                              <w:r>
                                <w:rPr>
                                  <w:b/>
                                  <w:smallCaps w:val="0"/>
                                  <w:color w:val="FFFFFF"/>
                                  <w:sz w:val="18"/>
                                </w:rPr>
                                <w:t>Μέσος</w:t>
                              </w:r>
                              <w:r>
                                <w:rPr>
                                  <w:b/>
                                  <w:smallCaps w:val="0"/>
                                  <w:color w:val="FFFFFF"/>
                                  <w:spacing w:val="-6"/>
                                  <w:sz w:val="18"/>
                                </w:rPr>
                                <w:t> </w:t>
                              </w:r>
                              <w:r>
                                <w:rPr>
                                  <w:b/>
                                  <w:smallCaps w:val="0"/>
                                  <w:color w:val="FFFFFF"/>
                                  <w:sz w:val="18"/>
                                </w:rPr>
                                <w:t>ημερήσ</w:t>
                              </w:r>
                              <w:r>
                                <w:rPr>
                                  <w:b/>
                                  <w:smallCaps/>
                                  <w:color w:val="FFFFFF"/>
                                  <w:sz w:val="18"/>
                                </w:rPr>
                                <w:t>ιο</w:t>
                              </w:r>
                              <w:r>
                                <w:rPr>
                                  <w:b/>
                                  <w:smallCaps w:val="0"/>
                                  <w:color w:val="FFFFFF"/>
                                  <w:sz w:val="18"/>
                                </w:rPr>
                                <w:t>ς</w:t>
                              </w:r>
                              <w:r>
                                <w:rPr>
                                  <w:b/>
                                  <w:smallCaps w:val="0"/>
                                  <w:color w:val="FFFFFF"/>
                                  <w:spacing w:val="-3"/>
                                  <w:sz w:val="18"/>
                                </w:rPr>
                                <w:t> </w:t>
                              </w:r>
                              <w:r>
                                <w:rPr>
                                  <w:b/>
                                  <w:smallCaps w:val="0"/>
                                  <w:color w:val="FFFFFF"/>
                                  <w:sz w:val="18"/>
                                </w:rPr>
                                <w:t>όγκος</w:t>
                              </w:r>
                              <w:r>
                                <w:rPr>
                                  <w:b/>
                                  <w:smallCaps w:val="0"/>
                                  <w:color w:val="FFFFFF"/>
                                  <w:spacing w:val="-6"/>
                                  <w:sz w:val="18"/>
                                </w:rPr>
                                <w:t> </w:t>
                              </w:r>
                              <w:r>
                                <w:rPr>
                                  <w:b/>
                                  <w:smallCaps w:val="0"/>
                                  <w:color w:val="FFFFFF"/>
                                  <w:sz w:val="18"/>
                                </w:rPr>
                                <w:t>κα</w:t>
                              </w:r>
                              <w:r>
                                <w:rPr>
                                  <w:b/>
                                  <w:smallCaps/>
                                  <w:color w:val="FFFFFF"/>
                                  <w:sz w:val="18"/>
                                </w:rPr>
                                <w:t>ι</w:t>
                              </w:r>
                              <w:r>
                                <w:rPr>
                                  <w:b/>
                                  <w:smallCaps w:val="0"/>
                                  <w:color w:val="FFFFFF"/>
                                  <w:spacing w:val="-6"/>
                                  <w:sz w:val="18"/>
                                </w:rPr>
                                <w:t> </w:t>
                              </w:r>
                              <w:r>
                                <w:rPr>
                                  <w:b/>
                                  <w:smallCaps w:val="0"/>
                                  <w:color w:val="FFFFFF"/>
                                  <w:sz w:val="18"/>
                                </w:rPr>
                                <w:t>μέση</w:t>
                              </w:r>
                              <w:r>
                                <w:rPr>
                                  <w:b/>
                                  <w:smallCaps w:val="0"/>
                                  <w:color w:val="FFFFFF"/>
                                  <w:spacing w:val="-5"/>
                                  <w:sz w:val="18"/>
                                </w:rPr>
                                <w:t> </w:t>
                              </w:r>
                              <w:r>
                                <w:rPr>
                                  <w:b/>
                                  <w:smallCaps w:val="0"/>
                                  <w:color w:val="FFFFFF"/>
                                  <w:sz w:val="18"/>
                                </w:rPr>
                                <w:t>ημερήσ</w:t>
                              </w:r>
                              <w:r>
                                <w:rPr>
                                  <w:b/>
                                  <w:smallCaps/>
                                  <w:color w:val="FFFFFF"/>
                                  <w:sz w:val="18"/>
                                </w:rPr>
                                <w:t>ι</w:t>
                              </w:r>
                              <w:r>
                                <w:rPr>
                                  <w:b/>
                                  <w:smallCaps w:val="0"/>
                                  <w:color w:val="FFFFFF"/>
                                  <w:sz w:val="18"/>
                                </w:rPr>
                                <w:t>α</w:t>
                              </w:r>
                              <w:r>
                                <w:rPr>
                                  <w:b/>
                                  <w:smallCaps w:val="0"/>
                                  <w:color w:val="FFFFFF"/>
                                  <w:spacing w:val="-4"/>
                                  <w:sz w:val="18"/>
                                </w:rPr>
                                <w:t> </w:t>
                              </w:r>
                              <w:r>
                                <w:rPr>
                                  <w:b/>
                                  <w:smallCaps w:val="0"/>
                                  <w:color w:val="FFFFFF"/>
                                  <w:sz w:val="18"/>
                                </w:rPr>
                                <w:t>αξία</w:t>
                              </w:r>
                              <w:r>
                                <w:rPr>
                                  <w:b/>
                                  <w:smallCaps w:val="0"/>
                                  <w:color w:val="FFFFFF"/>
                                  <w:spacing w:val="-4"/>
                                  <w:sz w:val="18"/>
                                </w:rPr>
                                <w:t> </w:t>
                              </w:r>
                              <w:r>
                                <w:rPr>
                                  <w:b/>
                                  <w:smallCaps w:val="0"/>
                                  <w:color w:val="FFFFFF"/>
                                  <w:sz w:val="18"/>
                                </w:rPr>
                                <w:t>συναλλαγών</w:t>
                              </w:r>
                              <w:r>
                                <w:rPr>
                                  <w:b/>
                                  <w:smallCaps w:val="0"/>
                                  <w:color w:val="FFFFFF"/>
                                  <w:spacing w:val="-5"/>
                                  <w:sz w:val="18"/>
                                </w:rPr>
                                <w:t> </w:t>
                              </w:r>
                              <w:r>
                                <w:rPr>
                                  <w:b/>
                                  <w:smallCaps w:val="0"/>
                                  <w:color w:val="FFFFFF"/>
                                  <w:sz w:val="18"/>
                                </w:rPr>
                                <w:t>στο</w:t>
                              </w:r>
                              <w:r>
                                <w:rPr>
                                  <w:b/>
                                  <w:smallCaps w:val="0"/>
                                  <w:color w:val="FFFFFF"/>
                                  <w:spacing w:val="-5"/>
                                  <w:sz w:val="18"/>
                                </w:rPr>
                                <w:t> </w:t>
                              </w:r>
                              <w:r>
                                <w:rPr>
                                  <w:b/>
                                  <w:smallCaps w:val="0"/>
                                  <w:color w:val="FFFFFF"/>
                                  <w:sz w:val="18"/>
                                </w:rPr>
                                <w:t>Σύστημα</w:t>
                              </w:r>
                              <w:r>
                                <w:rPr>
                                  <w:b/>
                                  <w:smallCaps w:val="0"/>
                                  <w:color w:val="FFFFFF"/>
                                  <w:spacing w:val="-6"/>
                                  <w:sz w:val="18"/>
                                </w:rPr>
                                <w:t> </w:t>
                              </w:r>
                              <w:r>
                                <w:rPr>
                                  <w:b/>
                                  <w:smallCaps w:val="0"/>
                                  <w:color w:val="FFFFFF"/>
                                  <w:sz w:val="18"/>
                                </w:rPr>
                                <w:t>Άυλων</w:t>
                              </w:r>
                              <w:r>
                                <w:rPr>
                                  <w:b/>
                                  <w:smallCaps w:val="0"/>
                                  <w:color w:val="FFFFFF"/>
                                  <w:spacing w:val="-3"/>
                                  <w:sz w:val="18"/>
                                </w:rPr>
                                <w:t> </w:t>
                              </w:r>
                              <w:r>
                                <w:rPr>
                                  <w:b/>
                                  <w:smallCaps w:val="0"/>
                                  <w:color w:val="FFFFFF"/>
                                  <w:sz w:val="18"/>
                                </w:rPr>
                                <w:t>Τίτλων</w:t>
                              </w:r>
                              <w:r>
                                <w:rPr>
                                  <w:b/>
                                  <w:smallCaps w:val="0"/>
                                  <w:color w:val="FFFFFF"/>
                                  <w:spacing w:val="-5"/>
                                  <w:sz w:val="18"/>
                                </w:rPr>
                                <w:t> </w:t>
                              </w:r>
                              <w:r>
                                <w:rPr>
                                  <w:b/>
                                  <w:smallCaps w:val="0"/>
                                  <w:color w:val="FFFFFF"/>
                                  <w:sz w:val="18"/>
                                </w:rPr>
                                <w:t>της Τράπεζας της Ελλάδος (2021 – 2025)</w:t>
                              </w:r>
                            </w:p>
                          </w:txbxContent>
                        </wps:txbx>
                        <wps:bodyPr wrap="square" lIns="0" tIns="0" rIns="0" bIns="0" rtlCol="0">
                          <a:noAutofit/>
                        </wps:bodyPr>
                      </wps:wsp>
                    </wpg:wgp>
                  </a:graphicData>
                </a:graphic>
              </wp:inline>
            </w:drawing>
          </mc:Choice>
          <mc:Fallback>
            <w:pict>
              <v:group style="width:433.75pt;height:246.65pt;mso-position-horizontal-relative:char;mso-position-vertical-relative:line" id="docshapegroup727" coordorigin="0,0" coordsize="8675,4933">
                <v:shape style="position:absolute;left:0;top:533;width:8675;height:4400" id="docshape728" coordorigin="0,533" coordsize="8675,4400" path="m8675,533l0,533,0,4589,0,4933,8675,4933,8675,4589,8675,533xe" filled="true" fillcolor="#d9d9d9" stroked="false">
                  <v:path arrowok="t"/>
                  <v:fill type="solid"/>
                </v:shape>
                <v:shape style="position:absolute;left:171;top:532;width:8502;height:4056" type="#_x0000_t75" id="docshape729" stroked="false">
                  <v:imagedata r:id="rId147" o:title=""/>
                </v:shape>
                <v:shape style="position:absolute;left:112;top:4714;width:1664;height:155" type="#_x0000_t202" id="docshape730" filled="false" stroked="false">
                  <v:textbox inset="0,0,0,0">
                    <w:txbxContent>
                      <w:p>
                        <w:pPr>
                          <w:spacing w:line="154" w:lineRule="exact" w:before="0"/>
                          <w:ind w:left="0" w:right="0" w:firstLine="0"/>
                          <w:jc w:val="left"/>
                          <w:rPr>
                            <w:sz w:val="14"/>
                          </w:rPr>
                        </w:pPr>
                        <w:r>
                          <w:rPr>
                            <w:sz w:val="14"/>
                          </w:rPr>
                          <w:t>Πηγή:</w:t>
                        </w:r>
                        <w:r>
                          <w:rPr>
                            <w:spacing w:val="-6"/>
                            <w:sz w:val="14"/>
                          </w:rPr>
                          <w:t> </w:t>
                        </w:r>
                        <w:r>
                          <w:rPr>
                            <w:sz w:val="14"/>
                          </w:rPr>
                          <w:t>Τράπεζα</w:t>
                        </w:r>
                        <w:r>
                          <w:rPr>
                            <w:spacing w:val="-5"/>
                            <w:sz w:val="14"/>
                          </w:rPr>
                          <w:t> </w:t>
                        </w:r>
                        <w:r>
                          <w:rPr>
                            <w:sz w:val="14"/>
                          </w:rPr>
                          <w:t>της</w:t>
                        </w:r>
                        <w:r>
                          <w:rPr>
                            <w:spacing w:val="-2"/>
                            <w:sz w:val="14"/>
                          </w:rPr>
                          <w:t> Ελλάδος.</w:t>
                        </w:r>
                      </w:p>
                    </w:txbxContent>
                  </v:textbox>
                  <w10:wrap type="none"/>
                </v:shape>
                <v:shape style="position:absolute;left:0;top:0;width:8675;height:533" type="#_x0000_t202" id="docshape731" filled="true" fillcolor="#1f487c" stroked="false">
                  <v:textbox inset="0,0,0,0">
                    <w:txbxContent>
                      <w:p>
                        <w:pPr>
                          <w:spacing w:before="60"/>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4"/>
                            <w:sz w:val="18"/>
                          </w:rPr>
                          <w:t> </w:t>
                        </w:r>
                        <w:r>
                          <w:rPr>
                            <w:b/>
                            <w:smallCaps w:val="0"/>
                            <w:color w:val="FFFFFF"/>
                            <w:sz w:val="18"/>
                          </w:rPr>
                          <w:t>VI.7</w:t>
                        </w:r>
                        <w:r>
                          <w:rPr>
                            <w:b/>
                            <w:smallCaps w:val="0"/>
                            <w:color w:val="FFFFFF"/>
                            <w:spacing w:val="-3"/>
                            <w:sz w:val="18"/>
                          </w:rPr>
                          <w:t> </w:t>
                        </w:r>
                        <w:r>
                          <w:rPr>
                            <w:b/>
                            <w:smallCaps w:val="0"/>
                            <w:color w:val="FFFFFF"/>
                            <w:sz w:val="18"/>
                          </w:rPr>
                          <w:t>Μέσος</w:t>
                        </w:r>
                        <w:r>
                          <w:rPr>
                            <w:b/>
                            <w:smallCaps w:val="0"/>
                            <w:color w:val="FFFFFF"/>
                            <w:spacing w:val="-6"/>
                            <w:sz w:val="18"/>
                          </w:rPr>
                          <w:t> </w:t>
                        </w:r>
                        <w:r>
                          <w:rPr>
                            <w:b/>
                            <w:smallCaps w:val="0"/>
                            <w:color w:val="FFFFFF"/>
                            <w:sz w:val="18"/>
                          </w:rPr>
                          <w:t>ημερήσ</w:t>
                        </w:r>
                        <w:r>
                          <w:rPr>
                            <w:b/>
                            <w:smallCaps/>
                            <w:color w:val="FFFFFF"/>
                            <w:sz w:val="18"/>
                          </w:rPr>
                          <w:t>ιο</w:t>
                        </w:r>
                        <w:r>
                          <w:rPr>
                            <w:b/>
                            <w:smallCaps w:val="0"/>
                            <w:color w:val="FFFFFF"/>
                            <w:sz w:val="18"/>
                          </w:rPr>
                          <w:t>ς</w:t>
                        </w:r>
                        <w:r>
                          <w:rPr>
                            <w:b/>
                            <w:smallCaps w:val="0"/>
                            <w:color w:val="FFFFFF"/>
                            <w:spacing w:val="-3"/>
                            <w:sz w:val="18"/>
                          </w:rPr>
                          <w:t> </w:t>
                        </w:r>
                        <w:r>
                          <w:rPr>
                            <w:b/>
                            <w:smallCaps w:val="0"/>
                            <w:color w:val="FFFFFF"/>
                            <w:sz w:val="18"/>
                          </w:rPr>
                          <w:t>όγκος</w:t>
                        </w:r>
                        <w:r>
                          <w:rPr>
                            <w:b/>
                            <w:smallCaps w:val="0"/>
                            <w:color w:val="FFFFFF"/>
                            <w:spacing w:val="-6"/>
                            <w:sz w:val="18"/>
                          </w:rPr>
                          <w:t> </w:t>
                        </w:r>
                        <w:r>
                          <w:rPr>
                            <w:b/>
                            <w:smallCaps w:val="0"/>
                            <w:color w:val="FFFFFF"/>
                            <w:sz w:val="18"/>
                          </w:rPr>
                          <w:t>κα</w:t>
                        </w:r>
                        <w:r>
                          <w:rPr>
                            <w:b/>
                            <w:smallCaps/>
                            <w:color w:val="FFFFFF"/>
                            <w:sz w:val="18"/>
                          </w:rPr>
                          <w:t>ι</w:t>
                        </w:r>
                        <w:r>
                          <w:rPr>
                            <w:b/>
                            <w:smallCaps w:val="0"/>
                            <w:color w:val="FFFFFF"/>
                            <w:spacing w:val="-6"/>
                            <w:sz w:val="18"/>
                          </w:rPr>
                          <w:t> </w:t>
                        </w:r>
                        <w:r>
                          <w:rPr>
                            <w:b/>
                            <w:smallCaps w:val="0"/>
                            <w:color w:val="FFFFFF"/>
                            <w:sz w:val="18"/>
                          </w:rPr>
                          <w:t>μέση</w:t>
                        </w:r>
                        <w:r>
                          <w:rPr>
                            <w:b/>
                            <w:smallCaps w:val="0"/>
                            <w:color w:val="FFFFFF"/>
                            <w:spacing w:val="-5"/>
                            <w:sz w:val="18"/>
                          </w:rPr>
                          <w:t> </w:t>
                        </w:r>
                        <w:r>
                          <w:rPr>
                            <w:b/>
                            <w:smallCaps w:val="0"/>
                            <w:color w:val="FFFFFF"/>
                            <w:sz w:val="18"/>
                          </w:rPr>
                          <w:t>ημερήσ</w:t>
                        </w:r>
                        <w:r>
                          <w:rPr>
                            <w:b/>
                            <w:smallCaps/>
                            <w:color w:val="FFFFFF"/>
                            <w:sz w:val="18"/>
                          </w:rPr>
                          <w:t>ι</w:t>
                        </w:r>
                        <w:r>
                          <w:rPr>
                            <w:b/>
                            <w:smallCaps w:val="0"/>
                            <w:color w:val="FFFFFF"/>
                            <w:sz w:val="18"/>
                          </w:rPr>
                          <w:t>α</w:t>
                        </w:r>
                        <w:r>
                          <w:rPr>
                            <w:b/>
                            <w:smallCaps w:val="0"/>
                            <w:color w:val="FFFFFF"/>
                            <w:spacing w:val="-4"/>
                            <w:sz w:val="18"/>
                          </w:rPr>
                          <w:t> </w:t>
                        </w:r>
                        <w:r>
                          <w:rPr>
                            <w:b/>
                            <w:smallCaps w:val="0"/>
                            <w:color w:val="FFFFFF"/>
                            <w:sz w:val="18"/>
                          </w:rPr>
                          <w:t>αξία</w:t>
                        </w:r>
                        <w:r>
                          <w:rPr>
                            <w:b/>
                            <w:smallCaps w:val="0"/>
                            <w:color w:val="FFFFFF"/>
                            <w:spacing w:val="-4"/>
                            <w:sz w:val="18"/>
                          </w:rPr>
                          <w:t> </w:t>
                        </w:r>
                        <w:r>
                          <w:rPr>
                            <w:b/>
                            <w:smallCaps w:val="0"/>
                            <w:color w:val="FFFFFF"/>
                            <w:sz w:val="18"/>
                          </w:rPr>
                          <w:t>συναλλαγών</w:t>
                        </w:r>
                        <w:r>
                          <w:rPr>
                            <w:b/>
                            <w:smallCaps w:val="0"/>
                            <w:color w:val="FFFFFF"/>
                            <w:spacing w:val="-5"/>
                            <w:sz w:val="18"/>
                          </w:rPr>
                          <w:t> </w:t>
                        </w:r>
                        <w:r>
                          <w:rPr>
                            <w:b/>
                            <w:smallCaps w:val="0"/>
                            <w:color w:val="FFFFFF"/>
                            <w:sz w:val="18"/>
                          </w:rPr>
                          <w:t>στο</w:t>
                        </w:r>
                        <w:r>
                          <w:rPr>
                            <w:b/>
                            <w:smallCaps w:val="0"/>
                            <w:color w:val="FFFFFF"/>
                            <w:spacing w:val="-5"/>
                            <w:sz w:val="18"/>
                          </w:rPr>
                          <w:t> </w:t>
                        </w:r>
                        <w:r>
                          <w:rPr>
                            <w:b/>
                            <w:smallCaps w:val="0"/>
                            <w:color w:val="FFFFFF"/>
                            <w:sz w:val="18"/>
                          </w:rPr>
                          <w:t>Σύστημα</w:t>
                        </w:r>
                        <w:r>
                          <w:rPr>
                            <w:b/>
                            <w:smallCaps w:val="0"/>
                            <w:color w:val="FFFFFF"/>
                            <w:spacing w:val="-6"/>
                            <w:sz w:val="18"/>
                          </w:rPr>
                          <w:t> </w:t>
                        </w:r>
                        <w:r>
                          <w:rPr>
                            <w:b/>
                            <w:smallCaps w:val="0"/>
                            <w:color w:val="FFFFFF"/>
                            <w:sz w:val="18"/>
                          </w:rPr>
                          <w:t>Άυλων</w:t>
                        </w:r>
                        <w:r>
                          <w:rPr>
                            <w:b/>
                            <w:smallCaps w:val="0"/>
                            <w:color w:val="FFFFFF"/>
                            <w:spacing w:val="-3"/>
                            <w:sz w:val="18"/>
                          </w:rPr>
                          <w:t> </w:t>
                        </w:r>
                        <w:r>
                          <w:rPr>
                            <w:b/>
                            <w:smallCaps w:val="0"/>
                            <w:color w:val="FFFFFF"/>
                            <w:sz w:val="18"/>
                          </w:rPr>
                          <w:t>Τίτλων</w:t>
                        </w:r>
                        <w:r>
                          <w:rPr>
                            <w:b/>
                            <w:smallCaps w:val="0"/>
                            <w:color w:val="FFFFFF"/>
                            <w:spacing w:val="-5"/>
                            <w:sz w:val="18"/>
                          </w:rPr>
                          <w:t> </w:t>
                        </w:r>
                        <w:r>
                          <w:rPr>
                            <w:b/>
                            <w:smallCaps w:val="0"/>
                            <w:color w:val="FFFFFF"/>
                            <w:sz w:val="18"/>
                          </w:rPr>
                          <w:t>της Τράπεζας της Ελλάδος (2021 – 2025)</w:t>
                        </w:r>
                      </w:p>
                    </w:txbxContent>
                  </v:textbox>
                  <v:fill type="solid"/>
                  <w10:wrap type="none"/>
                </v:shape>
              </v:group>
            </w:pict>
          </mc:Fallback>
        </mc:AlternateContent>
      </w:r>
      <w:r>
        <w:rPr>
          <w:sz w:val="20"/>
        </w:rPr>
      </w:r>
    </w:p>
    <w:p>
      <w:pPr>
        <w:pStyle w:val="BodyText"/>
        <w:spacing w:before="174"/>
      </w:pPr>
    </w:p>
    <w:p>
      <w:pPr>
        <w:pStyle w:val="BodyText"/>
        <w:spacing w:line="285" w:lineRule="auto"/>
        <w:ind w:left="172" w:right="955"/>
        <w:jc w:val="both"/>
      </w:pPr>
      <w:r>
        <w:rPr/>
        <w:t>Kατ’ εφαρμογή του Κανονισμού για τα Κεντρικά Αποθετήρια Τίτλων (Central Securities Depositories</w:t>
      </w:r>
      <w:r>
        <w:rPr>
          <w:spacing w:val="-4"/>
        </w:rPr>
        <w:t> </w:t>
      </w:r>
      <w:r>
        <w:rPr/>
        <w:t>Regulation</w:t>
      </w:r>
      <w:r>
        <w:rPr>
          <w:spacing w:val="-6"/>
        </w:rPr>
        <w:t> </w:t>
      </w:r>
      <w:r>
        <w:rPr/>
        <w:t>–</w:t>
      </w:r>
      <w:r>
        <w:rPr>
          <w:spacing w:val="-6"/>
        </w:rPr>
        <w:t> </w:t>
      </w:r>
      <w:r>
        <w:rPr/>
        <w:t>CSDR)</w:t>
      </w:r>
      <w:r>
        <w:rPr>
          <w:spacing w:val="-4"/>
        </w:rPr>
        <w:t> </w:t>
      </w:r>
      <w:r>
        <w:rPr/>
        <w:t>και</w:t>
      </w:r>
      <w:r>
        <w:rPr>
          <w:spacing w:val="-5"/>
        </w:rPr>
        <w:t> </w:t>
      </w:r>
      <w:r>
        <w:rPr/>
        <w:t>των</w:t>
      </w:r>
      <w:r>
        <w:rPr>
          <w:spacing w:val="-4"/>
        </w:rPr>
        <w:t> </w:t>
      </w:r>
      <w:r>
        <w:rPr/>
        <w:t>διατάξεων</w:t>
      </w:r>
      <w:r>
        <w:rPr>
          <w:spacing w:val="-6"/>
        </w:rPr>
        <w:t> </w:t>
      </w:r>
      <w:r>
        <w:rPr/>
        <w:t>που</w:t>
      </w:r>
      <w:r>
        <w:rPr>
          <w:spacing w:val="-4"/>
        </w:rPr>
        <w:t> </w:t>
      </w:r>
      <w:r>
        <w:rPr/>
        <w:t>αφορούν</w:t>
      </w:r>
      <w:r>
        <w:rPr>
          <w:spacing w:val="-6"/>
        </w:rPr>
        <w:t> </w:t>
      </w:r>
      <w:r>
        <w:rPr/>
        <w:t>την</w:t>
      </w:r>
      <w:r>
        <w:rPr>
          <w:spacing w:val="-4"/>
        </w:rPr>
        <w:t> </w:t>
      </w:r>
      <w:r>
        <w:rPr/>
        <w:t>πρόληψη</w:t>
      </w:r>
      <w:r>
        <w:rPr>
          <w:spacing w:val="-7"/>
        </w:rPr>
        <w:t> </w:t>
      </w:r>
      <w:r>
        <w:rPr/>
        <w:t>και</w:t>
      </w:r>
      <w:r>
        <w:rPr>
          <w:spacing w:val="-5"/>
        </w:rPr>
        <w:t> </w:t>
      </w:r>
      <w:r>
        <w:rPr/>
        <w:t>την</w:t>
      </w:r>
      <w:r>
        <w:rPr>
          <w:spacing w:val="-4"/>
        </w:rPr>
        <w:t> </w:t>
      </w:r>
      <w:r>
        <w:rPr/>
        <w:t>αντιμε-τώπιση περιπτώσεων αδυναμίας διακανονισμού, το Σύστημα δημοσιεύει ετήσιες αναφορές για τις συναλλαγές που δεν διακανονίστηκαν λόγω έλλειψης αξιογράφων ή χρηματικού. Σύμφωνα με την ετήσια αναφορά για το 2025, αιτία της αδυναμίας διακανονισμού συναλλαγών την προ-βλεπόμενη ημερομηνία ήταν κυρίως η έλλειψη αξιογράφων και τα ποσοστά των αντίστοιχων συναλλαγών διαμορφώθηκαν σε 0,6% της συνολικής αξίας των συναλλαγών και σε 11,3% του συνολικού όγκου των συναλλαγών, από 0,7% και 9,2% το 2024 αντίστοιχα.</w:t>
      </w:r>
    </w:p>
    <w:p>
      <w:pPr>
        <w:pStyle w:val="Heading3"/>
        <w:numPr>
          <w:ilvl w:val="2"/>
          <w:numId w:val="2"/>
        </w:numPr>
        <w:tabs>
          <w:tab w:pos="738" w:val="left" w:leader="none"/>
        </w:tabs>
        <w:spacing w:line="240" w:lineRule="auto" w:before="76" w:after="0"/>
        <w:ind w:left="738" w:right="1650" w:hanging="567"/>
        <w:jc w:val="left"/>
        <w:rPr>
          <w:color w:val="1F487C"/>
        </w:rPr>
      </w:pPr>
      <w:bookmarkStart w:name="_bookmark170" w:id="171"/>
      <w:bookmarkEnd w:id="171"/>
      <w:r>
        <w:rPr>
          <w:b w:val="0"/>
        </w:rPr>
      </w:r>
      <w:r>
        <w:rPr>
          <w:color w:val="1F487C"/>
        </w:rPr>
        <w:t>ΣΥΣΤΗΜΑ</w:t>
      </w:r>
      <w:r>
        <w:rPr>
          <w:color w:val="1F487C"/>
          <w:spacing w:val="-6"/>
        </w:rPr>
        <w:t> </w:t>
      </w:r>
      <w:r>
        <w:rPr>
          <w:color w:val="1F487C"/>
        </w:rPr>
        <w:t>ΑΫΛΩΝ</w:t>
      </w:r>
      <w:r>
        <w:rPr>
          <w:color w:val="1F487C"/>
          <w:spacing w:val="-6"/>
        </w:rPr>
        <w:t> </w:t>
      </w:r>
      <w:r>
        <w:rPr>
          <w:color w:val="1F487C"/>
        </w:rPr>
        <w:t>ΤΙΤΛΩΝ</w:t>
      </w:r>
      <w:r>
        <w:rPr>
          <w:color w:val="1F487C"/>
          <w:spacing w:val="-6"/>
        </w:rPr>
        <w:t> </w:t>
      </w:r>
      <w:r>
        <w:rPr>
          <w:color w:val="1F487C"/>
        </w:rPr>
        <w:t>ΤΗΣ</w:t>
      </w:r>
      <w:r>
        <w:rPr>
          <w:color w:val="1F487C"/>
          <w:spacing w:val="-5"/>
        </w:rPr>
        <w:t> </w:t>
      </w:r>
      <w:r>
        <w:rPr>
          <w:color w:val="1F487C"/>
        </w:rPr>
        <w:t>ΕΤΑΙΡΙΑΣ</w:t>
      </w:r>
      <w:r>
        <w:rPr>
          <w:color w:val="1F487C"/>
          <w:spacing w:val="-5"/>
        </w:rPr>
        <w:t> </w:t>
      </w:r>
      <w:r>
        <w:rPr>
          <w:color w:val="1F487C"/>
        </w:rPr>
        <w:t>EURONEXT</w:t>
      </w:r>
      <w:r>
        <w:rPr>
          <w:color w:val="1F487C"/>
          <w:spacing w:val="-6"/>
        </w:rPr>
        <w:t> </w:t>
      </w:r>
      <w:r>
        <w:rPr>
          <w:color w:val="1F487C"/>
        </w:rPr>
        <w:t>SECURITIES </w:t>
      </w:r>
      <w:r>
        <w:rPr>
          <w:color w:val="1F487C"/>
          <w:spacing w:val="-2"/>
        </w:rPr>
        <w:t>ATHENS</w:t>
      </w:r>
    </w:p>
    <w:p>
      <w:pPr>
        <w:pStyle w:val="BodyText"/>
        <w:spacing w:line="285" w:lineRule="auto" w:before="94"/>
        <w:ind w:left="172" w:right="958"/>
        <w:jc w:val="both"/>
      </w:pPr>
      <w:r>
        <w:rPr/>
        <w:t>Η δραστηριότητα διακανονισμού στη Euronext Securities Athens</w:t>
      </w:r>
      <w:hyperlink w:history="true" w:anchor="_bookmark171">
        <w:r>
          <w:rPr>
            <w:position w:val="6"/>
            <w:sz w:val="10"/>
          </w:rPr>
          <w:t>114</w:t>
        </w:r>
      </w:hyperlink>
      <w:r>
        <w:rPr>
          <w:spacing w:val="39"/>
          <w:position w:val="6"/>
          <w:sz w:val="10"/>
        </w:rPr>
        <w:t> </w:t>
      </w:r>
      <w:r>
        <w:rPr/>
        <w:t>παρουσίασε το 2025 σημα-ντική</w:t>
      </w:r>
      <w:r>
        <w:rPr>
          <w:spacing w:val="-2"/>
        </w:rPr>
        <w:t> </w:t>
      </w:r>
      <w:r>
        <w:rPr/>
        <w:t>αύξηση</w:t>
      </w:r>
      <w:r>
        <w:rPr>
          <w:spacing w:val="-1"/>
        </w:rPr>
        <w:t> </w:t>
      </w:r>
      <w:r>
        <w:rPr/>
        <w:t>του</w:t>
      </w:r>
      <w:r>
        <w:rPr>
          <w:spacing w:val="-2"/>
        </w:rPr>
        <w:t> </w:t>
      </w:r>
      <w:r>
        <w:rPr/>
        <w:t>αριθμού</w:t>
      </w:r>
      <w:r>
        <w:rPr>
          <w:spacing w:val="-2"/>
        </w:rPr>
        <w:t> </w:t>
      </w:r>
      <w:r>
        <w:rPr/>
        <w:t>των</w:t>
      </w:r>
      <w:r>
        <w:rPr>
          <w:spacing w:val="-2"/>
        </w:rPr>
        <w:t> </w:t>
      </w:r>
      <w:r>
        <w:rPr/>
        <w:t>διακανονισμένων</w:t>
      </w:r>
      <w:r>
        <w:rPr>
          <w:spacing w:val="-2"/>
        </w:rPr>
        <w:t> </w:t>
      </w:r>
      <w:r>
        <w:rPr/>
        <w:t>χρηματιστηριακών</w:t>
      </w:r>
      <w:r>
        <w:rPr>
          <w:spacing w:val="-2"/>
        </w:rPr>
        <w:t> </w:t>
      </w:r>
      <w:r>
        <w:rPr/>
        <w:t>συναλλαγών</w:t>
      </w:r>
      <w:r>
        <w:rPr>
          <w:spacing w:val="-2"/>
        </w:rPr>
        <w:t> </w:t>
      </w:r>
      <w:r>
        <w:rPr/>
        <w:t>και</w:t>
      </w:r>
      <w:r>
        <w:rPr>
          <w:spacing w:val="-1"/>
        </w:rPr>
        <w:t> </w:t>
      </w:r>
      <w:r>
        <w:rPr/>
        <w:t>της</w:t>
      </w:r>
      <w:r>
        <w:rPr>
          <w:spacing w:val="-2"/>
        </w:rPr>
        <w:t> </w:t>
      </w:r>
      <w:r>
        <w:rPr/>
        <w:t>μέσης ημερήσιας αξίας τους έναντι του 2024.</w:t>
      </w:r>
    </w:p>
    <w:p>
      <w:pPr>
        <w:pStyle w:val="BodyText"/>
        <w:spacing w:line="285" w:lineRule="auto" w:before="57"/>
        <w:ind w:left="172" w:right="954"/>
        <w:jc w:val="both"/>
      </w:pPr>
      <w:r>
        <w:rPr/>
        <w:t>Πιο</w:t>
      </w:r>
      <w:r>
        <w:rPr>
          <w:spacing w:val="-6"/>
        </w:rPr>
        <w:t> </w:t>
      </w:r>
      <w:r>
        <w:rPr/>
        <w:t>συγκεκριμένα,</w:t>
      </w:r>
      <w:r>
        <w:rPr>
          <w:spacing w:val="-8"/>
        </w:rPr>
        <w:t> </w:t>
      </w:r>
      <w:r>
        <w:rPr/>
        <w:t>ο</w:t>
      </w:r>
      <w:r>
        <w:rPr>
          <w:spacing w:val="-7"/>
        </w:rPr>
        <w:t> </w:t>
      </w:r>
      <w:r>
        <w:rPr/>
        <w:t>μέσος</w:t>
      </w:r>
      <w:r>
        <w:rPr>
          <w:spacing w:val="-11"/>
        </w:rPr>
        <w:t> </w:t>
      </w:r>
      <w:r>
        <w:rPr/>
        <w:t>ημερήσιος</w:t>
      </w:r>
      <w:r>
        <w:rPr>
          <w:spacing w:val="-8"/>
        </w:rPr>
        <w:t> </w:t>
      </w:r>
      <w:r>
        <w:rPr/>
        <w:t>αριθμός</w:t>
      </w:r>
      <w:r>
        <w:rPr>
          <w:spacing w:val="-9"/>
        </w:rPr>
        <w:t> </w:t>
      </w:r>
      <w:r>
        <w:rPr/>
        <w:t>των</w:t>
      </w:r>
      <w:r>
        <w:rPr>
          <w:spacing w:val="-6"/>
        </w:rPr>
        <w:t> </w:t>
      </w:r>
      <w:r>
        <w:rPr/>
        <w:t>διακανονισμένων</w:t>
      </w:r>
      <w:r>
        <w:rPr>
          <w:spacing w:val="-6"/>
        </w:rPr>
        <w:t> </w:t>
      </w:r>
      <w:r>
        <w:rPr/>
        <w:t>χρηματιστηριακών</w:t>
      </w:r>
      <w:r>
        <w:rPr>
          <w:spacing w:val="-9"/>
        </w:rPr>
        <w:t> </w:t>
      </w:r>
      <w:r>
        <w:rPr/>
        <w:t>συναλ-λαγών το 2025 ανήλθε στις 50.963, παρουσιάζοντας αύξηση 37% έναντι του 2024 (37.246 συ-ναλλαγές).</w:t>
      </w:r>
      <w:r>
        <w:rPr>
          <w:spacing w:val="-4"/>
        </w:rPr>
        <w:t> </w:t>
      </w:r>
      <w:r>
        <w:rPr/>
        <w:t>Παράλληλα,</w:t>
      </w:r>
      <w:r>
        <w:rPr>
          <w:spacing w:val="-4"/>
        </w:rPr>
        <w:t> </w:t>
      </w:r>
      <w:r>
        <w:rPr/>
        <w:t>η</w:t>
      </w:r>
      <w:r>
        <w:rPr>
          <w:spacing w:val="-5"/>
        </w:rPr>
        <w:t> </w:t>
      </w:r>
      <w:r>
        <w:rPr/>
        <w:t>μέση</w:t>
      </w:r>
      <w:r>
        <w:rPr>
          <w:spacing w:val="-4"/>
        </w:rPr>
        <w:t> </w:t>
      </w:r>
      <w:r>
        <w:rPr/>
        <w:t>ημερήσια</w:t>
      </w:r>
      <w:r>
        <w:rPr>
          <w:spacing w:val="-4"/>
        </w:rPr>
        <w:t> </w:t>
      </w:r>
      <w:r>
        <w:rPr/>
        <w:t>αξία</w:t>
      </w:r>
      <w:r>
        <w:rPr>
          <w:spacing w:val="-4"/>
        </w:rPr>
        <w:t> </w:t>
      </w:r>
      <w:r>
        <w:rPr/>
        <w:t>των</w:t>
      </w:r>
      <w:r>
        <w:rPr>
          <w:spacing w:val="-3"/>
        </w:rPr>
        <w:t> </w:t>
      </w:r>
      <w:r>
        <w:rPr/>
        <w:t>διακανονισμένων</w:t>
      </w:r>
      <w:r>
        <w:rPr>
          <w:spacing w:val="-3"/>
        </w:rPr>
        <w:t> </w:t>
      </w:r>
      <w:r>
        <w:rPr/>
        <w:t>χρηματιστηριακών</w:t>
      </w:r>
      <w:r>
        <w:rPr>
          <w:spacing w:val="-3"/>
        </w:rPr>
        <w:t> </w:t>
      </w:r>
      <w:r>
        <w:rPr/>
        <w:t>συναλ-λαγών το 2025 αυξήθηκε κατά 57% έναντι του 2024 και διαμορφώθηκε στα 218,8 εκατ. ευρώ, (βλ. Πίνακα VI.6). Τα μεγέθη αυτά αντανακλούν την εξαιρετική επίδοση της ελληνικής χρημα-τιστηριακής αγοράς κατά το 2025.</w:t>
      </w:r>
    </w:p>
    <w:p>
      <w:pPr>
        <w:pStyle w:val="BodyText"/>
        <w:rPr>
          <w:sz w:val="20"/>
        </w:rPr>
      </w:pPr>
    </w:p>
    <w:p>
      <w:pPr>
        <w:pStyle w:val="BodyText"/>
        <w:rPr>
          <w:sz w:val="20"/>
        </w:rPr>
      </w:pPr>
    </w:p>
    <w:p>
      <w:pPr>
        <w:pStyle w:val="BodyText"/>
        <w:rPr>
          <w:sz w:val="20"/>
        </w:rPr>
      </w:pPr>
    </w:p>
    <w:p>
      <w:pPr>
        <w:pStyle w:val="BodyText"/>
        <w:spacing w:before="153"/>
        <w:rPr>
          <w:sz w:val="20"/>
        </w:rPr>
      </w:pPr>
      <w:r>
        <w:rPr>
          <w:sz w:val="20"/>
        </w:rPr>
        <mc:AlternateContent>
          <mc:Choice Requires="wps">
            <w:drawing>
              <wp:anchor distT="0" distB="0" distL="0" distR="0" allowOverlap="1" layoutInCell="1" locked="0" behindDoc="1" simplePos="0" relativeHeight="487677440">
                <wp:simplePos x="0" y="0"/>
                <wp:positionH relativeFrom="page">
                  <wp:posOffset>1009192</wp:posOffset>
                </wp:positionH>
                <wp:positionV relativeFrom="paragraph">
                  <wp:posOffset>258804</wp:posOffset>
                </wp:positionV>
                <wp:extent cx="1829435" cy="7620"/>
                <wp:effectExtent l="0" t="0" r="0" b="0"/>
                <wp:wrapTopAndBottom/>
                <wp:docPr id="783" name="Graphic 783"/>
                <wp:cNvGraphicFramePr>
                  <a:graphicFrameLocks/>
                </wp:cNvGraphicFramePr>
                <a:graphic>
                  <a:graphicData uri="http://schemas.microsoft.com/office/word/2010/wordprocessingShape">
                    <wps:wsp>
                      <wps:cNvPr id="783" name="Graphic 78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0.378344pt;width:144.020pt;height:.60004pt;mso-position-horizontal-relative:page;mso-position-vertical-relative:paragraph;z-index:-15639040;mso-wrap-distance-left:0;mso-wrap-distance-right:0" id="docshape732" filled="true" fillcolor="#000000" stroked="false">
                <v:fill type="solid"/>
                <w10:wrap type="topAndBottom"/>
              </v:rect>
            </w:pict>
          </mc:Fallback>
        </mc:AlternateContent>
      </w:r>
    </w:p>
    <w:p>
      <w:pPr>
        <w:spacing w:before="167"/>
        <w:ind w:left="172" w:right="962" w:firstLine="0"/>
        <w:jc w:val="both"/>
        <w:rPr>
          <w:sz w:val="16"/>
        </w:rPr>
      </w:pPr>
      <w:bookmarkStart w:name="_bookmark171" w:id="172"/>
      <w:bookmarkEnd w:id="172"/>
      <w:r>
        <w:rPr/>
      </w:r>
      <w:r>
        <w:rPr>
          <w:sz w:val="16"/>
          <w:vertAlign w:val="superscript"/>
        </w:rPr>
        <w:t>114</w:t>
      </w:r>
      <w:r>
        <w:rPr>
          <w:sz w:val="16"/>
          <w:vertAlign w:val="baseline"/>
        </w:rPr>
        <w:t> Στις 20 Απριλίου 2026 η Euronext ανακοίνωσε τη μετονομασία του Ομίλου Χρηματιστηρίου Αθηνών σε Euronext Athens, ολο-κληρώνοντας</w:t>
      </w:r>
      <w:r>
        <w:rPr>
          <w:spacing w:val="-3"/>
          <w:sz w:val="16"/>
          <w:vertAlign w:val="baseline"/>
        </w:rPr>
        <w:t> </w:t>
      </w:r>
      <w:r>
        <w:rPr>
          <w:sz w:val="16"/>
          <w:vertAlign w:val="baseline"/>
        </w:rPr>
        <w:t>την</w:t>
      </w:r>
      <w:r>
        <w:rPr>
          <w:spacing w:val="-5"/>
          <w:sz w:val="16"/>
          <w:vertAlign w:val="baseline"/>
        </w:rPr>
        <w:t> </w:t>
      </w:r>
      <w:r>
        <w:rPr>
          <w:sz w:val="16"/>
          <w:vertAlign w:val="baseline"/>
        </w:rPr>
        <w:t>ενσωμάτωση</w:t>
      </w:r>
      <w:r>
        <w:rPr>
          <w:spacing w:val="-2"/>
          <w:sz w:val="16"/>
          <w:vertAlign w:val="baseline"/>
        </w:rPr>
        <w:t> </w:t>
      </w:r>
      <w:r>
        <w:rPr>
          <w:sz w:val="16"/>
          <w:vertAlign w:val="baseline"/>
        </w:rPr>
        <w:t>της</w:t>
      </w:r>
      <w:r>
        <w:rPr>
          <w:spacing w:val="-3"/>
          <w:sz w:val="16"/>
          <w:vertAlign w:val="baseline"/>
        </w:rPr>
        <w:t> </w:t>
      </w:r>
      <w:r>
        <w:rPr>
          <w:sz w:val="16"/>
          <w:vertAlign w:val="baseline"/>
        </w:rPr>
        <w:t>ελληνικής</w:t>
      </w:r>
      <w:r>
        <w:rPr>
          <w:spacing w:val="-3"/>
          <w:sz w:val="16"/>
          <w:vertAlign w:val="baseline"/>
        </w:rPr>
        <w:t> </w:t>
      </w:r>
      <w:r>
        <w:rPr>
          <w:sz w:val="16"/>
          <w:vertAlign w:val="baseline"/>
        </w:rPr>
        <w:t>κεφαλαιαγοράς</w:t>
      </w:r>
      <w:r>
        <w:rPr>
          <w:spacing w:val="-3"/>
          <w:sz w:val="16"/>
          <w:vertAlign w:val="baseline"/>
        </w:rPr>
        <w:t> </w:t>
      </w:r>
      <w:r>
        <w:rPr>
          <w:sz w:val="16"/>
          <w:vertAlign w:val="baseline"/>
        </w:rPr>
        <w:t>στον</w:t>
      </w:r>
      <w:r>
        <w:rPr>
          <w:spacing w:val="-5"/>
          <w:sz w:val="16"/>
          <w:vertAlign w:val="baseline"/>
        </w:rPr>
        <w:t> </w:t>
      </w:r>
      <w:r>
        <w:rPr>
          <w:sz w:val="16"/>
          <w:vertAlign w:val="baseline"/>
        </w:rPr>
        <w:t>Όμιλο</w:t>
      </w:r>
      <w:r>
        <w:rPr>
          <w:spacing w:val="-3"/>
          <w:sz w:val="16"/>
          <w:vertAlign w:val="baseline"/>
        </w:rPr>
        <w:t> </w:t>
      </w:r>
      <w:r>
        <w:rPr>
          <w:sz w:val="16"/>
          <w:vertAlign w:val="baseline"/>
        </w:rPr>
        <w:t>Euronext.</w:t>
      </w:r>
      <w:r>
        <w:rPr>
          <w:spacing w:val="-1"/>
          <w:sz w:val="16"/>
          <w:vertAlign w:val="baseline"/>
        </w:rPr>
        <w:t> </w:t>
      </w:r>
      <w:r>
        <w:rPr>
          <w:sz w:val="16"/>
          <w:vertAlign w:val="baseline"/>
        </w:rPr>
        <w:t>Στο</w:t>
      </w:r>
      <w:r>
        <w:rPr>
          <w:spacing w:val="-3"/>
          <w:sz w:val="16"/>
          <w:vertAlign w:val="baseline"/>
        </w:rPr>
        <w:t> </w:t>
      </w:r>
      <w:r>
        <w:rPr>
          <w:sz w:val="16"/>
          <w:vertAlign w:val="baseline"/>
        </w:rPr>
        <w:t>πλαίσιο</w:t>
      </w:r>
      <w:r>
        <w:rPr>
          <w:spacing w:val="-3"/>
          <w:sz w:val="16"/>
          <w:vertAlign w:val="baseline"/>
        </w:rPr>
        <w:t> </w:t>
      </w:r>
      <w:r>
        <w:rPr>
          <w:sz w:val="16"/>
          <w:vertAlign w:val="baseline"/>
        </w:rPr>
        <w:t>της</w:t>
      </w:r>
      <w:r>
        <w:rPr>
          <w:spacing w:val="-3"/>
          <w:sz w:val="16"/>
          <w:vertAlign w:val="baseline"/>
        </w:rPr>
        <w:t> </w:t>
      </w:r>
      <w:r>
        <w:rPr>
          <w:sz w:val="16"/>
          <w:vertAlign w:val="baseline"/>
        </w:rPr>
        <w:t>μετάβασης</w:t>
      </w:r>
      <w:r>
        <w:rPr>
          <w:spacing w:val="-3"/>
          <w:sz w:val="16"/>
          <w:vertAlign w:val="baseline"/>
        </w:rPr>
        <w:t> </w:t>
      </w:r>
      <w:r>
        <w:rPr>
          <w:sz w:val="16"/>
          <w:vertAlign w:val="baseline"/>
        </w:rPr>
        <w:t>στη</w:t>
      </w:r>
      <w:r>
        <w:rPr>
          <w:spacing w:val="-2"/>
          <w:sz w:val="16"/>
          <w:vertAlign w:val="baseline"/>
        </w:rPr>
        <w:t> </w:t>
      </w:r>
      <w:r>
        <w:rPr>
          <w:sz w:val="16"/>
          <w:vertAlign w:val="baseline"/>
        </w:rPr>
        <w:t>νέα</w:t>
      </w:r>
      <w:r>
        <w:rPr>
          <w:spacing w:val="-5"/>
          <w:sz w:val="16"/>
          <w:vertAlign w:val="baseline"/>
        </w:rPr>
        <w:t> </w:t>
      </w:r>
      <w:r>
        <w:rPr>
          <w:sz w:val="16"/>
          <w:vertAlign w:val="baseline"/>
        </w:rPr>
        <w:t>ταυτότητα,</w:t>
      </w:r>
      <w:r>
        <w:rPr>
          <w:spacing w:val="40"/>
          <w:sz w:val="16"/>
          <w:vertAlign w:val="baseline"/>
        </w:rPr>
        <w:t> </w:t>
      </w:r>
      <w:r>
        <w:rPr>
          <w:sz w:val="16"/>
          <w:vertAlign w:val="baseline"/>
        </w:rPr>
        <w:t>το Ελληνικό Κεντρικό Αποθετήριο Τίτλων μετονομάζεται σε Euronext Securities Athens.</w:t>
      </w:r>
    </w:p>
    <w:p>
      <w:pPr>
        <w:spacing w:after="0"/>
        <w:jc w:val="both"/>
        <w:rPr>
          <w:sz w:val="16"/>
        </w:rPr>
        <w:sectPr>
          <w:pgSz w:w="11910" w:h="16850"/>
          <w:pgMar w:header="0" w:footer="1262" w:top="1940" w:bottom="1460" w:left="1417" w:right="850"/>
        </w:sectPr>
      </w:pPr>
    </w:p>
    <w:p>
      <w:pPr>
        <w:pStyle w:val="BodyText"/>
        <w:spacing w:before="121"/>
        <w:rPr>
          <w:sz w:val="20"/>
        </w:rPr>
      </w:pPr>
    </w:p>
    <w:tbl>
      <w:tblPr>
        <w:tblW w:w="0" w:type="auto"/>
        <w:jc w:val="left"/>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6"/>
        <w:gridCol w:w="1035"/>
        <w:gridCol w:w="1067"/>
        <w:gridCol w:w="848"/>
        <w:gridCol w:w="1344"/>
        <w:gridCol w:w="777"/>
        <w:gridCol w:w="1343"/>
        <w:gridCol w:w="993"/>
      </w:tblGrid>
      <w:tr>
        <w:trPr>
          <w:trHeight w:val="532" w:hRule="atLeast"/>
        </w:trPr>
        <w:tc>
          <w:tcPr>
            <w:tcW w:w="8493" w:type="dxa"/>
            <w:gridSpan w:val="8"/>
            <w:shd w:val="clear" w:color="auto" w:fill="1F487C"/>
          </w:tcPr>
          <w:p>
            <w:pPr>
              <w:pStyle w:val="TableParagraph"/>
              <w:spacing w:before="60"/>
              <w:ind w:left="220"/>
              <w:rPr>
                <w:b/>
                <w:sz w:val="18"/>
              </w:rPr>
            </w:pPr>
            <w:r>
              <w:rPr>
                <w:b/>
                <w:color w:val="FFFFFF"/>
                <w:sz w:val="18"/>
              </w:rPr>
              <w:t>Πίνακας</w:t>
            </w:r>
            <w:r>
              <w:rPr>
                <w:b/>
                <w:color w:val="FFFFFF"/>
                <w:spacing w:val="-3"/>
                <w:sz w:val="18"/>
              </w:rPr>
              <w:t> </w:t>
            </w:r>
            <w:r>
              <w:rPr>
                <w:b/>
                <w:color w:val="FFFFFF"/>
                <w:sz w:val="18"/>
              </w:rPr>
              <w:t>VI.6</w:t>
            </w:r>
            <w:r>
              <w:rPr>
                <w:b/>
                <w:color w:val="FFFFFF"/>
                <w:spacing w:val="-4"/>
                <w:sz w:val="18"/>
              </w:rPr>
              <w:t> </w:t>
            </w:r>
            <w:r>
              <w:rPr>
                <w:b/>
                <w:color w:val="FFFFFF"/>
                <w:sz w:val="18"/>
              </w:rPr>
              <w:t>Μέσος</w:t>
            </w:r>
            <w:r>
              <w:rPr>
                <w:b/>
                <w:color w:val="FFFFFF"/>
                <w:spacing w:val="-7"/>
                <w:sz w:val="18"/>
              </w:rPr>
              <w:t> </w:t>
            </w:r>
            <w:r>
              <w:rPr>
                <w:b/>
                <w:color w:val="FFFFFF"/>
                <w:sz w:val="18"/>
              </w:rPr>
              <w:t>ημερήσ</w:t>
            </w:r>
            <w:r>
              <w:rPr>
                <w:b/>
                <w:smallCaps/>
                <w:color w:val="FFFFFF"/>
                <w:sz w:val="18"/>
              </w:rPr>
              <w:t>ιο</w:t>
            </w:r>
            <w:r>
              <w:rPr>
                <w:b/>
                <w:smallCaps w:val="0"/>
                <w:color w:val="FFFFFF"/>
                <w:sz w:val="18"/>
              </w:rPr>
              <w:t>ς</w:t>
            </w:r>
            <w:r>
              <w:rPr>
                <w:b/>
                <w:smallCaps w:val="0"/>
                <w:color w:val="FFFFFF"/>
                <w:spacing w:val="-7"/>
                <w:sz w:val="18"/>
              </w:rPr>
              <w:t> </w:t>
            </w:r>
            <w:r>
              <w:rPr>
                <w:b/>
                <w:smallCaps w:val="0"/>
                <w:color w:val="FFFFFF"/>
                <w:sz w:val="18"/>
              </w:rPr>
              <w:t>αρ</w:t>
            </w:r>
            <w:r>
              <w:rPr>
                <w:b/>
                <w:smallCaps/>
                <w:color w:val="FFFFFF"/>
                <w:sz w:val="18"/>
              </w:rPr>
              <w:t>ι</w:t>
            </w:r>
            <w:r>
              <w:rPr>
                <w:b/>
                <w:smallCaps w:val="0"/>
                <w:color w:val="FFFFFF"/>
                <w:sz w:val="18"/>
              </w:rPr>
              <w:t>θμός</w:t>
            </w:r>
            <w:r>
              <w:rPr>
                <w:b/>
                <w:smallCaps w:val="0"/>
                <w:color w:val="FFFFFF"/>
                <w:spacing w:val="-7"/>
                <w:sz w:val="18"/>
              </w:rPr>
              <w:t> </w:t>
            </w:r>
            <w:r>
              <w:rPr>
                <w:b/>
                <w:smallCaps w:val="0"/>
                <w:color w:val="FFFFFF"/>
                <w:sz w:val="18"/>
              </w:rPr>
              <w:t>κα</w:t>
            </w:r>
            <w:r>
              <w:rPr>
                <w:b/>
                <w:smallCaps/>
                <w:color w:val="FFFFFF"/>
                <w:sz w:val="18"/>
              </w:rPr>
              <w:t>ι</w:t>
            </w:r>
            <w:r>
              <w:rPr>
                <w:b/>
                <w:smallCaps w:val="0"/>
                <w:color w:val="FFFFFF"/>
                <w:spacing w:val="-5"/>
                <w:sz w:val="18"/>
              </w:rPr>
              <w:t> </w:t>
            </w:r>
            <w:r>
              <w:rPr>
                <w:b/>
                <w:smallCaps w:val="0"/>
                <w:color w:val="FFFFFF"/>
                <w:sz w:val="18"/>
              </w:rPr>
              <w:t>μέση</w:t>
            </w:r>
            <w:r>
              <w:rPr>
                <w:b/>
                <w:smallCaps w:val="0"/>
                <w:color w:val="FFFFFF"/>
                <w:spacing w:val="-6"/>
                <w:sz w:val="18"/>
              </w:rPr>
              <w:t> </w:t>
            </w:r>
            <w:r>
              <w:rPr>
                <w:b/>
                <w:smallCaps w:val="0"/>
                <w:color w:val="FFFFFF"/>
                <w:sz w:val="18"/>
              </w:rPr>
              <w:t>ημερήσ</w:t>
            </w:r>
            <w:r>
              <w:rPr>
                <w:b/>
                <w:smallCaps/>
                <w:color w:val="FFFFFF"/>
                <w:sz w:val="18"/>
              </w:rPr>
              <w:t>ι</w:t>
            </w:r>
            <w:r>
              <w:rPr>
                <w:b/>
                <w:smallCaps w:val="0"/>
                <w:color w:val="FFFFFF"/>
                <w:sz w:val="18"/>
              </w:rPr>
              <w:t>α</w:t>
            </w:r>
            <w:r>
              <w:rPr>
                <w:b/>
                <w:smallCaps w:val="0"/>
                <w:color w:val="FFFFFF"/>
                <w:spacing w:val="-5"/>
                <w:sz w:val="18"/>
              </w:rPr>
              <w:t> </w:t>
            </w:r>
            <w:r>
              <w:rPr>
                <w:b/>
                <w:smallCaps w:val="0"/>
                <w:color w:val="FFFFFF"/>
                <w:sz w:val="18"/>
              </w:rPr>
              <w:t>αξία</w:t>
            </w:r>
            <w:r>
              <w:rPr>
                <w:b/>
                <w:smallCaps w:val="0"/>
                <w:color w:val="FFFFFF"/>
                <w:spacing w:val="-5"/>
                <w:sz w:val="18"/>
              </w:rPr>
              <w:t> </w:t>
            </w:r>
            <w:r>
              <w:rPr>
                <w:b/>
                <w:smallCaps w:val="0"/>
                <w:color w:val="FFFFFF"/>
                <w:sz w:val="18"/>
              </w:rPr>
              <w:t>δ</w:t>
            </w:r>
            <w:r>
              <w:rPr>
                <w:b/>
                <w:smallCaps/>
                <w:color w:val="FFFFFF"/>
                <w:sz w:val="18"/>
              </w:rPr>
              <w:t>ι</w:t>
            </w:r>
            <w:r>
              <w:rPr>
                <w:b/>
                <w:smallCaps w:val="0"/>
                <w:color w:val="FFFFFF"/>
                <w:sz w:val="18"/>
              </w:rPr>
              <w:t>ακανον</w:t>
            </w:r>
            <w:r>
              <w:rPr>
                <w:b/>
                <w:smallCaps/>
                <w:color w:val="FFFFFF"/>
                <w:sz w:val="18"/>
              </w:rPr>
              <w:t>ι</w:t>
            </w:r>
            <w:r>
              <w:rPr>
                <w:b/>
                <w:smallCaps w:val="0"/>
                <w:color w:val="FFFFFF"/>
                <w:sz w:val="18"/>
              </w:rPr>
              <w:t>σμένων</w:t>
            </w:r>
            <w:r>
              <w:rPr>
                <w:b/>
                <w:smallCaps w:val="0"/>
                <w:color w:val="FFFFFF"/>
                <w:spacing w:val="-4"/>
                <w:sz w:val="18"/>
              </w:rPr>
              <w:t> </w:t>
            </w:r>
            <w:r>
              <w:rPr>
                <w:b/>
                <w:smallCaps w:val="0"/>
                <w:color w:val="FFFFFF"/>
                <w:sz w:val="18"/>
              </w:rPr>
              <w:t>χρηματ</w:t>
            </w:r>
            <w:r>
              <w:rPr>
                <w:b/>
                <w:smallCaps/>
                <w:color w:val="FFFFFF"/>
                <w:sz w:val="18"/>
              </w:rPr>
              <w:t>ι</w:t>
            </w:r>
            <w:r>
              <w:rPr>
                <w:b/>
                <w:smallCaps w:val="0"/>
                <w:color w:val="FFFFFF"/>
                <w:sz w:val="18"/>
              </w:rPr>
              <w:t>στηρ</w:t>
            </w:r>
            <w:r>
              <w:rPr>
                <w:b/>
                <w:smallCaps/>
                <w:color w:val="FFFFFF"/>
                <w:sz w:val="18"/>
              </w:rPr>
              <w:t>ι</w:t>
            </w:r>
            <w:r>
              <w:rPr>
                <w:b/>
                <w:smallCaps w:val="0"/>
                <w:color w:val="FFFFFF"/>
                <w:sz w:val="18"/>
              </w:rPr>
              <w:t>ακών συναλλαγών</w:t>
            </w:r>
            <w:r>
              <w:rPr>
                <w:b/>
                <w:smallCaps w:val="0"/>
                <w:color w:val="FFFFFF"/>
                <w:sz w:val="18"/>
                <w:vertAlign w:val="superscript"/>
              </w:rPr>
              <w:t>1</w:t>
            </w:r>
            <w:r>
              <w:rPr>
                <w:b/>
                <w:smallCaps w:val="0"/>
                <w:color w:val="FFFFFF"/>
                <w:sz w:val="18"/>
                <w:vertAlign w:val="baseline"/>
              </w:rPr>
              <w:t> στο Euronext Securities Athens</w:t>
            </w:r>
          </w:p>
        </w:tc>
      </w:tr>
      <w:tr>
        <w:trPr>
          <w:trHeight w:val="681" w:hRule="atLeast"/>
        </w:trPr>
        <w:tc>
          <w:tcPr>
            <w:tcW w:w="2121" w:type="dxa"/>
            <w:gridSpan w:val="2"/>
            <w:tcBorders>
              <w:bottom w:val="single" w:sz="4" w:space="0" w:color="FFFFFF"/>
            </w:tcBorders>
            <w:shd w:val="clear" w:color="auto" w:fill="BEBEBE"/>
          </w:tcPr>
          <w:p>
            <w:pPr>
              <w:pStyle w:val="TableParagraph"/>
              <w:spacing w:before="60"/>
              <w:ind w:left="1358"/>
              <w:rPr>
                <w:b/>
                <w:sz w:val="18"/>
              </w:rPr>
            </w:pPr>
            <w:r>
              <w:rPr>
                <w:b/>
                <w:color w:val="1F487C"/>
                <w:spacing w:val="-2"/>
                <w:sz w:val="18"/>
              </w:rPr>
              <w:t>Μετοχές</w:t>
            </w:r>
          </w:p>
        </w:tc>
        <w:tc>
          <w:tcPr>
            <w:tcW w:w="1067" w:type="dxa"/>
            <w:tcBorders>
              <w:bottom w:val="single" w:sz="4" w:space="0" w:color="FFFFFF"/>
            </w:tcBorders>
            <w:shd w:val="clear" w:color="auto" w:fill="BEBEBE"/>
          </w:tcPr>
          <w:p>
            <w:pPr>
              <w:pStyle w:val="TableParagraph"/>
              <w:spacing w:before="60"/>
              <w:ind w:left="284" w:right="105" w:hanging="270"/>
              <w:jc w:val="right"/>
              <w:rPr>
                <w:b/>
                <w:sz w:val="18"/>
              </w:rPr>
            </w:pPr>
            <w:r>
              <w:rPr>
                <w:b/>
                <w:color w:val="1F487C"/>
                <w:spacing w:val="-2"/>
                <w:sz w:val="18"/>
              </w:rPr>
              <w:t>Δ</w:t>
            </w:r>
            <w:r>
              <w:rPr>
                <w:b/>
                <w:smallCaps/>
                <w:color w:val="1F487C"/>
                <w:spacing w:val="-2"/>
                <w:sz w:val="18"/>
              </w:rPr>
              <w:t>ι</w:t>
            </w:r>
            <w:r>
              <w:rPr>
                <w:b/>
                <w:smallCaps w:val="0"/>
                <w:color w:val="1F487C"/>
                <w:spacing w:val="-2"/>
                <w:sz w:val="18"/>
              </w:rPr>
              <w:t>κα</w:t>
            </w:r>
            <w:r>
              <w:rPr>
                <w:b/>
                <w:smallCaps/>
                <w:color w:val="1F487C"/>
                <w:spacing w:val="-2"/>
                <w:sz w:val="18"/>
              </w:rPr>
              <w:t>ι</w:t>
            </w:r>
            <w:r>
              <w:rPr>
                <w:b/>
                <w:smallCaps w:val="0"/>
                <w:color w:val="1F487C"/>
                <w:spacing w:val="-2"/>
                <w:sz w:val="18"/>
              </w:rPr>
              <w:t>ώματα </w:t>
            </w:r>
            <w:r>
              <w:rPr>
                <w:b/>
                <w:smallCaps w:val="0"/>
                <w:color w:val="1F487C"/>
                <w:sz w:val="18"/>
              </w:rPr>
              <w:t>προα</w:t>
            </w:r>
            <w:r>
              <w:rPr>
                <w:b/>
                <w:smallCaps/>
                <w:color w:val="1F487C"/>
                <w:sz w:val="18"/>
              </w:rPr>
              <w:t>ι</w:t>
            </w:r>
            <w:r>
              <w:rPr>
                <w:b/>
                <w:smallCaps w:val="0"/>
                <w:color w:val="1F487C"/>
                <w:sz w:val="18"/>
              </w:rPr>
              <w:t>ρέ-</w:t>
            </w:r>
          </w:p>
          <w:p>
            <w:pPr>
              <w:pStyle w:val="TableParagraph"/>
              <w:spacing w:line="186" w:lineRule="exact" w:before="1"/>
              <w:ind w:right="104"/>
              <w:jc w:val="right"/>
              <w:rPr>
                <w:b/>
                <w:sz w:val="18"/>
              </w:rPr>
            </w:pPr>
            <w:r>
              <w:rPr>
                <w:b/>
                <w:color w:val="1F487C"/>
                <w:spacing w:val="-4"/>
                <w:sz w:val="18"/>
              </w:rPr>
              <w:t>σεως</w:t>
            </w:r>
          </w:p>
        </w:tc>
        <w:tc>
          <w:tcPr>
            <w:tcW w:w="848" w:type="dxa"/>
            <w:tcBorders>
              <w:bottom w:val="single" w:sz="4" w:space="0" w:color="FFFFFF"/>
            </w:tcBorders>
            <w:shd w:val="clear" w:color="auto" w:fill="BEBEBE"/>
          </w:tcPr>
          <w:p>
            <w:pPr>
              <w:pStyle w:val="TableParagraph"/>
              <w:spacing w:before="60"/>
              <w:ind w:left="93" w:right="103" w:hanging="68"/>
              <w:rPr>
                <w:b/>
                <w:sz w:val="18"/>
              </w:rPr>
            </w:pPr>
            <w:r>
              <w:rPr>
                <w:b/>
                <w:color w:val="1F487C"/>
                <w:spacing w:val="-2"/>
                <w:sz w:val="18"/>
              </w:rPr>
              <w:t>Ετα</w:t>
            </w:r>
            <w:r>
              <w:rPr>
                <w:b/>
                <w:smallCaps/>
                <w:color w:val="1F487C"/>
                <w:spacing w:val="-2"/>
                <w:sz w:val="18"/>
              </w:rPr>
              <w:t>ι</w:t>
            </w:r>
            <w:r>
              <w:rPr>
                <w:b/>
                <w:smallCaps w:val="0"/>
                <w:color w:val="1F487C"/>
                <w:spacing w:val="-2"/>
                <w:sz w:val="18"/>
              </w:rPr>
              <w:t>ρ</w:t>
            </w:r>
            <w:r>
              <w:rPr>
                <w:b/>
                <w:smallCaps/>
                <w:color w:val="1F487C"/>
                <w:spacing w:val="-2"/>
                <w:sz w:val="18"/>
              </w:rPr>
              <w:t>ι</w:t>
            </w:r>
            <w:r>
              <w:rPr>
                <w:b/>
                <w:smallCaps w:val="0"/>
                <w:color w:val="1F487C"/>
                <w:spacing w:val="-2"/>
                <w:sz w:val="18"/>
              </w:rPr>
              <w:t>κά ομόλογα</w:t>
            </w:r>
          </w:p>
        </w:tc>
        <w:tc>
          <w:tcPr>
            <w:tcW w:w="1344" w:type="dxa"/>
            <w:tcBorders>
              <w:bottom w:val="single" w:sz="4" w:space="0" w:color="FFFFFF"/>
            </w:tcBorders>
            <w:shd w:val="clear" w:color="auto" w:fill="BEBEBE"/>
          </w:tcPr>
          <w:p>
            <w:pPr>
              <w:pStyle w:val="TableParagraph"/>
              <w:spacing w:before="60"/>
              <w:ind w:left="133" w:right="102" w:hanging="60"/>
              <w:jc w:val="right"/>
              <w:rPr>
                <w:b/>
                <w:sz w:val="18"/>
              </w:rPr>
            </w:pPr>
            <w:r>
              <w:rPr>
                <w:b/>
                <w:color w:val="1F487C"/>
                <w:sz w:val="18"/>
              </w:rPr>
              <w:t>Δ</w:t>
            </w:r>
            <w:r>
              <w:rPr>
                <w:b/>
                <w:smallCaps/>
                <w:color w:val="1F487C"/>
                <w:sz w:val="18"/>
              </w:rPr>
              <w:t>ι</w:t>
            </w:r>
            <w:r>
              <w:rPr>
                <w:b/>
                <w:smallCaps w:val="0"/>
                <w:color w:val="1F487C"/>
                <w:sz w:val="18"/>
              </w:rPr>
              <w:t>απραγματεύ-σ</w:t>
            </w:r>
            <w:r>
              <w:rPr>
                <w:b/>
                <w:smallCaps/>
                <w:color w:val="1F487C"/>
                <w:sz w:val="18"/>
              </w:rPr>
              <w:t>ι</w:t>
            </w:r>
            <w:r>
              <w:rPr>
                <w:b/>
                <w:smallCaps w:val="0"/>
                <w:color w:val="1F487C"/>
                <w:sz w:val="18"/>
              </w:rPr>
              <w:t>μα</w:t>
            </w:r>
            <w:r>
              <w:rPr>
                <w:b/>
                <w:smallCaps w:val="0"/>
                <w:color w:val="1F487C"/>
                <w:spacing w:val="1"/>
                <w:sz w:val="18"/>
              </w:rPr>
              <w:t> </w:t>
            </w:r>
            <w:r>
              <w:rPr>
                <w:b/>
                <w:smallCaps w:val="0"/>
                <w:color w:val="1F487C"/>
                <w:spacing w:val="-2"/>
                <w:sz w:val="18"/>
              </w:rPr>
              <w:t>αμο</w:t>
            </w:r>
            <w:r>
              <w:rPr>
                <w:b/>
                <w:smallCaps/>
                <w:color w:val="1F487C"/>
                <w:spacing w:val="-2"/>
                <w:sz w:val="18"/>
              </w:rPr>
              <w:t>ι</w:t>
            </w:r>
            <w:r>
              <w:rPr>
                <w:b/>
                <w:smallCaps w:val="0"/>
                <w:color w:val="1F487C"/>
                <w:spacing w:val="-2"/>
                <w:sz w:val="18"/>
              </w:rPr>
              <w:t>βαία</w:t>
            </w:r>
          </w:p>
          <w:p>
            <w:pPr>
              <w:pStyle w:val="TableParagraph"/>
              <w:spacing w:line="186" w:lineRule="exact" w:before="1"/>
              <w:ind w:right="103"/>
              <w:jc w:val="right"/>
              <w:rPr>
                <w:b/>
                <w:sz w:val="18"/>
              </w:rPr>
            </w:pPr>
            <w:r>
              <w:rPr>
                <w:b/>
                <w:color w:val="1F487C"/>
                <w:spacing w:val="-2"/>
                <w:sz w:val="18"/>
              </w:rPr>
              <w:t>κεφάλα</w:t>
            </w:r>
            <w:r>
              <w:rPr>
                <w:b/>
                <w:smallCaps/>
                <w:color w:val="1F487C"/>
                <w:spacing w:val="-2"/>
                <w:sz w:val="18"/>
              </w:rPr>
              <w:t>ι</w:t>
            </w:r>
            <w:r>
              <w:rPr>
                <w:b/>
                <w:smallCaps w:val="0"/>
                <w:color w:val="1F487C"/>
                <w:spacing w:val="-2"/>
                <w:sz w:val="18"/>
              </w:rPr>
              <w:t>α</w:t>
            </w:r>
          </w:p>
        </w:tc>
        <w:tc>
          <w:tcPr>
            <w:tcW w:w="777" w:type="dxa"/>
            <w:tcBorders>
              <w:bottom w:val="single" w:sz="4" w:space="0" w:color="FFFFFF"/>
            </w:tcBorders>
            <w:shd w:val="clear" w:color="auto" w:fill="BEBEBE"/>
          </w:tcPr>
          <w:p>
            <w:pPr>
              <w:pStyle w:val="TableParagraph"/>
              <w:spacing w:before="60"/>
              <w:ind w:left="136" w:right="101" w:firstLine="139"/>
              <w:rPr>
                <w:b/>
                <w:sz w:val="18"/>
              </w:rPr>
            </w:pPr>
            <w:r>
              <w:rPr>
                <w:b/>
                <w:color w:val="1F487C"/>
                <w:sz w:val="18"/>
              </w:rPr>
              <w:t>Κρα-τ</w:t>
            </w:r>
            <w:r>
              <w:rPr>
                <w:b/>
                <w:smallCaps/>
                <w:color w:val="1F487C"/>
                <w:sz w:val="18"/>
              </w:rPr>
              <w:t>ι</w:t>
            </w:r>
            <w:r>
              <w:rPr>
                <w:b/>
                <w:smallCaps w:val="0"/>
                <w:color w:val="1F487C"/>
                <w:sz w:val="18"/>
              </w:rPr>
              <w:t>κά </w:t>
            </w:r>
            <w:r>
              <w:rPr>
                <w:b/>
                <w:smallCaps w:val="0"/>
                <w:color w:val="1F487C"/>
                <w:spacing w:val="-5"/>
                <w:sz w:val="18"/>
              </w:rPr>
              <w:t>ο-</w:t>
            </w:r>
          </w:p>
          <w:p>
            <w:pPr>
              <w:pStyle w:val="TableParagraph"/>
              <w:spacing w:line="186" w:lineRule="exact" w:before="1"/>
              <w:ind w:left="116"/>
              <w:rPr>
                <w:b/>
                <w:sz w:val="18"/>
              </w:rPr>
            </w:pPr>
            <w:r>
              <w:rPr>
                <w:b/>
                <w:color w:val="1F487C"/>
                <w:spacing w:val="-2"/>
                <w:sz w:val="18"/>
              </w:rPr>
              <w:t>μόλογα</w:t>
            </w:r>
          </w:p>
        </w:tc>
        <w:tc>
          <w:tcPr>
            <w:tcW w:w="1343" w:type="dxa"/>
            <w:tcBorders>
              <w:bottom w:val="single" w:sz="4" w:space="0" w:color="FFFFFF"/>
            </w:tcBorders>
            <w:shd w:val="clear" w:color="auto" w:fill="BEBEBE"/>
          </w:tcPr>
          <w:p>
            <w:pPr>
              <w:pStyle w:val="TableParagraph"/>
              <w:spacing w:line="207" w:lineRule="exact" w:before="60"/>
              <w:ind w:right="102"/>
              <w:jc w:val="right"/>
              <w:rPr>
                <w:b/>
                <w:sz w:val="18"/>
              </w:rPr>
            </w:pPr>
            <w:r>
              <w:rPr>
                <w:b/>
                <w:color w:val="1F487C"/>
                <w:spacing w:val="-2"/>
                <w:sz w:val="18"/>
              </w:rPr>
              <w:t>Εναλλακτ</w:t>
            </w:r>
            <w:r>
              <w:rPr>
                <w:b/>
                <w:smallCaps/>
                <w:color w:val="1F487C"/>
                <w:spacing w:val="-2"/>
                <w:sz w:val="18"/>
              </w:rPr>
              <w:t>ι</w:t>
            </w:r>
            <w:r>
              <w:rPr>
                <w:b/>
                <w:smallCaps w:val="0"/>
                <w:color w:val="1F487C"/>
                <w:spacing w:val="-2"/>
                <w:sz w:val="18"/>
              </w:rPr>
              <w:t>κή</w:t>
            </w:r>
          </w:p>
          <w:p>
            <w:pPr>
              <w:pStyle w:val="TableParagraph"/>
              <w:spacing w:line="208" w:lineRule="exact"/>
              <w:ind w:left="470" w:right="100" w:firstLine="297"/>
              <w:jc w:val="right"/>
              <w:rPr>
                <w:b/>
                <w:sz w:val="18"/>
              </w:rPr>
            </w:pPr>
            <w:r>
              <w:rPr>
                <w:b/>
                <w:color w:val="1F487C"/>
                <w:spacing w:val="-2"/>
                <w:sz w:val="18"/>
              </w:rPr>
              <w:t>αγορά (μετοχών)</w:t>
            </w:r>
          </w:p>
        </w:tc>
        <w:tc>
          <w:tcPr>
            <w:tcW w:w="993" w:type="dxa"/>
            <w:tcBorders>
              <w:bottom w:val="single" w:sz="4" w:space="0" w:color="FFFFFF"/>
            </w:tcBorders>
            <w:shd w:val="clear" w:color="auto" w:fill="BEBEBE"/>
          </w:tcPr>
          <w:p>
            <w:pPr>
              <w:pStyle w:val="TableParagraph"/>
              <w:spacing w:before="60"/>
              <w:ind w:left="330"/>
              <w:rPr>
                <w:b/>
                <w:sz w:val="18"/>
              </w:rPr>
            </w:pPr>
            <w:r>
              <w:rPr>
                <w:b/>
                <w:color w:val="1F487C"/>
                <w:spacing w:val="-2"/>
                <w:sz w:val="18"/>
              </w:rPr>
              <w:t>Σύνολο</w:t>
            </w:r>
          </w:p>
        </w:tc>
      </w:tr>
      <w:tr>
        <w:trPr>
          <w:trHeight w:val="348" w:hRule="atLeast"/>
        </w:trPr>
        <w:tc>
          <w:tcPr>
            <w:tcW w:w="8493" w:type="dxa"/>
            <w:gridSpan w:val="8"/>
            <w:tcBorders>
              <w:top w:val="single" w:sz="4" w:space="0" w:color="FFFFFF"/>
              <w:bottom w:val="single" w:sz="8" w:space="0" w:color="FFFFFF"/>
            </w:tcBorders>
            <w:shd w:val="clear" w:color="auto" w:fill="D9D9D9"/>
          </w:tcPr>
          <w:p>
            <w:pPr>
              <w:pStyle w:val="TableParagraph"/>
              <w:spacing w:before="75"/>
              <w:jc w:val="center"/>
              <w:rPr>
                <w:b/>
                <w:sz w:val="18"/>
              </w:rPr>
            </w:pPr>
            <w:r>
              <w:rPr>
                <w:b/>
                <w:color w:val="1F487C"/>
                <w:sz w:val="18"/>
              </w:rPr>
              <w:t>Μέσος</w:t>
            </w:r>
            <w:r>
              <w:rPr>
                <w:b/>
                <w:color w:val="1F487C"/>
                <w:spacing w:val="-9"/>
                <w:sz w:val="18"/>
              </w:rPr>
              <w:t> </w:t>
            </w:r>
            <w:r>
              <w:rPr>
                <w:b/>
                <w:color w:val="1F487C"/>
                <w:sz w:val="18"/>
              </w:rPr>
              <w:t>ημερήσ</w:t>
            </w:r>
            <w:r>
              <w:rPr>
                <w:b/>
                <w:smallCaps/>
                <w:color w:val="1F487C"/>
                <w:sz w:val="18"/>
              </w:rPr>
              <w:t>ιο</w:t>
            </w:r>
            <w:r>
              <w:rPr>
                <w:b/>
                <w:smallCaps w:val="0"/>
                <w:color w:val="1F487C"/>
                <w:sz w:val="18"/>
              </w:rPr>
              <w:t>ς</w:t>
            </w:r>
            <w:r>
              <w:rPr>
                <w:b/>
                <w:smallCaps w:val="0"/>
                <w:color w:val="1F487C"/>
                <w:spacing w:val="-9"/>
                <w:sz w:val="18"/>
              </w:rPr>
              <w:t> </w:t>
            </w:r>
            <w:r>
              <w:rPr>
                <w:b/>
                <w:smallCaps w:val="0"/>
                <w:color w:val="1F487C"/>
                <w:sz w:val="18"/>
              </w:rPr>
              <w:t>αρ</w:t>
            </w:r>
            <w:r>
              <w:rPr>
                <w:b/>
                <w:smallCaps/>
                <w:color w:val="1F487C"/>
                <w:sz w:val="18"/>
              </w:rPr>
              <w:t>ι</w:t>
            </w:r>
            <w:r>
              <w:rPr>
                <w:b/>
                <w:smallCaps w:val="0"/>
                <w:color w:val="1F487C"/>
                <w:sz w:val="18"/>
              </w:rPr>
              <w:t>θμός</w:t>
            </w:r>
            <w:r>
              <w:rPr>
                <w:b/>
                <w:smallCaps w:val="0"/>
                <w:color w:val="1F487C"/>
                <w:spacing w:val="-7"/>
                <w:sz w:val="18"/>
              </w:rPr>
              <w:t> </w:t>
            </w:r>
            <w:r>
              <w:rPr>
                <w:b/>
                <w:smallCaps w:val="0"/>
                <w:color w:val="1F487C"/>
                <w:sz w:val="18"/>
              </w:rPr>
              <w:t>δ</w:t>
            </w:r>
            <w:r>
              <w:rPr>
                <w:b/>
                <w:smallCaps/>
                <w:color w:val="1F487C"/>
                <w:sz w:val="18"/>
              </w:rPr>
              <w:t>ι</w:t>
            </w:r>
            <w:r>
              <w:rPr>
                <w:b/>
                <w:smallCaps w:val="0"/>
                <w:color w:val="1F487C"/>
                <w:sz w:val="18"/>
              </w:rPr>
              <w:t>ακανον</w:t>
            </w:r>
            <w:r>
              <w:rPr>
                <w:b/>
                <w:smallCaps/>
                <w:color w:val="1F487C"/>
                <w:sz w:val="18"/>
              </w:rPr>
              <w:t>ι</w:t>
            </w:r>
            <w:r>
              <w:rPr>
                <w:b/>
                <w:smallCaps w:val="0"/>
                <w:color w:val="1F487C"/>
                <w:sz w:val="18"/>
              </w:rPr>
              <w:t>σμένων</w:t>
            </w:r>
            <w:r>
              <w:rPr>
                <w:b/>
                <w:smallCaps w:val="0"/>
                <w:color w:val="1F487C"/>
                <w:spacing w:val="-8"/>
                <w:sz w:val="18"/>
              </w:rPr>
              <w:t> </w:t>
            </w:r>
            <w:r>
              <w:rPr>
                <w:b/>
                <w:smallCaps w:val="0"/>
                <w:color w:val="1F487C"/>
                <w:sz w:val="18"/>
              </w:rPr>
              <w:t>χρηματ</w:t>
            </w:r>
            <w:r>
              <w:rPr>
                <w:b/>
                <w:smallCaps/>
                <w:color w:val="1F487C"/>
                <w:sz w:val="18"/>
              </w:rPr>
              <w:t>ι</w:t>
            </w:r>
            <w:r>
              <w:rPr>
                <w:b/>
                <w:smallCaps w:val="0"/>
                <w:color w:val="1F487C"/>
                <w:sz w:val="18"/>
              </w:rPr>
              <w:t>στηρ</w:t>
            </w:r>
            <w:r>
              <w:rPr>
                <w:b/>
                <w:smallCaps/>
                <w:color w:val="1F487C"/>
                <w:sz w:val="18"/>
              </w:rPr>
              <w:t>ι</w:t>
            </w:r>
            <w:r>
              <w:rPr>
                <w:b/>
                <w:smallCaps w:val="0"/>
                <w:color w:val="1F487C"/>
                <w:sz w:val="18"/>
              </w:rPr>
              <w:t>ακών</w:t>
            </w:r>
            <w:r>
              <w:rPr>
                <w:b/>
                <w:smallCaps w:val="0"/>
                <w:color w:val="1F487C"/>
                <w:spacing w:val="-6"/>
                <w:sz w:val="18"/>
              </w:rPr>
              <w:t> </w:t>
            </w:r>
            <w:r>
              <w:rPr>
                <w:b/>
                <w:smallCaps w:val="0"/>
                <w:color w:val="1F487C"/>
                <w:spacing w:val="-2"/>
                <w:sz w:val="18"/>
              </w:rPr>
              <w:t>συναλλαγών</w:t>
            </w:r>
          </w:p>
        </w:tc>
      </w:tr>
      <w:tr>
        <w:trPr>
          <w:trHeight w:val="398" w:hRule="atLeast"/>
        </w:trPr>
        <w:tc>
          <w:tcPr>
            <w:tcW w:w="1086" w:type="dxa"/>
            <w:tcBorders>
              <w:top w:val="single" w:sz="8" w:space="0" w:color="FFFFFF"/>
            </w:tcBorders>
            <w:shd w:val="clear" w:color="auto" w:fill="BEBEBE"/>
          </w:tcPr>
          <w:p>
            <w:pPr>
              <w:pStyle w:val="TableParagraph"/>
              <w:spacing w:before="95"/>
              <w:ind w:left="367"/>
              <w:rPr>
                <w:sz w:val="18"/>
              </w:rPr>
            </w:pPr>
            <w:r>
              <w:rPr>
                <w:spacing w:val="-4"/>
                <w:sz w:val="18"/>
              </w:rPr>
              <w:t>2020</w:t>
            </w:r>
          </w:p>
        </w:tc>
        <w:tc>
          <w:tcPr>
            <w:tcW w:w="1035" w:type="dxa"/>
            <w:tcBorders>
              <w:top w:val="single" w:sz="8" w:space="0" w:color="FFFFFF"/>
            </w:tcBorders>
            <w:shd w:val="clear" w:color="auto" w:fill="BEBEBE"/>
          </w:tcPr>
          <w:p>
            <w:pPr>
              <w:pStyle w:val="TableParagraph"/>
              <w:spacing w:before="95"/>
              <w:ind w:left="48"/>
              <w:jc w:val="center"/>
              <w:rPr>
                <w:sz w:val="18"/>
              </w:rPr>
            </w:pPr>
            <w:r>
              <w:rPr>
                <w:spacing w:val="-2"/>
                <w:sz w:val="18"/>
              </w:rPr>
              <w:t>32.700</w:t>
            </w:r>
          </w:p>
        </w:tc>
        <w:tc>
          <w:tcPr>
            <w:tcW w:w="1067" w:type="dxa"/>
            <w:tcBorders>
              <w:top w:val="single" w:sz="8" w:space="0" w:color="FFFFFF"/>
            </w:tcBorders>
            <w:shd w:val="clear" w:color="auto" w:fill="BEBEBE"/>
          </w:tcPr>
          <w:p>
            <w:pPr>
              <w:pStyle w:val="TableParagraph"/>
              <w:spacing w:before="95"/>
              <w:jc w:val="center"/>
              <w:rPr>
                <w:sz w:val="18"/>
              </w:rPr>
            </w:pPr>
            <w:r>
              <w:rPr>
                <w:spacing w:val="-10"/>
                <w:sz w:val="18"/>
              </w:rPr>
              <w:t>7</w:t>
            </w:r>
          </w:p>
        </w:tc>
        <w:tc>
          <w:tcPr>
            <w:tcW w:w="848" w:type="dxa"/>
            <w:tcBorders>
              <w:top w:val="single" w:sz="8" w:space="0" w:color="FFFFFF"/>
            </w:tcBorders>
            <w:shd w:val="clear" w:color="auto" w:fill="BEBEBE"/>
          </w:tcPr>
          <w:p>
            <w:pPr>
              <w:pStyle w:val="TableParagraph"/>
              <w:spacing w:before="95"/>
              <w:ind w:left="1" w:right="74"/>
              <w:jc w:val="center"/>
              <w:rPr>
                <w:sz w:val="18"/>
              </w:rPr>
            </w:pPr>
            <w:r>
              <w:rPr>
                <w:spacing w:val="-5"/>
                <w:sz w:val="18"/>
              </w:rPr>
              <w:t>64</w:t>
            </w:r>
          </w:p>
        </w:tc>
        <w:tc>
          <w:tcPr>
            <w:tcW w:w="1344" w:type="dxa"/>
            <w:tcBorders>
              <w:top w:val="single" w:sz="8" w:space="0" w:color="FFFFFF"/>
            </w:tcBorders>
            <w:shd w:val="clear" w:color="auto" w:fill="BEBEBE"/>
          </w:tcPr>
          <w:p>
            <w:pPr>
              <w:pStyle w:val="TableParagraph"/>
              <w:spacing w:before="95"/>
              <w:ind w:right="73"/>
              <w:jc w:val="center"/>
              <w:rPr>
                <w:sz w:val="18"/>
              </w:rPr>
            </w:pPr>
            <w:r>
              <w:rPr>
                <w:spacing w:val="-10"/>
                <w:sz w:val="18"/>
              </w:rPr>
              <w:t>3</w:t>
            </w:r>
          </w:p>
        </w:tc>
        <w:tc>
          <w:tcPr>
            <w:tcW w:w="777" w:type="dxa"/>
            <w:tcBorders>
              <w:top w:val="single" w:sz="8" w:space="0" w:color="FFFFFF"/>
            </w:tcBorders>
            <w:shd w:val="clear" w:color="auto" w:fill="BEBEBE"/>
          </w:tcPr>
          <w:p>
            <w:pPr>
              <w:pStyle w:val="TableParagraph"/>
              <w:spacing w:before="95"/>
              <w:ind w:left="74"/>
              <w:jc w:val="center"/>
              <w:rPr>
                <w:sz w:val="18"/>
              </w:rPr>
            </w:pPr>
            <w:r>
              <w:rPr>
                <w:spacing w:val="-4"/>
                <w:sz w:val="18"/>
              </w:rPr>
              <w:t>0,21</w:t>
            </w:r>
          </w:p>
        </w:tc>
        <w:tc>
          <w:tcPr>
            <w:tcW w:w="1343" w:type="dxa"/>
            <w:tcBorders>
              <w:top w:val="single" w:sz="8" w:space="0" w:color="FFFFFF"/>
            </w:tcBorders>
            <w:shd w:val="clear" w:color="auto" w:fill="BEBEBE"/>
          </w:tcPr>
          <w:p>
            <w:pPr>
              <w:pStyle w:val="TableParagraph"/>
              <w:spacing w:before="95"/>
              <w:ind w:left="72"/>
              <w:jc w:val="center"/>
              <w:rPr>
                <w:sz w:val="18"/>
              </w:rPr>
            </w:pPr>
            <w:r>
              <w:rPr>
                <w:spacing w:val="-5"/>
                <w:sz w:val="18"/>
              </w:rPr>
              <w:t>206</w:t>
            </w:r>
          </w:p>
        </w:tc>
        <w:tc>
          <w:tcPr>
            <w:tcW w:w="993" w:type="dxa"/>
            <w:tcBorders>
              <w:top w:val="single" w:sz="8" w:space="0" w:color="FFFFFF"/>
            </w:tcBorders>
            <w:shd w:val="clear" w:color="auto" w:fill="BEBEBE"/>
          </w:tcPr>
          <w:p>
            <w:pPr>
              <w:pStyle w:val="TableParagraph"/>
              <w:spacing w:before="95"/>
              <w:ind w:left="253"/>
              <w:rPr>
                <w:sz w:val="18"/>
              </w:rPr>
            </w:pPr>
            <w:r>
              <w:rPr>
                <w:spacing w:val="-2"/>
                <w:sz w:val="18"/>
              </w:rPr>
              <w:t>32.982</w:t>
            </w:r>
          </w:p>
        </w:tc>
      </w:tr>
      <w:tr>
        <w:trPr>
          <w:trHeight w:val="395" w:hRule="atLeast"/>
        </w:trPr>
        <w:tc>
          <w:tcPr>
            <w:tcW w:w="1086" w:type="dxa"/>
            <w:shd w:val="clear" w:color="auto" w:fill="D9D9D9"/>
          </w:tcPr>
          <w:p>
            <w:pPr>
              <w:pStyle w:val="TableParagraph"/>
              <w:spacing w:before="93"/>
              <w:ind w:left="367"/>
              <w:rPr>
                <w:sz w:val="18"/>
              </w:rPr>
            </w:pPr>
            <w:r>
              <w:rPr>
                <w:spacing w:val="-4"/>
                <w:sz w:val="18"/>
              </w:rPr>
              <w:t>2021</w:t>
            </w:r>
          </w:p>
        </w:tc>
        <w:tc>
          <w:tcPr>
            <w:tcW w:w="1035" w:type="dxa"/>
            <w:shd w:val="clear" w:color="auto" w:fill="D9D9D9"/>
          </w:tcPr>
          <w:p>
            <w:pPr>
              <w:pStyle w:val="TableParagraph"/>
              <w:spacing w:before="93"/>
              <w:ind w:left="48"/>
              <w:jc w:val="center"/>
              <w:rPr>
                <w:sz w:val="18"/>
              </w:rPr>
            </w:pPr>
            <w:r>
              <w:rPr>
                <w:spacing w:val="-2"/>
                <w:sz w:val="18"/>
              </w:rPr>
              <w:t>29.939</w:t>
            </w:r>
          </w:p>
        </w:tc>
        <w:tc>
          <w:tcPr>
            <w:tcW w:w="1067" w:type="dxa"/>
            <w:shd w:val="clear" w:color="auto" w:fill="D9D9D9"/>
          </w:tcPr>
          <w:p>
            <w:pPr>
              <w:pStyle w:val="TableParagraph"/>
              <w:spacing w:before="93"/>
              <w:jc w:val="center"/>
              <w:rPr>
                <w:sz w:val="18"/>
              </w:rPr>
            </w:pPr>
            <w:r>
              <w:rPr>
                <w:spacing w:val="-5"/>
                <w:sz w:val="18"/>
              </w:rPr>
              <w:t>56</w:t>
            </w:r>
          </w:p>
        </w:tc>
        <w:tc>
          <w:tcPr>
            <w:tcW w:w="848" w:type="dxa"/>
            <w:shd w:val="clear" w:color="auto" w:fill="D9D9D9"/>
          </w:tcPr>
          <w:p>
            <w:pPr>
              <w:pStyle w:val="TableParagraph"/>
              <w:spacing w:before="93"/>
              <w:ind w:left="1" w:right="74"/>
              <w:jc w:val="center"/>
              <w:rPr>
                <w:sz w:val="18"/>
              </w:rPr>
            </w:pPr>
            <w:r>
              <w:rPr>
                <w:spacing w:val="-5"/>
                <w:sz w:val="18"/>
              </w:rPr>
              <w:t>75</w:t>
            </w:r>
          </w:p>
        </w:tc>
        <w:tc>
          <w:tcPr>
            <w:tcW w:w="1344" w:type="dxa"/>
            <w:shd w:val="clear" w:color="auto" w:fill="D9D9D9"/>
          </w:tcPr>
          <w:p>
            <w:pPr>
              <w:pStyle w:val="TableParagraph"/>
              <w:spacing w:before="93"/>
              <w:ind w:right="73"/>
              <w:jc w:val="center"/>
              <w:rPr>
                <w:sz w:val="18"/>
              </w:rPr>
            </w:pPr>
            <w:r>
              <w:rPr>
                <w:spacing w:val="-10"/>
                <w:sz w:val="18"/>
              </w:rPr>
              <w:t>2</w:t>
            </w:r>
          </w:p>
        </w:tc>
        <w:tc>
          <w:tcPr>
            <w:tcW w:w="777" w:type="dxa"/>
            <w:shd w:val="clear" w:color="auto" w:fill="D9D9D9"/>
          </w:tcPr>
          <w:p>
            <w:pPr>
              <w:pStyle w:val="TableParagraph"/>
              <w:spacing w:before="93"/>
              <w:ind w:left="74" w:right="4"/>
              <w:jc w:val="center"/>
              <w:rPr>
                <w:sz w:val="18"/>
              </w:rPr>
            </w:pPr>
            <w:r>
              <w:rPr>
                <w:spacing w:val="-10"/>
                <w:sz w:val="18"/>
              </w:rPr>
              <w:t>2</w:t>
            </w:r>
          </w:p>
        </w:tc>
        <w:tc>
          <w:tcPr>
            <w:tcW w:w="1343" w:type="dxa"/>
            <w:shd w:val="clear" w:color="auto" w:fill="D9D9D9"/>
          </w:tcPr>
          <w:p>
            <w:pPr>
              <w:pStyle w:val="TableParagraph"/>
              <w:spacing w:before="93"/>
              <w:ind w:left="72"/>
              <w:jc w:val="center"/>
              <w:rPr>
                <w:sz w:val="18"/>
              </w:rPr>
            </w:pPr>
            <w:r>
              <w:rPr>
                <w:spacing w:val="-5"/>
                <w:sz w:val="18"/>
              </w:rPr>
              <w:t>312</w:t>
            </w:r>
          </w:p>
        </w:tc>
        <w:tc>
          <w:tcPr>
            <w:tcW w:w="993" w:type="dxa"/>
            <w:shd w:val="clear" w:color="auto" w:fill="D9D9D9"/>
          </w:tcPr>
          <w:p>
            <w:pPr>
              <w:pStyle w:val="TableParagraph"/>
              <w:spacing w:before="93"/>
              <w:ind w:left="253"/>
              <w:rPr>
                <w:sz w:val="18"/>
              </w:rPr>
            </w:pPr>
            <w:r>
              <w:rPr>
                <w:spacing w:val="-2"/>
                <w:sz w:val="18"/>
              </w:rPr>
              <w:t>30.386</w:t>
            </w:r>
          </w:p>
        </w:tc>
      </w:tr>
      <w:tr>
        <w:trPr>
          <w:trHeight w:val="396" w:hRule="atLeast"/>
        </w:trPr>
        <w:tc>
          <w:tcPr>
            <w:tcW w:w="1086" w:type="dxa"/>
            <w:shd w:val="clear" w:color="auto" w:fill="BEBEBE"/>
          </w:tcPr>
          <w:p>
            <w:pPr>
              <w:pStyle w:val="TableParagraph"/>
              <w:spacing w:before="96"/>
              <w:ind w:left="367"/>
              <w:rPr>
                <w:sz w:val="18"/>
              </w:rPr>
            </w:pPr>
            <w:r>
              <w:rPr>
                <w:spacing w:val="-4"/>
                <w:sz w:val="18"/>
              </w:rPr>
              <w:t>2022</w:t>
            </w:r>
          </w:p>
        </w:tc>
        <w:tc>
          <w:tcPr>
            <w:tcW w:w="1035" w:type="dxa"/>
            <w:shd w:val="clear" w:color="auto" w:fill="BEBEBE"/>
          </w:tcPr>
          <w:p>
            <w:pPr>
              <w:pStyle w:val="TableParagraph"/>
              <w:spacing w:before="96"/>
              <w:ind w:left="48"/>
              <w:jc w:val="center"/>
              <w:rPr>
                <w:sz w:val="18"/>
              </w:rPr>
            </w:pPr>
            <w:r>
              <w:rPr>
                <w:spacing w:val="-2"/>
                <w:sz w:val="18"/>
              </w:rPr>
              <w:t>29.404</w:t>
            </w:r>
          </w:p>
        </w:tc>
        <w:tc>
          <w:tcPr>
            <w:tcW w:w="1067" w:type="dxa"/>
            <w:shd w:val="clear" w:color="auto" w:fill="BEBEBE"/>
          </w:tcPr>
          <w:p>
            <w:pPr>
              <w:pStyle w:val="TableParagraph"/>
              <w:spacing w:before="96"/>
              <w:jc w:val="center"/>
              <w:rPr>
                <w:sz w:val="18"/>
              </w:rPr>
            </w:pPr>
            <w:r>
              <w:rPr>
                <w:spacing w:val="-5"/>
                <w:sz w:val="18"/>
              </w:rPr>
              <w:t>12</w:t>
            </w:r>
          </w:p>
        </w:tc>
        <w:tc>
          <w:tcPr>
            <w:tcW w:w="848" w:type="dxa"/>
            <w:shd w:val="clear" w:color="auto" w:fill="BEBEBE"/>
          </w:tcPr>
          <w:p>
            <w:pPr>
              <w:pStyle w:val="TableParagraph"/>
              <w:spacing w:before="96"/>
              <w:ind w:left="1" w:right="74"/>
              <w:jc w:val="center"/>
              <w:rPr>
                <w:sz w:val="18"/>
              </w:rPr>
            </w:pPr>
            <w:r>
              <w:rPr>
                <w:spacing w:val="-5"/>
                <w:sz w:val="18"/>
              </w:rPr>
              <w:t>131</w:t>
            </w:r>
          </w:p>
        </w:tc>
        <w:tc>
          <w:tcPr>
            <w:tcW w:w="1344" w:type="dxa"/>
            <w:shd w:val="clear" w:color="auto" w:fill="BEBEBE"/>
          </w:tcPr>
          <w:p>
            <w:pPr>
              <w:pStyle w:val="TableParagraph"/>
              <w:spacing w:before="96"/>
              <w:ind w:right="73"/>
              <w:jc w:val="center"/>
              <w:rPr>
                <w:sz w:val="18"/>
              </w:rPr>
            </w:pPr>
            <w:r>
              <w:rPr>
                <w:spacing w:val="-10"/>
                <w:sz w:val="18"/>
              </w:rPr>
              <w:t>2</w:t>
            </w:r>
          </w:p>
        </w:tc>
        <w:tc>
          <w:tcPr>
            <w:tcW w:w="777" w:type="dxa"/>
            <w:shd w:val="clear" w:color="auto" w:fill="BEBEBE"/>
          </w:tcPr>
          <w:p>
            <w:pPr>
              <w:pStyle w:val="TableParagraph"/>
              <w:spacing w:before="96"/>
              <w:ind w:left="74" w:right="4"/>
              <w:jc w:val="center"/>
              <w:rPr>
                <w:sz w:val="18"/>
              </w:rPr>
            </w:pPr>
            <w:r>
              <w:rPr>
                <w:spacing w:val="-10"/>
                <w:sz w:val="18"/>
              </w:rPr>
              <w:t>0</w:t>
            </w:r>
          </w:p>
        </w:tc>
        <w:tc>
          <w:tcPr>
            <w:tcW w:w="1343" w:type="dxa"/>
            <w:shd w:val="clear" w:color="auto" w:fill="BEBEBE"/>
          </w:tcPr>
          <w:p>
            <w:pPr>
              <w:pStyle w:val="TableParagraph"/>
              <w:spacing w:before="96"/>
              <w:ind w:left="72"/>
              <w:jc w:val="center"/>
              <w:rPr>
                <w:sz w:val="18"/>
              </w:rPr>
            </w:pPr>
            <w:r>
              <w:rPr>
                <w:spacing w:val="-5"/>
                <w:sz w:val="18"/>
              </w:rPr>
              <w:t>576</w:t>
            </w:r>
          </w:p>
        </w:tc>
        <w:tc>
          <w:tcPr>
            <w:tcW w:w="993" w:type="dxa"/>
            <w:shd w:val="clear" w:color="auto" w:fill="BEBEBE"/>
          </w:tcPr>
          <w:p>
            <w:pPr>
              <w:pStyle w:val="TableParagraph"/>
              <w:spacing w:before="96"/>
              <w:ind w:left="253"/>
              <w:rPr>
                <w:sz w:val="18"/>
              </w:rPr>
            </w:pPr>
            <w:r>
              <w:rPr>
                <w:spacing w:val="-2"/>
                <w:sz w:val="18"/>
              </w:rPr>
              <w:t>30.126</w:t>
            </w:r>
          </w:p>
        </w:tc>
      </w:tr>
      <w:tr>
        <w:trPr>
          <w:trHeight w:val="398" w:hRule="atLeast"/>
        </w:trPr>
        <w:tc>
          <w:tcPr>
            <w:tcW w:w="1086" w:type="dxa"/>
            <w:shd w:val="clear" w:color="auto" w:fill="D9D9D9"/>
          </w:tcPr>
          <w:p>
            <w:pPr>
              <w:pStyle w:val="TableParagraph"/>
              <w:spacing w:before="96"/>
              <w:ind w:left="367"/>
              <w:rPr>
                <w:sz w:val="18"/>
              </w:rPr>
            </w:pPr>
            <w:r>
              <w:rPr>
                <w:spacing w:val="-4"/>
                <w:sz w:val="18"/>
              </w:rPr>
              <w:t>2023</w:t>
            </w:r>
          </w:p>
        </w:tc>
        <w:tc>
          <w:tcPr>
            <w:tcW w:w="1035" w:type="dxa"/>
            <w:shd w:val="clear" w:color="auto" w:fill="D9D9D9"/>
          </w:tcPr>
          <w:p>
            <w:pPr>
              <w:pStyle w:val="TableParagraph"/>
              <w:spacing w:before="96"/>
              <w:ind w:left="48"/>
              <w:jc w:val="center"/>
              <w:rPr>
                <w:sz w:val="18"/>
              </w:rPr>
            </w:pPr>
            <w:r>
              <w:rPr>
                <w:spacing w:val="-2"/>
                <w:sz w:val="18"/>
              </w:rPr>
              <w:t>36.172</w:t>
            </w:r>
          </w:p>
        </w:tc>
        <w:tc>
          <w:tcPr>
            <w:tcW w:w="1067" w:type="dxa"/>
            <w:shd w:val="clear" w:color="auto" w:fill="D9D9D9"/>
          </w:tcPr>
          <w:p>
            <w:pPr>
              <w:pStyle w:val="TableParagraph"/>
              <w:spacing w:before="96"/>
              <w:jc w:val="center"/>
              <w:rPr>
                <w:sz w:val="18"/>
              </w:rPr>
            </w:pPr>
            <w:r>
              <w:rPr>
                <w:spacing w:val="-5"/>
                <w:sz w:val="18"/>
              </w:rPr>
              <w:t>29</w:t>
            </w:r>
          </w:p>
        </w:tc>
        <w:tc>
          <w:tcPr>
            <w:tcW w:w="848" w:type="dxa"/>
            <w:shd w:val="clear" w:color="auto" w:fill="D9D9D9"/>
          </w:tcPr>
          <w:p>
            <w:pPr>
              <w:pStyle w:val="TableParagraph"/>
              <w:spacing w:before="96"/>
              <w:ind w:left="1" w:right="74"/>
              <w:jc w:val="center"/>
              <w:rPr>
                <w:sz w:val="18"/>
              </w:rPr>
            </w:pPr>
            <w:r>
              <w:rPr>
                <w:spacing w:val="-5"/>
                <w:sz w:val="18"/>
              </w:rPr>
              <w:t>166</w:t>
            </w:r>
          </w:p>
        </w:tc>
        <w:tc>
          <w:tcPr>
            <w:tcW w:w="1344" w:type="dxa"/>
            <w:shd w:val="clear" w:color="auto" w:fill="D9D9D9"/>
          </w:tcPr>
          <w:p>
            <w:pPr>
              <w:pStyle w:val="TableParagraph"/>
              <w:spacing w:before="96"/>
              <w:ind w:right="73"/>
              <w:jc w:val="center"/>
              <w:rPr>
                <w:sz w:val="18"/>
              </w:rPr>
            </w:pPr>
            <w:r>
              <w:rPr>
                <w:spacing w:val="-10"/>
                <w:sz w:val="18"/>
              </w:rPr>
              <w:t>8</w:t>
            </w:r>
          </w:p>
        </w:tc>
        <w:tc>
          <w:tcPr>
            <w:tcW w:w="777" w:type="dxa"/>
            <w:shd w:val="clear" w:color="auto" w:fill="D9D9D9"/>
          </w:tcPr>
          <w:p>
            <w:pPr>
              <w:pStyle w:val="TableParagraph"/>
              <w:spacing w:before="96"/>
              <w:ind w:left="74" w:right="4"/>
              <w:jc w:val="center"/>
              <w:rPr>
                <w:sz w:val="18"/>
              </w:rPr>
            </w:pPr>
            <w:r>
              <w:rPr>
                <w:spacing w:val="-10"/>
                <w:sz w:val="18"/>
              </w:rPr>
              <w:t>0</w:t>
            </w:r>
          </w:p>
        </w:tc>
        <w:tc>
          <w:tcPr>
            <w:tcW w:w="1343" w:type="dxa"/>
            <w:shd w:val="clear" w:color="auto" w:fill="D9D9D9"/>
          </w:tcPr>
          <w:p>
            <w:pPr>
              <w:pStyle w:val="TableParagraph"/>
              <w:spacing w:before="96"/>
              <w:ind w:left="72"/>
              <w:jc w:val="center"/>
              <w:rPr>
                <w:sz w:val="18"/>
              </w:rPr>
            </w:pPr>
            <w:r>
              <w:rPr>
                <w:spacing w:val="-5"/>
                <w:sz w:val="18"/>
              </w:rPr>
              <w:t>691</w:t>
            </w:r>
          </w:p>
        </w:tc>
        <w:tc>
          <w:tcPr>
            <w:tcW w:w="993" w:type="dxa"/>
            <w:shd w:val="clear" w:color="auto" w:fill="D9D9D9"/>
          </w:tcPr>
          <w:p>
            <w:pPr>
              <w:pStyle w:val="TableParagraph"/>
              <w:spacing w:before="96"/>
              <w:ind w:left="253"/>
              <w:rPr>
                <w:sz w:val="18"/>
              </w:rPr>
            </w:pPr>
            <w:r>
              <w:rPr>
                <w:spacing w:val="-2"/>
                <w:sz w:val="18"/>
              </w:rPr>
              <w:t>37.066</w:t>
            </w:r>
          </w:p>
        </w:tc>
      </w:tr>
      <w:tr>
        <w:trPr>
          <w:trHeight w:val="395" w:hRule="atLeast"/>
        </w:trPr>
        <w:tc>
          <w:tcPr>
            <w:tcW w:w="1086" w:type="dxa"/>
            <w:shd w:val="clear" w:color="auto" w:fill="BEBEBE"/>
          </w:tcPr>
          <w:p>
            <w:pPr>
              <w:pStyle w:val="TableParagraph"/>
              <w:spacing w:before="93"/>
              <w:ind w:left="367"/>
              <w:rPr>
                <w:sz w:val="18"/>
              </w:rPr>
            </w:pPr>
            <w:r>
              <w:rPr>
                <w:spacing w:val="-4"/>
                <w:sz w:val="18"/>
              </w:rPr>
              <w:t>2024</w:t>
            </w:r>
          </w:p>
        </w:tc>
        <w:tc>
          <w:tcPr>
            <w:tcW w:w="1035" w:type="dxa"/>
            <w:shd w:val="clear" w:color="auto" w:fill="BEBEBE"/>
          </w:tcPr>
          <w:p>
            <w:pPr>
              <w:pStyle w:val="TableParagraph"/>
              <w:spacing w:before="93"/>
              <w:ind w:left="48"/>
              <w:jc w:val="center"/>
              <w:rPr>
                <w:sz w:val="18"/>
              </w:rPr>
            </w:pPr>
            <w:r>
              <w:rPr>
                <w:spacing w:val="-2"/>
                <w:sz w:val="18"/>
              </w:rPr>
              <w:t>36.170</w:t>
            </w:r>
          </w:p>
        </w:tc>
        <w:tc>
          <w:tcPr>
            <w:tcW w:w="1067" w:type="dxa"/>
            <w:shd w:val="clear" w:color="auto" w:fill="BEBEBE"/>
          </w:tcPr>
          <w:p>
            <w:pPr>
              <w:pStyle w:val="TableParagraph"/>
              <w:spacing w:before="93"/>
              <w:jc w:val="center"/>
              <w:rPr>
                <w:sz w:val="18"/>
              </w:rPr>
            </w:pPr>
            <w:r>
              <w:rPr>
                <w:spacing w:val="-5"/>
                <w:sz w:val="18"/>
              </w:rPr>
              <w:t>11</w:t>
            </w:r>
          </w:p>
        </w:tc>
        <w:tc>
          <w:tcPr>
            <w:tcW w:w="848" w:type="dxa"/>
            <w:shd w:val="clear" w:color="auto" w:fill="BEBEBE"/>
          </w:tcPr>
          <w:p>
            <w:pPr>
              <w:pStyle w:val="TableParagraph"/>
              <w:spacing w:before="93"/>
              <w:ind w:left="1" w:right="74"/>
              <w:jc w:val="center"/>
              <w:rPr>
                <w:sz w:val="18"/>
              </w:rPr>
            </w:pPr>
            <w:r>
              <w:rPr>
                <w:spacing w:val="-5"/>
                <w:sz w:val="18"/>
              </w:rPr>
              <w:t>195</w:t>
            </w:r>
          </w:p>
        </w:tc>
        <w:tc>
          <w:tcPr>
            <w:tcW w:w="1344" w:type="dxa"/>
            <w:shd w:val="clear" w:color="auto" w:fill="BEBEBE"/>
          </w:tcPr>
          <w:p>
            <w:pPr>
              <w:pStyle w:val="TableParagraph"/>
              <w:spacing w:before="93"/>
              <w:ind w:right="72"/>
              <w:jc w:val="center"/>
              <w:rPr>
                <w:sz w:val="18"/>
              </w:rPr>
            </w:pPr>
            <w:r>
              <w:rPr>
                <w:spacing w:val="-5"/>
                <w:sz w:val="18"/>
              </w:rPr>
              <w:t>44</w:t>
            </w:r>
          </w:p>
        </w:tc>
        <w:tc>
          <w:tcPr>
            <w:tcW w:w="777" w:type="dxa"/>
            <w:shd w:val="clear" w:color="auto" w:fill="BEBEBE"/>
          </w:tcPr>
          <w:p>
            <w:pPr>
              <w:pStyle w:val="TableParagraph"/>
              <w:spacing w:before="93"/>
              <w:ind w:left="74" w:right="4"/>
              <w:jc w:val="center"/>
              <w:rPr>
                <w:sz w:val="18"/>
              </w:rPr>
            </w:pPr>
            <w:r>
              <w:rPr>
                <w:spacing w:val="-10"/>
                <w:sz w:val="18"/>
              </w:rPr>
              <w:t>0</w:t>
            </w:r>
          </w:p>
        </w:tc>
        <w:tc>
          <w:tcPr>
            <w:tcW w:w="1343" w:type="dxa"/>
            <w:shd w:val="clear" w:color="auto" w:fill="BEBEBE"/>
          </w:tcPr>
          <w:p>
            <w:pPr>
              <w:pStyle w:val="TableParagraph"/>
              <w:spacing w:before="93"/>
              <w:ind w:left="72"/>
              <w:jc w:val="center"/>
              <w:rPr>
                <w:sz w:val="18"/>
              </w:rPr>
            </w:pPr>
            <w:r>
              <w:rPr>
                <w:spacing w:val="-5"/>
                <w:sz w:val="18"/>
              </w:rPr>
              <w:t>826</w:t>
            </w:r>
          </w:p>
        </w:tc>
        <w:tc>
          <w:tcPr>
            <w:tcW w:w="993" w:type="dxa"/>
            <w:shd w:val="clear" w:color="auto" w:fill="BEBEBE"/>
          </w:tcPr>
          <w:p>
            <w:pPr>
              <w:pStyle w:val="TableParagraph"/>
              <w:spacing w:before="93"/>
              <w:ind w:left="253"/>
              <w:rPr>
                <w:sz w:val="18"/>
              </w:rPr>
            </w:pPr>
            <w:r>
              <w:rPr>
                <w:spacing w:val="-2"/>
                <w:sz w:val="18"/>
              </w:rPr>
              <w:t>37.246</w:t>
            </w:r>
          </w:p>
        </w:tc>
      </w:tr>
      <w:tr>
        <w:trPr>
          <w:trHeight w:val="398" w:hRule="atLeast"/>
        </w:trPr>
        <w:tc>
          <w:tcPr>
            <w:tcW w:w="1086" w:type="dxa"/>
            <w:tcBorders>
              <w:bottom w:val="single" w:sz="8" w:space="0" w:color="FFFFFF"/>
            </w:tcBorders>
            <w:shd w:val="clear" w:color="auto" w:fill="D9D9D9"/>
          </w:tcPr>
          <w:p>
            <w:pPr>
              <w:pStyle w:val="TableParagraph"/>
              <w:spacing w:before="96"/>
              <w:ind w:left="367"/>
              <w:rPr>
                <w:sz w:val="18"/>
              </w:rPr>
            </w:pPr>
            <w:r>
              <w:rPr>
                <w:spacing w:val="-4"/>
                <w:sz w:val="18"/>
              </w:rPr>
              <w:t>2025</w:t>
            </w:r>
          </w:p>
        </w:tc>
        <w:tc>
          <w:tcPr>
            <w:tcW w:w="1035" w:type="dxa"/>
            <w:tcBorders>
              <w:bottom w:val="single" w:sz="8" w:space="0" w:color="FFFFFF"/>
            </w:tcBorders>
            <w:shd w:val="clear" w:color="auto" w:fill="D9D9D9"/>
          </w:tcPr>
          <w:p>
            <w:pPr>
              <w:pStyle w:val="TableParagraph"/>
              <w:spacing w:before="96"/>
              <w:ind w:left="48"/>
              <w:jc w:val="center"/>
              <w:rPr>
                <w:sz w:val="18"/>
              </w:rPr>
            </w:pPr>
            <w:r>
              <w:rPr>
                <w:spacing w:val="-2"/>
                <w:sz w:val="18"/>
              </w:rPr>
              <w:t>49.963</w:t>
            </w:r>
          </w:p>
        </w:tc>
        <w:tc>
          <w:tcPr>
            <w:tcW w:w="1067" w:type="dxa"/>
            <w:tcBorders>
              <w:bottom w:val="single" w:sz="8" w:space="0" w:color="FFFFFF"/>
            </w:tcBorders>
            <w:shd w:val="clear" w:color="auto" w:fill="D9D9D9"/>
          </w:tcPr>
          <w:p>
            <w:pPr>
              <w:pStyle w:val="TableParagraph"/>
              <w:spacing w:before="96"/>
              <w:jc w:val="center"/>
              <w:rPr>
                <w:sz w:val="18"/>
              </w:rPr>
            </w:pPr>
            <w:r>
              <w:rPr>
                <w:spacing w:val="-5"/>
                <w:sz w:val="18"/>
              </w:rPr>
              <w:t>23</w:t>
            </w:r>
          </w:p>
        </w:tc>
        <w:tc>
          <w:tcPr>
            <w:tcW w:w="848" w:type="dxa"/>
            <w:tcBorders>
              <w:bottom w:val="single" w:sz="8" w:space="0" w:color="FFFFFF"/>
            </w:tcBorders>
            <w:shd w:val="clear" w:color="auto" w:fill="D9D9D9"/>
          </w:tcPr>
          <w:p>
            <w:pPr>
              <w:pStyle w:val="TableParagraph"/>
              <w:spacing w:before="96"/>
              <w:ind w:left="1" w:right="74"/>
              <w:jc w:val="center"/>
              <w:rPr>
                <w:sz w:val="18"/>
              </w:rPr>
            </w:pPr>
            <w:r>
              <w:rPr>
                <w:spacing w:val="-5"/>
                <w:sz w:val="18"/>
              </w:rPr>
              <w:t>215</w:t>
            </w:r>
          </w:p>
        </w:tc>
        <w:tc>
          <w:tcPr>
            <w:tcW w:w="1344" w:type="dxa"/>
            <w:tcBorders>
              <w:bottom w:val="single" w:sz="8" w:space="0" w:color="FFFFFF"/>
            </w:tcBorders>
            <w:shd w:val="clear" w:color="auto" w:fill="D9D9D9"/>
          </w:tcPr>
          <w:p>
            <w:pPr>
              <w:pStyle w:val="TableParagraph"/>
              <w:spacing w:before="96"/>
              <w:ind w:right="72"/>
              <w:jc w:val="center"/>
              <w:rPr>
                <w:sz w:val="18"/>
              </w:rPr>
            </w:pPr>
            <w:r>
              <w:rPr>
                <w:spacing w:val="-5"/>
                <w:sz w:val="18"/>
              </w:rPr>
              <w:t>125</w:t>
            </w:r>
          </w:p>
        </w:tc>
        <w:tc>
          <w:tcPr>
            <w:tcW w:w="777" w:type="dxa"/>
            <w:tcBorders>
              <w:bottom w:val="single" w:sz="8" w:space="0" w:color="FFFFFF"/>
            </w:tcBorders>
            <w:shd w:val="clear" w:color="auto" w:fill="D9D9D9"/>
          </w:tcPr>
          <w:p>
            <w:pPr>
              <w:pStyle w:val="TableParagraph"/>
              <w:spacing w:before="96"/>
              <w:ind w:left="74" w:right="4"/>
              <w:jc w:val="center"/>
              <w:rPr>
                <w:sz w:val="18"/>
              </w:rPr>
            </w:pPr>
            <w:r>
              <w:rPr>
                <w:spacing w:val="-10"/>
                <w:sz w:val="18"/>
              </w:rPr>
              <w:t>0</w:t>
            </w:r>
          </w:p>
        </w:tc>
        <w:tc>
          <w:tcPr>
            <w:tcW w:w="1343" w:type="dxa"/>
            <w:tcBorders>
              <w:bottom w:val="single" w:sz="8" w:space="0" w:color="FFFFFF"/>
            </w:tcBorders>
            <w:shd w:val="clear" w:color="auto" w:fill="D9D9D9"/>
          </w:tcPr>
          <w:p>
            <w:pPr>
              <w:pStyle w:val="TableParagraph"/>
              <w:spacing w:before="96"/>
              <w:ind w:left="72"/>
              <w:jc w:val="center"/>
              <w:rPr>
                <w:sz w:val="18"/>
              </w:rPr>
            </w:pPr>
            <w:r>
              <w:rPr>
                <w:spacing w:val="-5"/>
                <w:sz w:val="18"/>
              </w:rPr>
              <w:t>639</w:t>
            </w:r>
          </w:p>
        </w:tc>
        <w:tc>
          <w:tcPr>
            <w:tcW w:w="993" w:type="dxa"/>
            <w:tcBorders>
              <w:bottom w:val="single" w:sz="8" w:space="0" w:color="FFFFFF"/>
            </w:tcBorders>
            <w:shd w:val="clear" w:color="auto" w:fill="D9D9D9"/>
          </w:tcPr>
          <w:p>
            <w:pPr>
              <w:pStyle w:val="TableParagraph"/>
              <w:spacing w:before="96"/>
              <w:ind w:left="253"/>
              <w:rPr>
                <w:sz w:val="18"/>
              </w:rPr>
            </w:pPr>
            <w:r>
              <w:rPr>
                <w:spacing w:val="-2"/>
                <w:sz w:val="18"/>
              </w:rPr>
              <w:t>50.963</w:t>
            </w:r>
          </w:p>
        </w:tc>
      </w:tr>
      <w:tr>
        <w:trPr>
          <w:trHeight w:val="339" w:hRule="atLeast"/>
        </w:trPr>
        <w:tc>
          <w:tcPr>
            <w:tcW w:w="8493" w:type="dxa"/>
            <w:gridSpan w:val="8"/>
            <w:tcBorders>
              <w:top w:val="single" w:sz="8" w:space="0" w:color="FFFFFF"/>
              <w:bottom w:val="single" w:sz="8" w:space="0" w:color="FFFFFF"/>
            </w:tcBorders>
            <w:shd w:val="clear" w:color="auto" w:fill="BEBEBE"/>
          </w:tcPr>
          <w:p>
            <w:pPr>
              <w:pStyle w:val="TableParagraph"/>
              <w:spacing w:before="66"/>
              <w:ind w:left="955"/>
              <w:rPr>
                <w:b/>
                <w:sz w:val="18"/>
              </w:rPr>
            </w:pPr>
            <w:r>
              <w:rPr>
                <w:b/>
                <w:color w:val="1F487C"/>
                <w:sz w:val="18"/>
              </w:rPr>
              <w:t>Μέση</w:t>
            </w:r>
            <w:r>
              <w:rPr>
                <w:b/>
                <w:color w:val="1F487C"/>
                <w:spacing w:val="-3"/>
                <w:sz w:val="18"/>
              </w:rPr>
              <w:t> </w:t>
            </w:r>
            <w:r>
              <w:rPr>
                <w:b/>
                <w:color w:val="1F487C"/>
                <w:sz w:val="18"/>
              </w:rPr>
              <w:t>ημερήσ</w:t>
            </w:r>
            <w:r>
              <w:rPr>
                <w:b/>
                <w:smallCaps/>
                <w:color w:val="1F487C"/>
                <w:sz w:val="18"/>
              </w:rPr>
              <w:t>ι</w:t>
            </w:r>
            <w:r>
              <w:rPr>
                <w:b/>
                <w:smallCaps w:val="0"/>
                <w:color w:val="1F487C"/>
                <w:sz w:val="18"/>
              </w:rPr>
              <w:t>α</w:t>
            </w:r>
            <w:r>
              <w:rPr>
                <w:b/>
                <w:smallCaps w:val="0"/>
                <w:color w:val="1F487C"/>
                <w:spacing w:val="-5"/>
                <w:sz w:val="18"/>
              </w:rPr>
              <w:t> </w:t>
            </w:r>
            <w:r>
              <w:rPr>
                <w:b/>
                <w:smallCaps w:val="0"/>
                <w:color w:val="1F487C"/>
                <w:sz w:val="18"/>
              </w:rPr>
              <w:t>αξία</w:t>
            </w:r>
            <w:r>
              <w:rPr>
                <w:b/>
                <w:smallCaps w:val="0"/>
                <w:color w:val="1F487C"/>
                <w:spacing w:val="-3"/>
                <w:sz w:val="18"/>
              </w:rPr>
              <w:t> </w:t>
            </w:r>
            <w:r>
              <w:rPr>
                <w:b/>
                <w:smallCaps w:val="0"/>
                <w:color w:val="1F487C"/>
                <w:sz w:val="18"/>
              </w:rPr>
              <w:t>δ</w:t>
            </w:r>
            <w:r>
              <w:rPr>
                <w:b/>
                <w:smallCaps/>
                <w:color w:val="1F487C"/>
                <w:sz w:val="18"/>
              </w:rPr>
              <w:t>ι</w:t>
            </w:r>
            <w:r>
              <w:rPr>
                <w:b/>
                <w:smallCaps w:val="0"/>
                <w:color w:val="1F487C"/>
                <w:sz w:val="18"/>
              </w:rPr>
              <w:t>ακανον</w:t>
            </w:r>
            <w:r>
              <w:rPr>
                <w:b/>
                <w:smallCaps/>
                <w:color w:val="1F487C"/>
                <w:sz w:val="18"/>
              </w:rPr>
              <w:t>ι</w:t>
            </w:r>
            <w:r>
              <w:rPr>
                <w:b/>
                <w:smallCaps w:val="0"/>
                <w:color w:val="1F487C"/>
                <w:sz w:val="18"/>
              </w:rPr>
              <w:t>σμένων</w:t>
            </w:r>
            <w:r>
              <w:rPr>
                <w:b/>
                <w:smallCaps w:val="0"/>
                <w:color w:val="1F487C"/>
                <w:spacing w:val="-2"/>
                <w:sz w:val="18"/>
              </w:rPr>
              <w:t> </w:t>
            </w:r>
            <w:r>
              <w:rPr>
                <w:b/>
                <w:smallCaps w:val="0"/>
                <w:color w:val="1F487C"/>
                <w:sz w:val="18"/>
              </w:rPr>
              <w:t>χρηματ</w:t>
            </w:r>
            <w:r>
              <w:rPr>
                <w:b/>
                <w:smallCaps/>
                <w:color w:val="1F487C"/>
                <w:sz w:val="18"/>
              </w:rPr>
              <w:t>ι</w:t>
            </w:r>
            <w:r>
              <w:rPr>
                <w:b/>
                <w:smallCaps w:val="0"/>
                <w:color w:val="1F487C"/>
                <w:sz w:val="18"/>
              </w:rPr>
              <w:t>στηρ</w:t>
            </w:r>
            <w:r>
              <w:rPr>
                <w:b/>
                <w:smallCaps/>
                <w:color w:val="1F487C"/>
                <w:sz w:val="18"/>
              </w:rPr>
              <w:t>ι</w:t>
            </w:r>
            <w:r>
              <w:rPr>
                <w:b/>
                <w:smallCaps w:val="0"/>
                <w:color w:val="1F487C"/>
                <w:sz w:val="18"/>
              </w:rPr>
              <w:t>ακών</w:t>
            </w:r>
            <w:r>
              <w:rPr>
                <w:b/>
                <w:smallCaps w:val="0"/>
                <w:color w:val="1F487C"/>
                <w:spacing w:val="-4"/>
                <w:sz w:val="18"/>
              </w:rPr>
              <w:t> </w:t>
            </w:r>
            <w:r>
              <w:rPr>
                <w:b/>
                <w:smallCaps w:val="0"/>
                <w:color w:val="1F487C"/>
                <w:sz w:val="18"/>
              </w:rPr>
              <w:t>συναλλαγών</w:t>
            </w:r>
            <w:r>
              <w:rPr>
                <w:b/>
                <w:smallCaps w:val="0"/>
                <w:color w:val="1F487C"/>
                <w:spacing w:val="-3"/>
                <w:sz w:val="18"/>
              </w:rPr>
              <w:t> </w:t>
            </w:r>
            <w:r>
              <w:rPr>
                <w:b/>
                <w:smallCaps w:val="0"/>
                <w:color w:val="1F487C"/>
                <w:sz w:val="18"/>
              </w:rPr>
              <w:t>(σε</w:t>
            </w:r>
            <w:r>
              <w:rPr>
                <w:b/>
                <w:smallCaps w:val="0"/>
                <w:color w:val="1F487C"/>
                <w:spacing w:val="-3"/>
                <w:sz w:val="18"/>
              </w:rPr>
              <w:t> </w:t>
            </w:r>
            <w:r>
              <w:rPr>
                <w:b/>
                <w:smallCaps w:val="0"/>
                <w:color w:val="1F487C"/>
                <w:sz w:val="18"/>
              </w:rPr>
              <w:t>χ</w:t>
            </w:r>
            <w:r>
              <w:rPr>
                <w:b/>
                <w:smallCaps/>
                <w:color w:val="1F487C"/>
                <w:sz w:val="18"/>
              </w:rPr>
              <w:t>ι</w:t>
            </w:r>
            <w:r>
              <w:rPr>
                <w:b/>
                <w:smallCaps w:val="0"/>
                <w:color w:val="1F487C"/>
                <w:sz w:val="18"/>
              </w:rPr>
              <w:t>λ.</w:t>
            </w:r>
            <w:r>
              <w:rPr>
                <w:b/>
                <w:smallCaps w:val="0"/>
                <w:color w:val="1F487C"/>
                <w:spacing w:val="-5"/>
                <w:sz w:val="18"/>
              </w:rPr>
              <w:t> </w:t>
            </w:r>
            <w:r>
              <w:rPr>
                <w:b/>
                <w:smallCaps w:val="0"/>
                <w:color w:val="1F487C"/>
                <w:spacing w:val="-2"/>
                <w:sz w:val="18"/>
              </w:rPr>
              <w:t>ευρώ)</w:t>
            </w:r>
          </w:p>
        </w:tc>
      </w:tr>
      <w:tr>
        <w:trPr>
          <w:trHeight w:val="395" w:hRule="atLeast"/>
        </w:trPr>
        <w:tc>
          <w:tcPr>
            <w:tcW w:w="1086" w:type="dxa"/>
            <w:tcBorders>
              <w:top w:val="single" w:sz="8" w:space="0" w:color="FFFFFF"/>
            </w:tcBorders>
            <w:shd w:val="clear" w:color="auto" w:fill="D9D9D9"/>
          </w:tcPr>
          <w:p>
            <w:pPr>
              <w:pStyle w:val="TableParagraph"/>
              <w:spacing w:before="95"/>
              <w:ind w:right="245"/>
              <w:jc w:val="right"/>
              <w:rPr>
                <w:sz w:val="18"/>
              </w:rPr>
            </w:pPr>
            <w:r>
              <w:rPr>
                <w:spacing w:val="-4"/>
                <w:sz w:val="18"/>
              </w:rPr>
              <w:t>2020</w:t>
            </w:r>
          </w:p>
        </w:tc>
        <w:tc>
          <w:tcPr>
            <w:tcW w:w="1035" w:type="dxa"/>
            <w:tcBorders>
              <w:top w:val="single" w:sz="8" w:space="0" w:color="FFFFFF"/>
            </w:tcBorders>
            <w:shd w:val="clear" w:color="auto" w:fill="D9D9D9"/>
          </w:tcPr>
          <w:p>
            <w:pPr>
              <w:pStyle w:val="TableParagraph"/>
              <w:spacing w:before="119"/>
              <w:ind w:left="48"/>
              <w:jc w:val="center"/>
              <w:rPr>
                <w:sz w:val="18"/>
              </w:rPr>
            </w:pPr>
            <w:r>
              <w:rPr>
                <w:spacing w:val="-2"/>
                <w:sz w:val="18"/>
              </w:rPr>
              <w:t>64.475</w:t>
            </w:r>
          </w:p>
        </w:tc>
        <w:tc>
          <w:tcPr>
            <w:tcW w:w="1067" w:type="dxa"/>
            <w:tcBorders>
              <w:top w:val="single" w:sz="8" w:space="0" w:color="FFFFFF"/>
            </w:tcBorders>
            <w:shd w:val="clear" w:color="auto" w:fill="D9D9D9"/>
          </w:tcPr>
          <w:p>
            <w:pPr>
              <w:pStyle w:val="TableParagraph"/>
              <w:spacing w:before="119"/>
              <w:jc w:val="center"/>
              <w:rPr>
                <w:sz w:val="18"/>
              </w:rPr>
            </w:pPr>
            <w:r>
              <w:rPr>
                <w:spacing w:val="-10"/>
                <w:sz w:val="18"/>
              </w:rPr>
              <w:t>2</w:t>
            </w:r>
          </w:p>
        </w:tc>
        <w:tc>
          <w:tcPr>
            <w:tcW w:w="848" w:type="dxa"/>
            <w:tcBorders>
              <w:top w:val="single" w:sz="8" w:space="0" w:color="FFFFFF"/>
            </w:tcBorders>
            <w:shd w:val="clear" w:color="auto" w:fill="D9D9D9"/>
          </w:tcPr>
          <w:p>
            <w:pPr>
              <w:pStyle w:val="TableParagraph"/>
              <w:spacing w:before="119"/>
              <w:ind w:left="74" w:right="73"/>
              <w:jc w:val="center"/>
              <w:rPr>
                <w:sz w:val="18"/>
              </w:rPr>
            </w:pPr>
            <w:r>
              <w:rPr>
                <w:spacing w:val="-5"/>
                <w:sz w:val="18"/>
              </w:rPr>
              <w:t>761</w:t>
            </w:r>
          </w:p>
        </w:tc>
        <w:tc>
          <w:tcPr>
            <w:tcW w:w="1344" w:type="dxa"/>
            <w:tcBorders>
              <w:top w:val="single" w:sz="8" w:space="0" w:color="FFFFFF"/>
            </w:tcBorders>
            <w:shd w:val="clear" w:color="auto" w:fill="D9D9D9"/>
          </w:tcPr>
          <w:p>
            <w:pPr>
              <w:pStyle w:val="TableParagraph"/>
              <w:spacing w:before="119"/>
              <w:ind w:left="2"/>
              <w:jc w:val="center"/>
              <w:rPr>
                <w:sz w:val="18"/>
              </w:rPr>
            </w:pPr>
            <w:r>
              <w:rPr>
                <w:spacing w:val="-5"/>
                <w:sz w:val="18"/>
              </w:rPr>
              <w:t>40</w:t>
            </w:r>
          </w:p>
        </w:tc>
        <w:tc>
          <w:tcPr>
            <w:tcW w:w="777" w:type="dxa"/>
            <w:tcBorders>
              <w:top w:val="single" w:sz="8" w:space="0" w:color="FFFFFF"/>
            </w:tcBorders>
            <w:shd w:val="clear" w:color="auto" w:fill="D9D9D9"/>
          </w:tcPr>
          <w:p>
            <w:pPr>
              <w:pStyle w:val="TableParagraph"/>
              <w:spacing w:before="119"/>
              <w:ind w:left="74" w:right="70"/>
              <w:jc w:val="center"/>
              <w:rPr>
                <w:sz w:val="18"/>
              </w:rPr>
            </w:pPr>
            <w:r>
              <w:rPr>
                <w:spacing w:val="-5"/>
                <w:sz w:val="18"/>
              </w:rPr>
              <w:t>10</w:t>
            </w:r>
          </w:p>
        </w:tc>
        <w:tc>
          <w:tcPr>
            <w:tcW w:w="1343" w:type="dxa"/>
            <w:tcBorders>
              <w:top w:val="single" w:sz="8" w:space="0" w:color="FFFFFF"/>
            </w:tcBorders>
            <w:shd w:val="clear" w:color="auto" w:fill="D9D9D9"/>
          </w:tcPr>
          <w:p>
            <w:pPr>
              <w:pStyle w:val="TableParagraph"/>
              <w:spacing w:before="119"/>
              <w:ind w:left="72" w:right="67"/>
              <w:jc w:val="center"/>
              <w:rPr>
                <w:sz w:val="18"/>
              </w:rPr>
            </w:pPr>
            <w:r>
              <w:rPr>
                <w:spacing w:val="-5"/>
                <w:sz w:val="18"/>
              </w:rPr>
              <w:t>120</w:t>
            </w:r>
          </w:p>
        </w:tc>
        <w:tc>
          <w:tcPr>
            <w:tcW w:w="993" w:type="dxa"/>
            <w:tcBorders>
              <w:top w:val="single" w:sz="8" w:space="0" w:color="FFFFFF"/>
            </w:tcBorders>
            <w:shd w:val="clear" w:color="auto" w:fill="D9D9D9"/>
          </w:tcPr>
          <w:p>
            <w:pPr>
              <w:pStyle w:val="TableParagraph"/>
              <w:spacing w:before="119"/>
              <w:ind w:left="253"/>
              <w:rPr>
                <w:sz w:val="18"/>
              </w:rPr>
            </w:pPr>
            <w:r>
              <w:rPr>
                <w:spacing w:val="-2"/>
                <w:sz w:val="18"/>
              </w:rPr>
              <w:t>65.408</w:t>
            </w:r>
          </w:p>
        </w:tc>
      </w:tr>
      <w:tr>
        <w:trPr>
          <w:trHeight w:val="398" w:hRule="atLeast"/>
        </w:trPr>
        <w:tc>
          <w:tcPr>
            <w:tcW w:w="1086" w:type="dxa"/>
            <w:shd w:val="clear" w:color="auto" w:fill="BEBEBE"/>
          </w:tcPr>
          <w:p>
            <w:pPr>
              <w:pStyle w:val="TableParagraph"/>
              <w:spacing w:before="96"/>
              <w:ind w:right="245"/>
              <w:jc w:val="right"/>
              <w:rPr>
                <w:sz w:val="18"/>
              </w:rPr>
            </w:pPr>
            <w:r>
              <w:rPr>
                <w:spacing w:val="-4"/>
                <w:sz w:val="18"/>
              </w:rPr>
              <w:t>2021</w:t>
            </w:r>
          </w:p>
        </w:tc>
        <w:tc>
          <w:tcPr>
            <w:tcW w:w="1035" w:type="dxa"/>
            <w:shd w:val="clear" w:color="auto" w:fill="BEBEBE"/>
          </w:tcPr>
          <w:p>
            <w:pPr>
              <w:pStyle w:val="TableParagraph"/>
              <w:spacing w:before="122"/>
              <w:ind w:left="48"/>
              <w:jc w:val="center"/>
              <w:rPr>
                <w:sz w:val="18"/>
              </w:rPr>
            </w:pPr>
            <w:r>
              <w:rPr>
                <w:spacing w:val="-2"/>
                <w:sz w:val="18"/>
              </w:rPr>
              <w:t>70.248</w:t>
            </w:r>
          </w:p>
        </w:tc>
        <w:tc>
          <w:tcPr>
            <w:tcW w:w="1067" w:type="dxa"/>
            <w:shd w:val="clear" w:color="auto" w:fill="BEBEBE"/>
          </w:tcPr>
          <w:p>
            <w:pPr>
              <w:pStyle w:val="TableParagraph"/>
              <w:spacing w:before="122"/>
              <w:jc w:val="center"/>
              <w:rPr>
                <w:sz w:val="18"/>
              </w:rPr>
            </w:pPr>
            <w:r>
              <w:rPr>
                <w:spacing w:val="-5"/>
                <w:sz w:val="18"/>
              </w:rPr>
              <w:t>23</w:t>
            </w:r>
          </w:p>
        </w:tc>
        <w:tc>
          <w:tcPr>
            <w:tcW w:w="848" w:type="dxa"/>
            <w:shd w:val="clear" w:color="auto" w:fill="BEBEBE"/>
          </w:tcPr>
          <w:p>
            <w:pPr>
              <w:pStyle w:val="TableParagraph"/>
              <w:spacing w:before="122"/>
              <w:ind w:left="74" w:right="73"/>
              <w:jc w:val="center"/>
              <w:rPr>
                <w:sz w:val="18"/>
              </w:rPr>
            </w:pPr>
            <w:r>
              <w:rPr>
                <w:spacing w:val="-5"/>
                <w:sz w:val="18"/>
              </w:rPr>
              <w:t>986</w:t>
            </w:r>
          </w:p>
        </w:tc>
        <w:tc>
          <w:tcPr>
            <w:tcW w:w="1344" w:type="dxa"/>
            <w:shd w:val="clear" w:color="auto" w:fill="BEBEBE"/>
          </w:tcPr>
          <w:p>
            <w:pPr>
              <w:pStyle w:val="TableParagraph"/>
              <w:spacing w:before="122"/>
              <w:ind w:left="2"/>
              <w:jc w:val="center"/>
              <w:rPr>
                <w:sz w:val="18"/>
              </w:rPr>
            </w:pPr>
            <w:r>
              <w:rPr>
                <w:spacing w:val="-5"/>
                <w:sz w:val="18"/>
              </w:rPr>
              <w:t>17</w:t>
            </w:r>
          </w:p>
        </w:tc>
        <w:tc>
          <w:tcPr>
            <w:tcW w:w="777" w:type="dxa"/>
            <w:shd w:val="clear" w:color="auto" w:fill="BEBEBE"/>
          </w:tcPr>
          <w:p>
            <w:pPr>
              <w:pStyle w:val="TableParagraph"/>
              <w:spacing w:before="122"/>
              <w:ind w:left="74" w:right="70"/>
              <w:jc w:val="center"/>
              <w:rPr>
                <w:sz w:val="18"/>
              </w:rPr>
            </w:pPr>
            <w:r>
              <w:rPr>
                <w:spacing w:val="-5"/>
                <w:sz w:val="18"/>
              </w:rPr>
              <w:t>85</w:t>
            </w:r>
          </w:p>
        </w:tc>
        <w:tc>
          <w:tcPr>
            <w:tcW w:w="1343" w:type="dxa"/>
            <w:shd w:val="clear" w:color="auto" w:fill="BEBEBE"/>
          </w:tcPr>
          <w:p>
            <w:pPr>
              <w:pStyle w:val="TableParagraph"/>
              <w:spacing w:before="122"/>
              <w:ind w:left="72" w:right="67"/>
              <w:jc w:val="center"/>
              <w:rPr>
                <w:sz w:val="18"/>
              </w:rPr>
            </w:pPr>
            <w:r>
              <w:rPr>
                <w:spacing w:val="-5"/>
                <w:sz w:val="18"/>
              </w:rPr>
              <w:t>297</w:t>
            </w:r>
          </w:p>
        </w:tc>
        <w:tc>
          <w:tcPr>
            <w:tcW w:w="993" w:type="dxa"/>
            <w:shd w:val="clear" w:color="auto" w:fill="BEBEBE"/>
          </w:tcPr>
          <w:p>
            <w:pPr>
              <w:pStyle w:val="TableParagraph"/>
              <w:spacing w:before="122"/>
              <w:ind w:left="253"/>
              <w:rPr>
                <w:sz w:val="18"/>
              </w:rPr>
            </w:pPr>
            <w:r>
              <w:rPr>
                <w:spacing w:val="-2"/>
                <w:sz w:val="18"/>
              </w:rPr>
              <w:t>71.655</w:t>
            </w:r>
          </w:p>
        </w:tc>
      </w:tr>
      <w:tr>
        <w:trPr>
          <w:trHeight w:val="395" w:hRule="atLeast"/>
        </w:trPr>
        <w:tc>
          <w:tcPr>
            <w:tcW w:w="1086" w:type="dxa"/>
            <w:shd w:val="clear" w:color="auto" w:fill="D9D9D9"/>
          </w:tcPr>
          <w:p>
            <w:pPr>
              <w:pStyle w:val="TableParagraph"/>
              <w:spacing w:before="93"/>
              <w:ind w:right="245"/>
              <w:jc w:val="right"/>
              <w:rPr>
                <w:sz w:val="18"/>
              </w:rPr>
            </w:pPr>
            <w:r>
              <w:rPr>
                <w:spacing w:val="-4"/>
                <w:sz w:val="18"/>
              </w:rPr>
              <w:t>2022</w:t>
            </w:r>
          </w:p>
        </w:tc>
        <w:tc>
          <w:tcPr>
            <w:tcW w:w="1035" w:type="dxa"/>
            <w:shd w:val="clear" w:color="auto" w:fill="D9D9D9"/>
          </w:tcPr>
          <w:p>
            <w:pPr>
              <w:pStyle w:val="TableParagraph"/>
              <w:spacing w:before="120"/>
              <w:ind w:left="48"/>
              <w:jc w:val="center"/>
              <w:rPr>
                <w:sz w:val="18"/>
              </w:rPr>
            </w:pPr>
            <w:r>
              <w:rPr>
                <w:spacing w:val="-2"/>
                <w:sz w:val="18"/>
              </w:rPr>
              <w:t>72.481</w:t>
            </w:r>
          </w:p>
        </w:tc>
        <w:tc>
          <w:tcPr>
            <w:tcW w:w="1067" w:type="dxa"/>
            <w:shd w:val="clear" w:color="auto" w:fill="D9D9D9"/>
          </w:tcPr>
          <w:p>
            <w:pPr>
              <w:pStyle w:val="TableParagraph"/>
              <w:spacing w:before="120"/>
              <w:jc w:val="center"/>
              <w:rPr>
                <w:sz w:val="18"/>
              </w:rPr>
            </w:pPr>
            <w:r>
              <w:rPr>
                <w:spacing w:val="-5"/>
                <w:sz w:val="18"/>
              </w:rPr>
              <w:t>12</w:t>
            </w:r>
          </w:p>
        </w:tc>
        <w:tc>
          <w:tcPr>
            <w:tcW w:w="848" w:type="dxa"/>
            <w:shd w:val="clear" w:color="auto" w:fill="D9D9D9"/>
          </w:tcPr>
          <w:p>
            <w:pPr>
              <w:pStyle w:val="TableParagraph"/>
              <w:spacing w:before="120"/>
              <w:ind w:left="74" w:right="73"/>
              <w:jc w:val="center"/>
              <w:rPr>
                <w:sz w:val="18"/>
              </w:rPr>
            </w:pPr>
            <w:r>
              <w:rPr>
                <w:spacing w:val="-5"/>
                <w:sz w:val="18"/>
              </w:rPr>
              <w:t>977</w:t>
            </w:r>
          </w:p>
        </w:tc>
        <w:tc>
          <w:tcPr>
            <w:tcW w:w="1344" w:type="dxa"/>
            <w:shd w:val="clear" w:color="auto" w:fill="D9D9D9"/>
          </w:tcPr>
          <w:p>
            <w:pPr>
              <w:pStyle w:val="TableParagraph"/>
              <w:spacing w:before="120"/>
              <w:ind w:left="2"/>
              <w:jc w:val="center"/>
              <w:rPr>
                <w:sz w:val="18"/>
              </w:rPr>
            </w:pPr>
            <w:r>
              <w:rPr>
                <w:spacing w:val="-5"/>
                <w:sz w:val="18"/>
              </w:rPr>
              <w:t>16</w:t>
            </w:r>
          </w:p>
        </w:tc>
        <w:tc>
          <w:tcPr>
            <w:tcW w:w="777" w:type="dxa"/>
            <w:shd w:val="clear" w:color="auto" w:fill="D9D9D9"/>
          </w:tcPr>
          <w:p>
            <w:pPr>
              <w:pStyle w:val="TableParagraph"/>
              <w:spacing w:before="120"/>
              <w:ind w:left="74" w:right="72"/>
              <w:jc w:val="center"/>
              <w:rPr>
                <w:sz w:val="18"/>
              </w:rPr>
            </w:pPr>
            <w:r>
              <w:rPr>
                <w:spacing w:val="-10"/>
                <w:sz w:val="18"/>
              </w:rPr>
              <w:t>0</w:t>
            </w:r>
          </w:p>
        </w:tc>
        <w:tc>
          <w:tcPr>
            <w:tcW w:w="1343" w:type="dxa"/>
            <w:shd w:val="clear" w:color="auto" w:fill="D9D9D9"/>
          </w:tcPr>
          <w:p>
            <w:pPr>
              <w:pStyle w:val="TableParagraph"/>
              <w:spacing w:before="120"/>
              <w:ind w:left="72" w:right="67"/>
              <w:jc w:val="center"/>
              <w:rPr>
                <w:sz w:val="18"/>
              </w:rPr>
            </w:pPr>
            <w:r>
              <w:rPr>
                <w:spacing w:val="-5"/>
                <w:sz w:val="18"/>
              </w:rPr>
              <w:t>409</w:t>
            </w:r>
          </w:p>
        </w:tc>
        <w:tc>
          <w:tcPr>
            <w:tcW w:w="993" w:type="dxa"/>
            <w:shd w:val="clear" w:color="auto" w:fill="D9D9D9"/>
          </w:tcPr>
          <w:p>
            <w:pPr>
              <w:pStyle w:val="TableParagraph"/>
              <w:spacing w:before="120"/>
              <w:ind w:left="253"/>
              <w:rPr>
                <w:sz w:val="18"/>
              </w:rPr>
            </w:pPr>
            <w:r>
              <w:rPr>
                <w:spacing w:val="-2"/>
                <w:sz w:val="18"/>
              </w:rPr>
              <w:t>73.896</w:t>
            </w:r>
          </w:p>
        </w:tc>
      </w:tr>
      <w:tr>
        <w:trPr>
          <w:trHeight w:val="398" w:hRule="atLeast"/>
        </w:trPr>
        <w:tc>
          <w:tcPr>
            <w:tcW w:w="1086" w:type="dxa"/>
            <w:shd w:val="clear" w:color="auto" w:fill="BEBEBE"/>
          </w:tcPr>
          <w:p>
            <w:pPr>
              <w:pStyle w:val="TableParagraph"/>
              <w:spacing w:before="96"/>
              <w:ind w:right="245"/>
              <w:jc w:val="right"/>
              <w:rPr>
                <w:sz w:val="18"/>
              </w:rPr>
            </w:pPr>
            <w:r>
              <w:rPr>
                <w:spacing w:val="-4"/>
                <w:sz w:val="18"/>
              </w:rPr>
              <w:t>2023</w:t>
            </w:r>
          </w:p>
        </w:tc>
        <w:tc>
          <w:tcPr>
            <w:tcW w:w="1035" w:type="dxa"/>
            <w:shd w:val="clear" w:color="auto" w:fill="BEBEBE"/>
          </w:tcPr>
          <w:p>
            <w:pPr>
              <w:pStyle w:val="TableParagraph"/>
              <w:spacing w:before="96"/>
              <w:ind w:left="48" w:right="1"/>
              <w:jc w:val="center"/>
              <w:rPr>
                <w:sz w:val="18"/>
              </w:rPr>
            </w:pPr>
            <w:r>
              <w:rPr>
                <w:spacing w:val="-2"/>
                <w:sz w:val="18"/>
              </w:rPr>
              <w:t>109.501</w:t>
            </w:r>
          </w:p>
        </w:tc>
        <w:tc>
          <w:tcPr>
            <w:tcW w:w="1067" w:type="dxa"/>
            <w:shd w:val="clear" w:color="auto" w:fill="BEBEBE"/>
          </w:tcPr>
          <w:p>
            <w:pPr>
              <w:pStyle w:val="TableParagraph"/>
              <w:spacing w:before="96"/>
              <w:jc w:val="center"/>
              <w:rPr>
                <w:sz w:val="18"/>
              </w:rPr>
            </w:pPr>
            <w:r>
              <w:rPr>
                <w:spacing w:val="-5"/>
                <w:sz w:val="18"/>
              </w:rPr>
              <w:t>18</w:t>
            </w:r>
          </w:p>
        </w:tc>
        <w:tc>
          <w:tcPr>
            <w:tcW w:w="848" w:type="dxa"/>
            <w:shd w:val="clear" w:color="auto" w:fill="BEBEBE"/>
          </w:tcPr>
          <w:p>
            <w:pPr>
              <w:pStyle w:val="TableParagraph"/>
              <w:spacing w:before="96"/>
              <w:ind w:left="74" w:right="73"/>
              <w:jc w:val="center"/>
              <w:rPr>
                <w:sz w:val="18"/>
              </w:rPr>
            </w:pPr>
            <w:r>
              <w:rPr>
                <w:spacing w:val="-5"/>
                <w:sz w:val="18"/>
              </w:rPr>
              <w:t>888</w:t>
            </w:r>
          </w:p>
        </w:tc>
        <w:tc>
          <w:tcPr>
            <w:tcW w:w="1344" w:type="dxa"/>
            <w:shd w:val="clear" w:color="auto" w:fill="BEBEBE"/>
          </w:tcPr>
          <w:p>
            <w:pPr>
              <w:pStyle w:val="TableParagraph"/>
              <w:spacing w:before="96"/>
              <w:ind w:left="2"/>
              <w:jc w:val="center"/>
              <w:rPr>
                <w:sz w:val="18"/>
              </w:rPr>
            </w:pPr>
            <w:r>
              <w:rPr>
                <w:spacing w:val="-5"/>
                <w:sz w:val="18"/>
              </w:rPr>
              <w:t>86</w:t>
            </w:r>
          </w:p>
        </w:tc>
        <w:tc>
          <w:tcPr>
            <w:tcW w:w="777" w:type="dxa"/>
            <w:shd w:val="clear" w:color="auto" w:fill="BEBEBE"/>
          </w:tcPr>
          <w:p>
            <w:pPr>
              <w:pStyle w:val="TableParagraph"/>
              <w:spacing w:before="120"/>
              <w:ind w:left="74" w:right="72"/>
              <w:jc w:val="center"/>
              <w:rPr>
                <w:sz w:val="18"/>
              </w:rPr>
            </w:pPr>
            <w:r>
              <w:rPr>
                <w:spacing w:val="-10"/>
                <w:sz w:val="18"/>
              </w:rPr>
              <w:t>3</w:t>
            </w:r>
          </w:p>
        </w:tc>
        <w:tc>
          <w:tcPr>
            <w:tcW w:w="1343" w:type="dxa"/>
            <w:shd w:val="clear" w:color="auto" w:fill="BEBEBE"/>
          </w:tcPr>
          <w:p>
            <w:pPr>
              <w:pStyle w:val="TableParagraph"/>
              <w:spacing w:before="120"/>
              <w:ind w:left="72" w:right="68"/>
              <w:jc w:val="center"/>
              <w:rPr>
                <w:sz w:val="18"/>
              </w:rPr>
            </w:pPr>
            <w:r>
              <w:rPr>
                <w:spacing w:val="-5"/>
                <w:sz w:val="18"/>
              </w:rPr>
              <w:t>543</w:t>
            </w:r>
          </w:p>
        </w:tc>
        <w:tc>
          <w:tcPr>
            <w:tcW w:w="993" w:type="dxa"/>
            <w:shd w:val="clear" w:color="auto" w:fill="BEBEBE"/>
          </w:tcPr>
          <w:p>
            <w:pPr>
              <w:pStyle w:val="TableParagraph"/>
              <w:spacing w:before="120"/>
              <w:ind w:left="207"/>
              <w:rPr>
                <w:sz w:val="18"/>
              </w:rPr>
            </w:pPr>
            <w:r>
              <w:rPr>
                <w:spacing w:val="-2"/>
                <w:sz w:val="18"/>
              </w:rPr>
              <w:t>111.038</w:t>
            </w:r>
          </w:p>
        </w:tc>
      </w:tr>
      <w:tr>
        <w:trPr>
          <w:trHeight w:val="395" w:hRule="atLeast"/>
        </w:trPr>
        <w:tc>
          <w:tcPr>
            <w:tcW w:w="1086" w:type="dxa"/>
            <w:shd w:val="clear" w:color="auto" w:fill="D9D9D9"/>
          </w:tcPr>
          <w:p>
            <w:pPr>
              <w:pStyle w:val="TableParagraph"/>
              <w:spacing w:before="93"/>
              <w:ind w:right="245"/>
              <w:jc w:val="right"/>
              <w:rPr>
                <w:sz w:val="18"/>
              </w:rPr>
            </w:pPr>
            <w:r>
              <w:rPr>
                <w:spacing w:val="-4"/>
                <w:sz w:val="18"/>
              </w:rPr>
              <w:t>2024</w:t>
            </w:r>
          </w:p>
        </w:tc>
        <w:tc>
          <w:tcPr>
            <w:tcW w:w="1035" w:type="dxa"/>
            <w:shd w:val="clear" w:color="auto" w:fill="D9D9D9"/>
          </w:tcPr>
          <w:p>
            <w:pPr>
              <w:pStyle w:val="TableParagraph"/>
              <w:spacing w:before="93"/>
              <w:ind w:left="48"/>
              <w:jc w:val="center"/>
              <w:rPr>
                <w:sz w:val="18"/>
              </w:rPr>
            </w:pPr>
            <w:r>
              <w:rPr>
                <w:spacing w:val="-2"/>
                <w:sz w:val="18"/>
              </w:rPr>
              <w:t>137.282</w:t>
            </w:r>
          </w:p>
        </w:tc>
        <w:tc>
          <w:tcPr>
            <w:tcW w:w="1067" w:type="dxa"/>
            <w:shd w:val="clear" w:color="auto" w:fill="D9D9D9"/>
          </w:tcPr>
          <w:p>
            <w:pPr>
              <w:pStyle w:val="TableParagraph"/>
              <w:spacing w:before="93"/>
              <w:jc w:val="center"/>
              <w:rPr>
                <w:sz w:val="18"/>
              </w:rPr>
            </w:pPr>
            <w:r>
              <w:rPr>
                <w:spacing w:val="-10"/>
                <w:sz w:val="18"/>
              </w:rPr>
              <w:t>3</w:t>
            </w:r>
          </w:p>
        </w:tc>
        <w:tc>
          <w:tcPr>
            <w:tcW w:w="848" w:type="dxa"/>
            <w:shd w:val="clear" w:color="auto" w:fill="D9D9D9"/>
          </w:tcPr>
          <w:p>
            <w:pPr>
              <w:pStyle w:val="TableParagraph"/>
              <w:spacing w:before="93"/>
              <w:ind w:left="73" w:right="73"/>
              <w:jc w:val="center"/>
              <w:rPr>
                <w:sz w:val="18"/>
              </w:rPr>
            </w:pPr>
            <w:r>
              <w:rPr>
                <w:spacing w:val="-2"/>
                <w:sz w:val="18"/>
              </w:rPr>
              <w:t>1.303</w:t>
            </w:r>
          </w:p>
        </w:tc>
        <w:tc>
          <w:tcPr>
            <w:tcW w:w="1344" w:type="dxa"/>
            <w:shd w:val="clear" w:color="auto" w:fill="D9D9D9"/>
          </w:tcPr>
          <w:p>
            <w:pPr>
              <w:pStyle w:val="TableParagraph"/>
              <w:spacing w:before="93"/>
              <w:ind w:left="2"/>
              <w:jc w:val="center"/>
              <w:rPr>
                <w:sz w:val="18"/>
              </w:rPr>
            </w:pPr>
            <w:r>
              <w:rPr>
                <w:spacing w:val="-5"/>
                <w:sz w:val="18"/>
              </w:rPr>
              <w:t>225</w:t>
            </w:r>
          </w:p>
        </w:tc>
        <w:tc>
          <w:tcPr>
            <w:tcW w:w="777" w:type="dxa"/>
            <w:shd w:val="clear" w:color="auto" w:fill="D9D9D9"/>
          </w:tcPr>
          <w:p>
            <w:pPr>
              <w:pStyle w:val="TableParagraph"/>
              <w:spacing w:before="120"/>
              <w:ind w:left="74" w:right="72"/>
              <w:jc w:val="center"/>
              <w:rPr>
                <w:sz w:val="18"/>
              </w:rPr>
            </w:pPr>
            <w:r>
              <w:rPr>
                <w:spacing w:val="-10"/>
                <w:sz w:val="18"/>
              </w:rPr>
              <w:t>0</w:t>
            </w:r>
          </w:p>
        </w:tc>
        <w:tc>
          <w:tcPr>
            <w:tcW w:w="1343" w:type="dxa"/>
            <w:shd w:val="clear" w:color="auto" w:fill="D9D9D9"/>
          </w:tcPr>
          <w:p>
            <w:pPr>
              <w:pStyle w:val="TableParagraph"/>
              <w:spacing w:before="120"/>
              <w:ind w:left="72" w:right="67"/>
              <w:jc w:val="center"/>
              <w:rPr>
                <w:sz w:val="18"/>
              </w:rPr>
            </w:pPr>
            <w:r>
              <w:rPr>
                <w:spacing w:val="-5"/>
                <w:sz w:val="18"/>
              </w:rPr>
              <w:t>948</w:t>
            </w:r>
          </w:p>
        </w:tc>
        <w:tc>
          <w:tcPr>
            <w:tcW w:w="993" w:type="dxa"/>
            <w:shd w:val="clear" w:color="auto" w:fill="D9D9D9"/>
          </w:tcPr>
          <w:p>
            <w:pPr>
              <w:pStyle w:val="TableParagraph"/>
              <w:spacing w:before="120"/>
              <w:ind w:left="207"/>
              <w:rPr>
                <w:sz w:val="18"/>
              </w:rPr>
            </w:pPr>
            <w:r>
              <w:rPr>
                <w:spacing w:val="-2"/>
                <w:sz w:val="18"/>
              </w:rPr>
              <w:t>139.761</w:t>
            </w:r>
          </w:p>
        </w:tc>
      </w:tr>
      <w:tr>
        <w:trPr>
          <w:trHeight w:val="396" w:hRule="atLeast"/>
        </w:trPr>
        <w:tc>
          <w:tcPr>
            <w:tcW w:w="1086" w:type="dxa"/>
            <w:shd w:val="clear" w:color="auto" w:fill="BEBEBE"/>
          </w:tcPr>
          <w:p>
            <w:pPr>
              <w:pStyle w:val="TableParagraph"/>
              <w:spacing w:before="96"/>
              <w:ind w:right="245"/>
              <w:jc w:val="right"/>
              <w:rPr>
                <w:sz w:val="18"/>
              </w:rPr>
            </w:pPr>
            <w:r>
              <w:rPr>
                <w:spacing w:val="-4"/>
                <w:sz w:val="18"/>
              </w:rPr>
              <w:t>2025</w:t>
            </w:r>
          </w:p>
        </w:tc>
        <w:tc>
          <w:tcPr>
            <w:tcW w:w="1035" w:type="dxa"/>
            <w:shd w:val="clear" w:color="auto" w:fill="BEBEBE"/>
          </w:tcPr>
          <w:p>
            <w:pPr>
              <w:pStyle w:val="TableParagraph"/>
              <w:spacing w:before="96"/>
              <w:ind w:left="48" w:right="1"/>
              <w:jc w:val="center"/>
              <w:rPr>
                <w:sz w:val="18"/>
              </w:rPr>
            </w:pPr>
            <w:r>
              <w:rPr>
                <w:spacing w:val="-2"/>
                <w:sz w:val="18"/>
              </w:rPr>
              <w:t>216.133</w:t>
            </w:r>
          </w:p>
        </w:tc>
        <w:tc>
          <w:tcPr>
            <w:tcW w:w="1067" w:type="dxa"/>
            <w:shd w:val="clear" w:color="auto" w:fill="BEBEBE"/>
          </w:tcPr>
          <w:p>
            <w:pPr>
              <w:pStyle w:val="TableParagraph"/>
              <w:spacing w:before="96"/>
              <w:jc w:val="center"/>
              <w:rPr>
                <w:sz w:val="18"/>
              </w:rPr>
            </w:pPr>
            <w:r>
              <w:rPr>
                <w:spacing w:val="-10"/>
                <w:sz w:val="18"/>
              </w:rPr>
              <w:t>2</w:t>
            </w:r>
          </w:p>
        </w:tc>
        <w:tc>
          <w:tcPr>
            <w:tcW w:w="848" w:type="dxa"/>
            <w:shd w:val="clear" w:color="auto" w:fill="BEBEBE"/>
          </w:tcPr>
          <w:p>
            <w:pPr>
              <w:pStyle w:val="TableParagraph"/>
              <w:spacing w:before="96"/>
              <w:ind w:left="73" w:right="73"/>
              <w:jc w:val="center"/>
              <w:rPr>
                <w:sz w:val="18"/>
              </w:rPr>
            </w:pPr>
            <w:r>
              <w:rPr>
                <w:spacing w:val="-2"/>
                <w:sz w:val="18"/>
              </w:rPr>
              <w:t>1.650</w:t>
            </w:r>
          </w:p>
        </w:tc>
        <w:tc>
          <w:tcPr>
            <w:tcW w:w="1344" w:type="dxa"/>
            <w:shd w:val="clear" w:color="auto" w:fill="BEBEBE"/>
          </w:tcPr>
          <w:p>
            <w:pPr>
              <w:pStyle w:val="TableParagraph"/>
              <w:spacing w:before="96"/>
              <w:ind w:left="2"/>
              <w:jc w:val="center"/>
              <w:rPr>
                <w:sz w:val="18"/>
              </w:rPr>
            </w:pPr>
            <w:r>
              <w:rPr>
                <w:spacing w:val="-5"/>
                <w:sz w:val="18"/>
              </w:rPr>
              <w:t>311</w:t>
            </w:r>
          </w:p>
        </w:tc>
        <w:tc>
          <w:tcPr>
            <w:tcW w:w="777" w:type="dxa"/>
            <w:shd w:val="clear" w:color="auto" w:fill="BEBEBE"/>
          </w:tcPr>
          <w:p>
            <w:pPr>
              <w:pStyle w:val="TableParagraph"/>
              <w:spacing w:before="120"/>
              <w:ind w:left="74" w:right="72"/>
              <w:jc w:val="center"/>
              <w:rPr>
                <w:sz w:val="18"/>
              </w:rPr>
            </w:pPr>
            <w:r>
              <w:rPr>
                <w:spacing w:val="-10"/>
                <w:sz w:val="18"/>
              </w:rPr>
              <w:t>0</w:t>
            </w:r>
          </w:p>
        </w:tc>
        <w:tc>
          <w:tcPr>
            <w:tcW w:w="1343" w:type="dxa"/>
            <w:shd w:val="clear" w:color="auto" w:fill="BEBEBE"/>
          </w:tcPr>
          <w:p>
            <w:pPr>
              <w:pStyle w:val="TableParagraph"/>
              <w:spacing w:before="120"/>
              <w:ind w:left="72" w:right="67"/>
              <w:jc w:val="center"/>
              <w:rPr>
                <w:sz w:val="18"/>
              </w:rPr>
            </w:pPr>
            <w:r>
              <w:rPr>
                <w:spacing w:val="-5"/>
                <w:sz w:val="18"/>
              </w:rPr>
              <w:t>729</w:t>
            </w:r>
          </w:p>
        </w:tc>
        <w:tc>
          <w:tcPr>
            <w:tcW w:w="993" w:type="dxa"/>
            <w:shd w:val="clear" w:color="auto" w:fill="BEBEBE"/>
          </w:tcPr>
          <w:p>
            <w:pPr>
              <w:pStyle w:val="TableParagraph"/>
              <w:spacing w:before="120"/>
              <w:ind w:left="207"/>
              <w:rPr>
                <w:sz w:val="18"/>
              </w:rPr>
            </w:pPr>
            <w:r>
              <w:rPr>
                <w:spacing w:val="-2"/>
                <w:sz w:val="18"/>
              </w:rPr>
              <w:t>218.825</w:t>
            </w:r>
          </w:p>
        </w:tc>
      </w:tr>
      <w:tr>
        <w:trPr>
          <w:trHeight w:val="370" w:hRule="atLeast"/>
        </w:trPr>
        <w:tc>
          <w:tcPr>
            <w:tcW w:w="8493" w:type="dxa"/>
            <w:gridSpan w:val="8"/>
            <w:shd w:val="clear" w:color="auto" w:fill="D9D9D9"/>
          </w:tcPr>
          <w:p>
            <w:pPr>
              <w:pStyle w:val="TableParagraph"/>
              <w:spacing w:before="119"/>
              <w:ind w:left="220"/>
              <w:rPr>
                <w:sz w:val="14"/>
              </w:rPr>
            </w:pPr>
            <w:r>
              <w:rPr>
                <w:sz w:val="14"/>
              </w:rPr>
              <w:t>Πηγή:</w:t>
            </w:r>
            <w:r>
              <w:rPr>
                <w:spacing w:val="-6"/>
                <w:sz w:val="14"/>
              </w:rPr>
              <w:t> </w:t>
            </w:r>
            <w:r>
              <w:rPr>
                <w:sz w:val="14"/>
              </w:rPr>
              <w:t>Μηνιαίο</w:t>
            </w:r>
            <w:r>
              <w:rPr>
                <w:spacing w:val="-6"/>
                <w:sz w:val="14"/>
              </w:rPr>
              <w:t> </w:t>
            </w:r>
            <w:r>
              <w:rPr>
                <w:sz w:val="14"/>
              </w:rPr>
              <w:t>Στατιστικό</w:t>
            </w:r>
            <w:r>
              <w:rPr>
                <w:spacing w:val="-4"/>
                <w:sz w:val="14"/>
              </w:rPr>
              <w:t> </w:t>
            </w:r>
            <w:r>
              <w:rPr>
                <w:sz w:val="14"/>
              </w:rPr>
              <w:t>Δελτίο</w:t>
            </w:r>
            <w:r>
              <w:rPr>
                <w:spacing w:val="-4"/>
                <w:sz w:val="14"/>
              </w:rPr>
              <w:t> </w:t>
            </w:r>
            <w:r>
              <w:rPr>
                <w:sz w:val="14"/>
              </w:rPr>
              <w:t>Axia</w:t>
            </w:r>
            <w:r>
              <w:rPr>
                <w:spacing w:val="-4"/>
                <w:sz w:val="14"/>
              </w:rPr>
              <w:t> </w:t>
            </w:r>
            <w:r>
              <w:rPr>
                <w:sz w:val="14"/>
              </w:rPr>
              <w:t>Numbers,,</w:t>
            </w:r>
            <w:r>
              <w:rPr>
                <w:spacing w:val="-4"/>
                <w:sz w:val="14"/>
              </w:rPr>
              <w:t> </w:t>
            </w:r>
            <w:r>
              <w:rPr>
                <w:sz w:val="14"/>
              </w:rPr>
              <w:t>Euronext</w:t>
            </w:r>
            <w:r>
              <w:rPr>
                <w:spacing w:val="-6"/>
                <w:sz w:val="14"/>
              </w:rPr>
              <w:t> </w:t>
            </w:r>
            <w:r>
              <w:rPr>
                <w:spacing w:val="-2"/>
                <w:sz w:val="14"/>
              </w:rPr>
              <w:t>Athens.</w:t>
            </w:r>
          </w:p>
        </w:tc>
      </w:tr>
      <w:tr>
        <w:trPr>
          <w:trHeight w:val="755" w:hRule="atLeast"/>
        </w:trPr>
        <w:tc>
          <w:tcPr>
            <w:tcW w:w="8493" w:type="dxa"/>
            <w:gridSpan w:val="8"/>
            <w:shd w:val="clear" w:color="auto" w:fill="D9D9D9"/>
          </w:tcPr>
          <w:p>
            <w:pPr>
              <w:pStyle w:val="TableParagraph"/>
              <w:spacing w:before="91"/>
              <w:ind w:left="220" w:right="232"/>
              <w:rPr>
                <w:sz w:val="14"/>
              </w:rPr>
            </w:pPr>
            <w:r>
              <w:rPr>
                <w:sz w:val="14"/>
                <w:vertAlign w:val="superscript"/>
              </w:rPr>
              <w:t>1</w:t>
            </w:r>
            <w:r>
              <w:rPr>
                <w:spacing w:val="-3"/>
                <w:sz w:val="14"/>
                <w:vertAlign w:val="baseline"/>
              </w:rPr>
              <w:t> </w:t>
            </w:r>
            <w:r>
              <w:rPr>
                <w:sz w:val="14"/>
                <w:vertAlign w:val="baseline"/>
              </w:rPr>
              <w:t>Ως</w:t>
            </w:r>
            <w:r>
              <w:rPr>
                <w:spacing w:val="-4"/>
                <w:sz w:val="14"/>
                <w:vertAlign w:val="baseline"/>
              </w:rPr>
              <w:t> </w:t>
            </w:r>
            <w:r>
              <w:rPr>
                <w:sz w:val="14"/>
                <w:vertAlign w:val="baseline"/>
              </w:rPr>
              <w:t>χρηματιστηριακές</w:t>
            </w:r>
            <w:r>
              <w:rPr>
                <w:spacing w:val="-4"/>
                <w:sz w:val="14"/>
                <w:vertAlign w:val="baseline"/>
              </w:rPr>
              <w:t> </w:t>
            </w:r>
            <w:r>
              <w:rPr>
                <w:sz w:val="14"/>
                <w:vertAlign w:val="baseline"/>
              </w:rPr>
              <w:t>συναλλαγές</w:t>
            </w:r>
            <w:r>
              <w:rPr>
                <w:spacing w:val="-4"/>
                <w:sz w:val="14"/>
                <w:vertAlign w:val="baseline"/>
              </w:rPr>
              <w:t> </w:t>
            </w:r>
            <w:r>
              <w:rPr>
                <w:sz w:val="14"/>
                <w:vertAlign w:val="baseline"/>
              </w:rPr>
              <w:t>νοούνται</w:t>
            </w:r>
            <w:r>
              <w:rPr>
                <w:spacing w:val="-3"/>
                <w:sz w:val="14"/>
                <w:vertAlign w:val="baseline"/>
              </w:rPr>
              <w:t> </w:t>
            </w:r>
            <w:r>
              <w:rPr>
                <w:sz w:val="14"/>
                <w:vertAlign w:val="baseline"/>
              </w:rPr>
              <w:t>οι</w:t>
            </w:r>
            <w:r>
              <w:rPr>
                <w:spacing w:val="-3"/>
                <w:sz w:val="14"/>
                <w:vertAlign w:val="baseline"/>
              </w:rPr>
              <w:t> </w:t>
            </w:r>
            <w:r>
              <w:rPr>
                <w:sz w:val="14"/>
                <w:vertAlign w:val="baseline"/>
              </w:rPr>
              <w:t>συναλλαγές</w:t>
            </w:r>
            <w:r>
              <w:rPr>
                <w:spacing w:val="-4"/>
                <w:sz w:val="14"/>
                <w:vertAlign w:val="baseline"/>
              </w:rPr>
              <w:t> </w:t>
            </w:r>
            <w:r>
              <w:rPr>
                <w:sz w:val="14"/>
                <w:vertAlign w:val="baseline"/>
              </w:rPr>
              <w:t>του Euronext</w:t>
            </w:r>
            <w:r>
              <w:rPr>
                <w:spacing w:val="-4"/>
                <w:sz w:val="14"/>
                <w:vertAlign w:val="baseline"/>
              </w:rPr>
              <w:t> </w:t>
            </w:r>
            <w:r>
              <w:rPr>
                <w:sz w:val="14"/>
                <w:vertAlign w:val="baseline"/>
              </w:rPr>
              <w:t>Athens</w:t>
            </w:r>
            <w:r>
              <w:rPr>
                <w:spacing w:val="-2"/>
                <w:sz w:val="14"/>
                <w:vertAlign w:val="baseline"/>
              </w:rPr>
              <w:t> </w:t>
            </w:r>
            <w:r>
              <w:rPr>
                <w:sz w:val="14"/>
                <w:vertAlign w:val="baseline"/>
              </w:rPr>
              <w:t>που</w:t>
            </w:r>
            <w:r>
              <w:rPr>
                <w:spacing w:val="-3"/>
                <w:sz w:val="14"/>
                <w:vertAlign w:val="baseline"/>
              </w:rPr>
              <w:t> </w:t>
            </w:r>
            <w:r>
              <w:rPr>
                <w:sz w:val="14"/>
                <w:vertAlign w:val="baseline"/>
              </w:rPr>
              <w:t>διακανονίστηκαν</w:t>
            </w:r>
            <w:r>
              <w:rPr>
                <w:spacing w:val="-4"/>
                <w:sz w:val="14"/>
                <w:vertAlign w:val="baseline"/>
              </w:rPr>
              <w:t> </w:t>
            </w:r>
            <w:r>
              <w:rPr>
                <w:sz w:val="14"/>
                <w:vertAlign w:val="baseline"/>
              </w:rPr>
              <w:t>στο</w:t>
            </w:r>
            <w:r>
              <w:rPr>
                <w:spacing w:val="-4"/>
                <w:sz w:val="14"/>
                <w:vertAlign w:val="baseline"/>
              </w:rPr>
              <w:t> </w:t>
            </w:r>
            <w:r>
              <w:rPr>
                <w:sz w:val="14"/>
                <w:vertAlign w:val="baseline"/>
              </w:rPr>
              <w:t>Σύστημα</w:t>
            </w:r>
            <w:r>
              <w:rPr>
                <w:spacing w:val="-5"/>
                <w:sz w:val="14"/>
                <w:vertAlign w:val="baseline"/>
              </w:rPr>
              <w:t> </w:t>
            </w:r>
            <w:r>
              <w:rPr>
                <w:sz w:val="14"/>
                <w:vertAlign w:val="baseline"/>
              </w:rPr>
              <w:t>Άυλων</w:t>
            </w:r>
            <w:r>
              <w:rPr>
                <w:spacing w:val="-5"/>
                <w:sz w:val="14"/>
                <w:vertAlign w:val="baseline"/>
              </w:rPr>
              <w:t> </w:t>
            </w:r>
            <w:r>
              <w:rPr>
                <w:sz w:val="14"/>
                <w:vertAlign w:val="baseline"/>
              </w:rPr>
              <w:t>Τίτλων,</w:t>
            </w:r>
            <w:r>
              <w:rPr>
                <w:spacing w:val="-2"/>
                <w:sz w:val="14"/>
                <w:vertAlign w:val="baseline"/>
              </w:rPr>
              <w:t> </w:t>
            </w:r>
            <w:r>
              <w:rPr>
                <w:sz w:val="14"/>
                <w:vertAlign w:val="baseline"/>
              </w:rPr>
              <w:t>υπολογι-σμένες με τη μέθοδο single count (μόνο αγορές).</w:t>
            </w:r>
          </w:p>
          <w:p>
            <w:pPr>
              <w:pStyle w:val="TableParagraph"/>
              <w:spacing w:before="120"/>
              <w:ind w:left="220"/>
              <w:rPr>
                <w:sz w:val="14"/>
              </w:rPr>
            </w:pPr>
            <w:r>
              <w:rPr>
                <w:sz w:val="14"/>
              </w:rPr>
              <w:t>Σημείωση:</w:t>
            </w:r>
            <w:r>
              <w:rPr>
                <w:spacing w:val="-6"/>
                <w:sz w:val="14"/>
              </w:rPr>
              <w:t> </w:t>
            </w:r>
            <w:r>
              <w:rPr>
                <w:sz w:val="14"/>
              </w:rPr>
              <w:t>Τυχόν</w:t>
            </w:r>
            <w:r>
              <w:rPr>
                <w:spacing w:val="-5"/>
                <w:sz w:val="14"/>
              </w:rPr>
              <w:t> </w:t>
            </w:r>
            <w:r>
              <w:rPr>
                <w:sz w:val="14"/>
              </w:rPr>
              <w:t>διαφορές</w:t>
            </w:r>
            <w:r>
              <w:rPr>
                <w:spacing w:val="-6"/>
                <w:sz w:val="14"/>
              </w:rPr>
              <w:t> </w:t>
            </w:r>
            <w:r>
              <w:rPr>
                <w:sz w:val="14"/>
              </w:rPr>
              <w:t>στα</w:t>
            </w:r>
            <w:r>
              <w:rPr>
                <w:spacing w:val="-6"/>
                <w:sz w:val="14"/>
              </w:rPr>
              <w:t> </w:t>
            </w:r>
            <w:r>
              <w:rPr>
                <w:sz w:val="14"/>
              </w:rPr>
              <w:t>αθροίσματα</w:t>
            </w:r>
            <w:r>
              <w:rPr>
                <w:spacing w:val="-6"/>
                <w:sz w:val="14"/>
              </w:rPr>
              <w:t> </w:t>
            </w:r>
            <w:r>
              <w:rPr>
                <w:sz w:val="14"/>
              </w:rPr>
              <w:t>οφείλονται</w:t>
            </w:r>
            <w:r>
              <w:rPr>
                <w:spacing w:val="-5"/>
                <w:sz w:val="14"/>
              </w:rPr>
              <w:t> </w:t>
            </w:r>
            <w:r>
              <w:rPr>
                <w:sz w:val="14"/>
              </w:rPr>
              <w:t>σε</w:t>
            </w:r>
            <w:r>
              <w:rPr>
                <w:spacing w:val="-5"/>
                <w:sz w:val="14"/>
              </w:rPr>
              <w:t> </w:t>
            </w:r>
            <w:r>
              <w:rPr>
                <w:spacing w:val="-2"/>
                <w:sz w:val="14"/>
              </w:rPr>
              <w:t>στρογγυλοποίηση.</w:t>
            </w:r>
          </w:p>
        </w:tc>
      </w:tr>
    </w:tbl>
    <w:p>
      <w:pPr>
        <w:pStyle w:val="BodyText"/>
        <w:spacing w:line="285" w:lineRule="auto" w:before="105"/>
        <w:ind w:left="172" w:right="956"/>
        <w:jc w:val="both"/>
      </w:pPr>
      <w:r>
        <w:rPr/>
        <w:t>Kατ’ εφαρμογή του Κανονισμού CSDR και των διατάξεων που αφορούν την πρόληψη και την αντιμετώπιση</w:t>
      </w:r>
      <w:r>
        <w:rPr>
          <w:spacing w:val="-6"/>
        </w:rPr>
        <w:t> </w:t>
      </w:r>
      <w:r>
        <w:rPr/>
        <w:t>περιπτώσεων</w:t>
      </w:r>
      <w:r>
        <w:rPr>
          <w:spacing w:val="-7"/>
        </w:rPr>
        <w:t> </w:t>
      </w:r>
      <w:r>
        <w:rPr/>
        <w:t>αδυναμίας</w:t>
      </w:r>
      <w:r>
        <w:rPr>
          <w:spacing w:val="-7"/>
        </w:rPr>
        <w:t> </w:t>
      </w:r>
      <w:r>
        <w:rPr/>
        <w:t>διακανονισμού,</w:t>
      </w:r>
      <w:r>
        <w:rPr>
          <w:spacing w:val="-8"/>
        </w:rPr>
        <w:t> </w:t>
      </w:r>
      <w:r>
        <w:rPr/>
        <w:t>η</w:t>
      </w:r>
      <w:r>
        <w:rPr>
          <w:spacing w:val="-2"/>
        </w:rPr>
        <w:t> </w:t>
      </w:r>
      <w:r>
        <w:rPr/>
        <w:t>Euronext</w:t>
      </w:r>
      <w:r>
        <w:rPr>
          <w:spacing w:val="-5"/>
        </w:rPr>
        <w:t> </w:t>
      </w:r>
      <w:r>
        <w:rPr/>
        <w:t>Securities</w:t>
      </w:r>
      <w:r>
        <w:rPr>
          <w:spacing w:val="-5"/>
        </w:rPr>
        <w:t> </w:t>
      </w:r>
      <w:r>
        <w:rPr/>
        <w:t>Athens</w:t>
      </w:r>
      <w:r>
        <w:rPr>
          <w:spacing w:val="-5"/>
        </w:rPr>
        <w:t> </w:t>
      </w:r>
      <w:r>
        <w:rPr/>
        <w:t>δημοσιεύει ετήσιες αναφορές για τις συναλλαγές που δεν διακανονίστηκαν λόγω έλλειψης αξιογράφων ή χρηματικού. Σύμφωνα</w:t>
      </w:r>
      <w:r>
        <w:rPr>
          <w:spacing w:val="-1"/>
        </w:rPr>
        <w:t> </w:t>
      </w:r>
      <w:r>
        <w:rPr/>
        <w:t>με την ετήσια αναφορά για το</w:t>
      </w:r>
      <w:r>
        <w:rPr>
          <w:spacing w:val="-3"/>
        </w:rPr>
        <w:t> </w:t>
      </w:r>
      <w:r>
        <w:rPr/>
        <w:t>2025, οι συναλλαγές που δεν ήταν δυνατό να</w:t>
      </w:r>
      <w:r>
        <w:rPr>
          <w:spacing w:val="-1"/>
        </w:rPr>
        <w:t> </w:t>
      </w:r>
      <w:r>
        <w:rPr/>
        <w:t>διακανονιστούν ήταν πολύ περιορισμένες</w:t>
      </w:r>
      <w:r>
        <w:rPr>
          <w:spacing w:val="-1"/>
        </w:rPr>
        <w:t> </w:t>
      </w:r>
      <w:r>
        <w:rPr/>
        <w:t>και το ποσοστό τους</w:t>
      </w:r>
      <w:r>
        <w:rPr>
          <w:spacing w:val="-1"/>
        </w:rPr>
        <w:t> </w:t>
      </w:r>
      <w:r>
        <w:rPr/>
        <w:t>ανήλθε σε 0,17% της</w:t>
      </w:r>
      <w:r>
        <w:rPr>
          <w:spacing w:val="-1"/>
        </w:rPr>
        <w:t> </w:t>
      </w:r>
      <w:r>
        <w:rPr/>
        <w:t>συνολι-κής αξίας των συναλλαγών (2024: 0,08%) και 0,02% του συνολικού όγκου των συναλλαγών (2024: 0,01%). Η συντριπτική πλειοψηφία των περιπτώσεων αυτών (συγκεκριμένα το 89%) ο-φείλεται στην έλλειψη αξιογράφων.</w:t>
      </w:r>
    </w:p>
    <w:p>
      <w:pPr>
        <w:pStyle w:val="BodyText"/>
        <w:spacing w:after="0" w:line="285" w:lineRule="auto"/>
        <w:jc w:val="both"/>
        <w:sectPr>
          <w:pgSz w:w="11910" w:h="16850"/>
          <w:pgMar w:header="0" w:footer="1262" w:top="1940" w:bottom="1500" w:left="1417" w:right="850"/>
        </w:sectPr>
      </w:pPr>
    </w:p>
    <w:p>
      <w:pPr>
        <w:pStyle w:val="Heading1"/>
        <w:spacing w:before="59"/>
        <w:ind w:left="172"/>
      </w:pPr>
      <w:bookmarkStart w:name="_bookmark172" w:id="173"/>
      <w:bookmarkEnd w:id="173"/>
      <w:r>
        <w:rPr>
          <w:b w:val="0"/>
        </w:rPr>
      </w:r>
      <w:r>
        <w:rPr>
          <w:color w:val="1F487C"/>
          <w:spacing w:val="23"/>
        </w:rPr>
        <w:t>ΕΙΔΙΚΟ</w:t>
      </w:r>
      <w:r>
        <w:rPr>
          <w:color w:val="1F487C"/>
          <w:spacing w:val="63"/>
        </w:rPr>
        <w:t> </w:t>
      </w:r>
      <w:r>
        <w:rPr>
          <w:color w:val="1F487C"/>
          <w:spacing w:val="21"/>
        </w:rPr>
        <w:t>ΘΕΜΑ</w:t>
      </w:r>
      <w:r>
        <w:rPr>
          <w:color w:val="1F487C"/>
          <w:spacing w:val="66"/>
        </w:rPr>
        <w:t> </w:t>
      </w:r>
      <w:r>
        <w:rPr>
          <w:color w:val="1F487C"/>
          <w:spacing w:val="-10"/>
        </w:rPr>
        <w:t>I</w:t>
      </w:r>
    </w:p>
    <w:p>
      <w:pPr>
        <w:pStyle w:val="Heading1"/>
        <w:spacing w:before="60"/>
        <w:ind w:left="172" w:right="956"/>
      </w:pPr>
      <w:bookmarkStart w:name="_bookmark173" w:id="174"/>
      <w:bookmarkEnd w:id="174"/>
      <w:r>
        <w:rPr>
          <w:b w:val="0"/>
        </w:rPr>
      </w:r>
      <w:r>
        <w:rPr>
          <w:color w:val="1F487C"/>
          <w:spacing w:val="24"/>
        </w:rPr>
        <w:t>ΠΛΑΙΣΙΟ</w:t>
      </w:r>
      <w:r>
        <w:rPr>
          <w:color w:val="1F487C"/>
          <w:spacing w:val="24"/>
        </w:rPr>
        <w:t> </w:t>
      </w:r>
      <w:r>
        <w:rPr>
          <w:color w:val="1F487C"/>
          <w:spacing w:val="26"/>
        </w:rPr>
        <w:t>ΠΑΡΑΚΟΛΟΥΘΗΣΗΣ</w:t>
      </w:r>
      <w:r>
        <w:rPr>
          <w:color w:val="1F487C"/>
          <w:spacing w:val="26"/>
        </w:rPr>
        <w:t> </w:t>
      </w:r>
      <w:r>
        <w:rPr>
          <w:color w:val="1F487C"/>
          <w:spacing w:val="19"/>
        </w:rPr>
        <w:t>ΚΑΙ</w:t>
      </w:r>
      <w:r>
        <w:rPr>
          <w:color w:val="1F487C"/>
          <w:spacing w:val="19"/>
        </w:rPr>
        <w:t> </w:t>
      </w:r>
      <w:r>
        <w:rPr>
          <w:color w:val="1F487C"/>
          <w:spacing w:val="26"/>
        </w:rPr>
        <w:t>ΑΞΙΟΛΟΓΗΣΗΣ </w:t>
      </w:r>
      <w:r>
        <w:rPr>
          <w:color w:val="1F487C"/>
          <w:spacing w:val="19"/>
        </w:rPr>
        <w:t>ΤΩΝ</w:t>
      </w:r>
      <w:r>
        <w:rPr>
          <w:color w:val="1F487C"/>
          <w:spacing w:val="19"/>
        </w:rPr>
        <w:t> </w:t>
      </w:r>
      <w:r>
        <w:rPr>
          <w:color w:val="1F487C"/>
          <w:spacing w:val="25"/>
        </w:rPr>
        <w:t>ΣΥΣΤΗΜΙΚΩΝ</w:t>
      </w:r>
      <w:r>
        <w:rPr>
          <w:color w:val="1F487C"/>
          <w:spacing w:val="25"/>
        </w:rPr>
        <w:t> ΚΙΝΔΥΝΩΝ</w:t>
      </w:r>
      <w:r>
        <w:rPr>
          <w:color w:val="1F487C"/>
          <w:spacing w:val="25"/>
        </w:rPr>
        <w:t> </w:t>
      </w:r>
      <w:r>
        <w:rPr>
          <w:color w:val="1F487C"/>
          <w:spacing w:val="18"/>
        </w:rPr>
        <w:t>ΤΟΥ</w:t>
      </w:r>
      <w:r>
        <w:rPr>
          <w:color w:val="1F487C"/>
          <w:spacing w:val="18"/>
        </w:rPr>
        <w:t> </w:t>
      </w:r>
      <w:r>
        <w:rPr>
          <w:color w:val="1F487C"/>
          <w:spacing w:val="25"/>
        </w:rPr>
        <w:t>ΕΛΛΗΝΙΚΟΥ </w:t>
      </w:r>
      <w:r>
        <w:rPr>
          <w:color w:val="1F487C"/>
          <w:spacing w:val="26"/>
        </w:rPr>
        <w:t>ΧΡΗΜΑΤΟΠΙΣΤΩΤΙΚΟΥ</w:t>
      </w:r>
      <w:r>
        <w:rPr>
          <w:color w:val="1F487C"/>
          <w:spacing w:val="26"/>
        </w:rPr>
        <w:t> </w:t>
      </w:r>
      <w:r>
        <w:rPr>
          <w:color w:val="1F487C"/>
          <w:spacing w:val="25"/>
        </w:rPr>
        <w:t>ΣΥΣΤΗΜΑΤΟΣ</w:t>
      </w:r>
    </w:p>
    <w:p>
      <w:pPr>
        <w:pStyle w:val="BodyText"/>
        <w:spacing w:before="134"/>
        <w:rPr>
          <w:b/>
          <w:sz w:val="28"/>
        </w:rPr>
      </w:pPr>
    </w:p>
    <w:p>
      <w:pPr>
        <w:pStyle w:val="Heading4"/>
        <w:jc w:val="left"/>
      </w:pPr>
      <w:r>
        <w:rPr>
          <w:color w:val="1F487C"/>
          <w:spacing w:val="-2"/>
        </w:rPr>
        <w:t>Ε</w:t>
      </w:r>
      <w:r>
        <w:rPr>
          <w:smallCaps/>
          <w:color w:val="1F487C"/>
          <w:spacing w:val="-2"/>
        </w:rPr>
        <w:t>ι</w:t>
      </w:r>
      <w:r>
        <w:rPr>
          <w:smallCaps w:val="0"/>
          <w:color w:val="1F487C"/>
          <w:spacing w:val="-2"/>
        </w:rPr>
        <w:t>σαγωγή</w:t>
      </w:r>
    </w:p>
    <w:p>
      <w:pPr>
        <w:pStyle w:val="BodyText"/>
        <w:spacing w:line="276" w:lineRule="auto" w:before="73"/>
        <w:ind w:left="172" w:right="954"/>
        <w:jc w:val="both"/>
        <w:rPr>
          <w:position w:val="6"/>
          <w:sz w:val="10"/>
        </w:rPr>
      </w:pPr>
      <w:r>
        <w:rPr/>
        <w:t>Η</w:t>
      </w:r>
      <w:r>
        <w:rPr>
          <w:spacing w:val="-6"/>
        </w:rPr>
        <w:t> </w:t>
      </w:r>
      <w:r>
        <w:rPr/>
        <w:t>Τράπεζα</w:t>
      </w:r>
      <w:r>
        <w:rPr>
          <w:spacing w:val="-5"/>
        </w:rPr>
        <w:t> </w:t>
      </w:r>
      <w:r>
        <w:rPr/>
        <w:t>της</w:t>
      </w:r>
      <w:r>
        <w:rPr>
          <w:spacing w:val="-6"/>
        </w:rPr>
        <w:t> </w:t>
      </w:r>
      <w:r>
        <w:rPr/>
        <w:t>Ελλάδος</w:t>
      </w:r>
      <w:r>
        <w:rPr>
          <w:spacing w:val="-7"/>
        </w:rPr>
        <w:t> </w:t>
      </w:r>
      <w:r>
        <w:rPr/>
        <w:t>εντοπίζει,</w:t>
      </w:r>
      <w:r>
        <w:rPr>
          <w:spacing w:val="-4"/>
        </w:rPr>
        <w:t> </w:t>
      </w:r>
      <w:r>
        <w:rPr/>
        <w:t>παρακολουθεί</w:t>
      </w:r>
      <w:r>
        <w:rPr>
          <w:spacing w:val="-4"/>
        </w:rPr>
        <w:t> </w:t>
      </w:r>
      <w:r>
        <w:rPr/>
        <w:t>και</w:t>
      </w:r>
      <w:r>
        <w:rPr>
          <w:spacing w:val="-7"/>
        </w:rPr>
        <w:t> </w:t>
      </w:r>
      <w:r>
        <w:rPr/>
        <w:t>αξιολογεί</w:t>
      </w:r>
      <w:r>
        <w:rPr>
          <w:spacing w:val="-4"/>
        </w:rPr>
        <w:t> </w:t>
      </w:r>
      <w:r>
        <w:rPr/>
        <w:t>τους</w:t>
      </w:r>
      <w:r>
        <w:rPr>
          <w:spacing w:val="-6"/>
        </w:rPr>
        <w:t> </w:t>
      </w:r>
      <w:r>
        <w:rPr/>
        <w:t>συστημικούς</w:t>
      </w:r>
      <w:r>
        <w:rPr>
          <w:spacing w:val="-6"/>
        </w:rPr>
        <w:t> </w:t>
      </w:r>
      <w:r>
        <w:rPr/>
        <w:t>κινδύνους</w:t>
      </w:r>
      <w:r>
        <w:rPr>
          <w:spacing w:val="-6"/>
        </w:rPr>
        <w:t> </w:t>
      </w:r>
      <w:r>
        <w:rPr/>
        <w:t>για τη χρηματοπιστωτική σταθερότητα σε όλους τους τομείς του χρηματοπιστωτικού συστήματος, δηλαδή τον τραπεζικό τομέα, τις ασφαλιστικές επιχειρήσεις, τα λοιπά χρηματοδοτικά ιδρύματα και τις χρηματοπιστωτικές αγορές και υποδομές. Συστημικοί είναι οι κίνδυνοι που μπορούν να προκαλέσουν διαταραχές</w:t>
      </w:r>
      <w:r>
        <w:rPr>
          <w:spacing w:val="-1"/>
        </w:rPr>
        <w:t> </w:t>
      </w:r>
      <w:r>
        <w:rPr/>
        <w:t>σε ολόκληρο το χρηματοπιστωτικό σύστημα και όχι μόνο σε μεμονω-μένες</w:t>
      </w:r>
      <w:r>
        <w:rPr>
          <w:spacing w:val="-11"/>
        </w:rPr>
        <w:t> </w:t>
      </w:r>
      <w:r>
        <w:rPr/>
        <w:t>εταιρίες</w:t>
      </w:r>
      <w:r>
        <w:rPr>
          <w:spacing w:val="-8"/>
        </w:rPr>
        <w:t> </w:t>
      </w:r>
      <w:r>
        <w:rPr/>
        <w:t>ή</w:t>
      </w:r>
      <w:r>
        <w:rPr>
          <w:spacing w:val="-7"/>
        </w:rPr>
        <w:t> </w:t>
      </w:r>
      <w:r>
        <w:rPr/>
        <w:t>τομείς,</w:t>
      </w:r>
      <w:r>
        <w:rPr>
          <w:spacing w:val="-7"/>
        </w:rPr>
        <w:t> </w:t>
      </w:r>
      <w:r>
        <w:rPr/>
        <w:t>διακρίνονται</w:t>
      </w:r>
      <w:r>
        <w:rPr>
          <w:spacing w:val="-6"/>
        </w:rPr>
        <w:t> </w:t>
      </w:r>
      <w:r>
        <w:rPr/>
        <w:t>δε</w:t>
      </w:r>
      <w:r>
        <w:rPr>
          <w:spacing w:val="-9"/>
        </w:rPr>
        <w:t> </w:t>
      </w:r>
      <w:r>
        <w:rPr/>
        <w:t>σε</w:t>
      </w:r>
      <w:r>
        <w:rPr>
          <w:spacing w:val="-6"/>
        </w:rPr>
        <w:t> </w:t>
      </w:r>
      <w:r>
        <w:rPr/>
        <w:t>κυκλικούς</w:t>
      </w:r>
      <w:r>
        <w:rPr>
          <w:spacing w:val="-11"/>
        </w:rPr>
        <w:t> </w:t>
      </w:r>
      <w:r>
        <w:rPr/>
        <w:t>και</w:t>
      </w:r>
      <w:r>
        <w:rPr>
          <w:spacing w:val="-7"/>
        </w:rPr>
        <w:t> </w:t>
      </w:r>
      <w:r>
        <w:rPr/>
        <w:t>σε</w:t>
      </w:r>
      <w:r>
        <w:rPr>
          <w:spacing w:val="-6"/>
        </w:rPr>
        <w:t> </w:t>
      </w:r>
      <w:r>
        <w:rPr/>
        <w:t>διαρθρωτικούς.</w:t>
      </w:r>
      <w:r>
        <w:rPr>
          <w:spacing w:val="-7"/>
        </w:rPr>
        <w:t> </w:t>
      </w:r>
      <w:r>
        <w:rPr/>
        <w:t>Οι</w:t>
      </w:r>
      <w:r>
        <w:rPr>
          <w:spacing w:val="-6"/>
        </w:rPr>
        <w:t> </w:t>
      </w:r>
      <w:r>
        <w:rPr/>
        <w:t>κυκλικοί</w:t>
      </w:r>
      <w:r>
        <w:rPr>
          <w:spacing w:val="-6"/>
        </w:rPr>
        <w:t> </w:t>
      </w:r>
      <w:r>
        <w:rPr/>
        <w:t>συστη-μικοί κίνδυνοι συνδέονται</w:t>
      </w:r>
      <w:r>
        <w:rPr>
          <w:spacing w:val="-2"/>
        </w:rPr>
        <w:t> </w:t>
      </w:r>
      <w:r>
        <w:rPr/>
        <w:t>με τη φάση του οικονομικού κύκλου και αφορούν την</w:t>
      </w:r>
      <w:r>
        <w:rPr>
          <w:spacing w:val="-1"/>
        </w:rPr>
        <w:t> </w:t>
      </w:r>
      <w:r>
        <w:rPr/>
        <w:t>τάση των χρη-ματοπιστωτικών ιδρυμάτων να</w:t>
      </w:r>
      <w:r>
        <w:rPr>
          <w:spacing w:val="-2"/>
        </w:rPr>
        <w:t> </w:t>
      </w:r>
      <w:r>
        <w:rPr/>
        <w:t>αναλαμβάνουν υπερβολικούς κινδύνους κατά την ανοδική φάση του οικονομικού κύκλου και την απροθυμία τους για ανάληψη κινδύνων κατά την καθοδική φάση. Οι διαρθρωτικοί συστημικοί κίνδυνοι συνδέονται με διαρθρωτικά χαρακτηριστικά του χρηματοπιστωτικού</w:t>
      </w:r>
      <w:r>
        <w:rPr>
          <w:spacing w:val="-12"/>
        </w:rPr>
        <w:t> </w:t>
      </w:r>
      <w:r>
        <w:rPr/>
        <w:t>συστήματος</w:t>
      </w:r>
      <w:r>
        <w:rPr>
          <w:spacing w:val="-12"/>
        </w:rPr>
        <w:t> </w:t>
      </w:r>
      <w:r>
        <w:rPr/>
        <w:t>ή/και</w:t>
      </w:r>
      <w:r>
        <w:rPr>
          <w:spacing w:val="-10"/>
        </w:rPr>
        <w:t> </w:t>
      </w:r>
      <w:r>
        <w:rPr/>
        <w:t>μακροπρόθεσμες</w:t>
      </w:r>
      <w:r>
        <w:rPr>
          <w:spacing w:val="-12"/>
        </w:rPr>
        <w:t> </w:t>
      </w:r>
      <w:r>
        <w:rPr/>
        <w:t>τάσεις.</w:t>
      </w:r>
      <w:hyperlink w:history="true" w:anchor="_bookmark174">
        <w:r>
          <w:rPr>
            <w:position w:val="6"/>
            <w:sz w:val="10"/>
          </w:rPr>
          <w:t>115</w:t>
        </w:r>
      </w:hyperlink>
      <w:r>
        <w:rPr>
          <w:spacing w:val="20"/>
          <w:position w:val="6"/>
          <w:sz w:val="10"/>
        </w:rPr>
        <w:t> </w:t>
      </w:r>
      <w:r>
        <w:rPr/>
        <w:t>Παράλληλα,</w:t>
      </w:r>
      <w:r>
        <w:rPr>
          <w:spacing w:val="-11"/>
        </w:rPr>
        <w:t> </w:t>
      </w:r>
      <w:r>
        <w:rPr/>
        <w:t>τα</w:t>
      </w:r>
      <w:r>
        <w:rPr>
          <w:spacing w:val="-11"/>
        </w:rPr>
        <w:t> </w:t>
      </w:r>
      <w:r>
        <w:rPr/>
        <w:t>τελευταία</w:t>
      </w:r>
      <w:r>
        <w:rPr>
          <w:spacing w:val="-10"/>
        </w:rPr>
        <w:t> </w:t>
      </w:r>
      <w:r>
        <w:rPr/>
        <w:t>χρό-νια</w:t>
      </w:r>
      <w:r>
        <w:rPr>
          <w:spacing w:val="-7"/>
        </w:rPr>
        <w:t> </w:t>
      </w:r>
      <w:r>
        <w:rPr/>
        <w:t>αναδεικνύεται</w:t>
      </w:r>
      <w:r>
        <w:rPr>
          <w:spacing w:val="-6"/>
        </w:rPr>
        <w:t> </w:t>
      </w:r>
      <w:r>
        <w:rPr/>
        <w:t>ολοένα</w:t>
      </w:r>
      <w:r>
        <w:rPr>
          <w:spacing w:val="-8"/>
        </w:rPr>
        <w:t> </w:t>
      </w:r>
      <w:r>
        <w:rPr/>
        <w:t>περισσότερο</w:t>
      </w:r>
      <w:r>
        <w:rPr>
          <w:spacing w:val="-7"/>
        </w:rPr>
        <w:t> </w:t>
      </w:r>
      <w:r>
        <w:rPr/>
        <w:t>μια</w:t>
      </w:r>
      <w:r>
        <w:rPr>
          <w:spacing w:val="-7"/>
        </w:rPr>
        <w:t> </w:t>
      </w:r>
      <w:r>
        <w:rPr/>
        <w:t>τρίτη</w:t>
      </w:r>
      <w:r>
        <w:rPr>
          <w:spacing w:val="-7"/>
        </w:rPr>
        <w:t> </w:t>
      </w:r>
      <w:r>
        <w:rPr/>
        <w:t>πηγή</w:t>
      </w:r>
      <w:r>
        <w:rPr>
          <w:spacing w:val="-7"/>
        </w:rPr>
        <w:t> </w:t>
      </w:r>
      <w:r>
        <w:rPr/>
        <w:t>συστημικών</w:t>
      </w:r>
      <w:r>
        <w:rPr>
          <w:spacing w:val="-6"/>
        </w:rPr>
        <w:t> </w:t>
      </w:r>
      <w:r>
        <w:rPr/>
        <w:t>κινδύνων,</w:t>
      </w:r>
      <w:r>
        <w:rPr>
          <w:spacing w:val="-7"/>
        </w:rPr>
        <w:t> </w:t>
      </w:r>
      <w:r>
        <w:rPr/>
        <w:t>η</w:t>
      </w:r>
      <w:r>
        <w:rPr>
          <w:spacing w:val="-7"/>
        </w:rPr>
        <w:t> </w:t>
      </w:r>
      <w:r>
        <w:rPr/>
        <w:t>οποία</w:t>
      </w:r>
      <w:r>
        <w:rPr>
          <w:spacing w:val="-7"/>
        </w:rPr>
        <w:t> </w:t>
      </w:r>
      <w:r>
        <w:rPr/>
        <w:t>συνδέεται με τον μη τραπεζικό χρηματοπιστωτικό τομέα (non-bank financial intermediaries – NBFIs). Ο τομέας</w:t>
      </w:r>
      <w:r>
        <w:rPr>
          <w:spacing w:val="-2"/>
        </w:rPr>
        <w:t> </w:t>
      </w:r>
      <w:r>
        <w:rPr/>
        <w:t>αυτός</w:t>
      </w:r>
      <w:r>
        <w:rPr>
          <w:spacing w:val="-1"/>
        </w:rPr>
        <w:t> </w:t>
      </w:r>
      <w:r>
        <w:rPr/>
        <w:t>έχει</w:t>
      </w:r>
      <w:r>
        <w:rPr>
          <w:spacing w:val="-2"/>
        </w:rPr>
        <w:t> </w:t>
      </w:r>
      <w:r>
        <w:rPr/>
        <w:t>μεγεθυνθεί</w:t>
      </w:r>
      <w:r>
        <w:rPr>
          <w:spacing w:val="-2"/>
        </w:rPr>
        <w:t> </w:t>
      </w:r>
      <w:r>
        <w:rPr/>
        <w:t>σημαντικά</w:t>
      </w:r>
      <w:r>
        <w:rPr>
          <w:spacing w:val="-1"/>
        </w:rPr>
        <w:t> </w:t>
      </w:r>
      <w:r>
        <w:rPr/>
        <w:t>σε διεθνές</w:t>
      </w:r>
      <w:r>
        <w:rPr>
          <w:spacing w:val="-1"/>
        </w:rPr>
        <w:t> </w:t>
      </w:r>
      <w:r>
        <w:rPr/>
        <w:t>επίπεδο, καθώς</w:t>
      </w:r>
      <w:r>
        <w:rPr>
          <w:spacing w:val="-1"/>
        </w:rPr>
        <w:t> </w:t>
      </w:r>
      <w:r>
        <w:rPr/>
        <w:t>μετά</w:t>
      </w:r>
      <w:r>
        <w:rPr>
          <w:spacing w:val="-1"/>
        </w:rPr>
        <w:t> </w:t>
      </w:r>
      <w:r>
        <w:rPr/>
        <w:t>την παγκόσμια</w:t>
      </w:r>
      <w:r>
        <w:rPr>
          <w:spacing w:val="-2"/>
        </w:rPr>
        <w:t> </w:t>
      </w:r>
      <w:r>
        <w:rPr/>
        <w:t>χρημα-τοπιστωτική κρίση ένα μέρος των χρηματοοικονομικών δραστηριοτήτων άρχισε να μετατοπίζε-ται</w:t>
      </w:r>
      <w:r>
        <w:rPr>
          <w:spacing w:val="-2"/>
        </w:rPr>
        <w:t> </w:t>
      </w:r>
      <w:r>
        <w:rPr/>
        <w:t>σταδιακά</w:t>
      </w:r>
      <w:r>
        <w:rPr>
          <w:spacing w:val="-2"/>
        </w:rPr>
        <w:t> </w:t>
      </w:r>
      <w:r>
        <w:rPr/>
        <w:t>εκτός</w:t>
      </w:r>
      <w:r>
        <w:rPr>
          <w:spacing w:val="-4"/>
        </w:rPr>
        <w:t> </w:t>
      </w:r>
      <w:r>
        <w:rPr/>
        <w:t>του</w:t>
      </w:r>
      <w:r>
        <w:rPr>
          <w:spacing w:val="-1"/>
        </w:rPr>
        <w:t> </w:t>
      </w:r>
      <w:r>
        <w:rPr/>
        <w:t>παραδοσιακού</w:t>
      </w:r>
      <w:r>
        <w:rPr>
          <w:spacing w:val="-1"/>
        </w:rPr>
        <w:t> </w:t>
      </w:r>
      <w:r>
        <w:rPr/>
        <w:t>τραπεζικού</w:t>
      </w:r>
      <w:r>
        <w:rPr>
          <w:spacing w:val="-1"/>
        </w:rPr>
        <w:t> </w:t>
      </w:r>
      <w:r>
        <w:rPr/>
        <w:t>τομέα,</w:t>
      </w:r>
      <w:r>
        <w:rPr>
          <w:spacing w:val="-2"/>
        </w:rPr>
        <w:t> </w:t>
      </w:r>
      <w:r>
        <w:rPr/>
        <w:t>και</w:t>
      </w:r>
      <w:r>
        <w:rPr>
          <w:spacing w:val="-2"/>
        </w:rPr>
        <w:t> </w:t>
      </w:r>
      <w:r>
        <w:rPr/>
        <w:t>γι’</w:t>
      </w:r>
      <w:r>
        <w:rPr>
          <w:spacing w:val="-2"/>
        </w:rPr>
        <w:t> </w:t>
      </w:r>
      <w:r>
        <w:rPr/>
        <w:t>αυτό</w:t>
      </w:r>
      <w:r>
        <w:rPr>
          <w:spacing w:val="-4"/>
        </w:rPr>
        <w:t> </w:t>
      </w:r>
      <w:r>
        <w:rPr/>
        <w:t>έχει</w:t>
      </w:r>
      <w:r>
        <w:rPr>
          <w:spacing w:val="-2"/>
        </w:rPr>
        <w:t> </w:t>
      </w:r>
      <w:r>
        <w:rPr/>
        <w:t>γίνει</w:t>
      </w:r>
      <w:r>
        <w:rPr>
          <w:spacing w:val="-2"/>
        </w:rPr>
        <w:t> </w:t>
      </w:r>
      <w:r>
        <w:rPr/>
        <w:t>αντικείμενο</w:t>
      </w:r>
      <w:r>
        <w:rPr>
          <w:spacing w:val="-2"/>
        </w:rPr>
        <w:t> </w:t>
      </w:r>
      <w:r>
        <w:rPr/>
        <w:t>συ-στηματικής μελέτης και παρακολούθησης</w:t>
      </w:r>
      <w:hyperlink w:history="true" w:anchor="_bookmark175">
        <w:r>
          <w:rPr/>
          <w:t>.</w:t>
        </w:r>
        <w:r>
          <w:rPr>
            <w:position w:val="6"/>
            <w:sz w:val="10"/>
          </w:rPr>
          <w:t>116</w:t>
        </w:r>
      </w:hyperlink>
    </w:p>
    <w:p>
      <w:pPr>
        <w:pStyle w:val="BodyText"/>
        <w:spacing w:before="200"/>
      </w:pPr>
    </w:p>
    <w:p>
      <w:pPr>
        <w:pStyle w:val="Heading4"/>
      </w:pPr>
      <w:r>
        <w:rPr>
          <w:color w:val="1F487C"/>
          <w:spacing w:val="-2"/>
        </w:rPr>
        <w:t>Πλαίσ</w:t>
      </w:r>
      <w:r>
        <w:rPr>
          <w:smallCaps/>
          <w:color w:val="1F487C"/>
          <w:spacing w:val="-2"/>
        </w:rPr>
        <w:t>ιο</w:t>
      </w:r>
      <w:r>
        <w:rPr>
          <w:smallCaps w:val="0"/>
          <w:color w:val="1F487C"/>
          <w:spacing w:val="-3"/>
        </w:rPr>
        <w:t> </w:t>
      </w:r>
      <w:r>
        <w:rPr>
          <w:smallCaps w:val="0"/>
          <w:color w:val="1F487C"/>
          <w:spacing w:val="-2"/>
        </w:rPr>
        <w:t>παρακολούθησης</w:t>
      </w:r>
      <w:r>
        <w:rPr>
          <w:smallCaps w:val="0"/>
          <w:color w:val="1F487C"/>
          <w:spacing w:val="-4"/>
        </w:rPr>
        <w:t> </w:t>
      </w:r>
      <w:r>
        <w:rPr>
          <w:smallCaps w:val="0"/>
          <w:color w:val="1F487C"/>
          <w:spacing w:val="-2"/>
        </w:rPr>
        <w:t>κα</w:t>
      </w:r>
      <w:r>
        <w:rPr>
          <w:smallCaps/>
          <w:color w:val="1F487C"/>
          <w:spacing w:val="-2"/>
        </w:rPr>
        <w:t>ι</w:t>
      </w:r>
      <w:r>
        <w:rPr>
          <w:smallCaps w:val="0"/>
          <w:color w:val="1F487C"/>
          <w:spacing w:val="-1"/>
        </w:rPr>
        <w:t> </w:t>
      </w:r>
      <w:r>
        <w:rPr>
          <w:smallCaps w:val="0"/>
          <w:color w:val="1F487C"/>
          <w:spacing w:val="-2"/>
        </w:rPr>
        <w:t>αξ</w:t>
      </w:r>
      <w:r>
        <w:rPr>
          <w:smallCaps/>
          <w:color w:val="1F487C"/>
          <w:spacing w:val="-2"/>
        </w:rPr>
        <w:t>ιο</w:t>
      </w:r>
      <w:r>
        <w:rPr>
          <w:smallCaps w:val="0"/>
          <w:color w:val="1F487C"/>
          <w:spacing w:val="-2"/>
        </w:rPr>
        <w:t>λόγησης των συστημ</w:t>
      </w:r>
      <w:r>
        <w:rPr>
          <w:smallCaps/>
          <w:color w:val="1F487C"/>
          <w:spacing w:val="-2"/>
        </w:rPr>
        <w:t>ι</w:t>
      </w:r>
      <w:r>
        <w:rPr>
          <w:smallCaps w:val="0"/>
          <w:color w:val="1F487C"/>
          <w:spacing w:val="-2"/>
        </w:rPr>
        <w:t>κών</w:t>
      </w:r>
      <w:r>
        <w:rPr>
          <w:smallCaps w:val="0"/>
          <w:color w:val="1F487C"/>
          <w:spacing w:val="-3"/>
        </w:rPr>
        <w:t> </w:t>
      </w:r>
      <w:r>
        <w:rPr>
          <w:smallCaps w:val="0"/>
          <w:color w:val="1F487C"/>
          <w:spacing w:val="-2"/>
        </w:rPr>
        <w:t>κ</w:t>
      </w:r>
      <w:r>
        <w:rPr>
          <w:smallCaps/>
          <w:color w:val="1F487C"/>
          <w:spacing w:val="-2"/>
        </w:rPr>
        <w:t>ιν</w:t>
      </w:r>
      <w:r>
        <w:rPr>
          <w:smallCaps w:val="0"/>
          <w:color w:val="1F487C"/>
          <w:spacing w:val="-2"/>
        </w:rPr>
        <w:t>δύνων</w:t>
      </w:r>
    </w:p>
    <w:p>
      <w:pPr>
        <w:pStyle w:val="BodyText"/>
        <w:spacing w:line="285" w:lineRule="auto" w:before="107"/>
        <w:ind w:left="172" w:right="955"/>
        <w:jc w:val="both"/>
      </w:pPr>
      <w:r>
        <w:rPr/>
        <w:t>Το 2025 η Τράπεζα της Ελλάδος ανέπτυξε ειδικό πλαίσιο για την αναγνώριση και διαβάθμιση των</w:t>
      </w:r>
      <w:r>
        <w:rPr>
          <w:spacing w:val="-7"/>
        </w:rPr>
        <w:t> </w:t>
      </w:r>
      <w:r>
        <w:rPr/>
        <w:t>συστημικών</w:t>
      </w:r>
      <w:r>
        <w:rPr>
          <w:spacing w:val="-5"/>
        </w:rPr>
        <w:t> </w:t>
      </w:r>
      <w:r>
        <w:rPr/>
        <w:t>κινδύνων</w:t>
      </w:r>
      <w:r>
        <w:rPr>
          <w:spacing w:val="-10"/>
        </w:rPr>
        <w:t> </w:t>
      </w:r>
      <w:r>
        <w:rPr/>
        <w:t>(“Systemic</w:t>
      </w:r>
      <w:r>
        <w:rPr>
          <w:spacing w:val="-5"/>
        </w:rPr>
        <w:t> </w:t>
      </w:r>
      <w:r>
        <w:rPr/>
        <w:t>Risk</w:t>
      </w:r>
      <w:r>
        <w:rPr>
          <w:spacing w:val="-5"/>
        </w:rPr>
        <w:t> </w:t>
      </w:r>
      <w:r>
        <w:rPr/>
        <w:t>Heatmap”),</w:t>
      </w:r>
      <w:r>
        <w:rPr>
          <w:spacing w:val="-6"/>
        </w:rPr>
        <w:t> </w:t>
      </w:r>
      <w:r>
        <w:rPr/>
        <w:t>στοχεύοντας</w:t>
      </w:r>
      <w:r>
        <w:rPr>
          <w:spacing w:val="-7"/>
        </w:rPr>
        <w:t> </w:t>
      </w:r>
      <w:r>
        <w:rPr/>
        <w:t>στην</w:t>
      </w:r>
      <w:r>
        <w:rPr>
          <w:spacing w:val="-5"/>
        </w:rPr>
        <w:t> </w:t>
      </w:r>
      <w:r>
        <w:rPr/>
        <w:t>αποτύπωση,</w:t>
      </w:r>
      <w:r>
        <w:rPr>
          <w:spacing w:val="-8"/>
        </w:rPr>
        <w:t> </w:t>
      </w:r>
      <w:r>
        <w:rPr/>
        <w:t>αλλά</w:t>
      </w:r>
      <w:r>
        <w:rPr>
          <w:spacing w:val="-6"/>
        </w:rPr>
        <w:t> </w:t>
      </w:r>
      <w:r>
        <w:rPr/>
        <w:t>και την παρακολούθηση της διαχρονικής εξέλιξης των δυνητικών ευπαθειών του ελληνικού χρημα-τοπιστωτικού συστήματος. Το πλαίσιο σχεδιάστηκε να καλύπτει το σύνολο του χρηματοπιστω-τικού</w:t>
      </w:r>
      <w:r>
        <w:rPr>
          <w:spacing w:val="-6"/>
        </w:rPr>
        <w:t> </w:t>
      </w:r>
      <w:r>
        <w:rPr/>
        <w:t>συστήματος,</w:t>
      </w:r>
      <w:r>
        <w:rPr>
          <w:spacing w:val="-6"/>
        </w:rPr>
        <w:t> </w:t>
      </w:r>
      <w:r>
        <w:rPr/>
        <w:t>ενώ</w:t>
      </w:r>
      <w:r>
        <w:rPr>
          <w:spacing w:val="-3"/>
        </w:rPr>
        <w:t> </w:t>
      </w:r>
      <w:r>
        <w:rPr/>
        <w:t>για</w:t>
      </w:r>
      <w:r>
        <w:rPr>
          <w:spacing w:val="-6"/>
        </w:rPr>
        <w:t> </w:t>
      </w:r>
      <w:r>
        <w:rPr/>
        <w:t>τη</w:t>
      </w:r>
      <w:r>
        <w:rPr>
          <w:spacing w:val="-4"/>
        </w:rPr>
        <w:t> </w:t>
      </w:r>
      <w:r>
        <w:rPr/>
        <w:t>διαμόρφωσή</w:t>
      </w:r>
      <w:r>
        <w:rPr>
          <w:spacing w:val="-4"/>
        </w:rPr>
        <w:t> </w:t>
      </w:r>
      <w:r>
        <w:rPr/>
        <w:t>του</w:t>
      </w:r>
      <w:r>
        <w:rPr>
          <w:spacing w:val="-5"/>
        </w:rPr>
        <w:t> </w:t>
      </w:r>
      <w:r>
        <w:rPr/>
        <w:t>επιλέχθηκε</w:t>
      </w:r>
      <w:r>
        <w:rPr>
          <w:spacing w:val="-3"/>
        </w:rPr>
        <w:t> </w:t>
      </w:r>
      <w:r>
        <w:rPr/>
        <w:t>ένα</w:t>
      </w:r>
      <w:r>
        <w:rPr>
          <w:spacing w:val="-7"/>
        </w:rPr>
        <w:t> </w:t>
      </w:r>
      <w:r>
        <w:rPr/>
        <w:t>ευρύ</w:t>
      </w:r>
      <w:r>
        <w:rPr>
          <w:spacing w:val="-3"/>
        </w:rPr>
        <w:t> </w:t>
      </w:r>
      <w:r>
        <w:rPr/>
        <w:t>φάσμα</w:t>
      </w:r>
      <w:r>
        <w:rPr>
          <w:spacing w:val="-4"/>
        </w:rPr>
        <w:t> </w:t>
      </w:r>
      <w:r>
        <w:rPr/>
        <w:t>δεικτών.</w:t>
      </w:r>
      <w:r>
        <w:rPr>
          <w:spacing w:val="-4"/>
        </w:rPr>
        <w:t> </w:t>
      </w:r>
      <w:r>
        <w:rPr/>
        <w:t>Οι</w:t>
      </w:r>
      <w:r>
        <w:rPr>
          <w:spacing w:val="-3"/>
        </w:rPr>
        <w:t> </w:t>
      </w:r>
      <w:r>
        <w:rPr/>
        <w:t>εν</w:t>
      </w:r>
      <w:r>
        <w:rPr>
          <w:spacing w:val="-5"/>
        </w:rPr>
        <w:t> </w:t>
      </w:r>
      <w:r>
        <w:rPr/>
        <w:t>λόγω δείκτες</w:t>
      </w:r>
      <w:r>
        <w:rPr>
          <w:spacing w:val="-14"/>
        </w:rPr>
        <w:t> </w:t>
      </w:r>
      <w:r>
        <w:rPr/>
        <w:t>ομαδοποιούνται</w:t>
      </w:r>
      <w:r>
        <w:rPr>
          <w:spacing w:val="-14"/>
        </w:rPr>
        <w:t> </w:t>
      </w:r>
      <w:r>
        <w:rPr/>
        <w:t>σε</w:t>
      </w:r>
      <w:r>
        <w:rPr>
          <w:spacing w:val="-14"/>
        </w:rPr>
        <w:t> </w:t>
      </w:r>
      <w:r>
        <w:rPr/>
        <w:t>περιοχές</w:t>
      </w:r>
      <w:r>
        <w:rPr>
          <w:spacing w:val="-13"/>
        </w:rPr>
        <w:t> </w:t>
      </w:r>
      <w:r>
        <w:rPr/>
        <w:t>κινδύνου</w:t>
      </w:r>
      <w:r>
        <w:rPr>
          <w:spacing w:val="-14"/>
        </w:rPr>
        <w:t> </w:t>
      </w:r>
      <w:r>
        <w:rPr/>
        <w:t>που</w:t>
      </w:r>
      <w:r>
        <w:rPr>
          <w:spacing w:val="-14"/>
        </w:rPr>
        <w:t> </w:t>
      </w:r>
      <w:r>
        <w:rPr/>
        <w:t>έχουν</w:t>
      </w:r>
      <w:r>
        <w:rPr>
          <w:spacing w:val="-12"/>
        </w:rPr>
        <w:t> </w:t>
      </w:r>
      <w:r>
        <w:rPr/>
        <w:t>αναγνωριστεί</w:t>
      </w:r>
      <w:r>
        <w:rPr>
          <w:spacing w:val="-14"/>
        </w:rPr>
        <w:t> </w:t>
      </w:r>
      <w:r>
        <w:rPr/>
        <w:t>στις</w:t>
      </w:r>
      <w:r>
        <w:rPr>
          <w:spacing w:val="-13"/>
        </w:rPr>
        <w:t> </w:t>
      </w:r>
      <w:r>
        <w:rPr/>
        <w:t>επιμέρους</w:t>
      </w:r>
      <w:r>
        <w:rPr>
          <w:spacing w:val="-14"/>
        </w:rPr>
        <w:t> </w:t>
      </w:r>
      <w:r>
        <w:rPr/>
        <w:t>διαστάσεις του</w:t>
      </w:r>
      <w:r>
        <w:rPr>
          <w:spacing w:val="-6"/>
        </w:rPr>
        <w:t> </w:t>
      </w:r>
      <w:r>
        <w:rPr/>
        <w:t>συστημικού</w:t>
      </w:r>
      <w:r>
        <w:rPr>
          <w:spacing w:val="-4"/>
        </w:rPr>
        <w:t> </w:t>
      </w:r>
      <w:r>
        <w:rPr/>
        <w:t>κινδύνου,</w:t>
      </w:r>
      <w:r>
        <w:rPr>
          <w:spacing w:val="-7"/>
        </w:rPr>
        <w:t> </w:t>
      </w:r>
      <w:r>
        <w:rPr/>
        <w:t>ώστε</w:t>
      </w:r>
      <w:r>
        <w:rPr>
          <w:spacing w:val="-4"/>
        </w:rPr>
        <w:t> </w:t>
      </w:r>
      <w:r>
        <w:rPr/>
        <w:t>να</w:t>
      </w:r>
      <w:r>
        <w:rPr>
          <w:spacing w:val="-4"/>
        </w:rPr>
        <w:t> </w:t>
      </w:r>
      <w:r>
        <w:rPr/>
        <w:t>αποτυπώνονται</w:t>
      </w:r>
      <w:r>
        <w:rPr>
          <w:spacing w:val="-5"/>
        </w:rPr>
        <w:t> </w:t>
      </w:r>
      <w:r>
        <w:rPr/>
        <w:t>με</w:t>
      </w:r>
      <w:r>
        <w:rPr>
          <w:spacing w:val="-6"/>
        </w:rPr>
        <w:t> </w:t>
      </w:r>
      <w:r>
        <w:rPr/>
        <w:t>ενιαίο</w:t>
      </w:r>
      <w:r>
        <w:rPr>
          <w:spacing w:val="-4"/>
        </w:rPr>
        <w:t> </w:t>
      </w:r>
      <w:r>
        <w:rPr/>
        <w:t>τρόπο</w:t>
      </w:r>
      <w:r>
        <w:rPr>
          <w:spacing w:val="-5"/>
        </w:rPr>
        <w:t> </w:t>
      </w:r>
      <w:r>
        <w:rPr/>
        <w:t>οι</w:t>
      </w:r>
      <w:r>
        <w:rPr>
          <w:spacing w:val="-4"/>
        </w:rPr>
        <w:t> </w:t>
      </w:r>
      <w:r>
        <w:rPr/>
        <w:t>εξελίξεις</w:t>
      </w:r>
      <w:r>
        <w:rPr>
          <w:spacing w:val="-5"/>
        </w:rPr>
        <w:t> </w:t>
      </w:r>
      <w:r>
        <w:rPr/>
        <w:t>στους</w:t>
      </w:r>
      <w:r>
        <w:rPr>
          <w:spacing w:val="-4"/>
        </w:rPr>
        <w:t> </w:t>
      </w:r>
      <w:r>
        <w:rPr/>
        <w:t>επιμέρους τομείς.</w:t>
      </w:r>
      <w:r>
        <w:rPr>
          <w:spacing w:val="-1"/>
        </w:rPr>
        <w:t> </w:t>
      </w:r>
      <w:r>
        <w:rPr/>
        <w:t>Επισημαίνεται</w:t>
      </w:r>
      <w:r>
        <w:rPr>
          <w:spacing w:val="-1"/>
        </w:rPr>
        <w:t> </w:t>
      </w:r>
      <w:r>
        <w:rPr/>
        <w:t>ότι</w:t>
      </w:r>
      <w:r>
        <w:rPr>
          <w:spacing w:val="-3"/>
        </w:rPr>
        <w:t> </w:t>
      </w:r>
      <w:r>
        <w:rPr/>
        <w:t>για</w:t>
      </w:r>
      <w:r>
        <w:rPr>
          <w:spacing w:val="-1"/>
        </w:rPr>
        <w:t> </w:t>
      </w:r>
      <w:r>
        <w:rPr/>
        <w:t>την επιλογή</w:t>
      </w:r>
      <w:r>
        <w:rPr>
          <w:spacing w:val="-1"/>
        </w:rPr>
        <w:t> </w:t>
      </w:r>
      <w:r>
        <w:rPr/>
        <w:t>των</w:t>
      </w:r>
      <w:r>
        <w:rPr>
          <w:spacing w:val="-1"/>
        </w:rPr>
        <w:t> </w:t>
      </w:r>
      <w:r>
        <w:rPr/>
        <w:t>δεικτών</w:t>
      </w:r>
      <w:r>
        <w:rPr>
          <w:spacing w:val="-2"/>
        </w:rPr>
        <w:t> </w:t>
      </w:r>
      <w:r>
        <w:rPr/>
        <w:t>ελήφθησαν</w:t>
      </w:r>
      <w:r>
        <w:rPr>
          <w:spacing w:val="-2"/>
        </w:rPr>
        <w:t> </w:t>
      </w:r>
      <w:r>
        <w:rPr/>
        <w:t>υπόψη</w:t>
      </w:r>
      <w:r>
        <w:rPr>
          <w:spacing w:val="-1"/>
        </w:rPr>
        <w:t> </w:t>
      </w:r>
      <w:r>
        <w:rPr/>
        <w:t>αντίστοιχες</w:t>
      </w:r>
      <w:r>
        <w:rPr>
          <w:spacing w:val="-4"/>
        </w:rPr>
        <w:t> </w:t>
      </w:r>
      <w:r>
        <w:rPr/>
        <w:t>ερευνητι-κές εργασίες και βέλτιστες πρακτικές διεθνών οργανισμών και άλλων εποπτικών αρχών, καθώς και οι ιδιαιτερότητες του ελληνικού χρηματοπιστωτικού συστήματος. Δεδομένου ότι στον τρα-πεζικό τομέα αντιστοιχεί το μεγαλύτερο μέρος του</w:t>
      </w:r>
      <w:r>
        <w:rPr>
          <w:spacing w:val="-1"/>
        </w:rPr>
        <w:t> </w:t>
      </w:r>
      <w:r>
        <w:rPr/>
        <w:t>ενεργητικού του</w:t>
      </w:r>
      <w:r>
        <w:rPr>
          <w:spacing w:val="-1"/>
        </w:rPr>
        <w:t> </w:t>
      </w:r>
      <w:r>
        <w:rPr/>
        <w:t>χρηματοπιστωτικού</w:t>
      </w:r>
      <w:r>
        <w:rPr>
          <w:spacing w:val="-1"/>
        </w:rPr>
        <w:t> </w:t>
      </w:r>
      <w:r>
        <w:rPr/>
        <w:t>συστή-ματος</w:t>
      </w:r>
      <w:r>
        <w:rPr>
          <w:spacing w:val="-4"/>
        </w:rPr>
        <w:t> </w:t>
      </w:r>
      <w:r>
        <w:rPr/>
        <w:t>(Δεκέμβριος</w:t>
      </w:r>
      <w:r>
        <w:rPr>
          <w:spacing w:val="-2"/>
        </w:rPr>
        <w:t> </w:t>
      </w:r>
      <w:r>
        <w:rPr/>
        <w:t>2025:</w:t>
      </w:r>
      <w:r>
        <w:rPr>
          <w:spacing w:val="-1"/>
        </w:rPr>
        <w:t> </w:t>
      </w:r>
      <w:r>
        <w:rPr/>
        <w:t>84%),</w:t>
      </w:r>
      <w:r>
        <w:rPr>
          <w:spacing w:val="-5"/>
        </w:rPr>
        <w:t> </w:t>
      </w:r>
      <w:r>
        <w:rPr/>
        <w:t>υπήρξε</w:t>
      </w:r>
      <w:r>
        <w:rPr>
          <w:spacing w:val="-2"/>
        </w:rPr>
        <w:t> </w:t>
      </w:r>
      <w:r>
        <w:rPr/>
        <w:t>μέριμνα</w:t>
      </w:r>
      <w:r>
        <w:rPr>
          <w:spacing w:val="-2"/>
        </w:rPr>
        <w:t> </w:t>
      </w:r>
      <w:r>
        <w:rPr/>
        <w:t>να</w:t>
      </w:r>
      <w:r>
        <w:rPr>
          <w:spacing w:val="-2"/>
        </w:rPr>
        <w:t> </w:t>
      </w:r>
      <w:r>
        <w:rPr/>
        <w:t>αποτυπωθεί</w:t>
      </w:r>
      <w:r>
        <w:rPr>
          <w:spacing w:val="-2"/>
        </w:rPr>
        <w:t> </w:t>
      </w:r>
      <w:r>
        <w:rPr/>
        <w:t>η</w:t>
      </w:r>
      <w:r>
        <w:rPr>
          <w:spacing w:val="-2"/>
        </w:rPr>
        <w:t> </w:t>
      </w:r>
      <w:r>
        <w:rPr/>
        <w:t>βαρύνουσα</w:t>
      </w:r>
      <w:r>
        <w:rPr>
          <w:spacing w:val="-2"/>
        </w:rPr>
        <w:t> </w:t>
      </w:r>
      <w:r>
        <w:rPr/>
        <w:t>σημασία</w:t>
      </w:r>
      <w:r>
        <w:rPr>
          <w:spacing w:val="-2"/>
        </w:rPr>
        <w:t> </w:t>
      </w:r>
      <w:r>
        <w:rPr/>
        <w:t>του,</w:t>
      </w:r>
      <w:r>
        <w:rPr>
          <w:spacing w:val="-2"/>
        </w:rPr>
        <w:t> </w:t>
      </w:r>
      <w:r>
        <w:rPr/>
        <w:t>ενώ συμπεριλήφθηκε</w:t>
      </w:r>
      <w:r>
        <w:rPr>
          <w:spacing w:val="6"/>
        </w:rPr>
        <w:t> </w:t>
      </w:r>
      <w:r>
        <w:rPr/>
        <w:t>και</w:t>
      </w:r>
      <w:r>
        <w:rPr>
          <w:spacing w:val="5"/>
        </w:rPr>
        <w:t> </w:t>
      </w:r>
      <w:r>
        <w:rPr/>
        <w:t>ο</w:t>
      </w:r>
      <w:r>
        <w:rPr>
          <w:spacing w:val="7"/>
        </w:rPr>
        <w:t> </w:t>
      </w:r>
      <w:r>
        <w:rPr/>
        <w:t>μη</w:t>
      </w:r>
      <w:r>
        <w:rPr>
          <w:spacing w:val="5"/>
        </w:rPr>
        <w:t> </w:t>
      </w:r>
      <w:r>
        <w:rPr/>
        <w:t>τραπεζικός</w:t>
      </w:r>
      <w:r>
        <w:rPr>
          <w:spacing w:val="7"/>
        </w:rPr>
        <w:t> </w:t>
      </w:r>
      <w:r>
        <w:rPr/>
        <w:t>χρηματοπιστωτικός</w:t>
      </w:r>
      <w:r>
        <w:rPr>
          <w:spacing w:val="6"/>
        </w:rPr>
        <w:t> </w:t>
      </w:r>
      <w:r>
        <w:rPr/>
        <w:t>τομέας</w:t>
      </w:r>
      <w:r>
        <w:rPr>
          <w:spacing w:val="6"/>
        </w:rPr>
        <w:t> </w:t>
      </w:r>
      <w:r>
        <w:rPr/>
        <w:t>με</w:t>
      </w:r>
      <w:r>
        <w:rPr>
          <w:spacing w:val="8"/>
        </w:rPr>
        <w:t> </w:t>
      </w:r>
      <w:r>
        <w:rPr/>
        <w:t>τις</w:t>
      </w:r>
      <w:r>
        <w:rPr>
          <w:spacing w:val="7"/>
        </w:rPr>
        <w:t> </w:t>
      </w:r>
      <w:r>
        <w:rPr/>
        <w:t>κυριότερες</w:t>
      </w:r>
      <w:r>
        <w:rPr>
          <w:spacing w:val="7"/>
        </w:rPr>
        <w:t> </w:t>
      </w:r>
      <w:r>
        <w:rPr>
          <w:spacing w:val="-2"/>
        </w:rPr>
        <w:t>κατηγορίες</w:t>
      </w:r>
    </w:p>
    <w:p>
      <w:pPr>
        <w:pStyle w:val="BodyText"/>
        <w:rPr>
          <w:sz w:val="20"/>
        </w:rPr>
      </w:pPr>
    </w:p>
    <w:p>
      <w:pPr>
        <w:pStyle w:val="BodyText"/>
        <w:rPr>
          <w:sz w:val="20"/>
        </w:rPr>
      </w:pPr>
    </w:p>
    <w:p>
      <w:pPr>
        <w:pStyle w:val="BodyText"/>
        <w:rPr>
          <w:sz w:val="20"/>
        </w:rPr>
      </w:pPr>
    </w:p>
    <w:p>
      <w:pPr>
        <w:pStyle w:val="BodyText"/>
        <w:spacing w:before="110"/>
        <w:rPr>
          <w:sz w:val="20"/>
        </w:rPr>
      </w:pPr>
      <w:r>
        <w:rPr>
          <w:sz w:val="20"/>
        </w:rPr>
        <mc:AlternateContent>
          <mc:Choice Requires="wps">
            <w:drawing>
              <wp:anchor distT="0" distB="0" distL="0" distR="0" allowOverlap="1" layoutInCell="1" locked="0" behindDoc="1" simplePos="0" relativeHeight="487677952">
                <wp:simplePos x="0" y="0"/>
                <wp:positionH relativeFrom="page">
                  <wp:posOffset>1009192</wp:posOffset>
                </wp:positionH>
                <wp:positionV relativeFrom="paragraph">
                  <wp:posOffset>231490</wp:posOffset>
                </wp:positionV>
                <wp:extent cx="1829435" cy="7620"/>
                <wp:effectExtent l="0" t="0" r="0" b="0"/>
                <wp:wrapTopAndBottom/>
                <wp:docPr id="786" name="Graphic 786"/>
                <wp:cNvGraphicFramePr>
                  <a:graphicFrameLocks/>
                </wp:cNvGraphicFramePr>
                <a:graphic>
                  <a:graphicData uri="http://schemas.microsoft.com/office/word/2010/wordprocessingShape">
                    <wps:wsp>
                      <wps:cNvPr id="786" name="Graphic 78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8.227568pt;width:144.020pt;height:.60004pt;mso-position-horizontal-relative:page;mso-position-vertical-relative:paragraph;z-index:-15638528;mso-wrap-distance-left:0;mso-wrap-distance-right:0" id="docshape735" filled="true" fillcolor="#000000" stroked="false">
                <v:fill type="solid"/>
                <w10:wrap type="topAndBottom"/>
              </v:rect>
            </w:pict>
          </mc:Fallback>
        </mc:AlternateContent>
      </w:r>
    </w:p>
    <w:p>
      <w:pPr>
        <w:spacing w:before="165"/>
        <w:ind w:left="172" w:right="954" w:firstLine="0"/>
        <w:jc w:val="both"/>
        <w:rPr>
          <w:sz w:val="16"/>
        </w:rPr>
      </w:pPr>
      <w:bookmarkStart w:name="_bookmark174" w:id="175"/>
      <w:bookmarkEnd w:id="175"/>
      <w:r>
        <w:rPr/>
      </w:r>
      <w:r>
        <w:rPr>
          <w:sz w:val="16"/>
          <w:vertAlign w:val="superscript"/>
        </w:rPr>
        <w:t>115</w:t>
      </w:r>
      <w:r>
        <w:rPr>
          <w:spacing w:val="-2"/>
          <w:sz w:val="16"/>
          <w:vertAlign w:val="baseline"/>
        </w:rPr>
        <w:t> </w:t>
      </w:r>
      <w:r>
        <w:rPr>
          <w:sz w:val="16"/>
          <w:vertAlign w:val="baseline"/>
        </w:rPr>
        <w:t>Βλ.</w:t>
      </w:r>
      <w:r>
        <w:rPr>
          <w:spacing w:val="-4"/>
          <w:sz w:val="16"/>
          <w:vertAlign w:val="baseline"/>
        </w:rPr>
        <w:t> </w:t>
      </w:r>
      <w:hyperlink r:id="rId149">
        <w:r>
          <w:rPr>
            <w:color w:val="0000FF"/>
            <w:sz w:val="16"/>
            <w:u w:val="single" w:color="0000FF"/>
            <w:vertAlign w:val="baseline"/>
          </w:rPr>
          <w:t>Recommendation</w:t>
        </w:r>
        <w:r>
          <w:rPr>
            <w:color w:val="0000FF"/>
            <w:spacing w:val="-2"/>
            <w:sz w:val="16"/>
            <w:u w:val="single" w:color="0000FF"/>
            <w:vertAlign w:val="baseline"/>
          </w:rPr>
          <w:t> </w:t>
        </w:r>
        <w:r>
          <w:rPr>
            <w:color w:val="0000FF"/>
            <w:sz w:val="16"/>
            <w:u w:val="single" w:color="0000FF"/>
            <w:vertAlign w:val="baseline"/>
          </w:rPr>
          <w:t>of</w:t>
        </w:r>
        <w:r>
          <w:rPr>
            <w:color w:val="0000FF"/>
            <w:spacing w:val="-5"/>
            <w:sz w:val="16"/>
            <w:u w:val="single" w:color="0000FF"/>
            <w:vertAlign w:val="baseline"/>
          </w:rPr>
          <w:t> </w:t>
        </w:r>
        <w:r>
          <w:rPr>
            <w:color w:val="0000FF"/>
            <w:sz w:val="16"/>
            <w:u w:val="single" w:color="0000FF"/>
            <w:vertAlign w:val="baseline"/>
          </w:rPr>
          <w:t>the</w:t>
        </w:r>
        <w:r>
          <w:rPr>
            <w:color w:val="0000FF"/>
            <w:spacing w:val="-3"/>
            <w:sz w:val="16"/>
            <w:u w:val="single" w:color="0000FF"/>
            <w:vertAlign w:val="baseline"/>
          </w:rPr>
          <w:t> </w:t>
        </w:r>
        <w:r>
          <w:rPr>
            <w:color w:val="0000FF"/>
            <w:sz w:val="16"/>
            <w:u w:val="single" w:color="0000FF"/>
            <w:vertAlign w:val="baseline"/>
          </w:rPr>
          <w:t>European Systemic</w:t>
        </w:r>
        <w:r>
          <w:rPr>
            <w:color w:val="0000FF"/>
            <w:spacing w:val="-3"/>
            <w:sz w:val="16"/>
            <w:u w:val="single" w:color="0000FF"/>
            <w:vertAlign w:val="baseline"/>
          </w:rPr>
          <w:t> </w:t>
        </w:r>
        <w:r>
          <w:rPr>
            <w:color w:val="0000FF"/>
            <w:sz w:val="16"/>
            <w:u w:val="single" w:color="0000FF"/>
            <w:vertAlign w:val="baseline"/>
          </w:rPr>
          <w:t>Risk</w:t>
        </w:r>
        <w:r>
          <w:rPr>
            <w:color w:val="0000FF"/>
            <w:spacing w:val="-3"/>
            <w:sz w:val="16"/>
            <w:u w:val="single" w:color="0000FF"/>
            <w:vertAlign w:val="baseline"/>
          </w:rPr>
          <w:t> </w:t>
        </w:r>
        <w:r>
          <w:rPr>
            <w:color w:val="0000FF"/>
            <w:sz w:val="16"/>
            <w:u w:val="single" w:color="0000FF"/>
            <w:vertAlign w:val="baseline"/>
          </w:rPr>
          <w:t>Board</w:t>
        </w:r>
        <w:r>
          <w:rPr>
            <w:color w:val="0000FF"/>
            <w:spacing w:val="-2"/>
            <w:sz w:val="16"/>
            <w:u w:val="single" w:color="0000FF"/>
            <w:vertAlign w:val="baseline"/>
          </w:rPr>
          <w:t> </w:t>
        </w:r>
        <w:r>
          <w:rPr>
            <w:color w:val="0000FF"/>
            <w:sz w:val="16"/>
            <w:u w:val="single" w:color="0000FF"/>
            <w:vertAlign w:val="baseline"/>
          </w:rPr>
          <w:t>of</w:t>
        </w:r>
        <w:r>
          <w:rPr>
            <w:color w:val="0000FF"/>
            <w:spacing w:val="-5"/>
            <w:sz w:val="16"/>
            <w:u w:val="single" w:color="0000FF"/>
            <w:vertAlign w:val="baseline"/>
          </w:rPr>
          <w:t> </w:t>
        </w:r>
        <w:r>
          <w:rPr>
            <w:color w:val="0000FF"/>
            <w:sz w:val="16"/>
            <w:u w:val="single" w:color="0000FF"/>
            <w:vertAlign w:val="baseline"/>
          </w:rPr>
          <w:t>4</w:t>
        </w:r>
        <w:r>
          <w:rPr>
            <w:color w:val="0000FF"/>
            <w:spacing w:val="-3"/>
            <w:sz w:val="16"/>
            <w:u w:val="single" w:color="0000FF"/>
            <w:vertAlign w:val="baseline"/>
          </w:rPr>
          <w:t> </w:t>
        </w:r>
        <w:r>
          <w:rPr>
            <w:color w:val="0000FF"/>
            <w:sz w:val="16"/>
            <w:u w:val="single" w:color="0000FF"/>
            <w:vertAlign w:val="baseline"/>
          </w:rPr>
          <w:t>April</w:t>
        </w:r>
        <w:r>
          <w:rPr>
            <w:color w:val="0000FF"/>
            <w:spacing w:val="-5"/>
            <w:sz w:val="16"/>
            <w:u w:val="single" w:color="0000FF"/>
            <w:vertAlign w:val="baseline"/>
          </w:rPr>
          <w:t> </w:t>
        </w:r>
        <w:r>
          <w:rPr>
            <w:color w:val="0000FF"/>
            <w:sz w:val="16"/>
            <w:u w:val="single" w:color="0000FF"/>
            <w:vertAlign w:val="baseline"/>
          </w:rPr>
          <w:t>2013</w:t>
        </w:r>
        <w:r>
          <w:rPr>
            <w:color w:val="0000FF"/>
            <w:spacing w:val="-2"/>
            <w:sz w:val="16"/>
            <w:u w:val="single" w:color="0000FF"/>
            <w:vertAlign w:val="baseline"/>
          </w:rPr>
          <w:t> </w:t>
        </w:r>
        <w:r>
          <w:rPr>
            <w:color w:val="0000FF"/>
            <w:sz w:val="16"/>
            <w:u w:val="single" w:color="0000FF"/>
            <w:vertAlign w:val="baseline"/>
          </w:rPr>
          <w:t>on</w:t>
        </w:r>
        <w:r>
          <w:rPr>
            <w:color w:val="0000FF"/>
            <w:spacing w:val="-3"/>
            <w:sz w:val="16"/>
            <w:u w:val="single" w:color="0000FF"/>
            <w:vertAlign w:val="baseline"/>
          </w:rPr>
          <w:t> </w:t>
        </w:r>
        <w:r>
          <w:rPr>
            <w:color w:val="0000FF"/>
            <w:sz w:val="16"/>
            <w:u w:val="single" w:color="0000FF"/>
            <w:vertAlign w:val="baseline"/>
          </w:rPr>
          <w:t>intermediate</w:t>
        </w:r>
        <w:r>
          <w:rPr>
            <w:color w:val="0000FF"/>
            <w:spacing w:val="-3"/>
            <w:sz w:val="16"/>
            <w:u w:val="single" w:color="0000FF"/>
            <w:vertAlign w:val="baseline"/>
          </w:rPr>
          <w:t> </w:t>
        </w:r>
        <w:r>
          <w:rPr>
            <w:color w:val="0000FF"/>
            <w:sz w:val="16"/>
            <w:u w:val="single" w:color="0000FF"/>
            <w:vertAlign w:val="baseline"/>
          </w:rPr>
          <w:t>objectives</w:t>
        </w:r>
        <w:r>
          <w:rPr>
            <w:color w:val="0000FF"/>
            <w:spacing w:val="-4"/>
            <w:sz w:val="16"/>
            <w:u w:val="single" w:color="0000FF"/>
            <w:vertAlign w:val="baseline"/>
          </w:rPr>
          <w:t> </w:t>
        </w:r>
        <w:r>
          <w:rPr>
            <w:color w:val="0000FF"/>
            <w:sz w:val="16"/>
            <w:u w:val="single" w:color="0000FF"/>
            <w:vertAlign w:val="baseline"/>
          </w:rPr>
          <w:t>and</w:t>
        </w:r>
        <w:r>
          <w:rPr>
            <w:color w:val="0000FF"/>
            <w:spacing w:val="-3"/>
            <w:sz w:val="16"/>
            <w:u w:val="single" w:color="0000FF"/>
            <w:vertAlign w:val="baseline"/>
          </w:rPr>
          <w:t> </w:t>
        </w:r>
        <w:r>
          <w:rPr>
            <w:color w:val="0000FF"/>
            <w:sz w:val="16"/>
            <w:u w:val="single" w:color="0000FF"/>
            <w:vertAlign w:val="baseline"/>
          </w:rPr>
          <w:t>instruments</w:t>
        </w:r>
        <w:r>
          <w:rPr>
            <w:color w:val="0000FF"/>
            <w:spacing w:val="-5"/>
            <w:sz w:val="16"/>
            <w:u w:val="single" w:color="0000FF"/>
            <w:vertAlign w:val="baseline"/>
          </w:rPr>
          <w:t> </w:t>
        </w:r>
        <w:r>
          <w:rPr>
            <w:color w:val="0000FF"/>
            <w:sz w:val="16"/>
            <w:u w:val="single" w:color="0000FF"/>
            <w:vertAlign w:val="baseline"/>
          </w:rPr>
          <w:t>of</w:t>
        </w:r>
        <w:r>
          <w:rPr>
            <w:color w:val="0000FF"/>
            <w:spacing w:val="-2"/>
            <w:sz w:val="16"/>
            <w:u w:val="single" w:color="0000FF"/>
            <w:vertAlign w:val="baseline"/>
          </w:rPr>
          <w:t> </w:t>
        </w:r>
        <w:r>
          <w:rPr>
            <w:color w:val="0000FF"/>
            <w:sz w:val="16"/>
            <w:u w:val="single" w:color="0000FF"/>
            <w:vertAlign w:val="baseline"/>
          </w:rPr>
          <w:t>macro-</w:t>
        </w:r>
      </w:hyperlink>
      <w:hyperlink r:id="rId149">
        <w:r>
          <w:rPr>
            <w:color w:val="0000FF"/>
            <w:sz w:val="16"/>
            <w:u w:val="single" w:color="0000FF"/>
            <w:vertAlign w:val="baseline"/>
          </w:rPr>
          <w:t>prudential</w:t>
        </w:r>
        <w:r>
          <w:rPr>
            <w:color w:val="0000FF"/>
            <w:spacing w:val="-3"/>
            <w:sz w:val="16"/>
            <w:u w:val="single" w:color="0000FF"/>
            <w:vertAlign w:val="baseline"/>
          </w:rPr>
          <w:t> </w:t>
        </w:r>
        <w:r>
          <w:rPr>
            <w:color w:val="0000FF"/>
            <w:sz w:val="16"/>
            <w:u w:val="single" w:color="0000FF"/>
            <w:vertAlign w:val="baseline"/>
          </w:rPr>
          <w:t>policy</w:t>
        </w:r>
        <w:r>
          <w:rPr>
            <w:sz w:val="16"/>
            <w:vertAlign w:val="baseline"/>
          </w:rPr>
          <w:t>.</w:t>
        </w:r>
      </w:hyperlink>
    </w:p>
    <w:p>
      <w:pPr>
        <w:spacing w:before="21"/>
        <w:ind w:left="172" w:right="956" w:firstLine="0"/>
        <w:jc w:val="both"/>
        <w:rPr>
          <w:sz w:val="16"/>
        </w:rPr>
      </w:pPr>
      <w:bookmarkStart w:name="_bookmark175" w:id="176"/>
      <w:bookmarkEnd w:id="176"/>
      <w:r>
        <w:rPr/>
      </w:r>
      <w:r>
        <w:rPr>
          <w:sz w:val="16"/>
          <w:vertAlign w:val="superscript"/>
        </w:rPr>
        <w:t>116</w:t>
      </w:r>
      <w:r>
        <w:rPr>
          <w:sz w:val="16"/>
          <w:vertAlign w:val="baseline"/>
        </w:rPr>
        <w:t> Βλ. ενδεικτικά European Commission, </w:t>
      </w:r>
      <w:hyperlink r:id="rId150">
        <w:r>
          <w:rPr>
            <w:color w:val="0000FF"/>
            <w:sz w:val="16"/>
            <w:u w:val="single" w:color="0000FF"/>
            <w:vertAlign w:val="baseline"/>
          </w:rPr>
          <w:t>Targeted consultation assessing the adequacy of macroprudential policies for non-bank</w:t>
        </w:r>
      </w:hyperlink>
      <w:r>
        <w:rPr>
          <w:color w:val="0000FF"/>
          <w:spacing w:val="40"/>
          <w:sz w:val="16"/>
          <w:vertAlign w:val="baseline"/>
        </w:rPr>
        <w:t> </w:t>
      </w:r>
      <w:hyperlink r:id="rId150">
        <w:r>
          <w:rPr>
            <w:color w:val="0000FF"/>
            <w:sz w:val="16"/>
            <w:u w:val="single" w:color="0000FF"/>
            <w:vertAlign w:val="baseline"/>
          </w:rPr>
          <w:t>financial intermediation (NBFI)</w:t>
        </w:r>
        <w:r>
          <w:rPr>
            <w:sz w:val="16"/>
            <w:vertAlign w:val="baseline"/>
          </w:rPr>
          <w:t>;</w:t>
        </w:r>
      </w:hyperlink>
      <w:r>
        <w:rPr>
          <w:sz w:val="16"/>
          <w:vertAlign w:val="baseline"/>
        </w:rPr>
        <w:t> Basel Committee on Banking Supervision, </w:t>
      </w:r>
      <w:hyperlink r:id="rId151">
        <w:r>
          <w:rPr>
            <w:color w:val="0000FF"/>
            <w:sz w:val="16"/>
            <w:u w:val="single" w:color="0000FF"/>
            <w:vertAlign w:val="baseline"/>
          </w:rPr>
          <w:t>Banks' interconnections with non-bank financial inter-</w:t>
        </w:r>
      </w:hyperlink>
      <w:hyperlink r:id="rId151">
        <w:r>
          <w:rPr>
            <w:color w:val="0000FF"/>
            <w:sz w:val="16"/>
            <w:u w:val="single" w:color="0000FF"/>
            <w:vertAlign w:val="baseline"/>
          </w:rPr>
          <w:t>mediaries</w:t>
        </w:r>
        <w:r>
          <w:rPr>
            <w:sz w:val="16"/>
            <w:vertAlign w:val="baseline"/>
          </w:rPr>
          <w:t>;</w:t>
        </w:r>
      </w:hyperlink>
      <w:r>
        <w:rPr>
          <w:spacing w:val="-3"/>
          <w:sz w:val="16"/>
          <w:vertAlign w:val="baseline"/>
        </w:rPr>
        <w:t> </w:t>
      </w:r>
      <w:r>
        <w:rPr>
          <w:sz w:val="16"/>
          <w:vertAlign w:val="baseline"/>
        </w:rPr>
        <w:t>European</w:t>
      </w:r>
      <w:r>
        <w:rPr>
          <w:spacing w:val="-3"/>
          <w:sz w:val="16"/>
          <w:vertAlign w:val="baseline"/>
        </w:rPr>
        <w:t> </w:t>
      </w:r>
      <w:r>
        <w:rPr>
          <w:sz w:val="16"/>
          <w:vertAlign w:val="baseline"/>
        </w:rPr>
        <w:t>Systemic</w:t>
      </w:r>
      <w:r>
        <w:rPr>
          <w:spacing w:val="-5"/>
          <w:sz w:val="16"/>
          <w:vertAlign w:val="baseline"/>
        </w:rPr>
        <w:t> </w:t>
      </w:r>
      <w:r>
        <w:rPr>
          <w:sz w:val="16"/>
          <w:vertAlign w:val="baseline"/>
        </w:rPr>
        <w:t>Risk</w:t>
      </w:r>
      <w:r>
        <w:rPr>
          <w:spacing w:val="-3"/>
          <w:sz w:val="16"/>
          <w:vertAlign w:val="baseline"/>
        </w:rPr>
        <w:t> </w:t>
      </w:r>
      <w:r>
        <w:rPr>
          <w:sz w:val="16"/>
          <w:vertAlign w:val="baseline"/>
        </w:rPr>
        <w:t>Board,</w:t>
      </w:r>
      <w:r>
        <w:rPr>
          <w:spacing w:val="-1"/>
          <w:sz w:val="16"/>
          <w:vertAlign w:val="baseline"/>
        </w:rPr>
        <w:t> </w:t>
      </w:r>
      <w:hyperlink r:id="rId152">
        <w:r>
          <w:rPr>
            <w:color w:val="0000FF"/>
            <w:sz w:val="16"/>
            <w:u w:val="single" w:color="0000FF"/>
            <w:vertAlign w:val="baseline"/>
          </w:rPr>
          <w:t>Financial</w:t>
        </w:r>
        <w:r>
          <w:rPr>
            <w:color w:val="0000FF"/>
            <w:spacing w:val="-3"/>
            <w:sz w:val="16"/>
            <w:u w:val="single" w:color="0000FF"/>
            <w:vertAlign w:val="baseline"/>
          </w:rPr>
          <w:t> </w:t>
        </w:r>
        <w:r>
          <w:rPr>
            <w:color w:val="0000FF"/>
            <w:sz w:val="16"/>
            <w:u w:val="single" w:color="0000FF"/>
            <w:vertAlign w:val="baseline"/>
          </w:rPr>
          <w:t>stability</w:t>
        </w:r>
        <w:r>
          <w:rPr>
            <w:color w:val="0000FF"/>
            <w:spacing w:val="-3"/>
            <w:sz w:val="16"/>
            <w:u w:val="single" w:color="0000FF"/>
            <w:vertAlign w:val="baseline"/>
          </w:rPr>
          <w:t> </w:t>
        </w:r>
        <w:r>
          <w:rPr>
            <w:color w:val="0000FF"/>
            <w:sz w:val="16"/>
            <w:u w:val="single" w:color="0000FF"/>
            <w:vertAlign w:val="baseline"/>
          </w:rPr>
          <w:t>risks</w:t>
        </w:r>
        <w:r>
          <w:rPr>
            <w:color w:val="0000FF"/>
            <w:spacing w:val="-3"/>
            <w:sz w:val="16"/>
            <w:u w:val="single" w:color="0000FF"/>
            <w:vertAlign w:val="baseline"/>
          </w:rPr>
          <w:t> </w:t>
        </w:r>
        <w:r>
          <w:rPr>
            <w:color w:val="0000FF"/>
            <w:sz w:val="16"/>
            <w:u w:val="single" w:color="0000FF"/>
            <w:vertAlign w:val="baseline"/>
          </w:rPr>
          <w:t>from</w:t>
        </w:r>
        <w:r>
          <w:rPr>
            <w:color w:val="0000FF"/>
            <w:spacing w:val="-3"/>
            <w:sz w:val="16"/>
            <w:u w:val="single" w:color="0000FF"/>
            <w:vertAlign w:val="baseline"/>
          </w:rPr>
          <w:t> </w:t>
        </w:r>
        <w:r>
          <w:rPr>
            <w:color w:val="0000FF"/>
            <w:sz w:val="16"/>
            <w:u w:val="single" w:color="0000FF"/>
            <w:vertAlign w:val="baseline"/>
          </w:rPr>
          <w:t>linkages</w:t>
        </w:r>
        <w:r>
          <w:rPr>
            <w:color w:val="0000FF"/>
            <w:spacing w:val="-6"/>
            <w:sz w:val="16"/>
            <w:u w:val="single" w:color="0000FF"/>
            <w:vertAlign w:val="baseline"/>
          </w:rPr>
          <w:t> </w:t>
        </w:r>
        <w:r>
          <w:rPr>
            <w:color w:val="0000FF"/>
            <w:sz w:val="16"/>
            <w:u w:val="single" w:color="0000FF"/>
            <w:vertAlign w:val="baseline"/>
          </w:rPr>
          <w:t>between</w:t>
        </w:r>
        <w:r>
          <w:rPr>
            <w:color w:val="0000FF"/>
            <w:spacing w:val="-5"/>
            <w:sz w:val="16"/>
            <w:u w:val="single" w:color="0000FF"/>
            <w:vertAlign w:val="baseline"/>
          </w:rPr>
          <w:t> </w:t>
        </w:r>
        <w:r>
          <w:rPr>
            <w:color w:val="0000FF"/>
            <w:sz w:val="16"/>
            <w:u w:val="single" w:color="0000FF"/>
            <w:vertAlign w:val="baseline"/>
          </w:rPr>
          <w:t>banks</w:t>
        </w:r>
        <w:r>
          <w:rPr>
            <w:color w:val="0000FF"/>
            <w:spacing w:val="-6"/>
            <w:sz w:val="16"/>
            <w:u w:val="single" w:color="0000FF"/>
            <w:vertAlign w:val="baseline"/>
          </w:rPr>
          <w:t> </w:t>
        </w:r>
        <w:r>
          <w:rPr>
            <w:color w:val="0000FF"/>
            <w:sz w:val="16"/>
            <w:u w:val="single" w:color="0000FF"/>
            <w:vertAlign w:val="baseline"/>
          </w:rPr>
          <w:t>and</w:t>
        </w:r>
        <w:r>
          <w:rPr>
            <w:color w:val="0000FF"/>
            <w:spacing w:val="-3"/>
            <w:sz w:val="16"/>
            <w:u w:val="single" w:color="0000FF"/>
            <w:vertAlign w:val="baseline"/>
          </w:rPr>
          <w:t> </w:t>
        </w:r>
        <w:r>
          <w:rPr>
            <w:color w:val="0000FF"/>
            <w:sz w:val="16"/>
            <w:u w:val="single" w:color="0000FF"/>
            <w:vertAlign w:val="baseline"/>
          </w:rPr>
          <w:t>the</w:t>
        </w:r>
        <w:r>
          <w:rPr>
            <w:color w:val="0000FF"/>
            <w:spacing w:val="-5"/>
            <w:sz w:val="16"/>
            <w:u w:val="single" w:color="0000FF"/>
            <w:vertAlign w:val="baseline"/>
          </w:rPr>
          <w:t> </w:t>
        </w:r>
        <w:r>
          <w:rPr>
            <w:color w:val="0000FF"/>
            <w:sz w:val="16"/>
            <w:u w:val="single" w:color="0000FF"/>
            <w:vertAlign w:val="baseline"/>
          </w:rPr>
          <w:t>non-bank</w:t>
        </w:r>
        <w:r>
          <w:rPr>
            <w:color w:val="0000FF"/>
            <w:spacing w:val="-3"/>
            <w:sz w:val="16"/>
            <w:u w:val="single" w:color="0000FF"/>
            <w:vertAlign w:val="baseline"/>
          </w:rPr>
          <w:t> </w:t>
        </w:r>
        <w:r>
          <w:rPr>
            <w:color w:val="0000FF"/>
            <w:sz w:val="16"/>
            <w:u w:val="single" w:color="0000FF"/>
            <w:vertAlign w:val="baseline"/>
          </w:rPr>
          <w:t>financial</w:t>
        </w:r>
        <w:r>
          <w:rPr>
            <w:color w:val="0000FF"/>
            <w:spacing w:val="-5"/>
            <w:sz w:val="16"/>
            <w:u w:val="single" w:color="0000FF"/>
            <w:vertAlign w:val="baseline"/>
          </w:rPr>
          <w:t> </w:t>
        </w:r>
        <w:r>
          <w:rPr>
            <w:color w:val="0000FF"/>
            <w:sz w:val="16"/>
            <w:u w:val="single" w:color="0000FF"/>
            <w:vertAlign w:val="baseline"/>
          </w:rPr>
          <w:t>interme-</w:t>
        </w:r>
      </w:hyperlink>
      <w:hyperlink r:id="rId152">
        <w:r>
          <w:rPr>
            <w:color w:val="0000FF"/>
            <w:sz w:val="16"/>
            <w:u w:val="single" w:color="0000FF"/>
            <w:vertAlign w:val="baseline"/>
          </w:rPr>
          <w:t>diation sector</w:t>
        </w:r>
        <w:r>
          <w:rPr>
            <w:sz w:val="16"/>
            <w:vertAlign w:val="baseline"/>
          </w:rPr>
          <w:t>;</w:t>
        </w:r>
      </w:hyperlink>
      <w:r>
        <w:rPr>
          <w:sz w:val="16"/>
          <w:vertAlign w:val="baseline"/>
        </w:rPr>
        <w:t> </w:t>
      </w:r>
      <w:hyperlink r:id="rId153">
        <w:r>
          <w:rPr>
            <w:color w:val="0000FF"/>
            <w:sz w:val="16"/>
            <w:u w:val="single" w:color="0000FF"/>
            <w:vertAlign w:val="baseline"/>
          </w:rPr>
          <w:t>FSB Workplan to Address Nonbank Data Challenges</w:t>
        </w:r>
        <w:r>
          <w:rPr>
            <w:sz w:val="16"/>
            <w:vertAlign w:val="baseline"/>
          </w:rPr>
          <w:t>;</w:t>
        </w:r>
      </w:hyperlink>
      <w:r>
        <w:rPr>
          <w:sz w:val="16"/>
          <w:vertAlign w:val="baseline"/>
        </w:rPr>
        <w:t> </w:t>
      </w:r>
      <w:hyperlink r:id="rId154">
        <w:r>
          <w:rPr>
            <w:color w:val="0000FF"/>
            <w:sz w:val="16"/>
            <w:u w:val="single" w:color="0000FF"/>
            <w:vertAlign w:val="baseline"/>
          </w:rPr>
          <w:t>NBFI Risk Monitor</w:t>
        </w:r>
        <w:r>
          <w:rPr>
            <w:sz w:val="16"/>
            <w:vertAlign w:val="baseline"/>
          </w:rPr>
          <w:t>.</w:t>
        </w:r>
      </w:hyperlink>
    </w:p>
    <w:p>
      <w:pPr>
        <w:spacing w:after="0"/>
        <w:jc w:val="both"/>
        <w:rPr>
          <w:sz w:val="16"/>
        </w:rPr>
        <w:sectPr>
          <w:footerReference w:type="default" r:id="rId148"/>
          <w:pgSz w:w="11910" w:h="16850"/>
          <w:pgMar w:header="0" w:footer="1262" w:top="1080" w:bottom="1460" w:left="1417" w:right="850"/>
        </w:sectPr>
      </w:pPr>
    </w:p>
    <w:p>
      <w:pPr>
        <w:pStyle w:val="BodyText"/>
        <w:spacing w:line="285" w:lineRule="auto" w:before="74"/>
        <w:ind w:left="172" w:right="959"/>
        <w:jc w:val="both"/>
      </w:pPr>
      <w:r>
        <w:rPr/>
        <w:t>εταιριών που τον απαρτίζουν</w:t>
      </w:r>
      <w:hyperlink w:history="true" w:anchor="_bookmark176">
        <w:r>
          <w:rPr/>
          <w:t>.</w:t>
        </w:r>
        <w:r>
          <w:rPr>
            <w:position w:val="6"/>
            <w:sz w:val="10"/>
          </w:rPr>
          <w:t>117</w:t>
        </w:r>
      </w:hyperlink>
      <w:r>
        <w:rPr>
          <w:spacing w:val="35"/>
          <w:position w:val="6"/>
          <w:sz w:val="10"/>
        </w:rPr>
        <w:t> </w:t>
      </w:r>
      <w:r>
        <w:rPr/>
        <w:t>Στόχος ήταν η διασφάλιση της πληρότητας και της αντιπροσω-πευτικότητας της ανάλυσης.</w:t>
      </w:r>
    </w:p>
    <w:p>
      <w:pPr>
        <w:pStyle w:val="BodyText"/>
        <w:spacing w:line="285" w:lineRule="auto" w:before="58"/>
        <w:ind w:left="172" w:right="955"/>
        <w:jc w:val="both"/>
      </w:pPr>
      <w:r>
        <w:rPr/>
        <w:t>Το</w:t>
      </w:r>
      <w:r>
        <w:rPr>
          <w:spacing w:val="-6"/>
        </w:rPr>
        <w:t> </w:t>
      </w:r>
      <w:r>
        <w:rPr/>
        <w:t>πλαίσιο</w:t>
      </w:r>
      <w:r>
        <w:rPr>
          <w:spacing w:val="-5"/>
        </w:rPr>
        <w:t> </w:t>
      </w:r>
      <w:r>
        <w:rPr/>
        <w:t>αξιολόγησης</w:t>
      </w:r>
      <w:r>
        <w:rPr>
          <w:spacing w:val="-6"/>
        </w:rPr>
        <w:t> </w:t>
      </w:r>
      <w:r>
        <w:rPr/>
        <w:t>απεικονίζει</w:t>
      </w:r>
      <w:r>
        <w:rPr>
          <w:spacing w:val="-5"/>
        </w:rPr>
        <w:t> </w:t>
      </w:r>
      <w:r>
        <w:rPr/>
        <w:t>γραφικά</w:t>
      </w:r>
      <w:r>
        <w:rPr>
          <w:spacing w:val="-6"/>
        </w:rPr>
        <w:t> </w:t>
      </w:r>
      <w:r>
        <w:rPr/>
        <w:t>τους</w:t>
      </w:r>
      <w:r>
        <w:rPr>
          <w:spacing w:val="-7"/>
        </w:rPr>
        <w:t> </w:t>
      </w:r>
      <w:r>
        <w:rPr/>
        <w:t>κινδύνους</w:t>
      </w:r>
      <w:r>
        <w:rPr>
          <w:spacing w:val="-7"/>
        </w:rPr>
        <w:t> </w:t>
      </w:r>
      <w:r>
        <w:rPr/>
        <w:t>σε</w:t>
      </w:r>
      <w:r>
        <w:rPr>
          <w:spacing w:val="-5"/>
        </w:rPr>
        <w:t> </w:t>
      </w:r>
      <w:r>
        <w:rPr/>
        <w:t>πίνακες,</w:t>
      </w:r>
      <w:r>
        <w:rPr>
          <w:spacing w:val="-8"/>
        </w:rPr>
        <w:t> </w:t>
      </w:r>
      <w:r>
        <w:rPr/>
        <w:t>χρησιμοποιώντας</w:t>
      </w:r>
      <w:r>
        <w:rPr>
          <w:spacing w:val="-7"/>
        </w:rPr>
        <w:t> </w:t>
      </w:r>
      <w:r>
        <w:rPr/>
        <w:t>χρω-ματική κλίμακα</w:t>
      </w:r>
      <w:hyperlink w:history="true" w:anchor="_bookmark177">
        <w:r>
          <w:rPr>
            <w:position w:val="6"/>
            <w:sz w:val="10"/>
          </w:rPr>
          <w:t>118</w:t>
        </w:r>
      </w:hyperlink>
      <w:r>
        <w:rPr>
          <w:spacing w:val="35"/>
          <w:position w:val="6"/>
          <w:sz w:val="10"/>
        </w:rPr>
        <w:t> </w:t>
      </w:r>
      <w:r>
        <w:rPr/>
        <w:t>για την αποτύπωση του επιπέδου κινδύνου ανά δείκτη, υιοθετώντας την προ-σέγγιση “</w:t>
      </w:r>
      <w:r>
        <w:rPr>
          <w:i/>
        </w:rPr>
        <w:t>traffic</w:t>
      </w:r>
      <w:r>
        <w:rPr>
          <w:i/>
          <w:spacing w:val="-2"/>
        </w:rPr>
        <w:t> </w:t>
      </w:r>
      <w:r>
        <w:rPr>
          <w:i/>
        </w:rPr>
        <w:t>light</w:t>
      </w:r>
      <w:r>
        <w:rPr/>
        <w:t>”</w:t>
      </w:r>
      <w:hyperlink w:history="true" w:anchor="_bookmark178">
        <w:r>
          <w:rPr/>
          <w:t>.</w:t>
        </w:r>
        <w:r>
          <w:rPr>
            <w:position w:val="6"/>
            <w:sz w:val="10"/>
          </w:rPr>
          <w:t>119</w:t>
        </w:r>
      </w:hyperlink>
      <w:r>
        <w:rPr>
          <w:spacing w:val="29"/>
          <w:position w:val="6"/>
          <w:sz w:val="10"/>
        </w:rPr>
        <w:t> </w:t>
      </w:r>
      <w:r>
        <w:rPr/>
        <w:t>Η</w:t>
      </w:r>
      <w:r>
        <w:rPr>
          <w:spacing w:val="-2"/>
        </w:rPr>
        <w:t> </w:t>
      </w:r>
      <w:r>
        <w:rPr/>
        <w:t>διαβάθμιση</w:t>
      </w:r>
      <w:r>
        <w:rPr>
          <w:spacing w:val="-1"/>
        </w:rPr>
        <w:t> </w:t>
      </w:r>
      <w:r>
        <w:rPr/>
        <w:t>του</w:t>
      </w:r>
      <w:r>
        <w:rPr>
          <w:spacing w:val="-2"/>
        </w:rPr>
        <w:t> </w:t>
      </w:r>
      <w:r>
        <w:rPr/>
        <w:t>επιπέδου κινδύνου για</w:t>
      </w:r>
      <w:r>
        <w:rPr>
          <w:spacing w:val="-1"/>
        </w:rPr>
        <w:t> </w:t>
      </w:r>
      <w:r>
        <w:rPr/>
        <w:t>κάθε δείκτη</w:t>
      </w:r>
      <w:r>
        <w:rPr>
          <w:spacing w:val="-2"/>
        </w:rPr>
        <w:t> </w:t>
      </w:r>
      <w:r>
        <w:rPr/>
        <w:t>επιτυγχάνεται με τη χρήση ορίων, τα οποία έχουν καθοριστεί με βάση στατιστικές μεθοδολογίες, βέλτιστες διε-θνείς</w:t>
      </w:r>
      <w:r>
        <w:rPr>
          <w:spacing w:val="-6"/>
        </w:rPr>
        <w:t> </w:t>
      </w:r>
      <w:r>
        <w:rPr/>
        <w:t>πρακτικές,</w:t>
      </w:r>
      <w:r>
        <w:rPr>
          <w:spacing w:val="-6"/>
        </w:rPr>
        <w:t> </w:t>
      </w:r>
      <w:r>
        <w:rPr/>
        <w:t>κατευθυντήριες</w:t>
      </w:r>
      <w:r>
        <w:rPr>
          <w:spacing w:val="-7"/>
        </w:rPr>
        <w:t> </w:t>
      </w:r>
      <w:r>
        <w:rPr/>
        <w:t>γραμμές</w:t>
      </w:r>
      <w:r>
        <w:rPr>
          <w:spacing w:val="-7"/>
        </w:rPr>
        <w:t> </w:t>
      </w:r>
      <w:r>
        <w:rPr/>
        <w:t>της</w:t>
      </w:r>
      <w:r>
        <w:rPr>
          <w:spacing w:val="-6"/>
        </w:rPr>
        <w:t> </w:t>
      </w:r>
      <w:r>
        <w:rPr/>
        <w:t>Διαδικασίας</w:t>
      </w:r>
      <w:r>
        <w:rPr>
          <w:spacing w:val="-6"/>
        </w:rPr>
        <w:t> </w:t>
      </w:r>
      <w:r>
        <w:rPr/>
        <w:t>Εποπτικού</w:t>
      </w:r>
      <w:r>
        <w:rPr>
          <w:spacing w:val="-6"/>
        </w:rPr>
        <w:t> </w:t>
      </w:r>
      <w:r>
        <w:rPr/>
        <w:t>Ελέγχου</w:t>
      </w:r>
      <w:r>
        <w:rPr>
          <w:spacing w:val="-6"/>
        </w:rPr>
        <w:t> </w:t>
      </w:r>
      <w:r>
        <w:rPr/>
        <w:t>και</w:t>
      </w:r>
      <w:r>
        <w:rPr>
          <w:spacing w:val="-5"/>
        </w:rPr>
        <w:t> </w:t>
      </w:r>
      <w:r>
        <w:rPr/>
        <w:t>Αξιολόγησης (Supervisory</w:t>
      </w:r>
      <w:r>
        <w:rPr>
          <w:spacing w:val="-6"/>
        </w:rPr>
        <w:t> </w:t>
      </w:r>
      <w:r>
        <w:rPr/>
        <w:t>Report</w:t>
      </w:r>
      <w:r>
        <w:rPr>
          <w:spacing w:val="-2"/>
        </w:rPr>
        <w:t> </w:t>
      </w:r>
      <w:r>
        <w:rPr/>
        <w:t>Evaluation</w:t>
      </w:r>
      <w:r>
        <w:rPr>
          <w:spacing w:val="-5"/>
        </w:rPr>
        <w:t> </w:t>
      </w:r>
      <w:r>
        <w:rPr/>
        <w:t>Process</w:t>
      </w:r>
      <w:r>
        <w:rPr>
          <w:spacing w:val="-2"/>
        </w:rPr>
        <w:t> </w:t>
      </w:r>
      <w:r>
        <w:rPr/>
        <w:t>–</w:t>
      </w:r>
      <w:r>
        <w:rPr>
          <w:spacing w:val="-3"/>
        </w:rPr>
        <w:t> </w:t>
      </w:r>
      <w:r>
        <w:rPr/>
        <w:t>SREP)</w:t>
      </w:r>
      <w:r>
        <w:rPr>
          <w:spacing w:val="-5"/>
        </w:rPr>
        <w:t> </w:t>
      </w:r>
      <w:r>
        <w:rPr/>
        <w:t>της</w:t>
      </w:r>
      <w:r>
        <w:rPr>
          <w:spacing w:val="-5"/>
        </w:rPr>
        <w:t> </w:t>
      </w:r>
      <w:r>
        <w:rPr/>
        <w:t>Ευρωπαϊκής</w:t>
      </w:r>
      <w:r>
        <w:rPr>
          <w:spacing w:val="-5"/>
        </w:rPr>
        <w:t> </w:t>
      </w:r>
      <w:r>
        <w:rPr/>
        <w:t>Κεντρικής</w:t>
      </w:r>
      <w:r>
        <w:rPr>
          <w:spacing w:val="-5"/>
        </w:rPr>
        <w:t> </w:t>
      </w:r>
      <w:r>
        <w:rPr/>
        <w:t>Τράπεζας</w:t>
      </w:r>
      <w:r>
        <w:rPr>
          <w:spacing w:val="-2"/>
        </w:rPr>
        <w:t> </w:t>
      </w:r>
      <w:r>
        <w:rPr/>
        <w:t>(EKT)</w:t>
      </w:r>
      <w:hyperlink w:history="true" w:anchor="_bookmark179">
        <w:r>
          <w:rPr>
            <w:position w:val="6"/>
            <w:sz w:val="10"/>
          </w:rPr>
          <w:t>120</w:t>
        </w:r>
      </w:hyperlink>
      <w:r>
        <w:rPr>
          <w:spacing w:val="40"/>
          <w:position w:val="6"/>
          <w:sz w:val="10"/>
        </w:rPr>
        <w:t> </w:t>
      </w:r>
      <w:r>
        <w:rPr/>
        <w:t>και την εμπειρική κρίση. Επισημαίνεται ότι στη διεθνή βιβλιογραφία, σε αντίστοιχα πλαίσια α-ξιολόγησης των συστημικών κινδύνων άλλων χωρών, χρησιμοποιούνται ευρέως οι μεθοδολογι-κές προσεγγίσεις της τυποποίησης μεταβλητών μέσω δεικτών z (“z-scores”) και γίνεται χρήση των</w:t>
      </w:r>
      <w:r>
        <w:rPr>
          <w:spacing w:val="-6"/>
        </w:rPr>
        <w:t> </w:t>
      </w:r>
      <w:r>
        <w:rPr/>
        <w:t>εκατοστημόριων</w:t>
      </w:r>
      <w:hyperlink w:history="true" w:anchor="_bookmark180">
        <w:r>
          <w:rPr>
            <w:position w:val="6"/>
            <w:sz w:val="10"/>
          </w:rPr>
          <w:t>121</w:t>
        </w:r>
      </w:hyperlink>
      <w:r>
        <w:rPr/>
        <w:t>.</w:t>
      </w:r>
      <w:r>
        <w:rPr>
          <w:spacing w:val="-5"/>
        </w:rPr>
        <w:t> </w:t>
      </w:r>
      <w:r>
        <w:rPr/>
        <w:t>Ωστόσο,</w:t>
      </w:r>
      <w:r>
        <w:rPr>
          <w:spacing w:val="-5"/>
        </w:rPr>
        <w:t> </w:t>
      </w:r>
      <w:r>
        <w:rPr/>
        <w:t>οι</w:t>
      </w:r>
      <w:r>
        <w:rPr>
          <w:spacing w:val="-4"/>
        </w:rPr>
        <w:t> </w:t>
      </w:r>
      <w:r>
        <w:rPr/>
        <w:t>προσεγγίσεις</w:t>
      </w:r>
      <w:r>
        <w:rPr>
          <w:spacing w:val="-5"/>
        </w:rPr>
        <w:t> </w:t>
      </w:r>
      <w:r>
        <w:rPr/>
        <w:t>αυτές</w:t>
      </w:r>
      <w:r>
        <w:rPr>
          <w:spacing w:val="-6"/>
        </w:rPr>
        <w:t> </w:t>
      </w:r>
      <w:r>
        <w:rPr/>
        <w:t>βασίζονται</w:t>
      </w:r>
      <w:r>
        <w:rPr>
          <w:spacing w:val="-7"/>
        </w:rPr>
        <w:t> </w:t>
      </w:r>
      <w:r>
        <w:rPr/>
        <w:t>σε</w:t>
      </w:r>
      <w:r>
        <w:rPr>
          <w:spacing w:val="-4"/>
        </w:rPr>
        <w:t> </w:t>
      </w:r>
      <w:r>
        <w:rPr/>
        <w:t>ιστορικά</w:t>
      </w:r>
      <w:r>
        <w:rPr>
          <w:spacing w:val="-6"/>
        </w:rPr>
        <w:t> </w:t>
      </w:r>
      <w:r>
        <w:rPr/>
        <w:t>δεδομένα</w:t>
      </w:r>
      <w:r>
        <w:rPr>
          <w:spacing w:val="-5"/>
        </w:rPr>
        <w:t> </w:t>
      </w:r>
      <w:r>
        <w:rPr/>
        <w:t>και</w:t>
      </w:r>
      <w:r>
        <w:rPr>
          <w:spacing w:val="-5"/>
        </w:rPr>
        <w:t> </w:t>
      </w:r>
      <w:r>
        <w:rPr/>
        <w:t>τε-χνικές</w:t>
      </w:r>
      <w:r>
        <w:rPr>
          <w:spacing w:val="-12"/>
        </w:rPr>
        <w:t> </w:t>
      </w:r>
      <w:r>
        <w:rPr/>
        <w:t>παραδοχές</w:t>
      </w:r>
      <w:r>
        <w:rPr>
          <w:spacing w:val="-12"/>
        </w:rPr>
        <w:t> </w:t>
      </w:r>
      <w:r>
        <w:rPr/>
        <w:t>που</w:t>
      </w:r>
      <w:r>
        <w:rPr>
          <w:spacing w:val="-10"/>
        </w:rPr>
        <w:t> </w:t>
      </w:r>
      <w:r>
        <w:rPr/>
        <w:t>ενδέχεται</w:t>
      </w:r>
      <w:r>
        <w:rPr>
          <w:spacing w:val="-10"/>
        </w:rPr>
        <w:t> </w:t>
      </w:r>
      <w:r>
        <w:rPr/>
        <w:t>να</w:t>
      </w:r>
      <w:r>
        <w:rPr>
          <w:spacing w:val="-13"/>
        </w:rPr>
        <w:t> </w:t>
      </w:r>
      <w:r>
        <w:rPr/>
        <w:t>επηρεάζουν</w:t>
      </w:r>
      <w:r>
        <w:rPr>
          <w:spacing w:val="-10"/>
        </w:rPr>
        <w:t> </w:t>
      </w:r>
      <w:r>
        <w:rPr/>
        <w:t>την</w:t>
      </w:r>
      <w:r>
        <w:rPr>
          <w:spacing w:val="-12"/>
        </w:rPr>
        <w:t> </w:t>
      </w:r>
      <w:r>
        <w:rPr/>
        <w:t>ερμηνεία</w:t>
      </w:r>
      <w:r>
        <w:rPr>
          <w:spacing w:val="-10"/>
        </w:rPr>
        <w:t> </w:t>
      </w:r>
      <w:r>
        <w:rPr/>
        <w:t>των</w:t>
      </w:r>
      <w:r>
        <w:rPr>
          <w:spacing w:val="-10"/>
        </w:rPr>
        <w:t> </w:t>
      </w:r>
      <w:r>
        <w:rPr/>
        <w:t>αποτελεσμάτων.</w:t>
      </w:r>
      <w:r>
        <w:rPr>
          <w:spacing w:val="-7"/>
        </w:rPr>
        <w:t> </w:t>
      </w:r>
      <w:r>
        <w:rPr/>
        <w:t>Επιπρόσθετα, σε</w:t>
      </w:r>
      <w:r>
        <w:rPr>
          <w:spacing w:val="-7"/>
        </w:rPr>
        <w:t> </w:t>
      </w:r>
      <w:r>
        <w:rPr/>
        <w:t>οικονομίες</w:t>
      </w:r>
      <w:r>
        <w:rPr>
          <w:spacing w:val="-7"/>
        </w:rPr>
        <w:t> </w:t>
      </w:r>
      <w:r>
        <w:rPr/>
        <w:t>που</w:t>
      </w:r>
      <w:r>
        <w:rPr>
          <w:spacing w:val="-7"/>
        </w:rPr>
        <w:t> </w:t>
      </w:r>
      <w:r>
        <w:rPr/>
        <w:t>έχουν</w:t>
      </w:r>
      <w:r>
        <w:rPr>
          <w:spacing w:val="-7"/>
        </w:rPr>
        <w:t> </w:t>
      </w:r>
      <w:r>
        <w:rPr/>
        <w:t>βιώσει</w:t>
      </w:r>
      <w:r>
        <w:rPr>
          <w:spacing w:val="-7"/>
        </w:rPr>
        <w:t> </w:t>
      </w:r>
      <w:r>
        <w:rPr/>
        <w:t>έντονες</w:t>
      </w:r>
      <w:r>
        <w:rPr>
          <w:spacing w:val="-7"/>
        </w:rPr>
        <w:t> </w:t>
      </w:r>
      <w:r>
        <w:rPr/>
        <w:t>διακυμάνσεις</w:t>
      </w:r>
      <w:r>
        <w:rPr>
          <w:spacing w:val="-6"/>
        </w:rPr>
        <w:t> </w:t>
      </w:r>
      <w:r>
        <w:rPr/>
        <w:t>της</w:t>
      </w:r>
      <w:r>
        <w:rPr>
          <w:spacing w:val="-7"/>
        </w:rPr>
        <w:t> </w:t>
      </w:r>
      <w:r>
        <w:rPr/>
        <w:t>οικονομικής</w:t>
      </w:r>
      <w:r>
        <w:rPr>
          <w:spacing w:val="-7"/>
        </w:rPr>
        <w:t> </w:t>
      </w:r>
      <w:r>
        <w:rPr/>
        <w:t>δραστηριότητας</w:t>
      </w:r>
      <w:r>
        <w:rPr>
          <w:spacing w:val="-6"/>
        </w:rPr>
        <w:t> </w:t>
      </w:r>
      <w:r>
        <w:rPr/>
        <w:t>ή</w:t>
      </w:r>
      <w:r>
        <w:rPr>
          <w:spacing w:val="-8"/>
        </w:rPr>
        <w:t> </w:t>
      </w:r>
      <w:r>
        <w:rPr/>
        <w:t>βαθιές κρίσεις,</w:t>
      </w:r>
      <w:r>
        <w:rPr>
          <w:spacing w:val="-2"/>
        </w:rPr>
        <w:t> </w:t>
      </w:r>
      <w:r>
        <w:rPr/>
        <w:t>όπως</w:t>
      </w:r>
      <w:r>
        <w:rPr>
          <w:spacing w:val="-1"/>
        </w:rPr>
        <w:t> </w:t>
      </w:r>
      <w:r>
        <w:rPr/>
        <w:t>της</w:t>
      </w:r>
      <w:r>
        <w:rPr>
          <w:spacing w:val="-2"/>
        </w:rPr>
        <w:t> </w:t>
      </w:r>
      <w:r>
        <w:rPr/>
        <w:t>Ελλάδος,</w:t>
      </w:r>
      <w:r>
        <w:rPr>
          <w:spacing w:val="-3"/>
        </w:rPr>
        <w:t> </w:t>
      </w:r>
      <w:r>
        <w:rPr/>
        <w:t>οι ακραίες</w:t>
      </w:r>
      <w:r>
        <w:rPr>
          <w:spacing w:val="-2"/>
        </w:rPr>
        <w:t> </w:t>
      </w:r>
      <w:r>
        <w:rPr/>
        <w:t>τιμές</w:t>
      </w:r>
      <w:r>
        <w:rPr>
          <w:spacing w:val="-2"/>
        </w:rPr>
        <w:t> </w:t>
      </w:r>
      <w:r>
        <w:rPr/>
        <w:t>του παρελθόντος</w:t>
      </w:r>
      <w:r>
        <w:rPr>
          <w:spacing w:val="-2"/>
        </w:rPr>
        <w:t> </w:t>
      </w:r>
      <w:r>
        <w:rPr/>
        <w:t>ενσωματώνονται στον προσδιορι-σμό της “κανονικής κατανομής” των μεταβλητών. Αυτό ενέχει κινδύνους για την ερμηνεία του επιπέδου κινδύνου, οδηγώντας είτε σε υποεκτίμηση της τρέχουσας συσσώρευσης κινδύνου είτε σε υπερεκτίμηση των παροδικών αποκλίσεων. Ως εκ τούτου, κατά τον τελικό καθορισμό των ορίων για</w:t>
      </w:r>
      <w:r>
        <w:rPr>
          <w:spacing w:val="-1"/>
        </w:rPr>
        <w:t> </w:t>
      </w:r>
      <w:r>
        <w:rPr/>
        <w:t>τον προσδιορισμό των επιπέδων κινδύνου των επιμέρους δεικτών συνεκτιμήθηκαν τα ιστορικά δεδομένα και τα διαρθρωτικά χαρακτηριστικά της ελληνικής οικονομίας και του χρη-ματοπιστωτικού τομέα.</w:t>
      </w:r>
    </w:p>
    <w:p>
      <w:pPr>
        <w:pStyle w:val="BodyText"/>
        <w:spacing w:line="285" w:lineRule="auto" w:before="41"/>
        <w:ind w:left="172" w:right="955"/>
        <w:jc w:val="both"/>
      </w:pPr>
      <w:r>
        <w:rPr/>
        <w:t>Συνολικά, το πλαίσιο αξιολόγησης των συστημικών κινδύνων περιλαμβάνει 73 ποσοτικούς δεί-κτες,</w:t>
      </w:r>
      <w:r>
        <w:rPr>
          <w:spacing w:val="-3"/>
        </w:rPr>
        <w:t> </w:t>
      </w:r>
      <w:r>
        <w:rPr/>
        <w:t>οι</w:t>
      </w:r>
      <w:r>
        <w:rPr>
          <w:spacing w:val="-5"/>
        </w:rPr>
        <w:t> </w:t>
      </w:r>
      <w:r>
        <w:rPr/>
        <w:t>οποίοι</w:t>
      </w:r>
      <w:r>
        <w:rPr>
          <w:spacing w:val="-3"/>
        </w:rPr>
        <w:t> </w:t>
      </w:r>
      <w:r>
        <w:rPr/>
        <w:t>ομαδοποιούνται</w:t>
      </w:r>
      <w:r>
        <w:rPr>
          <w:spacing w:val="-6"/>
        </w:rPr>
        <w:t> </w:t>
      </w:r>
      <w:r>
        <w:rPr/>
        <w:t>σε</w:t>
      </w:r>
      <w:r>
        <w:rPr>
          <w:spacing w:val="-3"/>
        </w:rPr>
        <w:t> </w:t>
      </w:r>
      <w:r>
        <w:rPr/>
        <w:t>12</w:t>
      </w:r>
      <w:r>
        <w:rPr>
          <w:spacing w:val="-6"/>
        </w:rPr>
        <w:t> </w:t>
      </w:r>
      <w:r>
        <w:rPr/>
        <w:t>επιμέρους</w:t>
      </w:r>
      <w:r>
        <w:rPr>
          <w:spacing w:val="-4"/>
        </w:rPr>
        <w:t> </w:t>
      </w:r>
      <w:r>
        <w:rPr/>
        <w:t>περιοχές,</w:t>
      </w:r>
      <w:r>
        <w:rPr>
          <w:spacing w:val="-3"/>
        </w:rPr>
        <w:t> </w:t>
      </w:r>
      <w:r>
        <w:rPr/>
        <w:t>καλύπτοντας</w:t>
      </w:r>
      <w:r>
        <w:rPr>
          <w:spacing w:val="-5"/>
        </w:rPr>
        <w:t> </w:t>
      </w:r>
      <w:r>
        <w:rPr/>
        <w:t>τόσο</w:t>
      </w:r>
      <w:r>
        <w:rPr>
          <w:spacing w:val="-6"/>
        </w:rPr>
        <w:t> </w:t>
      </w:r>
      <w:r>
        <w:rPr/>
        <w:t>τους κινδύνους</w:t>
      </w:r>
      <w:r>
        <w:rPr>
          <w:spacing w:val="-4"/>
        </w:rPr>
        <w:t> </w:t>
      </w:r>
      <w:r>
        <w:rPr/>
        <w:t>της κυκλικής και διαρθρωτικής διάστασης όσο και τους κινδύνους που απορρέουν από τον μη τρα-πεζικό</w:t>
      </w:r>
      <w:r>
        <w:rPr>
          <w:spacing w:val="-4"/>
        </w:rPr>
        <w:t> </w:t>
      </w:r>
      <w:r>
        <w:rPr/>
        <w:t>χρηματοπιστωτικό</w:t>
      </w:r>
      <w:r>
        <w:rPr>
          <w:spacing w:val="-4"/>
        </w:rPr>
        <w:t> </w:t>
      </w:r>
      <w:r>
        <w:rPr/>
        <w:t>τομέα</w:t>
      </w:r>
      <w:r>
        <w:rPr>
          <w:spacing w:val="-4"/>
        </w:rPr>
        <w:t> </w:t>
      </w:r>
      <w:r>
        <w:rPr/>
        <w:t>(Διάγραμμα</w:t>
      </w:r>
      <w:r>
        <w:rPr>
          <w:spacing w:val="-4"/>
        </w:rPr>
        <w:t> </w:t>
      </w:r>
      <w:r>
        <w:rPr/>
        <w:t>1).</w:t>
      </w:r>
      <w:r>
        <w:rPr>
          <w:spacing w:val="-6"/>
        </w:rPr>
        <w:t> </w:t>
      </w:r>
      <w:r>
        <w:rPr/>
        <w:t>Επισημαίνεται</w:t>
      </w:r>
      <w:r>
        <w:rPr>
          <w:spacing w:val="-4"/>
        </w:rPr>
        <w:t> </w:t>
      </w:r>
      <w:r>
        <w:rPr/>
        <w:t>ότι</w:t>
      </w:r>
      <w:r>
        <w:rPr>
          <w:spacing w:val="-6"/>
        </w:rPr>
        <w:t> </w:t>
      </w:r>
      <w:r>
        <w:rPr/>
        <w:t>οι</w:t>
      </w:r>
      <w:r>
        <w:rPr>
          <w:spacing w:val="-4"/>
        </w:rPr>
        <w:t> </w:t>
      </w:r>
      <w:r>
        <w:rPr/>
        <w:t>δείκτες</w:t>
      </w:r>
      <w:r>
        <w:rPr>
          <w:spacing w:val="-4"/>
        </w:rPr>
        <w:t> </w:t>
      </w:r>
      <w:r>
        <w:rPr/>
        <w:t>επικαιροποιούνται σε τριμηνιαία</w:t>
      </w:r>
      <w:r>
        <w:rPr>
          <w:spacing w:val="-2"/>
        </w:rPr>
        <w:t> </w:t>
      </w:r>
      <w:r>
        <w:rPr/>
        <w:t>βάση και αποτελούν σημαντική</w:t>
      </w:r>
      <w:r>
        <w:rPr>
          <w:spacing w:val="-2"/>
        </w:rPr>
        <w:t> </w:t>
      </w:r>
      <w:r>
        <w:rPr/>
        <w:t>συνιστώσα</w:t>
      </w:r>
      <w:r>
        <w:rPr>
          <w:spacing w:val="-2"/>
        </w:rPr>
        <w:t> </w:t>
      </w:r>
      <w:r>
        <w:rPr/>
        <w:t>της</w:t>
      </w:r>
      <w:r>
        <w:rPr>
          <w:spacing w:val="-1"/>
        </w:rPr>
        <w:t> </w:t>
      </w:r>
      <w:r>
        <w:rPr/>
        <w:t>ανάλυσης</w:t>
      </w:r>
      <w:r>
        <w:rPr>
          <w:spacing w:val="-1"/>
        </w:rPr>
        <w:t> </w:t>
      </w:r>
      <w:r>
        <w:rPr/>
        <w:t>των</w:t>
      </w:r>
      <w:r>
        <w:rPr>
          <w:spacing w:val="-1"/>
        </w:rPr>
        <w:t> </w:t>
      </w:r>
      <w:r>
        <w:rPr/>
        <w:t>συστημικών</w:t>
      </w:r>
      <w:r>
        <w:rPr>
          <w:spacing w:val="-1"/>
        </w:rPr>
        <w:t> </w:t>
      </w:r>
      <w:r>
        <w:rPr/>
        <w:t>κινδύ-νων του ελληνικού χρηματοπιστωτικού συστήματος. Ταυτόχρονα, το πλαίσιο αποτελεί υποστη-ρικτικό μέσο για τη διαμόρφωση της μακροπροληπτικής πολιτικής, καθώς συμβάλει στην αξιο-λόγηση</w:t>
      </w:r>
      <w:r>
        <w:rPr>
          <w:spacing w:val="-2"/>
        </w:rPr>
        <w:t> </w:t>
      </w:r>
      <w:r>
        <w:rPr/>
        <w:t>της</w:t>
      </w:r>
      <w:r>
        <w:rPr>
          <w:spacing w:val="-4"/>
        </w:rPr>
        <w:t> </w:t>
      </w:r>
      <w:r>
        <w:rPr/>
        <w:t>συσσώρευσης</w:t>
      </w:r>
      <w:r>
        <w:rPr>
          <w:spacing w:val="-6"/>
        </w:rPr>
        <w:t> </w:t>
      </w:r>
      <w:r>
        <w:rPr/>
        <w:t>συστημικών</w:t>
      </w:r>
      <w:r>
        <w:rPr>
          <w:spacing w:val="-1"/>
        </w:rPr>
        <w:t> </w:t>
      </w:r>
      <w:r>
        <w:rPr/>
        <w:t>κινδύνων</w:t>
      </w:r>
      <w:r>
        <w:rPr>
          <w:spacing w:val="-1"/>
        </w:rPr>
        <w:t> </w:t>
      </w:r>
      <w:r>
        <w:rPr/>
        <w:t>και στη</w:t>
      </w:r>
      <w:r>
        <w:rPr>
          <w:spacing w:val="-2"/>
        </w:rPr>
        <w:t> </w:t>
      </w:r>
      <w:r>
        <w:rPr/>
        <w:t>διαδικασία</w:t>
      </w:r>
      <w:r>
        <w:rPr>
          <w:spacing w:val="-2"/>
        </w:rPr>
        <w:t> </w:t>
      </w:r>
      <w:r>
        <w:rPr/>
        <w:t>λήψης</w:t>
      </w:r>
      <w:r>
        <w:rPr>
          <w:spacing w:val="-4"/>
        </w:rPr>
        <w:t> </w:t>
      </w:r>
      <w:r>
        <w:rPr/>
        <w:t>αποφάσεων</w:t>
      </w:r>
      <w:r>
        <w:rPr>
          <w:spacing w:val="-4"/>
        </w:rPr>
        <w:t> </w:t>
      </w:r>
      <w:r>
        <w:rPr/>
        <w:t>σχετικά με την ενεργοποίηση ή την προσαρμογή των μακροπροληπτικών μέτρων.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rPr>
          <w:sz w:val="20"/>
        </w:rPr>
      </w:pPr>
      <w:r>
        <w:rPr>
          <w:sz w:val="20"/>
        </w:rPr>
        <mc:AlternateContent>
          <mc:Choice Requires="wps">
            <w:drawing>
              <wp:anchor distT="0" distB="0" distL="0" distR="0" allowOverlap="1" layoutInCell="1" locked="0" behindDoc="1" simplePos="0" relativeHeight="487678464">
                <wp:simplePos x="0" y="0"/>
                <wp:positionH relativeFrom="page">
                  <wp:posOffset>1009192</wp:posOffset>
                </wp:positionH>
                <wp:positionV relativeFrom="paragraph">
                  <wp:posOffset>289029</wp:posOffset>
                </wp:positionV>
                <wp:extent cx="1829435" cy="7620"/>
                <wp:effectExtent l="0" t="0" r="0" b="0"/>
                <wp:wrapTopAndBottom/>
                <wp:docPr id="787" name="Graphic 787"/>
                <wp:cNvGraphicFramePr>
                  <a:graphicFrameLocks/>
                </wp:cNvGraphicFramePr>
                <a:graphic>
                  <a:graphicData uri="http://schemas.microsoft.com/office/word/2010/wordprocessingShape">
                    <wps:wsp>
                      <wps:cNvPr id="787" name="Graphic 78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22.758253pt;width:144.020pt;height:.599980pt;mso-position-horizontal-relative:page;mso-position-vertical-relative:paragraph;z-index:-15638016;mso-wrap-distance-left:0;mso-wrap-distance-right:0" id="docshape736" filled="true" fillcolor="#000000" stroked="false">
                <v:fill type="solid"/>
                <w10:wrap type="topAndBottom"/>
              </v:rect>
            </w:pict>
          </mc:Fallback>
        </mc:AlternateContent>
      </w:r>
    </w:p>
    <w:p>
      <w:pPr>
        <w:spacing w:before="167"/>
        <w:ind w:left="172" w:right="952" w:firstLine="0"/>
        <w:jc w:val="both"/>
        <w:rPr>
          <w:sz w:val="16"/>
        </w:rPr>
      </w:pPr>
      <w:bookmarkStart w:name="_bookmark176" w:id="177"/>
      <w:bookmarkEnd w:id="177"/>
      <w:r>
        <w:rPr/>
      </w:r>
      <w:r>
        <w:rPr>
          <w:sz w:val="16"/>
          <w:vertAlign w:val="superscript"/>
        </w:rPr>
        <w:t>117</w:t>
      </w:r>
      <w:r>
        <w:rPr>
          <w:sz w:val="16"/>
          <w:vertAlign w:val="baseline"/>
        </w:rPr>
        <w:t> Οι ασφαλιστικές επιχειρήσεις και τα αμοιβαία</w:t>
      </w:r>
      <w:r>
        <w:rPr>
          <w:spacing w:val="-1"/>
          <w:sz w:val="16"/>
          <w:vertAlign w:val="baseline"/>
        </w:rPr>
        <w:t> </w:t>
      </w:r>
      <w:r>
        <w:rPr>
          <w:sz w:val="16"/>
          <w:vertAlign w:val="baseline"/>
        </w:rPr>
        <w:t>κεφάλαια, αποτελούν τις κυριότερες κατηγορίες εταιριών του μη τραπεζικού χρη-ματοπιστωτικού</w:t>
      </w:r>
      <w:r>
        <w:rPr>
          <w:spacing w:val="-6"/>
          <w:sz w:val="16"/>
          <w:vertAlign w:val="baseline"/>
        </w:rPr>
        <w:t> </w:t>
      </w:r>
      <w:r>
        <w:rPr>
          <w:sz w:val="16"/>
          <w:vertAlign w:val="baseline"/>
        </w:rPr>
        <w:t>τομέα</w:t>
      </w:r>
      <w:r>
        <w:rPr>
          <w:spacing w:val="-6"/>
          <w:sz w:val="16"/>
          <w:vertAlign w:val="baseline"/>
        </w:rPr>
        <w:t> </w:t>
      </w:r>
      <w:r>
        <w:rPr>
          <w:sz w:val="16"/>
          <w:vertAlign w:val="baseline"/>
        </w:rPr>
        <w:t>και,</w:t>
      </w:r>
      <w:r>
        <w:rPr>
          <w:spacing w:val="-5"/>
          <w:sz w:val="16"/>
          <w:vertAlign w:val="baseline"/>
        </w:rPr>
        <w:t> </w:t>
      </w:r>
      <w:r>
        <w:rPr>
          <w:sz w:val="16"/>
          <w:vertAlign w:val="baseline"/>
        </w:rPr>
        <w:t>με</w:t>
      </w:r>
      <w:r>
        <w:rPr>
          <w:spacing w:val="-6"/>
          <w:sz w:val="16"/>
          <w:vertAlign w:val="baseline"/>
        </w:rPr>
        <w:t> </w:t>
      </w:r>
      <w:r>
        <w:rPr>
          <w:sz w:val="16"/>
          <w:vertAlign w:val="baseline"/>
        </w:rPr>
        <w:t>βάση</w:t>
      </w:r>
      <w:r>
        <w:rPr>
          <w:spacing w:val="-6"/>
          <w:sz w:val="16"/>
          <w:vertAlign w:val="baseline"/>
        </w:rPr>
        <w:t> </w:t>
      </w:r>
      <w:r>
        <w:rPr>
          <w:sz w:val="16"/>
          <w:vertAlign w:val="baseline"/>
        </w:rPr>
        <w:t>τα</w:t>
      </w:r>
      <w:r>
        <w:rPr>
          <w:spacing w:val="-3"/>
          <w:sz w:val="16"/>
          <w:vertAlign w:val="baseline"/>
        </w:rPr>
        <w:t> </w:t>
      </w:r>
      <w:r>
        <w:rPr>
          <w:sz w:val="16"/>
          <w:vertAlign w:val="baseline"/>
        </w:rPr>
        <w:t>στοιχεία</w:t>
      </w:r>
      <w:r>
        <w:rPr>
          <w:spacing w:val="-8"/>
          <w:sz w:val="16"/>
          <w:vertAlign w:val="baseline"/>
        </w:rPr>
        <w:t> </w:t>
      </w:r>
      <w:r>
        <w:rPr>
          <w:sz w:val="16"/>
          <w:vertAlign w:val="baseline"/>
        </w:rPr>
        <w:t>για</w:t>
      </w:r>
      <w:r>
        <w:rPr>
          <w:spacing w:val="-6"/>
          <w:sz w:val="16"/>
          <w:vertAlign w:val="baseline"/>
        </w:rPr>
        <w:t> </w:t>
      </w:r>
      <w:r>
        <w:rPr>
          <w:sz w:val="16"/>
          <w:vertAlign w:val="baseline"/>
        </w:rPr>
        <w:t>το</w:t>
      </w:r>
      <w:r>
        <w:rPr>
          <w:spacing w:val="-6"/>
          <w:sz w:val="16"/>
          <w:vertAlign w:val="baseline"/>
        </w:rPr>
        <w:t> </w:t>
      </w:r>
      <w:r>
        <w:rPr>
          <w:sz w:val="16"/>
          <w:vertAlign w:val="baseline"/>
        </w:rPr>
        <w:t>2025,</w:t>
      </w:r>
      <w:r>
        <w:rPr>
          <w:spacing w:val="-5"/>
          <w:sz w:val="16"/>
          <w:vertAlign w:val="baseline"/>
        </w:rPr>
        <w:t> </w:t>
      </w:r>
      <w:r>
        <w:rPr>
          <w:sz w:val="16"/>
          <w:vertAlign w:val="baseline"/>
        </w:rPr>
        <w:t>καλύπτουν</w:t>
      </w:r>
      <w:r>
        <w:rPr>
          <w:spacing w:val="-6"/>
          <w:sz w:val="16"/>
          <w:vertAlign w:val="baseline"/>
        </w:rPr>
        <w:t> </w:t>
      </w:r>
      <w:r>
        <w:rPr>
          <w:sz w:val="16"/>
          <w:vertAlign w:val="baseline"/>
        </w:rPr>
        <w:t>το</w:t>
      </w:r>
      <w:r>
        <w:rPr>
          <w:spacing w:val="-5"/>
          <w:sz w:val="16"/>
          <w:vertAlign w:val="baseline"/>
        </w:rPr>
        <w:t> </w:t>
      </w:r>
      <w:r>
        <w:rPr>
          <w:sz w:val="16"/>
          <w:vertAlign w:val="baseline"/>
        </w:rPr>
        <w:t>6%</w:t>
      </w:r>
      <w:r>
        <w:rPr>
          <w:spacing w:val="-5"/>
          <w:sz w:val="16"/>
          <w:vertAlign w:val="baseline"/>
        </w:rPr>
        <w:t> </w:t>
      </w:r>
      <w:r>
        <w:rPr>
          <w:sz w:val="16"/>
          <w:vertAlign w:val="baseline"/>
        </w:rPr>
        <w:t>και</w:t>
      </w:r>
      <w:r>
        <w:rPr>
          <w:spacing w:val="-6"/>
          <w:sz w:val="16"/>
          <w:vertAlign w:val="baseline"/>
        </w:rPr>
        <w:t> </w:t>
      </w:r>
      <w:r>
        <w:rPr>
          <w:sz w:val="16"/>
          <w:vertAlign w:val="baseline"/>
        </w:rPr>
        <w:t>το</w:t>
      </w:r>
      <w:r>
        <w:rPr>
          <w:spacing w:val="-4"/>
          <w:sz w:val="16"/>
          <w:vertAlign w:val="baseline"/>
        </w:rPr>
        <w:t> </w:t>
      </w:r>
      <w:r>
        <w:rPr>
          <w:sz w:val="16"/>
          <w:vertAlign w:val="baseline"/>
        </w:rPr>
        <w:t>5%</w:t>
      </w:r>
      <w:r>
        <w:rPr>
          <w:spacing w:val="-5"/>
          <w:sz w:val="16"/>
          <w:vertAlign w:val="baseline"/>
        </w:rPr>
        <w:t> </w:t>
      </w:r>
      <w:r>
        <w:rPr>
          <w:sz w:val="16"/>
          <w:vertAlign w:val="baseline"/>
        </w:rPr>
        <w:t>αντίστοιχα</w:t>
      </w:r>
      <w:r>
        <w:rPr>
          <w:spacing w:val="-4"/>
          <w:sz w:val="16"/>
          <w:vertAlign w:val="baseline"/>
        </w:rPr>
        <w:t> </w:t>
      </w:r>
      <w:r>
        <w:rPr>
          <w:sz w:val="16"/>
          <w:vertAlign w:val="baseline"/>
        </w:rPr>
        <w:t>του</w:t>
      </w:r>
      <w:r>
        <w:rPr>
          <w:spacing w:val="-6"/>
          <w:sz w:val="16"/>
          <w:vertAlign w:val="baseline"/>
        </w:rPr>
        <w:t> </w:t>
      </w:r>
      <w:r>
        <w:rPr>
          <w:sz w:val="16"/>
          <w:vertAlign w:val="baseline"/>
        </w:rPr>
        <w:t>συνολικού</w:t>
      </w:r>
      <w:r>
        <w:rPr>
          <w:spacing w:val="-4"/>
          <w:sz w:val="16"/>
          <w:vertAlign w:val="baseline"/>
        </w:rPr>
        <w:t> </w:t>
      </w:r>
      <w:r>
        <w:rPr>
          <w:sz w:val="16"/>
          <w:vertAlign w:val="baseline"/>
        </w:rPr>
        <w:t>ενεργητικού</w:t>
      </w:r>
      <w:r>
        <w:rPr>
          <w:spacing w:val="-6"/>
          <w:sz w:val="16"/>
          <w:vertAlign w:val="baseline"/>
        </w:rPr>
        <w:t> </w:t>
      </w:r>
      <w:r>
        <w:rPr>
          <w:sz w:val="16"/>
          <w:vertAlign w:val="baseline"/>
        </w:rPr>
        <w:t>του</w:t>
      </w:r>
      <w:r>
        <w:rPr>
          <w:spacing w:val="40"/>
          <w:sz w:val="16"/>
          <w:vertAlign w:val="baseline"/>
        </w:rPr>
        <w:t> </w:t>
      </w:r>
      <w:r>
        <w:rPr>
          <w:sz w:val="16"/>
          <w:vertAlign w:val="baseline"/>
        </w:rPr>
        <w:t>χρηματοπιστωτικού</w:t>
      </w:r>
      <w:r>
        <w:rPr>
          <w:spacing w:val="-2"/>
          <w:sz w:val="16"/>
          <w:vertAlign w:val="baseline"/>
        </w:rPr>
        <w:t> </w:t>
      </w:r>
      <w:r>
        <w:rPr>
          <w:sz w:val="16"/>
          <w:vertAlign w:val="baseline"/>
        </w:rPr>
        <w:t>συστήματος,</w:t>
      </w:r>
      <w:r>
        <w:rPr>
          <w:spacing w:val="-1"/>
          <w:sz w:val="16"/>
          <w:vertAlign w:val="baseline"/>
        </w:rPr>
        <w:t> </w:t>
      </w:r>
      <w:r>
        <w:rPr>
          <w:sz w:val="16"/>
          <w:vertAlign w:val="baseline"/>
        </w:rPr>
        <w:t>ενώ</w:t>
      </w:r>
      <w:r>
        <w:rPr>
          <w:spacing w:val="-4"/>
          <w:sz w:val="16"/>
          <w:vertAlign w:val="baseline"/>
        </w:rPr>
        <w:t> </w:t>
      </w:r>
      <w:r>
        <w:rPr>
          <w:sz w:val="16"/>
          <w:vertAlign w:val="baseline"/>
        </w:rPr>
        <w:t>οι</w:t>
      </w:r>
      <w:r>
        <w:rPr>
          <w:spacing w:val="-2"/>
          <w:sz w:val="16"/>
          <w:vertAlign w:val="baseline"/>
        </w:rPr>
        <w:t> </w:t>
      </w:r>
      <w:r>
        <w:rPr>
          <w:sz w:val="16"/>
          <w:vertAlign w:val="baseline"/>
        </w:rPr>
        <w:t>εταιρίες</w:t>
      </w:r>
      <w:r>
        <w:rPr>
          <w:spacing w:val="-3"/>
          <w:sz w:val="16"/>
          <w:vertAlign w:val="baseline"/>
        </w:rPr>
        <w:t> </w:t>
      </w:r>
      <w:r>
        <w:rPr>
          <w:sz w:val="16"/>
          <w:vertAlign w:val="baseline"/>
        </w:rPr>
        <w:t>χρηματοδοτικής</w:t>
      </w:r>
      <w:r>
        <w:rPr>
          <w:spacing w:val="-3"/>
          <w:sz w:val="16"/>
          <w:vertAlign w:val="baseline"/>
        </w:rPr>
        <w:t> </w:t>
      </w:r>
      <w:r>
        <w:rPr>
          <w:sz w:val="16"/>
          <w:vertAlign w:val="baseline"/>
        </w:rPr>
        <w:t>μίσθωσης</w:t>
      </w:r>
      <w:r>
        <w:rPr>
          <w:spacing w:val="-1"/>
          <w:sz w:val="16"/>
          <w:vertAlign w:val="baseline"/>
        </w:rPr>
        <w:t> </w:t>
      </w:r>
      <w:r>
        <w:rPr>
          <w:sz w:val="16"/>
          <w:vertAlign w:val="baseline"/>
        </w:rPr>
        <w:t>και</w:t>
      </w:r>
      <w:r>
        <w:rPr>
          <w:spacing w:val="-2"/>
          <w:sz w:val="16"/>
          <w:vertAlign w:val="baseline"/>
        </w:rPr>
        <w:t> </w:t>
      </w:r>
      <w:r>
        <w:rPr>
          <w:sz w:val="16"/>
          <w:vertAlign w:val="baseline"/>
        </w:rPr>
        <w:t>πρακτορείας</w:t>
      </w:r>
      <w:r>
        <w:rPr>
          <w:spacing w:val="-1"/>
          <w:sz w:val="16"/>
          <w:vertAlign w:val="baseline"/>
        </w:rPr>
        <w:t> </w:t>
      </w:r>
      <w:r>
        <w:rPr>
          <w:sz w:val="16"/>
          <w:vertAlign w:val="baseline"/>
        </w:rPr>
        <w:t>επιχειρηματικών</w:t>
      </w:r>
      <w:r>
        <w:rPr>
          <w:spacing w:val="-3"/>
          <w:sz w:val="16"/>
          <w:vertAlign w:val="baseline"/>
        </w:rPr>
        <w:t> </w:t>
      </w:r>
      <w:r>
        <w:rPr>
          <w:sz w:val="16"/>
          <w:vertAlign w:val="baseline"/>
        </w:rPr>
        <w:t>απαιτήσεων</w:t>
      </w:r>
      <w:r>
        <w:rPr>
          <w:spacing w:val="-3"/>
          <w:sz w:val="16"/>
          <w:vertAlign w:val="baseline"/>
        </w:rPr>
        <w:t> </w:t>
      </w:r>
      <w:r>
        <w:rPr>
          <w:sz w:val="16"/>
          <w:vertAlign w:val="baseline"/>
        </w:rPr>
        <w:t>αντιπρο-σωπεύουν το 2%. Το υπόλοιπο 3% συνθέτουν οι</w:t>
      </w:r>
      <w:r>
        <w:rPr>
          <w:spacing w:val="-1"/>
          <w:sz w:val="16"/>
          <w:vertAlign w:val="baseline"/>
        </w:rPr>
        <w:t> </w:t>
      </w:r>
      <w:r>
        <w:rPr>
          <w:sz w:val="16"/>
          <w:vertAlign w:val="baseline"/>
        </w:rPr>
        <w:t>λοιπές εταιρίες, ήτοι ΑΕΕΑΠ, ΑΕΠΕΥ, ιδρύματα μικροχρηματοδοτήσεων, ταμεία</w:t>
      </w:r>
      <w:r>
        <w:rPr>
          <w:spacing w:val="40"/>
          <w:sz w:val="16"/>
          <w:vertAlign w:val="baseline"/>
        </w:rPr>
        <w:t> </w:t>
      </w:r>
      <w:r>
        <w:rPr>
          <w:sz w:val="16"/>
          <w:vertAlign w:val="baseline"/>
        </w:rPr>
        <w:t>επαγγελματικής</w:t>
      </w:r>
      <w:r>
        <w:rPr>
          <w:spacing w:val="-2"/>
          <w:sz w:val="16"/>
          <w:vertAlign w:val="baseline"/>
        </w:rPr>
        <w:t> </w:t>
      </w:r>
      <w:r>
        <w:rPr>
          <w:sz w:val="16"/>
          <w:vertAlign w:val="baseline"/>
        </w:rPr>
        <w:t>ασφάλισης</w:t>
      </w:r>
      <w:r>
        <w:rPr>
          <w:spacing w:val="-4"/>
          <w:sz w:val="16"/>
          <w:vertAlign w:val="baseline"/>
        </w:rPr>
        <w:t> </w:t>
      </w:r>
      <w:r>
        <w:rPr>
          <w:sz w:val="16"/>
          <w:vertAlign w:val="baseline"/>
        </w:rPr>
        <w:t>και</w:t>
      </w:r>
      <w:r>
        <w:rPr>
          <w:spacing w:val="-3"/>
          <w:sz w:val="16"/>
          <w:vertAlign w:val="baseline"/>
        </w:rPr>
        <w:t> </w:t>
      </w:r>
      <w:r>
        <w:rPr>
          <w:sz w:val="16"/>
          <w:vertAlign w:val="baseline"/>
        </w:rPr>
        <w:t>ιδρύματα</w:t>
      </w:r>
      <w:r>
        <w:rPr>
          <w:spacing w:val="-3"/>
          <w:sz w:val="16"/>
          <w:vertAlign w:val="baseline"/>
        </w:rPr>
        <w:t> </w:t>
      </w:r>
      <w:r>
        <w:rPr>
          <w:sz w:val="16"/>
          <w:vertAlign w:val="baseline"/>
        </w:rPr>
        <w:t>επαγγελματικών</w:t>
      </w:r>
      <w:r>
        <w:rPr>
          <w:spacing w:val="-6"/>
          <w:sz w:val="16"/>
          <w:vertAlign w:val="baseline"/>
        </w:rPr>
        <w:t> </w:t>
      </w:r>
      <w:r>
        <w:rPr>
          <w:sz w:val="16"/>
          <w:vertAlign w:val="baseline"/>
        </w:rPr>
        <w:t>συνταξιοδοτικών</w:t>
      </w:r>
      <w:r>
        <w:rPr>
          <w:spacing w:val="-3"/>
          <w:sz w:val="16"/>
          <w:vertAlign w:val="baseline"/>
        </w:rPr>
        <w:t> </w:t>
      </w:r>
      <w:r>
        <w:rPr>
          <w:sz w:val="16"/>
          <w:vertAlign w:val="baseline"/>
        </w:rPr>
        <w:t>παροχών,</w:t>
      </w:r>
      <w:r>
        <w:rPr>
          <w:spacing w:val="-2"/>
          <w:sz w:val="16"/>
          <w:vertAlign w:val="baseline"/>
        </w:rPr>
        <w:t> </w:t>
      </w:r>
      <w:r>
        <w:rPr>
          <w:sz w:val="16"/>
          <w:vertAlign w:val="baseline"/>
        </w:rPr>
        <w:t>ΑΕΔΑΚ</w:t>
      </w:r>
      <w:r>
        <w:rPr>
          <w:spacing w:val="-4"/>
          <w:sz w:val="16"/>
          <w:vertAlign w:val="baseline"/>
        </w:rPr>
        <w:t> </w:t>
      </w:r>
      <w:r>
        <w:rPr>
          <w:sz w:val="16"/>
          <w:vertAlign w:val="baseline"/>
        </w:rPr>
        <w:t>και</w:t>
      </w:r>
      <w:r>
        <w:rPr>
          <w:spacing w:val="-6"/>
          <w:sz w:val="16"/>
          <w:vertAlign w:val="baseline"/>
        </w:rPr>
        <w:t> </w:t>
      </w:r>
      <w:r>
        <w:rPr>
          <w:sz w:val="16"/>
          <w:vertAlign w:val="baseline"/>
        </w:rPr>
        <w:t>εταιρίες</w:t>
      </w:r>
      <w:r>
        <w:rPr>
          <w:spacing w:val="-4"/>
          <w:sz w:val="16"/>
          <w:vertAlign w:val="baseline"/>
        </w:rPr>
        <w:t> </w:t>
      </w:r>
      <w:r>
        <w:rPr>
          <w:sz w:val="16"/>
          <w:vertAlign w:val="baseline"/>
        </w:rPr>
        <w:t>διαχείρισης</w:t>
      </w:r>
      <w:r>
        <w:rPr>
          <w:spacing w:val="-2"/>
          <w:sz w:val="16"/>
          <w:vertAlign w:val="baseline"/>
        </w:rPr>
        <w:t> </w:t>
      </w:r>
      <w:r>
        <w:rPr>
          <w:sz w:val="16"/>
          <w:vertAlign w:val="baseline"/>
        </w:rPr>
        <w:t>απαιτήσεων</w:t>
      </w:r>
      <w:r>
        <w:rPr>
          <w:spacing w:val="40"/>
          <w:sz w:val="16"/>
          <w:vertAlign w:val="baseline"/>
        </w:rPr>
        <w:t> </w:t>
      </w:r>
      <w:r>
        <w:rPr>
          <w:sz w:val="16"/>
          <w:vertAlign w:val="baseline"/>
        </w:rPr>
        <w:t>από δάνεια και πιστώσεις.</w:t>
      </w:r>
    </w:p>
    <w:p>
      <w:pPr>
        <w:spacing w:before="20"/>
        <w:ind w:left="172" w:right="956" w:firstLine="0"/>
        <w:jc w:val="both"/>
        <w:rPr>
          <w:sz w:val="16"/>
        </w:rPr>
      </w:pPr>
      <w:bookmarkStart w:name="_bookmark177" w:id="178"/>
      <w:bookmarkEnd w:id="178"/>
      <w:r>
        <w:rPr/>
      </w:r>
      <w:r>
        <w:rPr>
          <w:sz w:val="16"/>
          <w:vertAlign w:val="superscript"/>
        </w:rPr>
        <w:t>118</w:t>
      </w:r>
      <w:r>
        <w:rPr>
          <w:sz w:val="16"/>
          <w:vertAlign w:val="baseline"/>
        </w:rPr>
        <w:t> Χρησιμοποιούνται</w:t>
      </w:r>
      <w:r>
        <w:rPr>
          <w:spacing w:val="-2"/>
          <w:sz w:val="16"/>
          <w:vertAlign w:val="baseline"/>
        </w:rPr>
        <w:t> </w:t>
      </w:r>
      <w:r>
        <w:rPr>
          <w:sz w:val="16"/>
          <w:vertAlign w:val="baseline"/>
        </w:rPr>
        <w:t>τρεις αποχρώσεις</w:t>
      </w:r>
      <w:r>
        <w:rPr>
          <w:spacing w:val="-3"/>
          <w:sz w:val="16"/>
          <w:vertAlign w:val="baseline"/>
        </w:rPr>
        <w:t> </w:t>
      </w:r>
      <w:r>
        <w:rPr>
          <w:sz w:val="16"/>
          <w:vertAlign w:val="baseline"/>
        </w:rPr>
        <w:t>του</w:t>
      </w:r>
      <w:r>
        <w:rPr>
          <w:spacing w:val="-2"/>
          <w:sz w:val="16"/>
          <w:vertAlign w:val="baseline"/>
        </w:rPr>
        <w:t> </w:t>
      </w:r>
      <w:r>
        <w:rPr>
          <w:sz w:val="16"/>
          <w:vertAlign w:val="baseline"/>
        </w:rPr>
        <w:t>πράσινου</w:t>
      </w:r>
      <w:r>
        <w:rPr>
          <w:spacing w:val="-2"/>
          <w:sz w:val="16"/>
          <w:vertAlign w:val="baseline"/>
        </w:rPr>
        <w:t> </w:t>
      </w:r>
      <w:r>
        <w:rPr>
          <w:sz w:val="16"/>
          <w:vertAlign w:val="baseline"/>
        </w:rPr>
        <w:t>σε</w:t>
      </w:r>
      <w:r>
        <w:rPr>
          <w:spacing w:val="-2"/>
          <w:sz w:val="16"/>
          <w:vertAlign w:val="baseline"/>
        </w:rPr>
        <w:t> </w:t>
      </w:r>
      <w:r>
        <w:rPr>
          <w:sz w:val="16"/>
          <w:vertAlign w:val="baseline"/>
        </w:rPr>
        <w:t>περίπτωση απουσίας</w:t>
      </w:r>
      <w:r>
        <w:rPr>
          <w:spacing w:val="-1"/>
          <w:sz w:val="16"/>
          <w:vertAlign w:val="baseline"/>
        </w:rPr>
        <w:t> </w:t>
      </w:r>
      <w:r>
        <w:rPr>
          <w:sz w:val="16"/>
          <w:vertAlign w:val="baseline"/>
        </w:rPr>
        <w:t>κινδύνου</w:t>
      </w:r>
      <w:r>
        <w:rPr>
          <w:spacing w:val="-2"/>
          <w:sz w:val="16"/>
          <w:vertAlign w:val="baseline"/>
        </w:rPr>
        <w:t> </w:t>
      </w:r>
      <w:r>
        <w:rPr>
          <w:sz w:val="16"/>
          <w:vertAlign w:val="baseline"/>
        </w:rPr>
        <w:t>και τρία</w:t>
      </w:r>
      <w:r>
        <w:rPr>
          <w:spacing w:val="-2"/>
          <w:sz w:val="16"/>
          <w:vertAlign w:val="baseline"/>
        </w:rPr>
        <w:t> </w:t>
      </w:r>
      <w:r>
        <w:rPr>
          <w:sz w:val="16"/>
          <w:vertAlign w:val="baseline"/>
        </w:rPr>
        <w:t>χρώματα,</w:t>
      </w:r>
      <w:r>
        <w:rPr>
          <w:spacing w:val="-1"/>
          <w:sz w:val="16"/>
          <w:vertAlign w:val="baseline"/>
        </w:rPr>
        <w:t> </w:t>
      </w:r>
      <w:r>
        <w:rPr>
          <w:sz w:val="16"/>
          <w:vertAlign w:val="baseline"/>
        </w:rPr>
        <w:t>το κίτρινο,</w:t>
      </w:r>
      <w:r>
        <w:rPr>
          <w:spacing w:val="-1"/>
          <w:sz w:val="16"/>
          <w:vertAlign w:val="baseline"/>
        </w:rPr>
        <w:t> </w:t>
      </w:r>
      <w:r>
        <w:rPr>
          <w:sz w:val="16"/>
          <w:vertAlign w:val="baseline"/>
        </w:rPr>
        <w:t>το πορτοκαλί</w:t>
      </w:r>
      <w:r>
        <w:rPr>
          <w:spacing w:val="40"/>
          <w:sz w:val="16"/>
          <w:vertAlign w:val="baseline"/>
        </w:rPr>
        <w:t> </w:t>
      </w:r>
      <w:r>
        <w:rPr>
          <w:sz w:val="16"/>
          <w:vertAlign w:val="baseline"/>
        </w:rPr>
        <w:t>και το κόκκινο, για την απεικόνιση του επιπέδου του κινδύνου σε αύξουσα κλίμακα.</w:t>
      </w:r>
    </w:p>
    <w:p>
      <w:pPr>
        <w:spacing w:before="21"/>
        <w:ind w:left="172" w:right="954" w:firstLine="0"/>
        <w:jc w:val="both"/>
        <w:rPr>
          <w:sz w:val="16"/>
        </w:rPr>
      </w:pPr>
      <w:bookmarkStart w:name="_bookmark178" w:id="179"/>
      <w:bookmarkEnd w:id="179"/>
      <w:r>
        <w:rPr/>
      </w:r>
      <w:r>
        <w:rPr>
          <w:sz w:val="16"/>
          <w:vertAlign w:val="superscript"/>
        </w:rPr>
        <w:t>119</w:t>
      </w:r>
      <w:r>
        <w:rPr>
          <w:sz w:val="16"/>
          <w:vertAlign w:val="baseline"/>
        </w:rPr>
        <w:t> Ο όρος “traffic light” αναφέρεται σε σύστημα οπτικής απεικόνισης κινδύνων με χρήση τριών χρωμάτων (πράσινο, κίτρινο, κόκ-κινο), όπου το πράσινο υποδηλώνει χαμηλό επίπεδο κινδύνου, το κίτρινο μέτριο επίπεδο κινδύνου και το κόκκινο υψηλό επίπεδο</w:t>
      </w:r>
      <w:r>
        <w:rPr>
          <w:spacing w:val="40"/>
          <w:sz w:val="16"/>
          <w:vertAlign w:val="baseline"/>
        </w:rPr>
        <w:t> </w:t>
      </w:r>
      <w:r>
        <w:rPr>
          <w:spacing w:val="-2"/>
          <w:sz w:val="16"/>
          <w:vertAlign w:val="baseline"/>
        </w:rPr>
        <w:t>κινδύνου.</w:t>
      </w:r>
    </w:p>
    <w:p>
      <w:pPr>
        <w:spacing w:before="19"/>
        <w:ind w:left="172" w:right="958" w:firstLine="0"/>
        <w:jc w:val="both"/>
        <w:rPr>
          <w:sz w:val="16"/>
        </w:rPr>
      </w:pPr>
      <w:bookmarkStart w:name="_bookmark179" w:id="180"/>
      <w:bookmarkEnd w:id="180"/>
      <w:r>
        <w:rPr/>
      </w:r>
      <w:r>
        <w:rPr>
          <w:sz w:val="16"/>
          <w:vertAlign w:val="superscript"/>
        </w:rPr>
        <w:t>120</w:t>
      </w:r>
      <w:r>
        <w:rPr>
          <w:sz w:val="16"/>
          <w:vertAlign w:val="baseline"/>
        </w:rPr>
        <w:t> Οι κατευθυντήριες γραμμές της Διαδικασίας Εποπτικού Ελέγχου και Αξιολόγησης (Supervisory Review and Evaluation Process</w:t>
      </w:r>
      <w:r>
        <w:rPr>
          <w:spacing w:val="40"/>
          <w:sz w:val="16"/>
          <w:vertAlign w:val="baseline"/>
        </w:rPr>
        <w:t> </w:t>
      </w:r>
      <w:r>
        <w:rPr>
          <w:sz w:val="16"/>
          <w:vertAlign w:val="baseline"/>
        </w:rPr>
        <w:t>– SREP)</w:t>
      </w:r>
      <w:r>
        <w:rPr>
          <w:spacing w:val="-3"/>
          <w:sz w:val="16"/>
          <w:vertAlign w:val="baseline"/>
        </w:rPr>
        <w:t> </w:t>
      </w:r>
      <w:r>
        <w:rPr>
          <w:sz w:val="16"/>
          <w:vertAlign w:val="baseline"/>
        </w:rPr>
        <w:t>της</w:t>
      </w:r>
      <w:r>
        <w:rPr>
          <w:spacing w:val="-1"/>
          <w:sz w:val="16"/>
          <w:vertAlign w:val="baseline"/>
        </w:rPr>
        <w:t> </w:t>
      </w:r>
      <w:r>
        <w:rPr>
          <w:sz w:val="16"/>
          <w:vertAlign w:val="baseline"/>
        </w:rPr>
        <w:t>Ευρωπαϊκής</w:t>
      </w:r>
      <w:r>
        <w:rPr>
          <w:spacing w:val="-3"/>
          <w:sz w:val="16"/>
          <w:vertAlign w:val="baseline"/>
        </w:rPr>
        <w:t> </w:t>
      </w:r>
      <w:r>
        <w:rPr>
          <w:sz w:val="16"/>
          <w:vertAlign w:val="baseline"/>
        </w:rPr>
        <w:t>Κεντρικής</w:t>
      </w:r>
      <w:r>
        <w:rPr>
          <w:spacing w:val="-3"/>
          <w:sz w:val="16"/>
          <w:vertAlign w:val="baseline"/>
        </w:rPr>
        <w:t> </w:t>
      </w:r>
      <w:r>
        <w:rPr>
          <w:sz w:val="16"/>
          <w:vertAlign w:val="baseline"/>
        </w:rPr>
        <w:t>Τράπεζας</w:t>
      </w:r>
      <w:r>
        <w:rPr>
          <w:spacing w:val="-3"/>
          <w:sz w:val="16"/>
          <w:vertAlign w:val="baseline"/>
        </w:rPr>
        <w:t> </w:t>
      </w:r>
      <w:r>
        <w:rPr>
          <w:sz w:val="16"/>
          <w:vertAlign w:val="baseline"/>
        </w:rPr>
        <w:t>αποτελούν</w:t>
      </w:r>
      <w:r>
        <w:rPr>
          <w:spacing w:val="-5"/>
          <w:sz w:val="16"/>
          <w:vertAlign w:val="baseline"/>
        </w:rPr>
        <w:t> </w:t>
      </w:r>
      <w:r>
        <w:rPr>
          <w:sz w:val="16"/>
          <w:vertAlign w:val="baseline"/>
        </w:rPr>
        <w:t>μέρος</w:t>
      </w:r>
      <w:r>
        <w:rPr>
          <w:spacing w:val="-1"/>
          <w:sz w:val="16"/>
          <w:vertAlign w:val="baseline"/>
        </w:rPr>
        <w:t> </w:t>
      </w:r>
      <w:r>
        <w:rPr>
          <w:sz w:val="16"/>
          <w:vertAlign w:val="baseline"/>
        </w:rPr>
        <w:t>του</w:t>
      </w:r>
      <w:r>
        <w:rPr>
          <w:spacing w:val="-2"/>
          <w:sz w:val="16"/>
          <w:vertAlign w:val="baseline"/>
        </w:rPr>
        <w:t> </w:t>
      </w:r>
      <w:r>
        <w:rPr>
          <w:sz w:val="16"/>
          <w:vertAlign w:val="baseline"/>
        </w:rPr>
        <w:t>ενιαίου</w:t>
      </w:r>
      <w:r>
        <w:rPr>
          <w:spacing w:val="-2"/>
          <w:sz w:val="16"/>
          <w:vertAlign w:val="baseline"/>
        </w:rPr>
        <w:t> </w:t>
      </w:r>
      <w:r>
        <w:rPr>
          <w:sz w:val="16"/>
          <w:vertAlign w:val="baseline"/>
        </w:rPr>
        <w:t>εποπτικού</w:t>
      </w:r>
      <w:r>
        <w:rPr>
          <w:spacing w:val="-2"/>
          <w:sz w:val="16"/>
          <w:vertAlign w:val="baseline"/>
        </w:rPr>
        <w:t> </w:t>
      </w:r>
      <w:r>
        <w:rPr>
          <w:sz w:val="16"/>
          <w:vertAlign w:val="baseline"/>
        </w:rPr>
        <w:t>πλαισίου</w:t>
      </w:r>
      <w:r>
        <w:rPr>
          <w:spacing w:val="-2"/>
          <w:sz w:val="16"/>
          <w:vertAlign w:val="baseline"/>
        </w:rPr>
        <w:t> </w:t>
      </w:r>
      <w:r>
        <w:rPr>
          <w:sz w:val="16"/>
          <w:vertAlign w:val="baseline"/>
        </w:rPr>
        <w:t>της Τραπεζικής</w:t>
      </w:r>
      <w:r>
        <w:rPr>
          <w:spacing w:val="-3"/>
          <w:sz w:val="16"/>
          <w:vertAlign w:val="baseline"/>
        </w:rPr>
        <w:t> </w:t>
      </w:r>
      <w:r>
        <w:rPr>
          <w:sz w:val="16"/>
          <w:vertAlign w:val="baseline"/>
        </w:rPr>
        <w:t>Ένωσης</w:t>
      </w:r>
      <w:r>
        <w:rPr>
          <w:spacing w:val="-3"/>
          <w:sz w:val="16"/>
          <w:vertAlign w:val="baseline"/>
        </w:rPr>
        <w:t> </w:t>
      </w:r>
      <w:r>
        <w:rPr>
          <w:sz w:val="16"/>
          <w:vertAlign w:val="baseline"/>
        </w:rPr>
        <w:t>και</w:t>
      </w:r>
      <w:r>
        <w:rPr>
          <w:spacing w:val="-4"/>
          <w:sz w:val="16"/>
          <w:vertAlign w:val="baseline"/>
        </w:rPr>
        <w:t> </w:t>
      </w:r>
      <w:r>
        <w:rPr>
          <w:sz w:val="16"/>
          <w:vertAlign w:val="baseline"/>
        </w:rPr>
        <w:t>καθο-ρίζουν τη μεθοδολογία με την οποία οι εποπτικές αρχές αξιολογούν σε ετήσια βάση το προφίλ κινδύνου των τραπεζών, την κεφα-λαιακή τους επάρκεια, τη διακυβέρνηση και τη ρευστότητά τους, καθώς και τα αναγκαία εποπτικά μέτρα και απαιτήσεις.</w:t>
      </w:r>
    </w:p>
    <w:p>
      <w:pPr>
        <w:spacing w:before="20"/>
        <w:ind w:left="172" w:right="952" w:firstLine="0"/>
        <w:jc w:val="both"/>
        <w:rPr>
          <w:sz w:val="16"/>
        </w:rPr>
      </w:pPr>
      <w:bookmarkStart w:name="_bookmark180" w:id="181"/>
      <w:bookmarkEnd w:id="181"/>
      <w:r>
        <w:rPr/>
      </w:r>
      <w:r>
        <w:rPr>
          <w:sz w:val="16"/>
          <w:vertAlign w:val="superscript"/>
        </w:rPr>
        <w:t>121</w:t>
      </w:r>
      <w:r>
        <w:rPr>
          <w:spacing w:val="-2"/>
          <w:sz w:val="16"/>
          <w:vertAlign w:val="baseline"/>
        </w:rPr>
        <w:t> </w:t>
      </w:r>
      <w:r>
        <w:rPr>
          <w:sz w:val="16"/>
          <w:vertAlign w:val="baseline"/>
        </w:rPr>
        <w:t>Βλ</w:t>
      </w:r>
      <w:r>
        <w:rPr>
          <w:spacing w:val="-3"/>
          <w:sz w:val="16"/>
          <w:vertAlign w:val="baseline"/>
        </w:rPr>
        <w:t> </w:t>
      </w:r>
      <w:r>
        <w:rPr>
          <w:sz w:val="16"/>
          <w:vertAlign w:val="baseline"/>
        </w:rPr>
        <w:t>European</w:t>
      </w:r>
      <w:r>
        <w:rPr>
          <w:spacing w:val="-3"/>
          <w:sz w:val="16"/>
          <w:vertAlign w:val="baseline"/>
        </w:rPr>
        <w:t> </w:t>
      </w:r>
      <w:r>
        <w:rPr>
          <w:sz w:val="16"/>
          <w:vertAlign w:val="baseline"/>
        </w:rPr>
        <w:t>Systemic</w:t>
      </w:r>
      <w:r>
        <w:rPr>
          <w:spacing w:val="-4"/>
          <w:sz w:val="16"/>
          <w:vertAlign w:val="baseline"/>
        </w:rPr>
        <w:t> </w:t>
      </w:r>
      <w:r>
        <w:rPr>
          <w:sz w:val="16"/>
          <w:vertAlign w:val="baseline"/>
        </w:rPr>
        <w:t>Risk</w:t>
      </w:r>
      <w:r>
        <w:rPr>
          <w:spacing w:val="-3"/>
          <w:sz w:val="16"/>
          <w:vertAlign w:val="baseline"/>
        </w:rPr>
        <w:t> </w:t>
      </w:r>
      <w:r>
        <w:rPr>
          <w:sz w:val="16"/>
          <w:vertAlign w:val="baseline"/>
        </w:rPr>
        <w:t>Board, </w:t>
      </w:r>
      <w:hyperlink r:id="rId155">
        <w:r>
          <w:rPr>
            <w:color w:val="0000FF"/>
            <w:sz w:val="16"/>
            <w:u w:val="single" w:color="0000FF"/>
            <w:vertAlign w:val="baseline"/>
          </w:rPr>
          <w:t>Systemic</w:t>
        </w:r>
        <w:r>
          <w:rPr>
            <w:color w:val="0000FF"/>
            <w:spacing w:val="-4"/>
            <w:sz w:val="16"/>
            <w:u w:val="single" w:color="0000FF"/>
            <w:vertAlign w:val="baseline"/>
          </w:rPr>
          <w:t> </w:t>
        </w:r>
        <w:r>
          <w:rPr>
            <w:color w:val="0000FF"/>
            <w:sz w:val="16"/>
            <w:u w:val="single" w:color="0000FF"/>
            <w:vertAlign w:val="baseline"/>
          </w:rPr>
          <w:t>liquidity</w:t>
        </w:r>
        <w:r>
          <w:rPr>
            <w:color w:val="0000FF"/>
            <w:spacing w:val="-3"/>
            <w:sz w:val="16"/>
            <w:u w:val="single" w:color="0000FF"/>
            <w:vertAlign w:val="baseline"/>
          </w:rPr>
          <w:t> </w:t>
        </w:r>
        <w:r>
          <w:rPr>
            <w:color w:val="0000FF"/>
            <w:sz w:val="16"/>
            <w:u w:val="single" w:color="0000FF"/>
            <w:vertAlign w:val="baseline"/>
          </w:rPr>
          <w:t>risk:</w:t>
        </w:r>
        <w:r>
          <w:rPr>
            <w:color w:val="0000FF"/>
            <w:spacing w:val="-5"/>
            <w:sz w:val="16"/>
            <w:u w:val="single" w:color="0000FF"/>
            <w:vertAlign w:val="baseline"/>
          </w:rPr>
          <w:t> </w:t>
        </w:r>
        <w:r>
          <w:rPr>
            <w:color w:val="0000FF"/>
            <w:sz w:val="16"/>
            <w:u w:val="single" w:color="0000FF"/>
            <w:vertAlign w:val="baseline"/>
          </w:rPr>
          <w:t>a</w:t>
        </w:r>
        <w:r>
          <w:rPr>
            <w:color w:val="0000FF"/>
            <w:spacing w:val="-1"/>
            <w:sz w:val="16"/>
            <w:u w:val="single" w:color="0000FF"/>
            <w:vertAlign w:val="baseline"/>
          </w:rPr>
          <w:t> </w:t>
        </w:r>
        <w:r>
          <w:rPr>
            <w:color w:val="0000FF"/>
            <w:sz w:val="16"/>
            <w:u w:val="single" w:color="0000FF"/>
            <w:vertAlign w:val="baseline"/>
          </w:rPr>
          <w:t>monitoring</w:t>
        </w:r>
        <w:r>
          <w:rPr>
            <w:color w:val="0000FF"/>
            <w:spacing w:val="-3"/>
            <w:sz w:val="16"/>
            <w:u w:val="single" w:color="0000FF"/>
            <w:vertAlign w:val="baseline"/>
          </w:rPr>
          <w:t> </w:t>
        </w:r>
        <w:r>
          <w:rPr>
            <w:color w:val="0000FF"/>
            <w:sz w:val="16"/>
            <w:u w:val="single" w:color="0000FF"/>
            <w:vertAlign w:val="baseline"/>
          </w:rPr>
          <w:t>framework</w:t>
        </w:r>
      </w:hyperlink>
      <w:r>
        <w:rPr>
          <w:color w:val="0000FF"/>
          <w:sz w:val="16"/>
          <w:vertAlign w:val="baseline"/>
        </w:rPr>
        <w:t> </w:t>
      </w:r>
      <w:r>
        <w:rPr>
          <w:sz w:val="16"/>
          <w:vertAlign w:val="baseline"/>
        </w:rPr>
        <w:t>και</w:t>
      </w:r>
      <w:r>
        <w:rPr>
          <w:spacing w:val="-4"/>
          <w:sz w:val="16"/>
          <w:vertAlign w:val="baseline"/>
        </w:rPr>
        <w:t> </w:t>
      </w:r>
      <w:r>
        <w:rPr>
          <w:sz w:val="16"/>
          <w:vertAlign w:val="baseline"/>
        </w:rPr>
        <w:t>European</w:t>
      </w:r>
      <w:r>
        <w:rPr>
          <w:spacing w:val="-3"/>
          <w:sz w:val="16"/>
          <w:vertAlign w:val="baseline"/>
        </w:rPr>
        <w:t> </w:t>
      </w:r>
      <w:r>
        <w:rPr>
          <w:sz w:val="16"/>
          <w:vertAlign w:val="baseline"/>
        </w:rPr>
        <w:t>Systemic</w:t>
      </w:r>
      <w:r>
        <w:rPr>
          <w:spacing w:val="-4"/>
          <w:sz w:val="16"/>
          <w:vertAlign w:val="baseline"/>
        </w:rPr>
        <w:t> </w:t>
      </w:r>
      <w:r>
        <w:rPr>
          <w:sz w:val="16"/>
          <w:vertAlign w:val="baseline"/>
        </w:rPr>
        <w:t>Risk</w:t>
      </w:r>
      <w:r>
        <w:rPr>
          <w:spacing w:val="-3"/>
          <w:sz w:val="16"/>
          <w:vertAlign w:val="baseline"/>
        </w:rPr>
        <w:t> </w:t>
      </w:r>
      <w:r>
        <w:rPr>
          <w:sz w:val="16"/>
          <w:vertAlign w:val="baseline"/>
        </w:rPr>
        <w:t>Board,</w:t>
      </w:r>
      <w:r>
        <w:rPr>
          <w:spacing w:val="-1"/>
          <w:sz w:val="16"/>
          <w:vertAlign w:val="baseline"/>
        </w:rPr>
        <w:t> </w:t>
      </w:r>
      <w:hyperlink r:id="rId156">
        <w:r>
          <w:rPr>
            <w:color w:val="0000FF"/>
            <w:sz w:val="16"/>
            <w:u w:val="single" w:color="0000FF"/>
            <w:vertAlign w:val="baseline"/>
          </w:rPr>
          <w:t>Method-</w:t>
        </w:r>
      </w:hyperlink>
      <w:hyperlink r:id="rId156">
        <w:r>
          <w:rPr>
            <w:color w:val="0000FF"/>
            <w:sz w:val="16"/>
            <w:u w:val="single" w:color="0000FF"/>
            <w:vertAlign w:val="baseline"/>
          </w:rPr>
          <w:t>ologies for the assessment of real estate vulnerabilities and macroprudential policies: commercial real estate</w:t>
        </w:r>
        <w:r>
          <w:rPr>
            <w:sz w:val="16"/>
            <w:vertAlign w:val="baseline"/>
          </w:rPr>
          <w:t>.</w:t>
        </w:r>
      </w:hyperlink>
    </w:p>
    <w:p>
      <w:pPr>
        <w:spacing w:after="0"/>
        <w:jc w:val="both"/>
        <w:rPr>
          <w:sz w:val="16"/>
        </w:rPr>
        <w:sectPr>
          <w:pgSz w:w="11910" w:h="16850"/>
          <w:pgMar w:header="0" w:footer="1262" w:top="1100" w:bottom="1460" w:left="1417" w:right="850"/>
        </w:sectPr>
      </w:pPr>
    </w:p>
    <w:p>
      <w:pPr>
        <w:spacing w:line="240" w:lineRule="auto"/>
        <w:ind w:left="172" w:right="0" w:firstLine="0"/>
        <w:rPr>
          <w:sz w:val="20"/>
        </w:rPr>
      </w:pPr>
      <w:r>
        <w:rPr>
          <w:sz w:val="20"/>
        </w:rPr>
        <mc:AlternateContent>
          <mc:Choice Requires="wps">
            <w:drawing>
              <wp:inline distT="0" distB="0" distL="0" distR="0">
                <wp:extent cx="5402580" cy="2359660"/>
                <wp:effectExtent l="0" t="0" r="0" b="2539"/>
                <wp:docPr id="788" name="Group 788"/>
                <wp:cNvGraphicFramePr>
                  <a:graphicFrameLocks/>
                </wp:cNvGraphicFramePr>
                <a:graphic>
                  <a:graphicData uri="http://schemas.microsoft.com/office/word/2010/wordprocessingGroup">
                    <wpg:wgp>
                      <wpg:cNvPr id="788" name="Group 788"/>
                      <wpg:cNvGrpSpPr/>
                      <wpg:grpSpPr>
                        <a:xfrm>
                          <a:off x="0" y="0"/>
                          <a:ext cx="5402580" cy="2359660"/>
                          <a:chExt cx="5402580" cy="2359660"/>
                        </a:xfrm>
                      </wpg:grpSpPr>
                      <wps:wsp>
                        <wps:cNvPr id="789" name="Textbox 789"/>
                        <wps:cNvSpPr txBox="1"/>
                        <wps:spPr>
                          <a:xfrm>
                            <a:off x="6095" y="6045"/>
                            <a:ext cx="5388610" cy="360045"/>
                          </a:xfrm>
                          <a:prstGeom prst="rect">
                            <a:avLst/>
                          </a:prstGeom>
                          <a:solidFill>
                            <a:srgbClr val="1F487C"/>
                          </a:solidFill>
                        </wps:spPr>
                        <wps:txbx>
                          <w:txbxContent>
                            <w:p>
                              <w:pPr>
                                <w:spacing w:before="77"/>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1</w:t>
                              </w:r>
                              <w:r>
                                <w:rPr>
                                  <w:b/>
                                  <w:smallCaps w:val="0"/>
                                  <w:color w:val="FFFFFF"/>
                                  <w:spacing w:val="-5"/>
                                  <w:sz w:val="18"/>
                                </w:rPr>
                                <w:t> </w:t>
                              </w:r>
                              <w:r>
                                <w:rPr>
                                  <w:b/>
                                  <w:smallCaps w:val="0"/>
                                  <w:color w:val="FFFFFF"/>
                                  <w:sz w:val="18"/>
                                </w:rPr>
                                <w:t>Σχηματ</w:t>
                              </w:r>
                              <w:r>
                                <w:rPr>
                                  <w:b/>
                                  <w:smallCaps/>
                                  <w:color w:val="FFFFFF"/>
                                  <w:sz w:val="18"/>
                                </w:rPr>
                                <w:t>ι</w:t>
                              </w:r>
                              <w:r>
                                <w:rPr>
                                  <w:b/>
                                  <w:smallCaps w:val="0"/>
                                  <w:color w:val="FFFFFF"/>
                                  <w:sz w:val="18"/>
                                </w:rPr>
                                <w:t>κή</w:t>
                              </w:r>
                              <w:r>
                                <w:rPr>
                                  <w:b/>
                                  <w:smallCaps w:val="0"/>
                                  <w:color w:val="FFFFFF"/>
                                  <w:spacing w:val="-7"/>
                                  <w:sz w:val="18"/>
                                </w:rPr>
                                <w:t> </w:t>
                              </w:r>
                              <w:r>
                                <w:rPr>
                                  <w:b/>
                                  <w:smallCaps w:val="0"/>
                                  <w:color w:val="FFFFFF"/>
                                  <w:sz w:val="18"/>
                                </w:rPr>
                                <w:t>απε</w:t>
                              </w:r>
                              <w:r>
                                <w:rPr>
                                  <w:b/>
                                  <w:smallCaps/>
                                  <w:color w:val="FFFFFF"/>
                                  <w:sz w:val="18"/>
                                </w:rPr>
                                <w:t>ι</w:t>
                              </w:r>
                              <w:r>
                                <w:rPr>
                                  <w:b/>
                                  <w:smallCaps w:val="0"/>
                                  <w:color w:val="FFFFFF"/>
                                  <w:sz w:val="18"/>
                                </w:rPr>
                                <w:t>κόν</w:t>
                              </w:r>
                              <w:r>
                                <w:rPr>
                                  <w:b/>
                                  <w:smallCaps/>
                                  <w:color w:val="FFFFFF"/>
                                  <w:sz w:val="18"/>
                                </w:rPr>
                                <w:t>ι</w:t>
                              </w:r>
                              <w:r>
                                <w:rPr>
                                  <w:b/>
                                  <w:smallCaps w:val="0"/>
                                  <w:color w:val="FFFFFF"/>
                                  <w:sz w:val="18"/>
                                </w:rPr>
                                <w:t>ση</w:t>
                              </w:r>
                              <w:r>
                                <w:rPr>
                                  <w:b/>
                                  <w:smallCaps w:val="0"/>
                                  <w:color w:val="FFFFFF"/>
                                  <w:spacing w:val="-6"/>
                                  <w:sz w:val="18"/>
                                </w:rPr>
                                <w:t> </w:t>
                              </w:r>
                              <w:r>
                                <w:rPr>
                                  <w:b/>
                                  <w:smallCaps w:val="0"/>
                                  <w:color w:val="FFFFFF"/>
                                  <w:sz w:val="18"/>
                                </w:rPr>
                                <w:t>των</w:t>
                              </w:r>
                              <w:r>
                                <w:rPr>
                                  <w:b/>
                                  <w:smallCaps w:val="0"/>
                                  <w:color w:val="FFFFFF"/>
                                  <w:spacing w:val="-5"/>
                                  <w:sz w:val="18"/>
                                </w:rPr>
                                <w:t> </w:t>
                              </w:r>
                              <w:r>
                                <w:rPr>
                                  <w:b/>
                                  <w:smallCaps w:val="0"/>
                                  <w:color w:val="FFFFFF"/>
                                  <w:sz w:val="18"/>
                                </w:rPr>
                                <w:t>επ</w:t>
                              </w:r>
                              <w:r>
                                <w:rPr>
                                  <w:b/>
                                  <w:smallCaps/>
                                  <w:color w:val="FFFFFF"/>
                                  <w:sz w:val="18"/>
                                </w:rPr>
                                <w:t>ι</w:t>
                              </w:r>
                              <w:r>
                                <w:rPr>
                                  <w:b/>
                                  <w:smallCaps w:val="0"/>
                                  <w:color w:val="FFFFFF"/>
                                  <w:sz w:val="18"/>
                                </w:rPr>
                                <w:t>μέρους</w:t>
                              </w:r>
                              <w:r>
                                <w:rPr>
                                  <w:b/>
                                  <w:smallCaps w:val="0"/>
                                  <w:color w:val="FFFFFF"/>
                                  <w:spacing w:val="-5"/>
                                  <w:sz w:val="18"/>
                                </w:rPr>
                                <w:t> </w:t>
                              </w:r>
                              <w:r>
                                <w:rPr>
                                  <w:b/>
                                  <w:smallCaps w:val="0"/>
                                  <w:color w:val="FFFFFF"/>
                                  <w:sz w:val="18"/>
                                </w:rPr>
                                <w:t>περ</w:t>
                              </w:r>
                              <w:r>
                                <w:rPr>
                                  <w:b/>
                                  <w:smallCaps/>
                                  <w:color w:val="FFFFFF"/>
                                  <w:sz w:val="18"/>
                                </w:rPr>
                                <w:t>ιο</w:t>
                              </w:r>
                              <w:r>
                                <w:rPr>
                                  <w:b/>
                                  <w:smallCaps w:val="0"/>
                                  <w:color w:val="FFFFFF"/>
                                  <w:sz w:val="18"/>
                                </w:rPr>
                                <w:t>χών</w:t>
                              </w:r>
                              <w:r>
                                <w:rPr>
                                  <w:b/>
                                  <w:smallCaps w:val="0"/>
                                  <w:color w:val="FFFFFF"/>
                                  <w:spacing w:val="-6"/>
                                  <w:sz w:val="18"/>
                                </w:rPr>
                                <w:t> </w:t>
                              </w:r>
                              <w:r>
                                <w:rPr>
                                  <w:b/>
                                  <w:smallCaps w:val="0"/>
                                  <w:color w:val="FFFFFF"/>
                                  <w:sz w:val="18"/>
                                </w:rPr>
                                <w:t>του</w:t>
                              </w:r>
                              <w:r>
                                <w:rPr>
                                  <w:b/>
                                  <w:smallCaps w:val="0"/>
                                  <w:color w:val="FFFFFF"/>
                                  <w:spacing w:val="-5"/>
                                  <w:sz w:val="18"/>
                                </w:rPr>
                                <w:t> </w:t>
                              </w:r>
                              <w:r>
                                <w:rPr>
                                  <w:b/>
                                  <w:smallCaps w:val="0"/>
                                  <w:color w:val="FFFFFF"/>
                                  <w:sz w:val="18"/>
                                </w:rPr>
                                <w:t>πλα</w:t>
                              </w:r>
                              <w:r>
                                <w:rPr>
                                  <w:b/>
                                  <w:smallCaps/>
                                  <w:color w:val="FFFFFF"/>
                                  <w:sz w:val="18"/>
                                </w:rPr>
                                <w:t>ι</w:t>
                              </w:r>
                              <w:r>
                                <w:rPr>
                                  <w:b/>
                                  <w:smallCaps w:val="0"/>
                                  <w:color w:val="FFFFFF"/>
                                  <w:sz w:val="18"/>
                                </w:rPr>
                                <w:t>σίου</w:t>
                              </w:r>
                              <w:r>
                                <w:rPr>
                                  <w:b/>
                                  <w:smallCaps w:val="0"/>
                                  <w:color w:val="FFFFFF"/>
                                  <w:spacing w:val="-7"/>
                                  <w:sz w:val="18"/>
                                </w:rPr>
                                <w:t> </w:t>
                              </w:r>
                              <w:r>
                                <w:rPr>
                                  <w:b/>
                                  <w:smallCaps w:val="0"/>
                                  <w:color w:val="FFFFFF"/>
                                  <w:sz w:val="18"/>
                                </w:rPr>
                                <w:t>αξ</w:t>
                              </w:r>
                              <w:r>
                                <w:rPr>
                                  <w:b/>
                                  <w:smallCaps/>
                                  <w:color w:val="FFFFFF"/>
                                  <w:sz w:val="18"/>
                                </w:rPr>
                                <w:t>ιο</w:t>
                              </w:r>
                              <w:r>
                                <w:rPr>
                                  <w:b/>
                                  <w:smallCaps w:val="0"/>
                                  <w:color w:val="FFFFFF"/>
                                  <w:sz w:val="18"/>
                                </w:rPr>
                                <w:t>λόγησης</w:t>
                              </w:r>
                              <w:r>
                                <w:rPr>
                                  <w:b/>
                                  <w:smallCaps w:val="0"/>
                                  <w:color w:val="FFFFFF"/>
                                  <w:spacing w:val="-7"/>
                                  <w:sz w:val="18"/>
                                </w:rPr>
                                <w:t> </w:t>
                              </w:r>
                              <w:r>
                                <w:rPr>
                                  <w:b/>
                                  <w:smallCaps w:val="0"/>
                                  <w:color w:val="FFFFFF"/>
                                  <w:sz w:val="18"/>
                                </w:rPr>
                                <w:t>των</w:t>
                              </w:r>
                              <w:r>
                                <w:rPr>
                                  <w:b/>
                                  <w:smallCaps w:val="0"/>
                                  <w:color w:val="FFFFFF"/>
                                  <w:spacing w:val="-5"/>
                                  <w:sz w:val="18"/>
                                </w:rPr>
                                <w:t> </w:t>
                              </w:r>
                              <w:r>
                                <w:rPr>
                                  <w:b/>
                                  <w:smallCaps w:val="0"/>
                                  <w:color w:val="FFFFFF"/>
                                  <w:sz w:val="18"/>
                                </w:rPr>
                                <w:t>συστημ</w:t>
                              </w:r>
                              <w:r>
                                <w:rPr>
                                  <w:b/>
                                  <w:smallCaps/>
                                  <w:color w:val="FFFFFF"/>
                                  <w:sz w:val="18"/>
                                </w:rPr>
                                <w:t>ι</w:t>
                              </w:r>
                              <w:r>
                                <w:rPr>
                                  <w:b/>
                                  <w:smallCaps w:val="0"/>
                                  <w:color w:val="FFFFFF"/>
                                  <w:sz w:val="18"/>
                                </w:rPr>
                                <w:t>κών </w:t>
                              </w:r>
                              <w:r>
                                <w:rPr>
                                  <w:b/>
                                  <w:smallCaps w:val="0"/>
                                  <w:color w:val="FFFFFF"/>
                                  <w:spacing w:val="-2"/>
                                  <w:sz w:val="18"/>
                                </w:rPr>
                                <w:t>κ</w:t>
                              </w:r>
                              <w:r>
                                <w:rPr>
                                  <w:b/>
                                  <w:smallCaps/>
                                  <w:color w:val="FFFFFF"/>
                                  <w:spacing w:val="-2"/>
                                  <w:sz w:val="18"/>
                                </w:rPr>
                                <w:t>ιν</w:t>
                              </w:r>
                              <w:r>
                                <w:rPr>
                                  <w:b/>
                                  <w:smallCaps w:val="0"/>
                                  <w:color w:val="FFFFFF"/>
                                  <w:spacing w:val="-2"/>
                                  <w:sz w:val="18"/>
                                </w:rPr>
                                <w:t>δύνων</w:t>
                              </w:r>
                            </w:p>
                          </w:txbxContent>
                        </wps:txbx>
                        <wps:bodyPr wrap="square" lIns="0" tIns="0" rIns="0" bIns="0" rtlCol="0">
                          <a:noAutofit/>
                        </wps:bodyPr>
                      </wps:wsp>
                      <wps:wsp>
                        <wps:cNvPr id="790" name="Graphic 790"/>
                        <wps:cNvSpPr/>
                        <wps:spPr>
                          <a:xfrm>
                            <a:off x="0" y="0"/>
                            <a:ext cx="5402580" cy="366395"/>
                          </a:xfrm>
                          <a:custGeom>
                            <a:avLst/>
                            <a:gdLst/>
                            <a:ahLst/>
                            <a:cxnLst/>
                            <a:rect l="l" t="t" r="r" b="b"/>
                            <a:pathLst>
                              <a:path w="5402580" h="366395">
                                <a:moveTo>
                                  <a:pt x="5395849" y="0"/>
                                </a:moveTo>
                                <a:lnTo>
                                  <a:pt x="6096" y="0"/>
                                </a:lnTo>
                                <a:lnTo>
                                  <a:pt x="0" y="0"/>
                                </a:lnTo>
                                <a:lnTo>
                                  <a:pt x="0" y="6045"/>
                                </a:lnTo>
                                <a:lnTo>
                                  <a:pt x="0" y="366014"/>
                                </a:lnTo>
                                <a:lnTo>
                                  <a:pt x="6096" y="366014"/>
                                </a:lnTo>
                                <a:lnTo>
                                  <a:pt x="6096" y="6096"/>
                                </a:lnTo>
                                <a:lnTo>
                                  <a:pt x="5395849" y="6096"/>
                                </a:lnTo>
                                <a:lnTo>
                                  <a:pt x="5395849" y="0"/>
                                </a:lnTo>
                                <a:close/>
                              </a:path>
                              <a:path w="5402580" h="366395">
                                <a:moveTo>
                                  <a:pt x="5402021" y="0"/>
                                </a:moveTo>
                                <a:lnTo>
                                  <a:pt x="5395925" y="0"/>
                                </a:lnTo>
                                <a:lnTo>
                                  <a:pt x="5395925" y="6045"/>
                                </a:lnTo>
                                <a:lnTo>
                                  <a:pt x="5395925" y="366014"/>
                                </a:lnTo>
                                <a:lnTo>
                                  <a:pt x="5402021" y="366014"/>
                                </a:lnTo>
                                <a:lnTo>
                                  <a:pt x="5402021" y="6096"/>
                                </a:lnTo>
                                <a:lnTo>
                                  <a:pt x="5402021" y="0"/>
                                </a:lnTo>
                                <a:close/>
                              </a:path>
                            </a:pathLst>
                          </a:custGeom>
                          <a:solidFill>
                            <a:srgbClr val="000000"/>
                          </a:solidFill>
                        </wps:spPr>
                        <wps:bodyPr wrap="square" lIns="0" tIns="0" rIns="0" bIns="0" rtlCol="0">
                          <a:prstTxWarp prst="textNoShape">
                            <a:avLst/>
                          </a:prstTxWarp>
                          <a:noAutofit/>
                        </wps:bodyPr>
                      </wps:wsp>
                      <wps:wsp>
                        <wps:cNvPr id="791" name="Graphic 791"/>
                        <wps:cNvSpPr/>
                        <wps:spPr>
                          <a:xfrm>
                            <a:off x="6095" y="366013"/>
                            <a:ext cx="5388610" cy="1807845"/>
                          </a:xfrm>
                          <a:custGeom>
                            <a:avLst/>
                            <a:gdLst/>
                            <a:ahLst/>
                            <a:cxnLst/>
                            <a:rect l="l" t="t" r="r" b="b"/>
                            <a:pathLst>
                              <a:path w="5388610" h="1807845">
                                <a:moveTo>
                                  <a:pt x="5388229" y="0"/>
                                </a:moveTo>
                                <a:lnTo>
                                  <a:pt x="0" y="0"/>
                                </a:lnTo>
                                <a:lnTo>
                                  <a:pt x="0" y="1807464"/>
                                </a:lnTo>
                                <a:lnTo>
                                  <a:pt x="5388229" y="1807464"/>
                                </a:lnTo>
                                <a:lnTo>
                                  <a:pt x="5388229" y="0"/>
                                </a:lnTo>
                                <a:close/>
                              </a:path>
                            </a:pathLst>
                          </a:custGeom>
                          <a:solidFill>
                            <a:srgbClr val="D9D9D9"/>
                          </a:solidFill>
                        </wps:spPr>
                        <wps:bodyPr wrap="square" lIns="0" tIns="0" rIns="0" bIns="0" rtlCol="0">
                          <a:prstTxWarp prst="textNoShape">
                            <a:avLst/>
                          </a:prstTxWarp>
                          <a:noAutofit/>
                        </wps:bodyPr>
                      </wps:wsp>
                      <wps:wsp>
                        <wps:cNvPr id="792" name="Graphic 792"/>
                        <wps:cNvSpPr/>
                        <wps:spPr>
                          <a:xfrm>
                            <a:off x="0" y="366013"/>
                            <a:ext cx="5402580" cy="1807845"/>
                          </a:xfrm>
                          <a:custGeom>
                            <a:avLst/>
                            <a:gdLst/>
                            <a:ahLst/>
                            <a:cxnLst/>
                            <a:rect l="l" t="t" r="r" b="b"/>
                            <a:pathLst>
                              <a:path w="5402580" h="1807845">
                                <a:moveTo>
                                  <a:pt x="6096" y="0"/>
                                </a:moveTo>
                                <a:lnTo>
                                  <a:pt x="0" y="0"/>
                                </a:lnTo>
                                <a:lnTo>
                                  <a:pt x="0" y="1807464"/>
                                </a:lnTo>
                                <a:lnTo>
                                  <a:pt x="6096" y="1807464"/>
                                </a:lnTo>
                                <a:lnTo>
                                  <a:pt x="6096" y="0"/>
                                </a:lnTo>
                                <a:close/>
                              </a:path>
                              <a:path w="5402580" h="1807845">
                                <a:moveTo>
                                  <a:pt x="5402021" y="0"/>
                                </a:moveTo>
                                <a:lnTo>
                                  <a:pt x="5395925" y="0"/>
                                </a:lnTo>
                                <a:lnTo>
                                  <a:pt x="5395925" y="1807464"/>
                                </a:lnTo>
                                <a:lnTo>
                                  <a:pt x="5402021" y="1807464"/>
                                </a:lnTo>
                                <a:lnTo>
                                  <a:pt x="5402021" y="0"/>
                                </a:lnTo>
                                <a:close/>
                              </a:path>
                            </a:pathLst>
                          </a:custGeom>
                          <a:solidFill>
                            <a:srgbClr val="000000"/>
                          </a:solidFill>
                        </wps:spPr>
                        <wps:bodyPr wrap="square" lIns="0" tIns="0" rIns="0" bIns="0" rtlCol="0">
                          <a:prstTxWarp prst="textNoShape">
                            <a:avLst/>
                          </a:prstTxWarp>
                          <a:noAutofit/>
                        </wps:bodyPr>
                      </wps:wsp>
                      <wps:wsp>
                        <wps:cNvPr id="793" name="Graphic 793"/>
                        <wps:cNvSpPr/>
                        <wps:spPr>
                          <a:xfrm>
                            <a:off x="6095" y="2173477"/>
                            <a:ext cx="5388610" cy="180340"/>
                          </a:xfrm>
                          <a:custGeom>
                            <a:avLst/>
                            <a:gdLst/>
                            <a:ahLst/>
                            <a:cxnLst/>
                            <a:rect l="l" t="t" r="r" b="b"/>
                            <a:pathLst>
                              <a:path w="5388610" h="180340">
                                <a:moveTo>
                                  <a:pt x="5388229" y="0"/>
                                </a:moveTo>
                                <a:lnTo>
                                  <a:pt x="0" y="0"/>
                                </a:lnTo>
                                <a:lnTo>
                                  <a:pt x="0" y="179831"/>
                                </a:lnTo>
                                <a:lnTo>
                                  <a:pt x="5388229" y="179831"/>
                                </a:lnTo>
                                <a:lnTo>
                                  <a:pt x="5388229" y="0"/>
                                </a:lnTo>
                                <a:close/>
                              </a:path>
                            </a:pathLst>
                          </a:custGeom>
                          <a:solidFill>
                            <a:srgbClr val="D9D9D9"/>
                          </a:solidFill>
                        </wps:spPr>
                        <wps:bodyPr wrap="square" lIns="0" tIns="0" rIns="0" bIns="0" rtlCol="0">
                          <a:prstTxWarp prst="textNoShape">
                            <a:avLst/>
                          </a:prstTxWarp>
                          <a:noAutofit/>
                        </wps:bodyPr>
                      </wps:wsp>
                      <wps:wsp>
                        <wps:cNvPr id="794" name="Graphic 794"/>
                        <wps:cNvSpPr/>
                        <wps:spPr>
                          <a:xfrm>
                            <a:off x="0" y="2173490"/>
                            <a:ext cx="5402580" cy="186055"/>
                          </a:xfrm>
                          <a:custGeom>
                            <a:avLst/>
                            <a:gdLst/>
                            <a:ahLst/>
                            <a:cxnLst/>
                            <a:rect l="l" t="t" r="r" b="b"/>
                            <a:pathLst>
                              <a:path w="5402580" h="186055">
                                <a:moveTo>
                                  <a:pt x="5395849" y="179819"/>
                                </a:moveTo>
                                <a:lnTo>
                                  <a:pt x="6096" y="179819"/>
                                </a:lnTo>
                                <a:lnTo>
                                  <a:pt x="6096" y="0"/>
                                </a:lnTo>
                                <a:lnTo>
                                  <a:pt x="0" y="0"/>
                                </a:lnTo>
                                <a:lnTo>
                                  <a:pt x="0" y="179819"/>
                                </a:lnTo>
                                <a:lnTo>
                                  <a:pt x="0" y="185915"/>
                                </a:lnTo>
                                <a:lnTo>
                                  <a:pt x="6096" y="185915"/>
                                </a:lnTo>
                                <a:lnTo>
                                  <a:pt x="5395849" y="185915"/>
                                </a:lnTo>
                                <a:lnTo>
                                  <a:pt x="5395849" y="179819"/>
                                </a:lnTo>
                                <a:close/>
                              </a:path>
                              <a:path w="5402580" h="186055">
                                <a:moveTo>
                                  <a:pt x="5402021" y="0"/>
                                </a:moveTo>
                                <a:lnTo>
                                  <a:pt x="5395925" y="0"/>
                                </a:lnTo>
                                <a:lnTo>
                                  <a:pt x="5395925" y="179819"/>
                                </a:lnTo>
                                <a:lnTo>
                                  <a:pt x="5395925" y="185915"/>
                                </a:lnTo>
                                <a:lnTo>
                                  <a:pt x="5402021" y="185915"/>
                                </a:lnTo>
                                <a:lnTo>
                                  <a:pt x="5402021" y="179819"/>
                                </a:lnTo>
                                <a:lnTo>
                                  <a:pt x="5402021" y="0"/>
                                </a:lnTo>
                                <a:close/>
                              </a:path>
                            </a:pathLst>
                          </a:custGeom>
                          <a:solidFill>
                            <a:srgbClr val="000000"/>
                          </a:solidFill>
                        </wps:spPr>
                        <wps:bodyPr wrap="square" lIns="0" tIns="0" rIns="0" bIns="0" rtlCol="0">
                          <a:prstTxWarp prst="textNoShape">
                            <a:avLst/>
                          </a:prstTxWarp>
                          <a:noAutofit/>
                        </wps:bodyPr>
                      </wps:wsp>
                      <pic:pic>
                        <pic:nvPicPr>
                          <pic:cNvPr id="795" name="Image 795"/>
                          <pic:cNvPicPr/>
                        </pic:nvPicPr>
                        <pic:blipFill>
                          <a:blip r:embed="rId157" cstate="print"/>
                          <a:stretch>
                            <a:fillRect/>
                          </a:stretch>
                        </pic:blipFill>
                        <pic:spPr>
                          <a:xfrm>
                            <a:off x="77292" y="468376"/>
                            <a:ext cx="5234305" cy="1704212"/>
                          </a:xfrm>
                          <a:prstGeom prst="rect">
                            <a:avLst/>
                          </a:prstGeom>
                        </pic:spPr>
                      </pic:pic>
                    </wpg:wgp>
                  </a:graphicData>
                </a:graphic>
              </wp:inline>
            </w:drawing>
          </mc:Choice>
          <mc:Fallback>
            <w:pict>
              <v:group style="width:425.4pt;height:185.8pt;mso-position-horizontal-relative:char;mso-position-vertical-relative:line" id="docshapegroup737" coordorigin="0,0" coordsize="8508,3716">
                <v:shape style="position:absolute;left:9;top:9;width:8486;height:567" type="#_x0000_t202" id="docshape738" filled="true" fillcolor="#1f487c" stroked="false">
                  <v:textbox inset="0,0,0,0">
                    <w:txbxContent>
                      <w:p>
                        <w:pPr>
                          <w:spacing w:before="77"/>
                          <w:ind w:left="112" w:right="0" w:firstLine="0"/>
                          <w:jc w:val="left"/>
                          <w:rPr>
                            <w:b/>
                            <w:color w:val="000000"/>
                            <w:sz w:val="18"/>
                          </w:rPr>
                        </w:pPr>
                        <w:r>
                          <w:rPr>
                            <w:b/>
                            <w:color w:val="FFFFFF"/>
                            <w:sz w:val="18"/>
                          </w:rPr>
                          <w:t>Δ</w:t>
                        </w:r>
                        <w:r>
                          <w:rPr>
                            <w:b/>
                            <w:smallCaps/>
                            <w:color w:val="FFFFFF"/>
                            <w:sz w:val="18"/>
                          </w:rPr>
                          <w:t>ι</w:t>
                        </w:r>
                        <w:r>
                          <w:rPr>
                            <w:b/>
                            <w:smallCaps w:val="0"/>
                            <w:color w:val="FFFFFF"/>
                            <w:sz w:val="18"/>
                          </w:rPr>
                          <w:t>άγραμμα</w:t>
                        </w:r>
                        <w:r>
                          <w:rPr>
                            <w:b/>
                            <w:smallCaps w:val="0"/>
                            <w:color w:val="FFFFFF"/>
                            <w:spacing w:val="-7"/>
                            <w:sz w:val="18"/>
                          </w:rPr>
                          <w:t> </w:t>
                        </w:r>
                        <w:r>
                          <w:rPr>
                            <w:b/>
                            <w:smallCaps w:val="0"/>
                            <w:color w:val="FFFFFF"/>
                            <w:sz w:val="18"/>
                          </w:rPr>
                          <w:t>1</w:t>
                        </w:r>
                        <w:r>
                          <w:rPr>
                            <w:b/>
                            <w:smallCaps w:val="0"/>
                            <w:color w:val="FFFFFF"/>
                            <w:spacing w:val="-5"/>
                            <w:sz w:val="18"/>
                          </w:rPr>
                          <w:t> </w:t>
                        </w:r>
                        <w:r>
                          <w:rPr>
                            <w:b/>
                            <w:smallCaps w:val="0"/>
                            <w:color w:val="FFFFFF"/>
                            <w:sz w:val="18"/>
                          </w:rPr>
                          <w:t>Σχηματ</w:t>
                        </w:r>
                        <w:r>
                          <w:rPr>
                            <w:b/>
                            <w:smallCaps/>
                            <w:color w:val="FFFFFF"/>
                            <w:sz w:val="18"/>
                          </w:rPr>
                          <w:t>ι</w:t>
                        </w:r>
                        <w:r>
                          <w:rPr>
                            <w:b/>
                            <w:smallCaps w:val="0"/>
                            <w:color w:val="FFFFFF"/>
                            <w:sz w:val="18"/>
                          </w:rPr>
                          <w:t>κή</w:t>
                        </w:r>
                        <w:r>
                          <w:rPr>
                            <w:b/>
                            <w:smallCaps w:val="0"/>
                            <w:color w:val="FFFFFF"/>
                            <w:spacing w:val="-7"/>
                            <w:sz w:val="18"/>
                          </w:rPr>
                          <w:t> </w:t>
                        </w:r>
                        <w:r>
                          <w:rPr>
                            <w:b/>
                            <w:smallCaps w:val="0"/>
                            <w:color w:val="FFFFFF"/>
                            <w:sz w:val="18"/>
                          </w:rPr>
                          <w:t>απε</w:t>
                        </w:r>
                        <w:r>
                          <w:rPr>
                            <w:b/>
                            <w:smallCaps/>
                            <w:color w:val="FFFFFF"/>
                            <w:sz w:val="18"/>
                          </w:rPr>
                          <w:t>ι</w:t>
                        </w:r>
                        <w:r>
                          <w:rPr>
                            <w:b/>
                            <w:smallCaps w:val="0"/>
                            <w:color w:val="FFFFFF"/>
                            <w:sz w:val="18"/>
                          </w:rPr>
                          <w:t>κόν</w:t>
                        </w:r>
                        <w:r>
                          <w:rPr>
                            <w:b/>
                            <w:smallCaps/>
                            <w:color w:val="FFFFFF"/>
                            <w:sz w:val="18"/>
                          </w:rPr>
                          <w:t>ι</w:t>
                        </w:r>
                        <w:r>
                          <w:rPr>
                            <w:b/>
                            <w:smallCaps w:val="0"/>
                            <w:color w:val="FFFFFF"/>
                            <w:sz w:val="18"/>
                          </w:rPr>
                          <w:t>ση</w:t>
                        </w:r>
                        <w:r>
                          <w:rPr>
                            <w:b/>
                            <w:smallCaps w:val="0"/>
                            <w:color w:val="FFFFFF"/>
                            <w:spacing w:val="-6"/>
                            <w:sz w:val="18"/>
                          </w:rPr>
                          <w:t> </w:t>
                        </w:r>
                        <w:r>
                          <w:rPr>
                            <w:b/>
                            <w:smallCaps w:val="0"/>
                            <w:color w:val="FFFFFF"/>
                            <w:sz w:val="18"/>
                          </w:rPr>
                          <w:t>των</w:t>
                        </w:r>
                        <w:r>
                          <w:rPr>
                            <w:b/>
                            <w:smallCaps w:val="0"/>
                            <w:color w:val="FFFFFF"/>
                            <w:spacing w:val="-5"/>
                            <w:sz w:val="18"/>
                          </w:rPr>
                          <w:t> </w:t>
                        </w:r>
                        <w:r>
                          <w:rPr>
                            <w:b/>
                            <w:smallCaps w:val="0"/>
                            <w:color w:val="FFFFFF"/>
                            <w:sz w:val="18"/>
                          </w:rPr>
                          <w:t>επ</w:t>
                        </w:r>
                        <w:r>
                          <w:rPr>
                            <w:b/>
                            <w:smallCaps/>
                            <w:color w:val="FFFFFF"/>
                            <w:sz w:val="18"/>
                          </w:rPr>
                          <w:t>ι</w:t>
                        </w:r>
                        <w:r>
                          <w:rPr>
                            <w:b/>
                            <w:smallCaps w:val="0"/>
                            <w:color w:val="FFFFFF"/>
                            <w:sz w:val="18"/>
                          </w:rPr>
                          <w:t>μέρους</w:t>
                        </w:r>
                        <w:r>
                          <w:rPr>
                            <w:b/>
                            <w:smallCaps w:val="0"/>
                            <w:color w:val="FFFFFF"/>
                            <w:spacing w:val="-5"/>
                            <w:sz w:val="18"/>
                          </w:rPr>
                          <w:t> </w:t>
                        </w:r>
                        <w:r>
                          <w:rPr>
                            <w:b/>
                            <w:smallCaps w:val="0"/>
                            <w:color w:val="FFFFFF"/>
                            <w:sz w:val="18"/>
                          </w:rPr>
                          <w:t>περ</w:t>
                        </w:r>
                        <w:r>
                          <w:rPr>
                            <w:b/>
                            <w:smallCaps/>
                            <w:color w:val="FFFFFF"/>
                            <w:sz w:val="18"/>
                          </w:rPr>
                          <w:t>ιο</w:t>
                        </w:r>
                        <w:r>
                          <w:rPr>
                            <w:b/>
                            <w:smallCaps w:val="0"/>
                            <w:color w:val="FFFFFF"/>
                            <w:sz w:val="18"/>
                          </w:rPr>
                          <w:t>χών</w:t>
                        </w:r>
                        <w:r>
                          <w:rPr>
                            <w:b/>
                            <w:smallCaps w:val="0"/>
                            <w:color w:val="FFFFFF"/>
                            <w:spacing w:val="-6"/>
                            <w:sz w:val="18"/>
                          </w:rPr>
                          <w:t> </w:t>
                        </w:r>
                        <w:r>
                          <w:rPr>
                            <w:b/>
                            <w:smallCaps w:val="0"/>
                            <w:color w:val="FFFFFF"/>
                            <w:sz w:val="18"/>
                          </w:rPr>
                          <w:t>του</w:t>
                        </w:r>
                        <w:r>
                          <w:rPr>
                            <w:b/>
                            <w:smallCaps w:val="0"/>
                            <w:color w:val="FFFFFF"/>
                            <w:spacing w:val="-5"/>
                            <w:sz w:val="18"/>
                          </w:rPr>
                          <w:t> </w:t>
                        </w:r>
                        <w:r>
                          <w:rPr>
                            <w:b/>
                            <w:smallCaps w:val="0"/>
                            <w:color w:val="FFFFFF"/>
                            <w:sz w:val="18"/>
                          </w:rPr>
                          <w:t>πλα</w:t>
                        </w:r>
                        <w:r>
                          <w:rPr>
                            <w:b/>
                            <w:smallCaps/>
                            <w:color w:val="FFFFFF"/>
                            <w:sz w:val="18"/>
                          </w:rPr>
                          <w:t>ι</w:t>
                        </w:r>
                        <w:r>
                          <w:rPr>
                            <w:b/>
                            <w:smallCaps w:val="0"/>
                            <w:color w:val="FFFFFF"/>
                            <w:sz w:val="18"/>
                          </w:rPr>
                          <w:t>σίου</w:t>
                        </w:r>
                        <w:r>
                          <w:rPr>
                            <w:b/>
                            <w:smallCaps w:val="0"/>
                            <w:color w:val="FFFFFF"/>
                            <w:spacing w:val="-7"/>
                            <w:sz w:val="18"/>
                          </w:rPr>
                          <w:t> </w:t>
                        </w:r>
                        <w:r>
                          <w:rPr>
                            <w:b/>
                            <w:smallCaps w:val="0"/>
                            <w:color w:val="FFFFFF"/>
                            <w:sz w:val="18"/>
                          </w:rPr>
                          <w:t>αξ</w:t>
                        </w:r>
                        <w:r>
                          <w:rPr>
                            <w:b/>
                            <w:smallCaps/>
                            <w:color w:val="FFFFFF"/>
                            <w:sz w:val="18"/>
                          </w:rPr>
                          <w:t>ιο</w:t>
                        </w:r>
                        <w:r>
                          <w:rPr>
                            <w:b/>
                            <w:smallCaps w:val="0"/>
                            <w:color w:val="FFFFFF"/>
                            <w:sz w:val="18"/>
                          </w:rPr>
                          <w:t>λόγησης</w:t>
                        </w:r>
                        <w:r>
                          <w:rPr>
                            <w:b/>
                            <w:smallCaps w:val="0"/>
                            <w:color w:val="FFFFFF"/>
                            <w:spacing w:val="-7"/>
                            <w:sz w:val="18"/>
                          </w:rPr>
                          <w:t> </w:t>
                        </w:r>
                        <w:r>
                          <w:rPr>
                            <w:b/>
                            <w:smallCaps w:val="0"/>
                            <w:color w:val="FFFFFF"/>
                            <w:sz w:val="18"/>
                          </w:rPr>
                          <w:t>των</w:t>
                        </w:r>
                        <w:r>
                          <w:rPr>
                            <w:b/>
                            <w:smallCaps w:val="0"/>
                            <w:color w:val="FFFFFF"/>
                            <w:spacing w:val="-5"/>
                            <w:sz w:val="18"/>
                          </w:rPr>
                          <w:t> </w:t>
                        </w:r>
                        <w:r>
                          <w:rPr>
                            <w:b/>
                            <w:smallCaps w:val="0"/>
                            <w:color w:val="FFFFFF"/>
                            <w:sz w:val="18"/>
                          </w:rPr>
                          <w:t>συστημ</w:t>
                        </w:r>
                        <w:r>
                          <w:rPr>
                            <w:b/>
                            <w:smallCaps/>
                            <w:color w:val="FFFFFF"/>
                            <w:sz w:val="18"/>
                          </w:rPr>
                          <w:t>ι</w:t>
                        </w:r>
                        <w:r>
                          <w:rPr>
                            <w:b/>
                            <w:smallCaps w:val="0"/>
                            <w:color w:val="FFFFFF"/>
                            <w:sz w:val="18"/>
                          </w:rPr>
                          <w:t>κών </w:t>
                        </w:r>
                        <w:r>
                          <w:rPr>
                            <w:b/>
                            <w:smallCaps w:val="0"/>
                            <w:color w:val="FFFFFF"/>
                            <w:spacing w:val="-2"/>
                            <w:sz w:val="18"/>
                          </w:rPr>
                          <w:t>κ</w:t>
                        </w:r>
                        <w:r>
                          <w:rPr>
                            <w:b/>
                            <w:smallCaps/>
                            <w:color w:val="FFFFFF"/>
                            <w:spacing w:val="-2"/>
                            <w:sz w:val="18"/>
                          </w:rPr>
                          <w:t>ιν</w:t>
                        </w:r>
                        <w:r>
                          <w:rPr>
                            <w:b/>
                            <w:smallCaps w:val="0"/>
                            <w:color w:val="FFFFFF"/>
                            <w:spacing w:val="-2"/>
                            <w:sz w:val="18"/>
                          </w:rPr>
                          <w:t>δύνων</w:t>
                        </w:r>
                      </w:p>
                    </w:txbxContent>
                  </v:textbox>
                  <v:fill type="solid"/>
                  <w10:wrap type="none"/>
                </v:shape>
                <v:shape style="position:absolute;left:0;top:0;width:8508;height:577" id="docshape739" coordorigin="0,0" coordsize="8508,577" path="m8497,0l10,0,0,0,0,10,0,10,0,576,10,576,10,10,8497,10,8497,0xm8507,0l8498,0,8498,10,8498,10,8498,576,8507,576,8507,10,8507,10,8507,0xe" filled="true" fillcolor="#000000" stroked="false">
                  <v:path arrowok="t"/>
                  <v:fill type="solid"/>
                </v:shape>
                <v:rect style="position:absolute;left:9;top:576;width:8486;height:2847" id="docshape740" filled="true" fillcolor="#d9d9d9" stroked="false">
                  <v:fill type="solid"/>
                </v:rect>
                <v:shape style="position:absolute;left:0;top:576;width:8508;height:2847" id="docshape741" coordorigin="0,576" coordsize="8508,2847" path="m10,576l0,576,0,3423,10,3423,10,576xm8507,576l8498,576,8498,3423,8507,3423,8507,576xe" filled="true" fillcolor="#000000" stroked="false">
                  <v:path arrowok="t"/>
                  <v:fill type="solid"/>
                </v:shape>
                <v:rect style="position:absolute;left:9;top:3422;width:8486;height:284" id="docshape742" filled="true" fillcolor="#d9d9d9" stroked="false">
                  <v:fill type="solid"/>
                </v:rect>
                <v:shape style="position:absolute;left:0;top:3422;width:8508;height:293" id="docshape743" coordorigin="0,3423" coordsize="8508,293" path="m8497,3706l10,3706,10,3423,0,3423,0,3706,0,3716,10,3716,8497,3716,8497,3706xm8507,3423l8498,3423,8498,3706,8498,3716,8507,3716,8507,3706,8507,3423xe" filled="true" fillcolor="#000000" stroked="false">
                  <v:path arrowok="t"/>
                  <v:fill type="solid"/>
                </v:shape>
                <v:shape style="position:absolute;left:121;top:737;width:8243;height:2684" type="#_x0000_t75" id="docshape744" stroked="false">
                  <v:imagedata r:id="rId157" o:title=""/>
                </v:shape>
              </v:group>
            </w:pict>
          </mc:Fallback>
        </mc:AlternateContent>
      </w:r>
      <w:r>
        <w:rPr>
          <w:sz w:val="20"/>
        </w:rPr>
      </w:r>
    </w:p>
    <w:p>
      <w:pPr>
        <w:pStyle w:val="BodyText"/>
        <w:spacing w:before="178"/>
      </w:pPr>
    </w:p>
    <w:p>
      <w:pPr>
        <w:pStyle w:val="BodyText"/>
        <w:ind w:left="172"/>
        <w:jc w:val="both"/>
      </w:pPr>
      <w:r>
        <w:rPr/>
        <w:t>Ακολουθεί</w:t>
      </w:r>
      <w:r>
        <w:rPr>
          <w:spacing w:val="-6"/>
        </w:rPr>
        <w:t> </w:t>
      </w:r>
      <w:r>
        <w:rPr/>
        <w:t>ανάλυση</w:t>
      </w:r>
      <w:r>
        <w:rPr>
          <w:spacing w:val="-9"/>
        </w:rPr>
        <w:t> </w:t>
      </w:r>
      <w:r>
        <w:rPr/>
        <w:t>των</w:t>
      </w:r>
      <w:r>
        <w:rPr>
          <w:spacing w:val="-5"/>
        </w:rPr>
        <w:t> </w:t>
      </w:r>
      <w:r>
        <w:rPr/>
        <w:t>επιμέρους</w:t>
      </w:r>
      <w:r>
        <w:rPr>
          <w:spacing w:val="-7"/>
        </w:rPr>
        <w:t> </w:t>
      </w:r>
      <w:r>
        <w:rPr/>
        <w:t>περιοχών</w:t>
      </w:r>
      <w:r>
        <w:rPr>
          <w:spacing w:val="-4"/>
        </w:rPr>
        <w:t> </w:t>
      </w:r>
      <w:r>
        <w:rPr>
          <w:spacing w:val="-2"/>
        </w:rPr>
        <w:t>κινδύνου.</w:t>
      </w:r>
    </w:p>
    <w:p>
      <w:pPr>
        <w:pStyle w:val="BodyText"/>
        <w:spacing w:before="214"/>
      </w:pPr>
    </w:p>
    <w:p>
      <w:pPr>
        <w:pStyle w:val="Heading4"/>
      </w:pPr>
      <w:r>
        <w:rPr>
          <w:color w:val="1F487C"/>
        </w:rPr>
        <w:t>Α.</w:t>
      </w:r>
      <w:r>
        <w:rPr>
          <w:color w:val="1F487C"/>
          <w:spacing w:val="-5"/>
        </w:rPr>
        <w:t> </w:t>
      </w:r>
      <w:r>
        <w:rPr>
          <w:color w:val="1F487C"/>
        </w:rPr>
        <w:t>Κυκλ</w:t>
      </w:r>
      <w:r>
        <w:rPr>
          <w:smallCaps/>
          <w:color w:val="1F487C"/>
        </w:rPr>
        <w:t>ι</w:t>
      </w:r>
      <w:r>
        <w:rPr>
          <w:smallCaps w:val="0"/>
          <w:color w:val="1F487C"/>
        </w:rPr>
        <w:t>κή</w:t>
      </w:r>
      <w:r>
        <w:rPr>
          <w:smallCaps w:val="0"/>
          <w:color w:val="1F487C"/>
          <w:spacing w:val="-6"/>
        </w:rPr>
        <w:t> </w:t>
      </w:r>
      <w:r>
        <w:rPr>
          <w:smallCaps w:val="0"/>
          <w:color w:val="1F487C"/>
          <w:spacing w:val="-2"/>
        </w:rPr>
        <w:t>δ</w:t>
      </w:r>
      <w:r>
        <w:rPr>
          <w:smallCaps/>
          <w:color w:val="1F487C"/>
          <w:spacing w:val="-2"/>
        </w:rPr>
        <w:t>ι</w:t>
      </w:r>
      <w:r>
        <w:rPr>
          <w:smallCaps w:val="0"/>
          <w:color w:val="1F487C"/>
          <w:spacing w:val="-2"/>
        </w:rPr>
        <w:t>άσταση</w:t>
      </w:r>
    </w:p>
    <w:p>
      <w:pPr>
        <w:pStyle w:val="BodyText"/>
        <w:spacing w:line="285" w:lineRule="auto" w:before="107"/>
        <w:ind w:left="172" w:right="955"/>
        <w:jc w:val="both"/>
      </w:pPr>
      <w:r>
        <w:rPr/>
        <w:t>Η</w:t>
      </w:r>
      <w:r>
        <w:rPr>
          <w:spacing w:val="-3"/>
        </w:rPr>
        <w:t> </w:t>
      </w:r>
      <w:r>
        <w:rPr/>
        <w:t>κυκλική</w:t>
      </w:r>
      <w:r>
        <w:rPr>
          <w:spacing w:val="-5"/>
        </w:rPr>
        <w:t> </w:t>
      </w:r>
      <w:r>
        <w:rPr/>
        <w:t>διάσταση</w:t>
      </w:r>
      <w:r>
        <w:rPr>
          <w:spacing w:val="-4"/>
        </w:rPr>
        <w:t> </w:t>
      </w:r>
      <w:r>
        <w:rPr/>
        <w:t>εξετάζει</w:t>
      </w:r>
      <w:r>
        <w:rPr>
          <w:spacing w:val="-4"/>
        </w:rPr>
        <w:t> </w:t>
      </w:r>
      <w:r>
        <w:rPr/>
        <w:t>τους</w:t>
      </w:r>
      <w:r>
        <w:rPr>
          <w:spacing w:val="-3"/>
        </w:rPr>
        <w:t> </w:t>
      </w:r>
      <w:r>
        <w:rPr/>
        <w:t>κινδύνους</w:t>
      </w:r>
      <w:r>
        <w:rPr>
          <w:spacing w:val="-3"/>
        </w:rPr>
        <w:t> </w:t>
      </w:r>
      <w:r>
        <w:rPr/>
        <w:t>που</w:t>
      </w:r>
      <w:r>
        <w:rPr>
          <w:spacing w:val="-4"/>
        </w:rPr>
        <w:t> </w:t>
      </w:r>
      <w:r>
        <w:rPr/>
        <w:t>συνδέονται</w:t>
      </w:r>
      <w:r>
        <w:rPr>
          <w:spacing w:val="-2"/>
        </w:rPr>
        <w:t> </w:t>
      </w:r>
      <w:r>
        <w:rPr/>
        <w:t>με</w:t>
      </w:r>
      <w:r>
        <w:rPr>
          <w:spacing w:val="-2"/>
        </w:rPr>
        <w:t> </w:t>
      </w:r>
      <w:r>
        <w:rPr/>
        <w:t>τις</w:t>
      </w:r>
      <w:r>
        <w:rPr>
          <w:spacing w:val="-2"/>
        </w:rPr>
        <w:t> </w:t>
      </w:r>
      <w:r>
        <w:rPr/>
        <w:t>φάσεις</w:t>
      </w:r>
      <w:r>
        <w:rPr>
          <w:spacing w:val="-5"/>
        </w:rPr>
        <w:t> </w:t>
      </w:r>
      <w:r>
        <w:rPr/>
        <w:t>του</w:t>
      </w:r>
      <w:r>
        <w:rPr>
          <w:spacing w:val="-4"/>
        </w:rPr>
        <w:t> </w:t>
      </w:r>
      <w:r>
        <w:rPr/>
        <w:t>οικονομικού</w:t>
      </w:r>
      <w:r>
        <w:rPr>
          <w:spacing w:val="-4"/>
        </w:rPr>
        <w:t> </w:t>
      </w:r>
      <w:r>
        <w:rPr/>
        <w:t>κύ-κλου</w:t>
      </w:r>
      <w:r>
        <w:rPr>
          <w:spacing w:val="-7"/>
        </w:rPr>
        <w:t> </w:t>
      </w:r>
      <w:r>
        <w:rPr/>
        <w:t>και</w:t>
      </w:r>
      <w:r>
        <w:rPr>
          <w:spacing w:val="-6"/>
        </w:rPr>
        <w:t> </w:t>
      </w:r>
      <w:r>
        <w:rPr/>
        <w:t>αποτελεί</w:t>
      </w:r>
      <w:r>
        <w:rPr>
          <w:spacing w:val="-7"/>
        </w:rPr>
        <w:t> </w:t>
      </w:r>
      <w:r>
        <w:rPr/>
        <w:t>τη</w:t>
      </w:r>
      <w:r>
        <w:rPr>
          <w:spacing w:val="-6"/>
        </w:rPr>
        <w:t> </w:t>
      </w:r>
      <w:r>
        <w:rPr/>
        <w:t>μεγαλύτερη</w:t>
      </w:r>
      <w:r>
        <w:rPr>
          <w:spacing w:val="-7"/>
        </w:rPr>
        <w:t> </w:t>
      </w:r>
      <w:r>
        <w:rPr/>
        <w:t>κατηγορία</w:t>
      </w:r>
      <w:r>
        <w:rPr>
          <w:spacing w:val="-9"/>
        </w:rPr>
        <w:t> </w:t>
      </w:r>
      <w:r>
        <w:rPr/>
        <w:t>του</w:t>
      </w:r>
      <w:r>
        <w:rPr>
          <w:spacing w:val="-4"/>
        </w:rPr>
        <w:t> </w:t>
      </w:r>
      <w:r>
        <w:rPr/>
        <w:t>πλαισίου</w:t>
      </w:r>
      <w:r>
        <w:rPr>
          <w:spacing w:val="-6"/>
        </w:rPr>
        <w:t> </w:t>
      </w:r>
      <w:r>
        <w:rPr/>
        <w:t>αξιολόγησης,</w:t>
      </w:r>
      <w:r>
        <w:rPr>
          <w:spacing w:val="-7"/>
        </w:rPr>
        <w:t> </w:t>
      </w:r>
      <w:r>
        <w:rPr/>
        <w:t>καθώς</w:t>
      </w:r>
      <w:r>
        <w:rPr>
          <w:spacing w:val="-6"/>
        </w:rPr>
        <w:t> </w:t>
      </w:r>
      <w:r>
        <w:rPr/>
        <w:t>περιλαμβάνει</w:t>
      </w:r>
      <w:r>
        <w:rPr>
          <w:spacing w:val="-6"/>
        </w:rPr>
        <w:t> </w:t>
      </w:r>
      <w:r>
        <w:rPr/>
        <w:t>τις περισσότερες</w:t>
      </w:r>
      <w:r>
        <w:rPr>
          <w:spacing w:val="-2"/>
        </w:rPr>
        <w:t> </w:t>
      </w:r>
      <w:r>
        <w:rPr/>
        <w:t>επιμέρους</w:t>
      </w:r>
      <w:r>
        <w:rPr>
          <w:spacing w:val="-2"/>
        </w:rPr>
        <w:t> </w:t>
      </w:r>
      <w:r>
        <w:rPr/>
        <w:t>περιοχές</w:t>
      </w:r>
      <w:r>
        <w:rPr>
          <w:spacing w:val="-2"/>
        </w:rPr>
        <w:t> </w:t>
      </w:r>
      <w:r>
        <w:rPr/>
        <w:t>κινδύνου.</w:t>
      </w:r>
      <w:r>
        <w:rPr>
          <w:spacing w:val="-1"/>
        </w:rPr>
        <w:t> </w:t>
      </w:r>
      <w:r>
        <w:rPr/>
        <w:t>Επισημαίνεται ότι η</w:t>
      </w:r>
      <w:r>
        <w:rPr>
          <w:spacing w:val="-1"/>
        </w:rPr>
        <w:t> </w:t>
      </w:r>
      <w:r>
        <w:rPr/>
        <w:t>παρακολούθηση</w:t>
      </w:r>
      <w:r>
        <w:rPr>
          <w:spacing w:val="-3"/>
        </w:rPr>
        <w:t> </w:t>
      </w:r>
      <w:r>
        <w:rPr/>
        <w:t>των κυκλικών συστημικών</w:t>
      </w:r>
      <w:r>
        <w:rPr>
          <w:spacing w:val="-12"/>
        </w:rPr>
        <w:t> </w:t>
      </w:r>
      <w:r>
        <w:rPr/>
        <w:t>κινδύνων</w:t>
      </w:r>
      <w:r>
        <w:rPr>
          <w:spacing w:val="-14"/>
        </w:rPr>
        <w:t> </w:t>
      </w:r>
      <w:r>
        <w:rPr/>
        <w:t>είναι</w:t>
      </w:r>
      <w:r>
        <w:rPr>
          <w:spacing w:val="-14"/>
        </w:rPr>
        <w:t> </w:t>
      </w:r>
      <w:r>
        <w:rPr/>
        <w:t>άρρηκτα</w:t>
      </w:r>
      <w:r>
        <w:rPr>
          <w:spacing w:val="-12"/>
        </w:rPr>
        <w:t> </w:t>
      </w:r>
      <w:r>
        <w:rPr/>
        <w:t>συνδεδεμένη</w:t>
      </w:r>
      <w:r>
        <w:rPr>
          <w:spacing w:val="-13"/>
        </w:rPr>
        <w:t> </w:t>
      </w:r>
      <w:r>
        <w:rPr/>
        <w:t>με</w:t>
      </w:r>
      <w:r>
        <w:rPr>
          <w:spacing w:val="-12"/>
        </w:rPr>
        <w:t> </w:t>
      </w:r>
      <w:r>
        <w:rPr/>
        <w:t>τη</w:t>
      </w:r>
      <w:r>
        <w:rPr>
          <w:spacing w:val="-10"/>
        </w:rPr>
        <w:t> </w:t>
      </w:r>
      <w:r>
        <w:rPr/>
        <w:t>διαμόρφωση</w:t>
      </w:r>
      <w:r>
        <w:rPr>
          <w:spacing w:val="-13"/>
        </w:rPr>
        <w:t> </w:t>
      </w:r>
      <w:r>
        <w:rPr/>
        <w:t>της</w:t>
      </w:r>
      <w:r>
        <w:rPr>
          <w:spacing w:val="-14"/>
        </w:rPr>
        <w:t> </w:t>
      </w:r>
      <w:r>
        <w:rPr/>
        <w:t>μακροπροληπτικής</w:t>
      </w:r>
      <w:r>
        <w:rPr>
          <w:spacing w:val="-14"/>
        </w:rPr>
        <w:t> </w:t>
      </w:r>
      <w:r>
        <w:rPr/>
        <w:t>πο-λιτικής, καθώς η αξιολόγησή τους αποτελεί καθοριστικό παράγοντα για την ενεργοποίηση και βαθμονόμηση των σχετικών μακροπροληπτικών εργαλείων.</w:t>
      </w:r>
    </w:p>
    <w:p>
      <w:pPr>
        <w:pStyle w:val="BodyText"/>
        <w:spacing w:line="285" w:lineRule="auto" w:before="54"/>
        <w:ind w:left="172" w:right="957"/>
        <w:jc w:val="both"/>
        <w:rPr>
          <w:position w:val="6"/>
          <w:sz w:val="10"/>
        </w:rPr>
      </w:pPr>
      <w:r>
        <w:rPr/>
        <w:t>Στο</w:t>
      </w:r>
      <w:r>
        <w:rPr>
          <w:spacing w:val="-11"/>
        </w:rPr>
        <w:t> </w:t>
      </w:r>
      <w:r>
        <w:rPr/>
        <w:t>πλαίσιο</w:t>
      </w:r>
      <w:r>
        <w:rPr>
          <w:spacing w:val="-10"/>
        </w:rPr>
        <w:t> </w:t>
      </w:r>
      <w:r>
        <w:rPr/>
        <w:t>αυτό,</w:t>
      </w:r>
      <w:r>
        <w:rPr>
          <w:spacing w:val="-11"/>
        </w:rPr>
        <w:t> </w:t>
      </w:r>
      <w:r>
        <w:rPr/>
        <w:t>στην</w:t>
      </w:r>
      <w:r>
        <w:rPr>
          <w:spacing w:val="-7"/>
        </w:rPr>
        <w:t> </w:t>
      </w:r>
      <w:r>
        <w:rPr/>
        <w:t>περιοχή</w:t>
      </w:r>
      <w:r>
        <w:rPr>
          <w:spacing w:val="-11"/>
        </w:rPr>
        <w:t> </w:t>
      </w:r>
      <w:r>
        <w:rPr/>
        <w:t>της</w:t>
      </w:r>
      <w:r>
        <w:rPr>
          <w:spacing w:val="-9"/>
        </w:rPr>
        <w:t> </w:t>
      </w:r>
      <w:r>
        <w:rPr/>
        <w:t>πιστωτικής</w:t>
      </w:r>
      <w:r>
        <w:rPr>
          <w:spacing w:val="-10"/>
        </w:rPr>
        <w:t> </w:t>
      </w:r>
      <w:r>
        <w:rPr/>
        <w:t>επέκτασης</w:t>
      </w:r>
      <w:r>
        <w:rPr>
          <w:spacing w:val="-9"/>
        </w:rPr>
        <w:t> </w:t>
      </w:r>
      <w:r>
        <w:rPr/>
        <w:t>περιλαμβάνονται</w:t>
      </w:r>
      <w:r>
        <w:rPr>
          <w:spacing w:val="-10"/>
        </w:rPr>
        <w:t> </w:t>
      </w:r>
      <w:r>
        <w:rPr/>
        <w:t>βασικοί</w:t>
      </w:r>
      <w:r>
        <w:rPr>
          <w:spacing w:val="-7"/>
        </w:rPr>
        <w:t> </w:t>
      </w:r>
      <w:r>
        <w:rPr/>
        <w:t>δείκτες</w:t>
      </w:r>
      <w:r>
        <w:rPr>
          <w:spacing w:val="-9"/>
        </w:rPr>
        <w:t> </w:t>
      </w:r>
      <w:r>
        <w:rPr/>
        <w:t>που σχετίζονται</w:t>
      </w:r>
      <w:r>
        <w:rPr>
          <w:spacing w:val="-14"/>
        </w:rPr>
        <w:t> </w:t>
      </w:r>
      <w:r>
        <w:rPr/>
        <w:t>με</w:t>
      </w:r>
      <w:r>
        <w:rPr>
          <w:spacing w:val="-14"/>
        </w:rPr>
        <w:t> </w:t>
      </w:r>
      <w:r>
        <w:rPr/>
        <w:t>τη</w:t>
      </w:r>
      <w:r>
        <w:rPr>
          <w:spacing w:val="-14"/>
        </w:rPr>
        <w:t> </w:t>
      </w:r>
      <w:r>
        <w:rPr/>
        <w:t>δυναμική</w:t>
      </w:r>
      <w:r>
        <w:rPr>
          <w:spacing w:val="-13"/>
        </w:rPr>
        <w:t> </w:t>
      </w:r>
      <w:r>
        <w:rPr/>
        <w:t>της</w:t>
      </w:r>
      <w:r>
        <w:rPr>
          <w:spacing w:val="-14"/>
        </w:rPr>
        <w:t> </w:t>
      </w:r>
      <w:r>
        <w:rPr/>
        <w:t>πιστωτικής</w:t>
      </w:r>
      <w:r>
        <w:rPr>
          <w:spacing w:val="-14"/>
        </w:rPr>
        <w:t> </w:t>
      </w:r>
      <w:r>
        <w:rPr/>
        <w:t>επέκτασης,</w:t>
      </w:r>
      <w:r>
        <w:rPr>
          <w:spacing w:val="-14"/>
        </w:rPr>
        <w:t> </w:t>
      </w:r>
      <w:r>
        <w:rPr/>
        <w:t>όπως</w:t>
      </w:r>
      <w:r>
        <w:rPr>
          <w:spacing w:val="-13"/>
        </w:rPr>
        <w:t> </w:t>
      </w:r>
      <w:r>
        <w:rPr/>
        <w:t>η</w:t>
      </w:r>
      <w:r>
        <w:rPr>
          <w:spacing w:val="-14"/>
        </w:rPr>
        <w:t> </w:t>
      </w:r>
      <w:r>
        <w:rPr/>
        <w:t>τυποποιημένη</w:t>
      </w:r>
      <w:r>
        <w:rPr>
          <w:spacing w:val="-14"/>
        </w:rPr>
        <w:t> </w:t>
      </w:r>
      <w:r>
        <w:rPr/>
        <w:t>διαφορά</w:t>
      </w:r>
      <w:r>
        <w:rPr>
          <w:spacing w:val="-14"/>
        </w:rPr>
        <w:t> </w:t>
      </w:r>
      <w:r>
        <w:rPr/>
        <w:t>πιστώσεων προς ΑΕΠ (credit-to-GDP gap) και ο ετήσιος ρυθμός μεταβολής της χρηματοδότησης προς νοι-κοκυριά και μη</w:t>
      </w:r>
      <w:r>
        <w:rPr>
          <w:spacing w:val="-1"/>
        </w:rPr>
        <w:t> </w:t>
      </w:r>
      <w:r>
        <w:rPr/>
        <w:t>χρηματοπιστωτικές</w:t>
      </w:r>
      <w:r>
        <w:rPr>
          <w:spacing w:val="-2"/>
        </w:rPr>
        <w:t> </w:t>
      </w:r>
      <w:r>
        <w:rPr/>
        <w:t>επιχειρήσεις, οι οποίοι αποτελούν βασικές παραμέτρους για τη βαθμονόμηση του αντικυκλικού κεφαλαιακού αποθέματος ασφαλείας</w:t>
      </w:r>
      <w:hyperlink w:history="true" w:anchor="_bookmark181">
        <w:r>
          <w:rPr/>
          <w:t>.</w:t>
        </w:r>
        <w:r>
          <w:rPr>
            <w:position w:val="6"/>
            <w:sz w:val="10"/>
          </w:rPr>
          <w:t>122</w:t>
        </w:r>
      </w:hyperlink>
    </w:p>
    <w:p>
      <w:pPr>
        <w:pStyle w:val="BodyText"/>
        <w:spacing w:line="285" w:lineRule="auto" w:before="55"/>
        <w:ind w:left="172" w:right="960"/>
        <w:jc w:val="both"/>
      </w:pPr>
      <w:r>
        <w:rPr/>
        <w:t>Οι</w:t>
      </w:r>
      <w:r>
        <w:rPr>
          <w:spacing w:val="-2"/>
        </w:rPr>
        <w:t> </w:t>
      </w:r>
      <w:r>
        <w:rPr/>
        <w:t>περιοχές</w:t>
      </w:r>
      <w:r>
        <w:rPr>
          <w:spacing w:val="-3"/>
        </w:rPr>
        <w:t> </w:t>
      </w:r>
      <w:r>
        <w:rPr/>
        <w:t>της</w:t>
      </w:r>
      <w:r>
        <w:rPr>
          <w:spacing w:val="-4"/>
        </w:rPr>
        <w:t> </w:t>
      </w:r>
      <w:r>
        <w:rPr/>
        <w:t>ποιότητας</w:t>
      </w:r>
      <w:r>
        <w:rPr>
          <w:spacing w:val="-6"/>
        </w:rPr>
        <w:t> </w:t>
      </w:r>
      <w:r>
        <w:rPr/>
        <w:t>των</w:t>
      </w:r>
      <w:r>
        <w:rPr>
          <w:spacing w:val="-4"/>
        </w:rPr>
        <w:t> </w:t>
      </w:r>
      <w:r>
        <w:rPr/>
        <w:t>στοιχείων</w:t>
      </w:r>
      <w:r>
        <w:rPr>
          <w:spacing w:val="-4"/>
        </w:rPr>
        <w:t> </w:t>
      </w:r>
      <w:r>
        <w:rPr/>
        <w:t>ενεργητικού</w:t>
      </w:r>
      <w:r>
        <w:rPr>
          <w:spacing w:val="-4"/>
        </w:rPr>
        <w:t> </w:t>
      </w:r>
      <w:r>
        <w:rPr/>
        <w:t>και</w:t>
      </w:r>
      <w:r>
        <w:rPr>
          <w:spacing w:val="-2"/>
        </w:rPr>
        <w:t> </w:t>
      </w:r>
      <w:r>
        <w:rPr/>
        <w:t>της</w:t>
      </w:r>
      <w:r>
        <w:rPr>
          <w:spacing w:val="-3"/>
        </w:rPr>
        <w:t> </w:t>
      </w:r>
      <w:r>
        <w:rPr/>
        <w:t>κερδοφορίας</w:t>
      </w:r>
      <w:r>
        <w:rPr>
          <w:spacing w:val="-4"/>
        </w:rPr>
        <w:t> </w:t>
      </w:r>
      <w:r>
        <w:rPr/>
        <w:t>αφορούν</w:t>
      </w:r>
      <w:r>
        <w:rPr>
          <w:spacing w:val="-1"/>
        </w:rPr>
        <w:t> </w:t>
      </w:r>
      <w:r>
        <w:rPr/>
        <w:t>αμιγώς</w:t>
      </w:r>
      <w:r>
        <w:rPr>
          <w:spacing w:val="-3"/>
        </w:rPr>
        <w:t> </w:t>
      </w:r>
      <w:r>
        <w:rPr/>
        <w:t>τον τραπεζικό</w:t>
      </w:r>
      <w:r>
        <w:rPr>
          <w:spacing w:val="-14"/>
        </w:rPr>
        <w:t> </w:t>
      </w:r>
      <w:r>
        <w:rPr/>
        <w:t>τομέα</w:t>
      </w:r>
      <w:r>
        <w:rPr>
          <w:spacing w:val="-14"/>
        </w:rPr>
        <w:t> </w:t>
      </w:r>
      <w:r>
        <w:rPr/>
        <w:t>και</w:t>
      </w:r>
      <w:r>
        <w:rPr>
          <w:spacing w:val="-13"/>
        </w:rPr>
        <w:t> </w:t>
      </w:r>
      <w:r>
        <w:rPr/>
        <w:t>περιλαμβάνουν</w:t>
      </w:r>
      <w:r>
        <w:rPr>
          <w:spacing w:val="-13"/>
        </w:rPr>
        <w:t> </w:t>
      </w:r>
      <w:r>
        <w:rPr/>
        <w:t>δείκτες</w:t>
      </w:r>
      <w:r>
        <w:rPr>
          <w:spacing w:val="-14"/>
        </w:rPr>
        <w:t> </w:t>
      </w:r>
      <w:r>
        <w:rPr/>
        <w:t>που</w:t>
      </w:r>
      <w:r>
        <w:rPr>
          <w:spacing w:val="-13"/>
        </w:rPr>
        <w:t> </w:t>
      </w:r>
      <w:r>
        <w:rPr/>
        <w:t>αποτυπώνουν</w:t>
      </w:r>
      <w:r>
        <w:rPr>
          <w:spacing w:val="-14"/>
        </w:rPr>
        <w:t> </w:t>
      </w:r>
      <w:r>
        <w:rPr/>
        <w:t>την</w:t>
      </w:r>
      <w:r>
        <w:rPr>
          <w:spacing w:val="-13"/>
        </w:rPr>
        <w:t> </w:t>
      </w:r>
      <w:r>
        <w:rPr/>
        <w:t>ποιότητα</w:t>
      </w:r>
      <w:r>
        <w:rPr>
          <w:spacing w:val="-14"/>
        </w:rPr>
        <w:t> </w:t>
      </w:r>
      <w:r>
        <w:rPr/>
        <w:t>των</w:t>
      </w:r>
      <w:r>
        <w:rPr>
          <w:spacing w:val="-12"/>
        </w:rPr>
        <w:t> </w:t>
      </w:r>
      <w:r>
        <w:rPr/>
        <w:t>χαρτοφυλακίων και</w:t>
      </w:r>
      <w:r>
        <w:rPr>
          <w:spacing w:val="-14"/>
        </w:rPr>
        <w:t> </w:t>
      </w:r>
      <w:r>
        <w:rPr/>
        <w:t>την</w:t>
      </w:r>
      <w:r>
        <w:rPr>
          <w:spacing w:val="-14"/>
        </w:rPr>
        <w:t> </w:t>
      </w:r>
      <w:r>
        <w:rPr/>
        <w:t>αποδοτικότητα</w:t>
      </w:r>
      <w:r>
        <w:rPr>
          <w:spacing w:val="-14"/>
        </w:rPr>
        <w:t> </w:t>
      </w:r>
      <w:r>
        <w:rPr/>
        <w:t>των</w:t>
      </w:r>
      <w:r>
        <w:rPr>
          <w:spacing w:val="-13"/>
        </w:rPr>
        <w:t> </w:t>
      </w:r>
      <w:r>
        <w:rPr/>
        <w:t>πιστωτικών</w:t>
      </w:r>
      <w:r>
        <w:rPr>
          <w:spacing w:val="-14"/>
        </w:rPr>
        <w:t> </w:t>
      </w:r>
      <w:r>
        <w:rPr/>
        <w:t>ιδρυμάτων,</w:t>
      </w:r>
      <w:r>
        <w:rPr>
          <w:spacing w:val="-14"/>
        </w:rPr>
        <w:t> </w:t>
      </w:r>
      <w:r>
        <w:rPr/>
        <w:t>όπως</w:t>
      </w:r>
      <w:r>
        <w:rPr>
          <w:spacing w:val="-14"/>
        </w:rPr>
        <w:t> </w:t>
      </w:r>
      <w:r>
        <w:rPr/>
        <w:t>ο</w:t>
      </w:r>
      <w:r>
        <w:rPr>
          <w:spacing w:val="-13"/>
        </w:rPr>
        <w:t> </w:t>
      </w:r>
      <w:r>
        <w:rPr/>
        <w:t>δείκτης</w:t>
      </w:r>
      <w:r>
        <w:rPr>
          <w:spacing w:val="-14"/>
        </w:rPr>
        <w:t> </w:t>
      </w:r>
      <w:r>
        <w:rPr/>
        <w:t>μη</w:t>
      </w:r>
      <w:r>
        <w:rPr>
          <w:spacing w:val="-14"/>
        </w:rPr>
        <w:t> </w:t>
      </w:r>
      <w:r>
        <w:rPr/>
        <w:t>εξυπηρετούμενων</w:t>
      </w:r>
      <w:r>
        <w:rPr>
          <w:spacing w:val="-14"/>
        </w:rPr>
        <w:t> </w:t>
      </w:r>
      <w:r>
        <w:rPr/>
        <w:t>δανείων (ΜΕΔ), η αποδοτικότητα ιδίων κεφαλαίων και αποδοτικότητα ενεργητικού.</w:t>
      </w:r>
    </w:p>
    <w:p>
      <w:pPr>
        <w:pStyle w:val="BodyText"/>
        <w:spacing w:line="285" w:lineRule="auto" w:before="56"/>
        <w:ind w:left="172" w:right="954"/>
        <w:jc w:val="both"/>
      </w:pPr>
      <w:r>
        <w:rPr/>
        <w:t>Ιδιαίτερη έμφαση δίνεται στην περιοχή της παρακολούθησης των εξελίξεων στην αγορά ακινή-των,</w:t>
      </w:r>
      <w:r>
        <w:rPr>
          <w:spacing w:val="-5"/>
        </w:rPr>
        <w:t> </w:t>
      </w:r>
      <w:r>
        <w:rPr/>
        <w:t>δεδομένου</w:t>
      </w:r>
      <w:r>
        <w:rPr>
          <w:spacing w:val="-4"/>
        </w:rPr>
        <w:t> </w:t>
      </w:r>
      <w:r>
        <w:rPr/>
        <w:t>ότι</w:t>
      </w:r>
      <w:r>
        <w:rPr>
          <w:spacing w:val="-4"/>
        </w:rPr>
        <w:t> </w:t>
      </w:r>
      <w:r>
        <w:rPr/>
        <w:t>η</w:t>
      </w:r>
      <w:r>
        <w:rPr>
          <w:spacing w:val="-5"/>
        </w:rPr>
        <w:t> </w:t>
      </w:r>
      <w:r>
        <w:rPr/>
        <w:t>εν</w:t>
      </w:r>
      <w:r>
        <w:rPr>
          <w:spacing w:val="-6"/>
        </w:rPr>
        <w:t> </w:t>
      </w:r>
      <w:r>
        <w:rPr/>
        <w:t>λόγω</w:t>
      </w:r>
      <w:r>
        <w:rPr>
          <w:spacing w:val="-4"/>
        </w:rPr>
        <w:t> </w:t>
      </w:r>
      <w:r>
        <w:rPr/>
        <w:t>αγορά</w:t>
      </w:r>
      <w:r>
        <w:rPr>
          <w:spacing w:val="-2"/>
        </w:rPr>
        <w:t> </w:t>
      </w:r>
      <w:r>
        <w:rPr/>
        <w:t>αποτελεί</w:t>
      </w:r>
      <w:r>
        <w:rPr>
          <w:spacing w:val="-4"/>
        </w:rPr>
        <w:t> </w:t>
      </w:r>
      <w:r>
        <w:rPr/>
        <w:t>διαχρονικά</w:t>
      </w:r>
      <w:r>
        <w:rPr>
          <w:spacing w:val="-3"/>
        </w:rPr>
        <w:t> </w:t>
      </w:r>
      <w:r>
        <w:rPr/>
        <w:t>σημαντική</w:t>
      </w:r>
      <w:r>
        <w:rPr>
          <w:spacing w:val="-5"/>
        </w:rPr>
        <w:t> </w:t>
      </w:r>
      <w:r>
        <w:rPr/>
        <w:t>εν</w:t>
      </w:r>
      <w:r>
        <w:rPr>
          <w:spacing w:val="-1"/>
        </w:rPr>
        <w:t> </w:t>
      </w:r>
      <w:r>
        <w:rPr/>
        <w:t>δυνάμει</w:t>
      </w:r>
      <w:r>
        <w:rPr>
          <w:spacing w:val="-2"/>
        </w:rPr>
        <w:t> </w:t>
      </w:r>
      <w:r>
        <w:rPr/>
        <w:t>πηγή</w:t>
      </w:r>
      <w:r>
        <w:rPr>
          <w:spacing w:val="-2"/>
        </w:rPr>
        <w:t> </w:t>
      </w:r>
      <w:r>
        <w:rPr/>
        <w:t>ανάδειξης συστημικών</w:t>
      </w:r>
      <w:r>
        <w:rPr>
          <w:spacing w:val="-4"/>
        </w:rPr>
        <w:t> </w:t>
      </w:r>
      <w:r>
        <w:rPr/>
        <w:t>κινδύνων.</w:t>
      </w:r>
      <w:r>
        <w:rPr>
          <w:spacing w:val="-7"/>
        </w:rPr>
        <w:t> </w:t>
      </w:r>
      <w:r>
        <w:rPr/>
        <w:t>Στο</w:t>
      </w:r>
      <w:r>
        <w:rPr>
          <w:spacing w:val="-7"/>
        </w:rPr>
        <w:t> </w:t>
      </w:r>
      <w:r>
        <w:rPr/>
        <w:t>πλαίσιο</w:t>
      </w:r>
      <w:r>
        <w:rPr>
          <w:spacing w:val="-5"/>
        </w:rPr>
        <w:t> </w:t>
      </w:r>
      <w:r>
        <w:rPr/>
        <w:t>αυτό,</w:t>
      </w:r>
      <w:r>
        <w:rPr>
          <w:spacing w:val="-5"/>
        </w:rPr>
        <w:t> </w:t>
      </w:r>
      <w:r>
        <w:rPr/>
        <w:t>προκειμένου</w:t>
      </w:r>
      <w:r>
        <w:rPr>
          <w:spacing w:val="-6"/>
        </w:rPr>
        <w:t> </w:t>
      </w:r>
      <w:r>
        <w:rPr/>
        <w:t>να</w:t>
      </w:r>
      <w:r>
        <w:rPr>
          <w:spacing w:val="-5"/>
        </w:rPr>
        <w:t> </w:t>
      </w:r>
      <w:r>
        <w:rPr/>
        <w:t>αποτυπωθούν</w:t>
      </w:r>
      <w:r>
        <w:rPr>
          <w:spacing w:val="-4"/>
        </w:rPr>
        <w:t> </w:t>
      </w:r>
      <w:r>
        <w:rPr/>
        <w:t>οι</w:t>
      </w:r>
      <w:r>
        <w:rPr>
          <w:spacing w:val="-6"/>
        </w:rPr>
        <w:t> </w:t>
      </w:r>
      <w:r>
        <w:rPr/>
        <w:t>εξελίξεις στο</w:t>
      </w:r>
      <w:r>
        <w:rPr>
          <w:spacing w:val="-5"/>
        </w:rPr>
        <w:t> </w:t>
      </w:r>
      <w:r>
        <w:rPr/>
        <w:t>σύνολο της αγοράς των ακινήτων χρησιμοποιούνται δείκτες τιμών τόσο για τα οικιστικά όσο και για τα επαγγελματικά ακίνητα, τους οποίους έχει αναπτύξει και δημοσιεύει σε περιοδική βάση η Τρά-πεζα της Ελλάδος. Αξίζει να αναφερθεί ότι, ειδικότερα η αγορά των επαγγελματικών ακινήτων έχει</w:t>
      </w:r>
      <w:r>
        <w:rPr>
          <w:spacing w:val="-12"/>
        </w:rPr>
        <w:t> </w:t>
      </w:r>
      <w:r>
        <w:rPr/>
        <w:t>αναδειχθεί</w:t>
      </w:r>
      <w:r>
        <w:rPr>
          <w:spacing w:val="-11"/>
        </w:rPr>
        <w:t> </w:t>
      </w:r>
      <w:r>
        <w:rPr/>
        <w:t>τα</w:t>
      </w:r>
      <w:r>
        <w:rPr>
          <w:spacing w:val="-14"/>
        </w:rPr>
        <w:t> </w:t>
      </w:r>
      <w:r>
        <w:rPr/>
        <w:t>τελευταία</w:t>
      </w:r>
      <w:r>
        <w:rPr>
          <w:spacing w:val="-12"/>
        </w:rPr>
        <w:t> </w:t>
      </w:r>
      <w:r>
        <w:rPr/>
        <w:t>χρόνια</w:t>
      </w:r>
      <w:r>
        <w:rPr>
          <w:spacing w:val="-10"/>
        </w:rPr>
        <w:t> </w:t>
      </w:r>
      <w:r>
        <w:rPr/>
        <w:t>σε</w:t>
      </w:r>
      <w:r>
        <w:rPr>
          <w:spacing w:val="-11"/>
        </w:rPr>
        <w:t> </w:t>
      </w:r>
      <w:r>
        <w:rPr/>
        <w:t>σημαντική</w:t>
      </w:r>
      <w:r>
        <w:rPr>
          <w:spacing w:val="-12"/>
        </w:rPr>
        <w:t> </w:t>
      </w:r>
      <w:r>
        <w:rPr/>
        <w:t>πηγή</w:t>
      </w:r>
      <w:r>
        <w:rPr>
          <w:spacing w:val="-12"/>
        </w:rPr>
        <w:t> </w:t>
      </w:r>
      <w:r>
        <w:rPr/>
        <w:t>κινδύνων</w:t>
      </w:r>
      <w:r>
        <w:rPr>
          <w:spacing w:val="-13"/>
        </w:rPr>
        <w:t> </w:t>
      </w:r>
      <w:r>
        <w:rPr/>
        <w:t>σε</w:t>
      </w:r>
      <w:r>
        <w:rPr>
          <w:spacing w:val="-14"/>
        </w:rPr>
        <w:t> </w:t>
      </w:r>
      <w:r>
        <w:rPr/>
        <w:t>ευρωπαϊκό</w:t>
      </w:r>
      <w:r>
        <w:rPr>
          <w:spacing w:val="-14"/>
        </w:rPr>
        <w:t> </w:t>
      </w:r>
      <w:r>
        <w:rPr/>
        <w:t>επίπεδο,</w:t>
      </w:r>
      <w:r>
        <w:rPr>
          <w:spacing w:val="-12"/>
        </w:rPr>
        <w:t> </w:t>
      </w:r>
      <w:r>
        <w:rPr/>
        <w:t>γεγονός</w:t>
      </w:r>
    </w:p>
    <w:p>
      <w:pPr>
        <w:pStyle w:val="BodyText"/>
        <w:rPr>
          <w:sz w:val="20"/>
        </w:rPr>
      </w:pPr>
    </w:p>
    <w:p>
      <w:pPr>
        <w:pStyle w:val="BodyText"/>
        <w:rPr>
          <w:sz w:val="20"/>
        </w:rPr>
      </w:pP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79488">
                <wp:simplePos x="0" y="0"/>
                <wp:positionH relativeFrom="page">
                  <wp:posOffset>1009192</wp:posOffset>
                </wp:positionH>
                <wp:positionV relativeFrom="paragraph">
                  <wp:posOffset>195685</wp:posOffset>
                </wp:positionV>
                <wp:extent cx="1829435" cy="7620"/>
                <wp:effectExtent l="0" t="0" r="0" b="0"/>
                <wp:wrapTopAndBottom/>
                <wp:docPr id="796" name="Graphic 796"/>
                <wp:cNvGraphicFramePr>
                  <a:graphicFrameLocks/>
                </wp:cNvGraphicFramePr>
                <a:graphic>
                  <a:graphicData uri="http://schemas.microsoft.com/office/word/2010/wordprocessingShape">
                    <wps:wsp>
                      <wps:cNvPr id="796" name="Graphic 79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5.40831pt;width:144.020pt;height:.60004pt;mso-position-horizontal-relative:page;mso-position-vertical-relative:paragraph;z-index:-15636992;mso-wrap-distance-left:0;mso-wrap-distance-right:0" id="docshape745" filled="true" fillcolor="#000000" stroked="false">
                <v:fill type="solid"/>
                <w10:wrap type="topAndBottom"/>
              </v:rect>
            </w:pict>
          </mc:Fallback>
        </mc:AlternateContent>
      </w:r>
    </w:p>
    <w:p>
      <w:pPr>
        <w:spacing w:before="167"/>
        <w:ind w:left="172" w:right="959" w:firstLine="0"/>
        <w:jc w:val="both"/>
        <w:rPr>
          <w:sz w:val="16"/>
        </w:rPr>
      </w:pPr>
      <w:bookmarkStart w:name="_bookmark181" w:id="182"/>
      <w:bookmarkEnd w:id="182"/>
      <w:r>
        <w:rPr/>
      </w:r>
      <w:r>
        <w:rPr>
          <w:sz w:val="16"/>
          <w:vertAlign w:val="superscript"/>
        </w:rPr>
        <w:t>122</w:t>
      </w:r>
      <w:r>
        <w:rPr>
          <w:sz w:val="16"/>
          <w:vertAlign w:val="baseline"/>
        </w:rPr>
        <w:t> Το </w:t>
      </w:r>
      <w:hyperlink r:id="rId158">
        <w:r>
          <w:rPr>
            <w:color w:val="0000FF"/>
            <w:sz w:val="16"/>
            <w:u w:val="single" w:color="0000FF"/>
            <w:vertAlign w:val="baseline"/>
          </w:rPr>
          <w:t>αντικυκλικό κεφαλαιακό απόθεμα</w:t>
        </w:r>
        <w:r>
          <w:rPr>
            <w:color w:val="0000FF"/>
            <w:spacing w:val="-1"/>
            <w:sz w:val="16"/>
            <w:u w:val="single" w:color="0000FF"/>
            <w:vertAlign w:val="baseline"/>
          </w:rPr>
          <w:t> </w:t>
        </w:r>
        <w:r>
          <w:rPr>
            <w:color w:val="0000FF"/>
            <w:sz w:val="16"/>
            <w:u w:val="single" w:color="0000FF"/>
            <w:vertAlign w:val="baseline"/>
          </w:rPr>
          <w:t>ασφαλείας</w:t>
        </w:r>
      </w:hyperlink>
      <w:r>
        <w:rPr>
          <w:color w:val="0000FF"/>
          <w:sz w:val="16"/>
          <w:vertAlign w:val="baseline"/>
        </w:rPr>
        <w:t> </w:t>
      </w:r>
      <w:r>
        <w:rPr>
          <w:sz w:val="16"/>
          <w:vertAlign w:val="baseline"/>
        </w:rPr>
        <w:t>αποτελεί</w:t>
      </w:r>
      <w:r>
        <w:rPr>
          <w:spacing w:val="-1"/>
          <w:sz w:val="16"/>
          <w:vertAlign w:val="baseline"/>
        </w:rPr>
        <w:t> </w:t>
      </w:r>
      <w:r>
        <w:rPr>
          <w:sz w:val="16"/>
          <w:vertAlign w:val="baseline"/>
        </w:rPr>
        <w:t>εργαλείο μακροπροληπτικής πολιτικής που</w:t>
      </w:r>
      <w:r>
        <w:rPr>
          <w:spacing w:val="-1"/>
          <w:sz w:val="16"/>
          <w:vertAlign w:val="baseline"/>
        </w:rPr>
        <w:t> </w:t>
      </w:r>
      <w:r>
        <w:rPr>
          <w:sz w:val="16"/>
          <w:vertAlign w:val="baseline"/>
        </w:rPr>
        <w:t>αποβλέπει</w:t>
      </w:r>
      <w:r>
        <w:rPr>
          <w:spacing w:val="-1"/>
          <w:sz w:val="16"/>
          <w:vertAlign w:val="baseline"/>
        </w:rPr>
        <w:t> </w:t>
      </w:r>
      <w:r>
        <w:rPr>
          <w:sz w:val="16"/>
          <w:vertAlign w:val="baseline"/>
        </w:rPr>
        <w:t>στην</w:t>
      </w:r>
      <w:r>
        <w:rPr>
          <w:spacing w:val="-1"/>
          <w:sz w:val="16"/>
          <w:vertAlign w:val="baseline"/>
        </w:rPr>
        <w:t> </w:t>
      </w:r>
      <w:r>
        <w:rPr>
          <w:sz w:val="16"/>
          <w:vertAlign w:val="baseline"/>
        </w:rPr>
        <w:t>αποτροπή</w:t>
      </w:r>
      <w:r>
        <w:rPr>
          <w:spacing w:val="40"/>
          <w:sz w:val="16"/>
          <w:vertAlign w:val="baseline"/>
        </w:rPr>
        <w:t> </w:t>
      </w:r>
      <w:r>
        <w:rPr>
          <w:sz w:val="16"/>
          <w:vertAlign w:val="baseline"/>
        </w:rPr>
        <w:t>ή</w:t>
      </w:r>
      <w:r>
        <w:rPr>
          <w:spacing w:val="-2"/>
          <w:sz w:val="16"/>
          <w:vertAlign w:val="baseline"/>
        </w:rPr>
        <w:t> </w:t>
      </w:r>
      <w:r>
        <w:rPr>
          <w:sz w:val="16"/>
          <w:vertAlign w:val="baseline"/>
        </w:rPr>
        <w:t>μείωση</w:t>
      </w:r>
      <w:r>
        <w:rPr>
          <w:spacing w:val="-4"/>
          <w:sz w:val="16"/>
          <w:vertAlign w:val="baseline"/>
        </w:rPr>
        <w:t> </w:t>
      </w:r>
      <w:r>
        <w:rPr>
          <w:sz w:val="16"/>
          <w:vertAlign w:val="baseline"/>
        </w:rPr>
        <w:t>της</w:t>
      </w:r>
      <w:r>
        <w:rPr>
          <w:spacing w:val="-3"/>
          <w:sz w:val="16"/>
          <w:vertAlign w:val="baseline"/>
        </w:rPr>
        <w:t> </w:t>
      </w:r>
      <w:r>
        <w:rPr>
          <w:sz w:val="16"/>
          <w:vertAlign w:val="baseline"/>
        </w:rPr>
        <w:t>συσσώρευσης</w:t>
      </w:r>
      <w:r>
        <w:rPr>
          <w:spacing w:val="-1"/>
          <w:sz w:val="16"/>
          <w:vertAlign w:val="baseline"/>
        </w:rPr>
        <w:t> </w:t>
      </w:r>
      <w:r>
        <w:rPr>
          <w:sz w:val="16"/>
          <w:vertAlign w:val="baseline"/>
        </w:rPr>
        <w:t>κυκλικών</w:t>
      </w:r>
      <w:r>
        <w:rPr>
          <w:spacing w:val="-5"/>
          <w:sz w:val="16"/>
          <w:vertAlign w:val="baseline"/>
        </w:rPr>
        <w:t> </w:t>
      </w:r>
      <w:r>
        <w:rPr>
          <w:sz w:val="16"/>
          <w:vertAlign w:val="baseline"/>
        </w:rPr>
        <w:t>συστημικών</w:t>
      </w:r>
      <w:r>
        <w:rPr>
          <w:spacing w:val="-3"/>
          <w:sz w:val="16"/>
          <w:vertAlign w:val="baseline"/>
        </w:rPr>
        <w:t> </w:t>
      </w:r>
      <w:r>
        <w:rPr>
          <w:sz w:val="16"/>
          <w:vertAlign w:val="baseline"/>
        </w:rPr>
        <w:t>κινδύνων,</w:t>
      </w:r>
      <w:r>
        <w:rPr>
          <w:spacing w:val="-1"/>
          <w:sz w:val="16"/>
          <w:vertAlign w:val="baseline"/>
        </w:rPr>
        <w:t> </w:t>
      </w:r>
      <w:r>
        <w:rPr>
          <w:sz w:val="16"/>
          <w:vertAlign w:val="baseline"/>
        </w:rPr>
        <w:t>στη</w:t>
      </w:r>
      <w:r>
        <w:rPr>
          <w:spacing w:val="-4"/>
          <w:sz w:val="16"/>
          <w:vertAlign w:val="baseline"/>
        </w:rPr>
        <w:t> </w:t>
      </w:r>
      <w:r>
        <w:rPr>
          <w:sz w:val="16"/>
          <w:vertAlign w:val="baseline"/>
        </w:rPr>
        <w:t>διαμόρφωση</w:t>
      </w:r>
      <w:r>
        <w:rPr>
          <w:spacing w:val="-2"/>
          <w:sz w:val="16"/>
          <w:vertAlign w:val="baseline"/>
        </w:rPr>
        <w:t> </w:t>
      </w:r>
      <w:r>
        <w:rPr>
          <w:sz w:val="16"/>
          <w:vertAlign w:val="baseline"/>
        </w:rPr>
        <w:t>κατάλληλου</w:t>
      </w:r>
      <w:r>
        <w:rPr>
          <w:spacing w:val="-5"/>
          <w:sz w:val="16"/>
          <w:vertAlign w:val="baseline"/>
        </w:rPr>
        <w:t> </w:t>
      </w:r>
      <w:r>
        <w:rPr>
          <w:sz w:val="16"/>
          <w:vertAlign w:val="baseline"/>
        </w:rPr>
        <w:t>επιπέδου</w:t>
      </w:r>
      <w:r>
        <w:rPr>
          <w:spacing w:val="-2"/>
          <w:sz w:val="16"/>
          <w:vertAlign w:val="baseline"/>
        </w:rPr>
        <w:t> </w:t>
      </w:r>
      <w:r>
        <w:rPr>
          <w:sz w:val="16"/>
          <w:vertAlign w:val="baseline"/>
        </w:rPr>
        <w:t>πιστωτικής</w:t>
      </w:r>
      <w:r>
        <w:rPr>
          <w:spacing w:val="-1"/>
          <w:sz w:val="16"/>
          <w:vertAlign w:val="baseline"/>
        </w:rPr>
        <w:t> </w:t>
      </w:r>
      <w:r>
        <w:rPr>
          <w:sz w:val="16"/>
          <w:vertAlign w:val="baseline"/>
        </w:rPr>
        <w:t>επέκτασης</w:t>
      </w:r>
      <w:r>
        <w:rPr>
          <w:spacing w:val="-3"/>
          <w:sz w:val="16"/>
          <w:vertAlign w:val="baseline"/>
        </w:rPr>
        <w:t> </w:t>
      </w:r>
      <w:r>
        <w:rPr>
          <w:sz w:val="16"/>
          <w:vertAlign w:val="baseline"/>
        </w:rPr>
        <w:t>και</w:t>
      </w:r>
      <w:r>
        <w:rPr>
          <w:spacing w:val="-2"/>
          <w:sz w:val="16"/>
          <w:vertAlign w:val="baseline"/>
        </w:rPr>
        <w:t> </w:t>
      </w:r>
      <w:r>
        <w:rPr>
          <w:sz w:val="16"/>
          <w:vertAlign w:val="baseline"/>
        </w:rPr>
        <w:t>μό-χλευσης σε</w:t>
      </w:r>
      <w:r>
        <w:rPr>
          <w:spacing w:val="-1"/>
          <w:sz w:val="16"/>
          <w:vertAlign w:val="baseline"/>
        </w:rPr>
        <w:t> </w:t>
      </w:r>
      <w:r>
        <w:rPr>
          <w:sz w:val="16"/>
          <w:vertAlign w:val="baseline"/>
        </w:rPr>
        <w:t>όλες τις</w:t>
      </w:r>
      <w:r>
        <w:rPr>
          <w:spacing w:val="-2"/>
          <w:sz w:val="16"/>
          <w:vertAlign w:val="baseline"/>
        </w:rPr>
        <w:t> </w:t>
      </w:r>
      <w:r>
        <w:rPr>
          <w:sz w:val="16"/>
          <w:vertAlign w:val="baseline"/>
        </w:rPr>
        <w:t>φάσεις του</w:t>
      </w:r>
      <w:r>
        <w:rPr>
          <w:spacing w:val="-1"/>
          <w:sz w:val="16"/>
          <w:vertAlign w:val="baseline"/>
        </w:rPr>
        <w:t> </w:t>
      </w:r>
      <w:r>
        <w:rPr>
          <w:sz w:val="16"/>
          <w:vertAlign w:val="baseline"/>
        </w:rPr>
        <w:t>οικονομικού</w:t>
      </w:r>
      <w:r>
        <w:rPr>
          <w:spacing w:val="-1"/>
          <w:sz w:val="16"/>
          <w:vertAlign w:val="baseline"/>
        </w:rPr>
        <w:t> </w:t>
      </w:r>
      <w:r>
        <w:rPr>
          <w:sz w:val="16"/>
          <w:vertAlign w:val="baseline"/>
        </w:rPr>
        <w:t>και</w:t>
      </w:r>
      <w:r>
        <w:rPr>
          <w:spacing w:val="-1"/>
          <w:sz w:val="16"/>
          <w:vertAlign w:val="baseline"/>
        </w:rPr>
        <w:t> </w:t>
      </w:r>
      <w:r>
        <w:rPr>
          <w:sz w:val="16"/>
          <w:vertAlign w:val="baseline"/>
        </w:rPr>
        <w:t>χρηματοπιστωτικού</w:t>
      </w:r>
      <w:r>
        <w:rPr>
          <w:spacing w:val="-1"/>
          <w:sz w:val="16"/>
          <w:vertAlign w:val="baseline"/>
        </w:rPr>
        <w:t> </w:t>
      </w:r>
      <w:r>
        <w:rPr>
          <w:sz w:val="16"/>
          <w:vertAlign w:val="baseline"/>
        </w:rPr>
        <w:t>κύκλου και</w:t>
      </w:r>
      <w:r>
        <w:rPr>
          <w:spacing w:val="-1"/>
          <w:sz w:val="16"/>
          <w:vertAlign w:val="baseline"/>
        </w:rPr>
        <w:t> </w:t>
      </w:r>
      <w:r>
        <w:rPr>
          <w:sz w:val="16"/>
          <w:vertAlign w:val="baseline"/>
        </w:rPr>
        <w:t>στην</w:t>
      </w:r>
      <w:r>
        <w:rPr>
          <w:spacing w:val="-2"/>
          <w:sz w:val="16"/>
          <w:vertAlign w:val="baseline"/>
        </w:rPr>
        <w:t> </w:t>
      </w:r>
      <w:r>
        <w:rPr>
          <w:sz w:val="16"/>
          <w:vertAlign w:val="baseline"/>
        </w:rPr>
        <w:t>ενίσχυση</w:t>
      </w:r>
      <w:r>
        <w:rPr>
          <w:spacing w:val="-1"/>
          <w:sz w:val="16"/>
          <w:vertAlign w:val="baseline"/>
        </w:rPr>
        <w:t> </w:t>
      </w:r>
      <w:r>
        <w:rPr>
          <w:sz w:val="16"/>
          <w:vertAlign w:val="baseline"/>
        </w:rPr>
        <w:t>της ανθεκτικότητας του</w:t>
      </w:r>
      <w:r>
        <w:rPr>
          <w:spacing w:val="-1"/>
          <w:sz w:val="16"/>
          <w:vertAlign w:val="baseline"/>
        </w:rPr>
        <w:t> </w:t>
      </w:r>
      <w:r>
        <w:rPr>
          <w:sz w:val="16"/>
          <w:vertAlign w:val="baseline"/>
        </w:rPr>
        <w:t>τραπεζικού</w:t>
      </w:r>
      <w:r>
        <w:rPr>
          <w:spacing w:val="40"/>
          <w:sz w:val="16"/>
          <w:vertAlign w:val="baseline"/>
        </w:rPr>
        <w:t> </w:t>
      </w:r>
      <w:r>
        <w:rPr>
          <w:spacing w:val="-2"/>
          <w:sz w:val="16"/>
          <w:vertAlign w:val="baseline"/>
        </w:rPr>
        <w:t>τομέα.</w:t>
      </w:r>
    </w:p>
    <w:p>
      <w:pPr>
        <w:spacing w:after="0"/>
        <w:jc w:val="both"/>
        <w:rPr>
          <w:sz w:val="16"/>
        </w:rPr>
        <w:sectPr>
          <w:pgSz w:w="11910" w:h="16850"/>
          <w:pgMar w:header="0" w:footer="1262" w:top="1340" w:bottom="1460" w:left="1417" w:right="850"/>
        </w:sectPr>
      </w:pPr>
    </w:p>
    <w:p>
      <w:pPr>
        <w:pStyle w:val="BodyText"/>
        <w:spacing w:line="285" w:lineRule="auto" w:before="74"/>
        <w:ind w:left="172" w:right="958"/>
        <w:jc w:val="both"/>
        <w:rPr>
          <w:position w:val="6"/>
          <w:sz w:val="10"/>
        </w:rPr>
      </w:pPr>
      <w:r>
        <w:rPr/>
        <w:t>που</w:t>
      </w:r>
      <w:r>
        <w:rPr>
          <w:spacing w:val="-6"/>
        </w:rPr>
        <w:t> </w:t>
      </w:r>
      <w:r>
        <w:rPr/>
        <w:t>οδήγησε</w:t>
      </w:r>
      <w:r>
        <w:rPr>
          <w:spacing w:val="-9"/>
        </w:rPr>
        <w:t> </w:t>
      </w:r>
      <w:r>
        <w:rPr/>
        <w:t>την</w:t>
      </w:r>
      <w:r>
        <w:rPr>
          <w:spacing w:val="-5"/>
        </w:rPr>
        <w:t> </w:t>
      </w:r>
      <w:r>
        <w:rPr/>
        <w:t>Τράπεζα</w:t>
      </w:r>
      <w:r>
        <w:rPr>
          <w:spacing w:val="-8"/>
        </w:rPr>
        <w:t> </w:t>
      </w:r>
      <w:r>
        <w:rPr/>
        <w:t>της</w:t>
      </w:r>
      <w:r>
        <w:rPr>
          <w:spacing w:val="-8"/>
        </w:rPr>
        <w:t> </w:t>
      </w:r>
      <w:r>
        <w:rPr/>
        <w:t>Ελλάδος</w:t>
      </w:r>
      <w:r>
        <w:rPr>
          <w:spacing w:val="-7"/>
        </w:rPr>
        <w:t> </w:t>
      </w:r>
      <w:r>
        <w:rPr/>
        <w:t>να</w:t>
      </w:r>
      <w:r>
        <w:rPr>
          <w:spacing w:val="-8"/>
        </w:rPr>
        <w:t> </w:t>
      </w:r>
      <w:r>
        <w:rPr/>
        <w:t>αναπτύξει</w:t>
      </w:r>
      <w:r>
        <w:rPr>
          <w:spacing w:val="-9"/>
        </w:rPr>
        <w:t> </w:t>
      </w:r>
      <w:r>
        <w:rPr/>
        <w:t>ένα</w:t>
      </w:r>
      <w:r>
        <w:rPr>
          <w:spacing w:val="-8"/>
        </w:rPr>
        <w:t> </w:t>
      </w:r>
      <w:r>
        <w:rPr/>
        <w:t>ειδικό</w:t>
      </w:r>
      <w:r>
        <w:rPr>
          <w:spacing w:val="-7"/>
        </w:rPr>
        <w:t> </w:t>
      </w:r>
      <w:r>
        <w:rPr/>
        <w:t>πλαίσιο</w:t>
      </w:r>
      <w:r>
        <w:rPr>
          <w:spacing w:val="-9"/>
        </w:rPr>
        <w:t> </w:t>
      </w:r>
      <w:r>
        <w:rPr/>
        <w:t>αξιολόγησης</w:t>
      </w:r>
      <w:r>
        <w:rPr>
          <w:spacing w:val="-8"/>
        </w:rPr>
        <w:t> </w:t>
      </w:r>
      <w:r>
        <w:rPr/>
        <w:t>των</w:t>
      </w:r>
      <w:r>
        <w:rPr>
          <w:spacing w:val="-6"/>
        </w:rPr>
        <w:t> </w:t>
      </w:r>
      <w:r>
        <w:rPr/>
        <w:t>κινδύ-νων που απορρέουν από δάνεια και επενδύσεις σε επαγγελματικά ακίνητα</w:t>
      </w:r>
      <w:hyperlink w:history="true" w:anchor="_bookmark182">
        <w:r>
          <w:rPr/>
          <w:t>.</w:t>
        </w:r>
        <w:r>
          <w:rPr>
            <w:position w:val="6"/>
            <w:sz w:val="10"/>
          </w:rPr>
          <w:t>123</w:t>
        </w:r>
      </w:hyperlink>
    </w:p>
    <w:p>
      <w:pPr>
        <w:pStyle w:val="BodyText"/>
        <w:spacing w:line="285" w:lineRule="auto" w:before="58"/>
        <w:ind w:left="172" w:right="958"/>
        <w:jc w:val="both"/>
      </w:pPr>
      <w:r>
        <w:rPr/>
        <w:t>Στην</w:t>
      </w:r>
      <w:r>
        <w:rPr>
          <w:spacing w:val="-4"/>
        </w:rPr>
        <w:t> </w:t>
      </w:r>
      <w:r>
        <w:rPr/>
        <w:t>περιοχή</w:t>
      </w:r>
      <w:r>
        <w:rPr>
          <w:spacing w:val="-3"/>
        </w:rPr>
        <w:t> </w:t>
      </w:r>
      <w:r>
        <w:rPr/>
        <w:t>των</w:t>
      </w:r>
      <w:r>
        <w:rPr>
          <w:spacing w:val="-2"/>
        </w:rPr>
        <w:t> </w:t>
      </w:r>
      <w:r>
        <w:rPr/>
        <w:t>μακροοικονομικών</w:t>
      </w:r>
      <w:r>
        <w:rPr>
          <w:spacing w:val="-2"/>
        </w:rPr>
        <w:t> </w:t>
      </w:r>
      <w:r>
        <w:rPr/>
        <w:t>μεγεθών</w:t>
      </w:r>
      <w:r>
        <w:rPr>
          <w:spacing w:val="-2"/>
        </w:rPr>
        <w:t> </w:t>
      </w:r>
      <w:r>
        <w:rPr/>
        <w:t>περιλαμβάνονται</w:t>
      </w:r>
      <w:r>
        <w:rPr>
          <w:spacing w:val="-4"/>
        </w:rPr>
        <w:t> </w:t>
      </w:r>
      <w:r>
        <w:rPr/>
        <w:t>βασικοί</w:t>
      </w:r>
      <w:r>
        <w:rPr>
          <w:spacing w:val="-2"/>
        </w:rPr>
        <w:t> </w:t>
      </w:r>
      <w:r>
        <w:rPr/>
        <w:t>μακροοικονομικοί</w:t>
      </w:r>
      <w:r>
        <w:rPr>
          <w:spacing w:val="-3"/>
        </w:rPr>
        <w:t> </w:t>
      </w:r>
      <w:r>
        <w:rPr/>
        <w:t>δεί-κτες</w:t>
      </w:r>
      <w:r>
        <w:rPr>
          <w:spacing w:val="-3"/>
        </w:rPr>
        <w:t> </w:t>
      </w:r>
      <w:r>
        <w:rPr/>
        <w:t>με</w:t>
      </w:r>
      <w:r>
        <w:rPr>
          <w:spacing w:val="-2"/>
        </w:rPr>
        <w:t> </w:t>
      </w:r>
      <w:r>
        <w:rPr/>
        <w:t>στόχο</w:t>
      </w:r>
      <w:r>
        <w:rPr>
          <w:spacing w:val="-2"/>
        </w:rPr>
        <w:t> </w:t>
      </w:r>
      <w:r>
        <w:rPr/>
        <w:t>την</w:t>
      </w:r>
      <w:r>
        <w:rPr>
          <w:spacing w:val="-1"/>
        </w:rPr>
        <w:t> </w:t>
      </w:r>
      <w:r>
        <w:rPr/>
        <w:t>αποτύπωση</w:t>
      </w:r>
      <w:r>
        <w:rPr>
          <w:spacing w:val="-2"/>
        </w:rPr>
        <w:t> </w:t>
      </w:r>
      <w:r>
        <w:rPr/>
        <w:t>του</w:t>
      </w:r>
      <w:r>
        <w:rPr>
          <w:spacing w:val="-4"/>
        </w:rPr>
        <w:t> </w:t>
      </w:r>
      <w:r>
        <w:rPr/>
        <w:t>ευρύτερου</w:t>
      </w:r>
      <w:r>
        <w:rPr>
          <w:spacing w:val="-1"/>
        </w:rPr>
        <w:t> </w:t>
      </w:r>
      <w:r>
        <w:rPr/>
        <w:t>οικονομικού</w:t>
      </w:r>
      <w:r>
        <w:rPr>
          <w:spacing w:val="-1"/>
        </w:rPr>
        <w:t> </w:t>
      </w:r>
      <w:r>
        <w:rPr/>
        <w:t>περιβάλλοντος</w:t>
      </w:r>
      <w:r>
        <w:rPr>
          <w:spacing w:val="-3"/>
        </w:rPr>
        <w:t> </w:t>
      </w:r>
      <w:r>
        <w:rPr/>
        <w:t>εντός</w:t>
      </w:r>
      <w:r>
        <w:rPr>
          <w:spacing w:val="-3"/>
        </w:rPr>
        <w:t> </w:t>
      </w:r>
      <w:r>
        <w:rPr/>
        <w:t>του</w:t>
      </w:r>
      <w:r>
        <w:rPr>
          <w:spacing w:val="-1"/>
        </w:rPr>
        <w:t> </w:t>
      </w:r>
      <w:r>
        <w:rPr/>
        <w:t>οποίου</w:t>
      </w:r>
      <w:r>
        <w:rPr>
          <w:spacing w:val="-1"/>
        </w:rPr>
        <w:t> </w:t>
      </w:r>
      <w:r>
        <w:rPr/>
        <w:t>δια-μορφώνονται</w:t>
      </w:r>
      <w:r>
        <w:rPr>
          <w:spacing w:val="-5"/>
        </w:rPr>
        <w:t> </w:t>
      </w:r>
      <w:r>
        <w:rPr/>
        <w:t>οι</w:t>
      </w:r>
      <w:r>
        <w:rPr>
          <w:spacing w:val="-7"/>
        </w:rPr>
        <w:t> </w:t>
      </w:r>
      <w:r>
        <w:rPr/>
        <w:t>χρηματοπιστωτικοί</w:t>
      </w:r>
      <w:r>
        <w:rPr>
          <w:spacing w:val="-4"/>
        </w:rPr>
        <w:t> </w:t>
      </w:r>
      <w:r>
        <w:rPr/>
        <w:t>κίνδυνοι,</w:t>
      </w:r>
      <w:r>
        <w:rPr>
          <w:spacing w:val="-7"/>
        </w:rPr>
        <w:t> </w:t>
      </w:r>
      <w:r>
        <w:rPr/>
        <w:t>όπως</w:t>
      </w:r>
      <w:r>
        <w:rPr>
          <w:spacing w:val="-6"/>
        </w:rPr>
        <w:t> </w:t>
      </w:r>
      <w:r>
        <w:rPr/>
        <w:t>ο</w:t>
      </w:r>
      <w:r>
        <w:rPr>
          <w:spacing w:val="-8"/>
        </w:rPr>
        <w:t> </w:t>
      </w:r>
      <w:r>
        <w:rPr/>
        <w:t>ρυθμός</w:t>
      </w:r>
      <w:r>
        <w:rPr>
          <w:spacing w:val="-6"/>
        </w:rPr>
        <w:t> </w:t>
      </w:r>
      <w:r>
        <w:rPr/>
        <w:t>μεταβολής</w:t>
      </w:r>
      <w:r>
        <w:rPr>
          <w:spacing w:val="-7"/>
        </w:rPr>
        <w:t> </w:t>
      </w:r>
      <w:r>
        <w:rPr/>
        <w:t>του</w:t>
      </w:r>
      <w:r>
        <w:rPr>
          <w:spacing w:val="-5"/>
        </w:rPr>
        <w:t> </w:t>
      </w:r>
      <w:r>
        <w:rPr/>
        <w:t>ακαθάριστου</w:t>
      </w:r>
      <w:r>
        <w:rPr>
          <w:spacing w:val="-7"/>
        </w:rPr>
        <w:t> </w:t>
      </w:r>
      <w:r>
        <w:rPr/>
        <w:t>εγχώ-ριου</w:t>
      </w:r>
      <w:r>
        <w:rPr>
          <w:spacing w:val="-8"/>
        </w:rPr>
        <w:t> </w:t>
      </w:r>
      <w:r>
        <w:rPr/>
        <w:t>προϊόντος</w:t>
      </w:r>
      <w:r>
        <w:rPr>
          <w:spacing w:val="-10"/>
        </w:rPr>
        <w:t> </w:t>
      </w:r>
      <w:r>
        <w:rPr/>
        <w:t>(ΑΕΠ),</w:t>
      </w:r>
      <w:r>
        <w:rPr>
          <w:spacing w:val="-9"/>
        </w:rPr>
        <w:t> </w:t>
      </w:r>
      <w:r>
        <w:rPr/>
        <w:t>το</w:t>
      </w:r>
      <w:r>
        <w:rPr>
          <w:spacing w:val="-7"/>
        </w:rPr>
        <w:t> </w:t>
      </w:r>
      <w:r>
        <w:rPr/>
        <w:t>ποσοστό</w:t>
      </w:r>
      <w:r>
        <w:rPr>
          <w:spacing w:val="-8"/>
        </w:rPr>
        <w:t> </w:t>
      </w:r>
      <w:r>
        <w:rPr/>
        <w:t>ανεργίας,</w:t>
      </w:r>
      <w:r>
        <w:rPr>
          <w:spacing w:val="-9"/>
        </w:rPr>
        <w:t> </w:t>
      </w:r>
      <w:r>
        <w:rPr/>
        <w:t>ο</w:t>
      </w:r>
      <w:r>
        <w:rPr>
          <w:spacing w:val="-9"/>
        </w:rPr>
        <w:t> </w:t>
      </w:r>
      <w:r>
        <w:rPr/>
        <w:t>πληθωρισμός,</w:t>
      </w:r>
      <w:r>
        <w:rPr>
          <w:spacing w:val="-7"/>
        </w:rPr>
        <w:t> </w:t>
      </w:r>
      <w:r>
        <w:rPr/>
        <w:t>ο</w:t>
      </w:r>
      <w:r>
        <w:rPr>
          <w:spacing w:val="-9"/>
        </w:rPr>
        <w:t> </w:t>
      </w:r>
      <w:r>
        <w:rPr/>
        <w:t>λόγος</w:t>
      </w:r>
      <w:r>
        <w:rPr>
          <w:spacing w:val="-10"/>
        </w:rPr>
        <w:t> </w:t>
      </w:r>
      <w:r>
        <w:rPr/>
        <w:t>του</w:t>
      </w:r>
      <w:r>
        <w:rPr>
          <w:spacing w:val="-8"/>
        </w:rPr>
        <w:t> </w:t>
      </w:r>
      <w:r>
        <w:rPr/>
        <w:t>δημόσιου</w:t>
      </w:r>
      <w:r>
        <w:rPr>
          <w:spacing w:val="-8"/>
        </w:rPr>
        <w:t> </w:t>
      </w:r>
      <w:r>
        <w:rPr/>
        <w:t>χρέους</w:t>
      </w:r>
      <w:r>
        <w:rPr>
          <w:spacing w:val="-10"/>
        </w:rPr>
        <w:t> </w:t>
      </w:r>
      <w:r>
        <w:rPr/>
        <w:t>προς το ΑΕΠ κ.ά.</w:t>
      </w:r>
    </w:p>
    <w:p>
      <w:pPr>
        <w:pStyle w:val="BodyText"/>
        <w:spacing w:line="285" w:lineRule="auto" w:before="55"/>
        <w:ind w:left="172" w:right="959"/>
        <w:jc w:val="both"/>
      </w:pPr>
      <w:r>
        <w:rPr/>
        <w:t>Για</w:t>
      </w:r>
      <w:r>
        <w:rPr>
          <w:spacing w:val="-13"/>
        </w:rPr>
        <w:t> </w:t>
      </w:r>
      <w:r>
        <w:rPr/>
        <w:t>την</w:t>
      </w:r>
      <w:r>
        <w:rPr>
          <w:spacing w:val="-12"/>
        </w:rPr>
        <w:t> </w:t>
      </w:r>
      <w:r>
        <w:rPr/>
        <w:t>περιοχή</w:t>
      </w:r>
      <w:r>
        <w:rPr>
          <w:spacing w:val="-13"/>
        </w:rPr>
        <w:t> </w:t>
      </w:r>
      <w:r>
        <w:rPr/>
        <w:t>των</w:t>
      </w:r>
      <w:r>
        <w:rPr>
          <w:spacing w:val="-12"/>
        </w:rPr>
        <w:t> </w:t>
      </w:r>
      <w:r>
        <w:rPr/>
        <w:t>δεικτών</w:t>
      </w:r>
      <w:r>
        <w:rPr>
          <w:spacing w:val="-12"/>
        </w:rPr>
        <w:t> </w:t>
      </w:r>
      <w:r>
        <w:rPr/>
        <w:t>χρηματοπιστωτικής</w:t>
      </w:r>
      <w:r>
        <w:rPr>
          <w:spacing w:val="-13"/>
        </w:rPr>
        <w:t> </w:t>
      </w:r>
      <w:r>
        <w:rPr/>
        <w:t>πίεσης</w:t>
      </w:r>
      <w:r>
        <w:rPr>
          <w:spacing w:val="-14"/>
        </w:rPr>
        <w:t> </w:t>
      </w:r>
      <w:r>
        <w:rPr/>
        <w:t>(stress</w:t>
      </w:r>
      <w:r>
        <w:rPr>
          <w:spacing w:val="-12"/>
        </w:rPr>
        <w:t> </w:t>
      </w:r>
      <w:r>
        <w:rPr/>
        <w:t>indicators)</w:t>
      </w:r>
      <w:r>
        <w:rPr>
          <w:spacing w:val="-12"/>
        </w:rPr>
        <w:t> </w:t>
      </w:r>
      <w:r>
        <w:rPr/>
        <w:t>επιλέχθηκαν</w:t>
      </w:r>
      <w:r>
        <w:rPr>
          <w:spacing w:val="-12"/>
        </w:rPr>
        <w:t> </w:t>
      </w:r>
      <w:r>
        <w:rPr/>
        <w:t>σύνθετοι δείκτες</w:t>
      </w:r>
      <w:r>
        <w:rPr>
          <w:spacing w:val="-9"/>
        </w:rPr>
        <w:t> </w:t>
      </w:r>
      <w:r>
        <w:rPr/>
        <w:t>(composite</w:t>
      </w:r>
      <w:r>
        <w:rPr>
          <w:spacing w:val="-10"/>
        </w:rPr>
        <w:t> </w:t>
      </w:r>
      <w:r>
        <w:rPr/>
        <w:t>indicators)</w:t>
      </w:r>
      <w:r>
        <w:rPr>
          <w:spacing w:val="-7"/>
        </w:rPr>
        <w:t> </w:t>
      </w:r>
      <w:r>
        <w:rPr/>
        <w:t>που</w:t>
      </w:r>
      <w:r>
        <w:rPr>
          <w:spacing w:val="-7"/>
        </w:rPr>
        <w:t> </w:t>
      </w:r>
      <w:r>
        <w:rPr/>
        <w:t>έχουν</w:t>
      </w:r>
      <w:r>
        <w:rPr>
          <w:spacing w:val="-7"/>
        </w:rPr>
        <w:t> </w:t>
      </w:r>
      <w:r>
        <w:rPr/>
        <w:t>αναπτυχθεί</w:t>
      </w:r>
      <w:r>
        <w:rPr>
          <w:spacing w:val="-7"/>
        </w:rPr>
        <w:t> </w:t>
      </w:r>
      <w:r>
        <w:rPr/>
        <w:t>και</w:t>
      </w:r>
      <w:r>
        <w:rPr>
          <w:spacing w:val="-8"/>
        </w:rPr>
        <w:t> </w:t>
      </w:r>
      <w:r>
        <w:rPr/>
        <w:t>χρησιμοποιούνται</w:t>
      </w:r>
      <w:r>
        <w:rPr>
          <w:spacing w:val="-8"/>
        </w:rPr>
        <w:t> </w:t>
      </w:r>
      <w:r>
        <w:rPr/>
        <w:t>από</w:t>
      </w:r>
      <w:r>
        <w:rPr>
          <w:spacing w:val="-8"/>
        </w:rPr>
        <w:t> </w:t>
      </w:r>
      <w:r>
        <w:rPr/>
        <w:t>την</w:t>
      </w:r>
      <w:r>
        <w:rPr>
          <w:spacing w:val="-7"/>
        </w:rPr>
        <w:t> </w:t>
      </w:r>
      <w:r>
        <w:rPr/>
        <w:t>ΕΚΤ</w:t>
      </w:r>
      <w:r>
        <w:rPr>
          <w:spacing w:val="-9"/>
        </w:rPr>
        <w:t> </w:t>
      </w:r>
      <w:r>
        <w:rPr/>
        <w:t>για</w:t>
      </w:r>
      <w:r>
        <w:rPr>
          <w:spacing w:val="-8"/>
        </w:rPr>
        <w:t> </w:t>
      </w:r>
      <w:r>
        <w:rPr/>
        <w:t>την παρακολούθηση της συσσώρευσης κινδύνων ανά χώρα. Ο στόχος ήταν να παρέχεται η δυνατό-τητα</w:t>
      </w:r>
      <w:r>
        <w:rPr>
          <w:spacing w:val="-3"/>
        </w:rPr>
        <w:t> </w:t>
      </w:r>
      <w:r>
        <w:rPr/>
        <w:t>σύγκρισης</w:t>
      </w:r>
      <w:r>
        <w:rPr>
          <w:spacing w:val="-4"/>
        </w:rPr>
        <w:t> </w:t>
      </w:r>
      <w:r>
        <w:rPr/>
        <w:t>της</w:t>
      </w:r>
      <w:r>
        <w:rPr>
          <w:spacing w:val="-6"/>
        </w:rPr>
        <w:t> </w:t>
      </w:r>
      <w:r>
        <w:rPr/>
        <w:t>χρηματοπιστωτικής</w:t>
      </w:r>
      <w:r>
        <w:rPr>
          <w:spacing w:val="-2"/>
        </w:rPr>
        <w:t> </w:t>
      </w:r>
      <w:r>
        <w:rPr/>
        <w:t>έντασης</w:t>
      </w:r>
      <w:r>
        <w:rPr>
          <w:spacing w:val="-4"/>
        </w:rPr>
        <w:t> </w:t>
      </w:r>
      <w:r>
        <w:rPr/>
        <w:t>της</w:t>
      </w:r>
      <w:r>
        <w:rPr>
          <w:spacing w:val="-4"/>
        </w:rPr>
        <w:t> </w:t>
      </w:r>
      <w:r>
        <w:rPr/>
        <w:t>ελληνικής</w:t>
      </w:r>
      <w:r>
        <w:rPr>
          <w:spacing w:val="-4"/>
        </w:rPr>
        <w:t> </w:t>
      </w:r>
      <w:r>
        <w:rPr/>
        <w:t>οικονομίας</w:t>
      </w:r>
      <w:r>
        <w:rPr>
          <w:spacing w:val="-6"/>
        </w:rPr>
        <w:t> </w:t>
      </w:r>
      <w:r>
        <w:rPr/>
        <w:t>σε</w:t>
      </w:r>
      <w:r>
        <w:rPr>
          <w:spacing w:val="-4"/>
        </w:rPr>
        <w:t> </w:t>
      </w:r>
      <w:r>
        <w:rPr/>
        <w:t>σχέση</w:t>
      </w:r>
      <w:r>
        <w:rPr>
          <w:spacing w:val="-2"/>
        </w:rPr>
        <w:t> </w:t>
      </w:r>
      <w:r>
        <w:rPr/>
        <w:t>με</w:t>
      </w:r>
      <w:r>
        <w:rPr>
          <w:spacing w:val="-2"/>
        </w:rPr>
        <w:t> </w:t>
      </w:r>
      <w:r>
        <w:rPr/>
        <w:t>τα</w:t>
      </w:r>
      <w:r>
        <w:rPr>
          <w:spacing w:val="-2"/>
        </w:rPr>
        <w:t> </w:t>
      </w:r>
      <w:r>
        <w:rPr/>
        <w:t>άλλα κράτη-μέλη της ΕΕ.</w:t>
      </w:r>
    </w:p>
    <w:p>
      <w:pPr>
        <w:pStyle w:val="BodyText"/>
        <w:spacing w:line="285" w:lineRule="auto" w:before="54"/>
        <w:ind w:left="172" w:right="954"/>
        <w:jc w:val="both"/>
      </w:pPr>
      <w:r>
        <w:rPr/>
        <w:t>Τέλος, στην ανάλυση των κινδύνων της κυκλικής διάστασης περιλαμβάνονται δείκτες που σχε-τίζονται</w:t>
      </w:r>
      <w:r>
        <w:rPr>
          <w:spacing w:val="-6"/>
        </w:rPr>
        <w:t> </w:t>
      </w:r>
      <w:r>
        <w:rPr/>
        <w:t>με</w:t>
      </w:r>
      <w:r>
        <w:rPr>
          <w:spacing w:val="-6"/>
        </w:rPr>
        <w:t> </w:t>
      </w:r>
      <w:r>
        <w:rPr/>
        <w:t>τις</w:t>
      </w:r>
      <w:r>
        <w:rPr>
          <w:spacing w:val="-8"/>
        </w:rPr>
        <w:t> </w:t>
      </w:r>
      <w:r>
        <w:rPr/>
        <w:t>χρηματοπιστωτικές</w:t>
      </w:r>
      <w:r>
        <w:rPr>
          <w:spacing w:val="-8"/>
        </w:rPr>
        <w:t> </w:t>
      </w:r>
      <w:r>
        <w:rPr/>
        <w:t>αγορές,</w:t>
      </w:r>
      <w:r>
        <w:rPr>
          <w:spacing w:val="-7"/>
        </w:rPr>
        <w:t> </w:t>
      </w:r>
      <w:r>
        <w:rPr/>
        <w:t>δεδομένου</w:t>
      </w:r>
      <w:r>
        <w:rPr>
          <w:spacing w:val="-6"/>
        </w:rPr>
        <w:t> </w:t>
      </w:r>
      <w:r>
        <w:rPr/>
        <w:t>ότι</w:t>
      </w:r>
      <w:r>
        <w:rPr>
          <w:spacing w:val="-6"/>
        </w:rPr>
        <w:t> </w:t>
      </w:r>
      <w:r>
        <w:rPr/>
        <w:t>το</w:t>
      </w:r>
      <w:r>
        <w:rPr>
          <w:spacing w:val="-7"/>
        </w:rPr>
        <w:t> </w:t>
      </w:r>
      <w:r>
        <w:rPr/>
        <w:t>επίπεδο</w:t>
      </w:r>
      <w:r>
        <w:rPr>
          <w:spacing w:val="-8"/>
        </w:rPr>
        <w:t> </w:t>
      </w:r>
      <w:r>
        <w:rPr/>
        <w:t>αποτιμήσεων</w:t>
      </w:r>
      <w:r>
        <w:rPr>
          <w:spacing w:val="-5"/>
        </w:rPr>
        <w:t> </w:t>
      </w:r>
      <w:r>
        <w:rPr/>
        <w:t>των</w:t>
      </w:r>
      <w:r>
        <w:rPr>
          <w:spacing w:val="-6"/>
        </w:rPr>
        <w:t> </w:t>
      </w:r>
      <w:r>
        <w:rPr/>
        <w:t>χρηματο-οικονομικών</w:t>
      </w:r>
      <w:r>
        <w:rPr>
          <w:spacing w:val="-14"/>
        </w:rPr>
        <w:t> </w:t>
      </w:r>
      <w:r>
        <w:rPr/>
        <w:t>περιουσιακών</w:t>
      </w:r>
      <w:r>
        <w:rPr>
          <w:spacing w:val="-14"/>
        </w:rPr>
        <w:t> </w:t>
      </w:r>
      <w:r>
        <w:rPr/>
        <w:t>στοιχείων,</w:t>
      </w:r>
      <w:r>
        <w:rPr>
          <w:spacing w:val="-14"/>
        </w:rPr>
        <w:t> </w:t>
      </w:r>
      <w:r>
        <w:rPr/>
        <w:t>αλλά</w:t>
      </w:r>
      <w:r>
        <w:rPr>
          <w:spacing w:val="-13"/>
        </w:rPr>
        <w:t> </w:t>
      </w:r>
      <w:r>
        <w:rPr/>
        <w:t>και</w:t>
      </w:r>
      <w:r>
        <w:rPr>
          <w:spacing w:val="-14"/>
        </w:rPr>
        <w:t> </w:t>
      </w:r>
      <w:r>
        <w:rPr/>
        <w:t>η</w:t>
      </w:r>
      <w:r>
        <w:rPr>
          <w:spacing w:val="-14"/>
        </w:rPr>
        <w:t> </w:t>
      </w:r>
      <w:r>
        <w:rPr/>
        <w:t>μεταβλητότητά</w:t>
      </w:r>
      <w:r>
        <w:rPr>
          <w:spacing w:val="-14"/>
        </w:rPr>
        <w:t> </w:t>
      </w:r>
      <w:r>
        <w:rPr/>
        <w:t>τους,</w:t>
      </w:r>
      <w:r>
        <w:rPr>
          <w:spacing w:val="-13"/>
        </w:rPr>
        <w:t> </w:t>
      </w:r>
      <w:r>
        <w:rPr/>
        <w:t>μπορούν</w:t>
      </w:r>
      <w:r>
        <w:rPr>
          <w:spacing w:val="-14"/>
        </w:rPr>
        <w:t> </w:t>
      </w:r>
      <w:r>
        <w:rPr/>
        <w:t>να</w:t>
      </w:r>
      <w:r>
        <w:rPr>
          <w:spacing w:val="-14"/>
        </w:rPr>
        <w:t> </w:t>
      </w:r>
      <w:r>
        <w:rPr/>
        <w:t>αποτελέσουν πηγή</w:t>
      </w:r>
      <w:r>
        <w:rPr>
          <w:spacing w:val="-7"/>
        </w:rPr>
        <w:t> </w:t>
      </w:r>
      <w:r>
        <w:rPr/>
        <w:t>συσσώρευσης</w:t>
      </w:r>
      <w:r>
        <w:rPr>
          <w:spacing w:val="-8"/>
        </w:rPr>
        <w:t> </w:t>
      </w:r>
      <w:r>
        <w:rPr/>
        <w:t>συστημικών</w:t>
      </w:r>
      <w:r>
        <w:rPr>
          <w:spacing w:val="-9"/>
        </w:rPr>
        <w:t> </w:t>
      </w:r>
      <w:r>
        <w:rPr/>
        <w:t>κινδύνων.</w:t>
      </w:r>
      <w:r>
        <w:rPr>
          <w:spacing w:val="-10"/>
        </w:rPr>
        <w:t> </w:t>
      </w:r>
      <w:r>
        <w:rPr/>
        <w:t>Στην</w:t>
      </w:r>
      <w:r>
        <w:rPr>
          <w:spacing w:val="-6"/>
        </w:rPr>
        <w:t> </w:t>
      </w:r>
      <w:r>
        <w:rPr/>
        <w:t>παρούσα</w:t>
      </w:r>
      <w:r>
        <w:rPr>
          <w:spacing w:val="-8"/>
        </w:rPr>
        <w:t> </w:t>
      </w:r>
      <w:r>
        <w:rPr/>
        <w:t>χρονική</w:t>
      </w:r>
      <w:r>
        <w:rPr>
          <w:spacing w:val="-8"/>
        </w:rPr>
        <w:t> </w:t>
      </w:r>
      <w:r>
        <w:rPr/>
        <w:t>συγκυρία,</w:t>
      </w:r>
      <w:r>
        <w:rPr>
          <w:spacing w:val="-7"/>
        </w:rPr>
        <w:t> </w:t>
      </w:r>
      <w:r>
        <w:rPr/>
        <w:t>το</w:t>
      </w:r>
      <w:r>
        <w:rPr>
          <w:spacing w:val="-10"/>
        </w:rPr>
        <w:t> </w:t>
      </w:r>
      <w:r>
        <w:rPr/>
        <w:t>σύνολο</w:t>
      </w:r>
      <w:r>
        <w:rPr>
          <w:spacing w:val="-10"/>
        </w:rPr>
        <w:t> </w:t>
      </w:r>
      <w:r>
        <w:rPr/>
        <w:t>των</w:t>
      </w:r>
      <w:r>
        <w:rPr>
          <w:spacing w:val="-9"/>
        </w:rPr>
        <w:t> </w:t>
      </w:r>
      <w:r>
        <w:rPr/>
        <w:t>διε-θνών οργανισμών,</w:t>
      </w:r>
      <w:r>
        <w:rPr>
          <w:spacing w:val="-3"/>
        </w:rPr>
        <w:t> </w:t>
      </w:r>
      <w:r>
        <w:rPr/>
        <w:t>μεταξύ</w:t>
      </w:r>
      <w:r>
        <w:rPr>
          <w:spacing w:val="-1"/>
        </w:rPr>
        <w:t> </w:t>
      </w:r>
      <w:r>
        <w:rPr/>
        <w:t>αυτών και</w:t>
      </w:r>
      <w:r>
        <w:rPr>
          <w:spacing w:val="-2"/>
        </w:rPr>
        <w:t> </w:t>
      </w:r>
      <w:r>
        <w:rPr/>
        <w:t>το ΕΣΣΚ,</w:t>
      </w:r>
      <w:r>
        <w:rPr>
          <w:spacing w:val="-2"/>
        </w:rPr>
        <w:t> </w:t>
      </w:r>
      <w:r>
        <w:rPr/>
        <w:t>έχουν</w:t>
      </w:r>
      <w:r>
        <w:rPr>
          <w:spacing w:val="-1"/>
        </w:rPr>
        <w:t> </w:t>
      </w:r>
      <w:r>
        <w:rPr/>
        <w:t>κατ’ επανάληψη επισημάνει ότι το υψηλό επίπεδο αποτιμήσεων στις αγορές χρήματος και κεφαλαίου, σε συνδυασμό με τον κίνδυνο των γεωπολιτικών εξελίξεων, συγκαταλέγεται μεταξύ των σημαντικότερων πηγών συστημικού κιν-δύνου. Συνεπώς, κρίθηκε απαραίτητο να συμπεριληφθούν δείκτες για την παρακολούθηση της αποτίμησης</w:t>
      </w:r>
      <w:r>
        <w:rPr>
          <w:spacing w:val="-13"/>
        </w:rPr>
        <w:t> </w:t>
      </w:r>
      <w:r>
        <w:rPr/>
        <w:t>τόσο</w:t>
      </w:r>
      <w:r>
        <w:rPr>
          <w:spacing w:val="-12"/>
        </w:rPr>
        <w:t> </w:t>
      </w:r>
      <w:r>
        <w:rPr/>
        <w:t>των</w:t>
      </w:r>
      <w:r>
        <w:rPr>
          <w:spacing w:val="-12"/>
        </w:rPr>
        <w:t> </w:t>
      </w:r>
      <w:r>
        <w:rPr/>
        <w:t>μετοχικών</w:t>
      </w:r>
      <w:r>
        <w:rPr>
          <w:spacing w:val="-13"/>
        </w:rPr>
        <w:t> </w:t>
      </w:r>
      <w:r>
        <w:rPr/>
        <w:t>τίτλων</w:t>
      </w:r>
      <w:r>
        <w:rPr>
          <w:spacing w:val="-12"/>
        </w:rPr>
        <w:t> </w:t>
      </w:r>
      <w:r>
        <w:rPr/>
        <w:t>όσο</w:t>
      </w:r>
      <w:r>
        <w:rPr>
          <w:spacing w:val="-12"/>
        </w:rPr>
        <w:t> </w:t>
      </w:r>
      <w:r>
        <w:rPr/>
        <w:t>και</w:t>
      </w:r>
      <w:r>
        <w:rPr>
          <w:spacing w:val="-13"/>
        </w:rPr>
        <w:t> </w:t>
      </w:r>
      <w:r>
        <w:rPr/>
        <w:t>των</w:t>
      </w:r>
      <w:r>
        <w:rPr>
          <w:spacing w:val="-12"/>
        </w:rPr>
        <w:t> </w:t>
      </w:r>
      <w:r>
        <w:rPr/>
        <w:t>ομολογιακών</w:t>
      </w:r>
      <w:r>
        <w:rPr>
          <w:spacing w:val="-12"/>
        </w:rPr>
        <w:t> </w:t>
      </w:r>
      <w:r>
        <w:rPr/>
        <w:t>εκδόσεων</w:t>
      </w:r>
      <w:r>
        <w:rPr>
          <w:spacing w:val="-12"/>
        </w:rPr>
        <w:t> </w:t>
      </w:r>
      <w:r>
        <w:rPr/>
        <w:t>και</w:t>
      </w:r>
      <w:r>
        <w:rPr>
          <w:spacing w:val="-14"/>
        </w:rPr>
        <w:t> </w:t>
      </w:r>
      <w:r>
        <w:rPr/>
        <w:t>των</w:t>
      </w:r>
      <w:r>
        <w:rPr>
          <w:spacing w:val="-11"/>
        </w:rPr>
        <w:t> </w:t>
      </w:r>
      <w:r>
        <w:rPr/>
        <w:t>πιστωτικών </w:t>
      </w:r>
      <w:r>
        <w:rPr>
          <w:spacing w:val="-2"/>
        </w:rPr>
        <w:t>περιθωρίων.</w:t>
      </w:r>
    </w:p>
    <w:p>
      <w:pPr>
        <w:pStyle w:val="BodyText"/>
        <w:spacing w:before="157"/>
      </w:pPr>
    </w:p>
    <w:p>
      <w:pPr>
        <w:pStyle w:val="Heading4"/>
        <w:spacing w:before="1"/>
      </w:pPr>
      <w:r>
        <w:rPr>
          <w:color w:val="1F487C"/>
        </w:rPr>
        <w:t>Β.</w:t>
      </w:r>
      <w:r>
        <w:rPr>
          <w:color w:val="1F487C"/>
          <w:spacing w:val="-7"/>
        </w:rPr>
        <w:t> </w:t>
      </w:r>
      <w:r>
        <w:rPr>
          <w:color w:val="1F487C"/>
        </w:rPr>
        <w:t>Δ</w:t>
      </w:r>
      <w:r>
        <w:rPr>
          <w:smallCaps/>
          <w:color w:val="1F487C"/>
        </w:rPr>
        <w:t>ι</w:t>
      </w:r>
      <w:r>
        <w:rPr>
          <w:smallCaps w:val="0"/>
          <w:color w:val="1F487C"/>
        </w:rPr>
        <w:t>αρθρωτ</w:t>
      </w:r>
      <w:r>
        <w:rPr>
          <w:smallCaps/>
          <w:color w:val="1F487C"/>
        </w:rPr>
        <w:t>ι</w:t>
      </w:r>
      <w:r>
        <w:rPr>
          <w:smallCaps w:val="0"/>
          <w:color w:val="1F487C"/>
        </w:rPr>
        <w:t>κή</w:t>
      </w:r>
      <w:r>
        <w:rPr>
          <w:smallCaps w:val="0"/>
          <w:color w:val="1F487C"/>
          <w:spacing w:val="-9"/>
        </w:rPr>
        <w:t> </w:t>
      </w:r>
      <w:r>
        <w:rPr>
          <w:smallCaps w:val="0"/>
          <w:color w:val="1F487C"/>
          <w:spacing w:val="-2"/>
        </w:rPr>
        <w:t>δ</w:t>
      </w:r>
      <w:r>
        <w:rPr>
          <w:smallCaps/>
          <w:color w:val="1F487C"/>
          <w:spacing w:val="-2"/>
        </w:rPr>
        <w:t>ι</w:t>
      </w:r>
      <w:r>
        <w:rPr>
          <w:smallCaps w:val="0"/>
          <w:color w:val="1F487C"/>
          <w:spacing w:val="-2"/>
        </w:rPr>
        <w:t>άσταση</w:t>
      </w:r>
    </w:p>
    <w:p>
      <w:pPr>
        <w:pStyle w:val="BodyText"/>
        <w:spacing w:line="285" w:lineRule="auto" w:before="107"/>
        <w:ind w:left="172" w:right="959"/>
        <w:jc w:val="both"/>
      </w:pPr>
      <w:r>
        <w:rPr/>
        <w:t>Η διαρθρωτική διάσταση του συστημικού κινδύνου αφορά το σύνολο του χρηματοπιστωτικού συστήματος και σχετίζεται με τα διαρθρωτικά χαρακτηριστικά του. Σε αντίθεση με τους κυκλι-κούς</w:t>
      </w:r>
      <w:r>
        <w:rPr>
          <w:spacing w:val="-7"/>
        </w:rPr>
        <w:t> </w:t>
      </w:r>
      <w:r>
        <w:rPr/>
        <w:t>κινδύνους,</w:t>
      </w:r>
      <w:r>
        <w:rPr>
          <w:spacing w:val="-6"/>
        </w:rPr>
        <w:t> </w:t>
      </w:r>
      <w:r>
        <w:rPr/>
        <w:t>οι</w:t>
      </w:r>
      <w:r>
        <w:rPr>
          <w:spacing w:val="-5"/>
        </w:rPr>
        <w:t> </w:t>
      </w:r>
      <w:r>
        <w:rPr/>
        <w:t>οποίοι</w:t>
      </w:r>
      <w:r>
        <w:rPr>
          <w:spacing w:val="-5"/>
        </w:rPr>
        <w:t> </w:t>
      </w:r>
      <w:r>
        <w:rPr/>
        <w:t>μεταβάλλονται</w:t>
      </w:r>
      <w:r>
        <w:rPr>
          <w:spacing w:val="-6"/>
        </w:rPr>
        <w:t> </w:t>
      </w:r>
      <w:r>
        <w:rPr/>
        <w:t>ανάλογα</w:t>
      </w:r>
      <w:r>
        <w:rPr>
          <w:spacing w:val="-6"/>
        </w:rPr>
        <w:t> </w:t>
      </w:r>
      <w:r>
        <w:rPr/>
        <w:t>με</w:t>
      </w:r>
      <w:r>
        <w:rPr>
          <w:spacing w:val="-5"/>
        </w:rPr>
        <w:t> </w:t>
      </w:r>
      <w:r>
        <w:rPr/>
        <w:t>τη</w:t>
      </w:r>
      <w:r>
        <w:rPr>
          <w:spacing w:val="-6"/>
        </w:rPr>
        <w:t> </w:t>
      </w:r>
      <w:r>
        <w:rPr/>
        <w:t>φάση</w:t>
      </w:r>
      <w:r>
        <w:rPr>
          <w:spacing w:val="-6"/>
        </w:rPr>
        <w:t> </w:t>
      </w:r>
      <w:r>
        <w:rPr/>
        <w:t>του</w:t>
      </w:r>
      <w:r>
        <w:rPr>
          <w:spacing w:val="-5"/>
        </w:rPr>
        <w:t> </w:t>
      </w:r>
      <w:r>
        <w:rPr/>
        <w:t>οικονομικού</w:t>
      </w:r>
      <w:r>
        <w:rPr>
          <w:spacing w:val="-5"/>
        </w:rPr>
        <w:t> </w:t>
      </w:r>
      <w:r>
        <w:rPr/>
        <w:t>κύκλου,</w:t>
      </w:r>
      <w:r>
        <w:rPr>
          <w:spacing w:val="-6"/>
        </w:rPr>
        <w:t> </w:t>
      </w:r>
      <w:r>
        <w:rPr/>
        <w:t>οι</w:t>
      </w:r>
      <w:r>
        <w:rPr>
          <w:spacing w:val="-5"/>
        </w:rPr>
        <w:t> </w:t>
      </w:r>
      <w:r>
        <w:rPr/>
        <w:t>διαρ-θρωτικοί κίνδυνοι έχουν πιο μόνιμο χαρακτήρα και δύνανται να επηρεάζουν το χρηματοπιστω-τικό σύστημα σε μεσο-μακροπρόθεσμο ορίζοντα.</w:t>
      </w:r>
    </w:p>
    <w:p>
      <w:pPr>
        <w:pStyle w:val="BodyText"/>
        <w:spacing w:line="285" w:lineRule="auto" w:before="55"/>
        <w:ind w:left="172" w:right="955"/>
        <w:jc w:val="both"/>
      </w:pPr>
      <w:r>
        <w:rPr/>
        <w:t>Υπό</w:t>
      </w:r>
      <w:r>
        <w:rPr>
          <w:spacing w:val="-11"/>
        </w:rPr>
        <w:t> </w:t>
      </w:r>
      <w:r>
        <w:rPr/>
        <w:t>το</w:t>
      </w:r>
      <w:r>
        <w:rPr>
          <w:spacing w:val="-10"/>
        </w:rPr>
        <w:t> </w:t>
      </w:r>
      <w:r>
        <w:rPr/>
        <w:t>πρίσμα</w:t>
      </w:r>
      <w:r>
        <w:rPr>
          <w:spacing w:val="-11"/>
        </w:rPr>
        <w:t> </w:t>
      </w:r>
      <w:r>
        <w:rPr/>
        <w:t>αυτό,</w:t>
      </w:r>
      <w:r>
        <w:rPr>
          <w:spacing w:val="-10"/>
        </w:rPr>
        <w:t> </w:t>
      </w:r>
      <w:r>
        <w:rPr/>
        <w:t>το</w:t>
      </w:r>
      <w:r>
        <w:rPr>
          <w:spacing w:val="-13"/>
        </w:rPr>
        <w:t> </w:t>
      </w:r>
      <w:r>
        <w:rPr/>
        <w:t>πλαίσιο</w:t>
      </w:r>
      <w:r>
        <w:rPr>
          <w:spacing w:val="-12"/>
        </w:rPr>
        <w:t> </w:t>
      </w:r>
      <w:r>
        <w:rPr/>
        <w:t>αξιολόγησης</w:t>
      </w:r>
      <w:r>
        <w:rPr>
          <w:spacing w:val="-12"/>
        </w:rPr>
        <w:t> </w:t>
      </w:r>
      <w:r>
        <w:rPr/>
        <w:t>περιλαμβάνει</w:t>
      </w:r>
      <w:r>
        <w:rPr>
          <w:spacing w:val="-9"/>
        </w:rPr>
        <w:t> </w:t>
      </w:r>
      <w:r>
        <w:rPr/>
        <w:t>περιοχές</w:t>
      </w:r>
      <w:r>
        <w:rPr>
          <w:spacing w:val="-12"/>
        </w:rPr>
        <w:t> </w:t>
      </w:r>
      <w:r>
        <w:rPr/>
        <w:t>κινδύνου</w:t>
      </w:r>
      <w:r>
        <w:rPr>
          <w:spacing w:val="-10"/>
        </w:rPr>
        <w:t> </w:t>
      </w:r>
      <w:r>
        <w:rPr/>
        <w:t>που</w:t>
      </w:r>
      <w:r>
        <w:rPr>
          <w:spacing w:val="-12"/>
        </w:rPr>
        <w:t> </w:t>
      </w:r>
      <w:r>
        <w:rPr/>
        <w:t>αποτυπώνουν τα</w:t>
      </w:r>
      <w:r>
        <w:rPr>
          <w:spacing w:val="-8"/>
        </w:rPr>
        <w:t> </w:t>
      </w:r>
      <w:r>
        <w:rPr/>
        <w:t>βασικά</w:t>
      </w:r>
      <w:r>
        <w:rPr>
          <w:spacing w:val="-10"/>
        </w:rPr>
        <w:t> </w:t>
      </w:r>
      <w:r>
        <w:rPr/>
        <w:t>χαρακτηριστικά</w:t>
      </w:r>
      <w:r>
        <w:rPr>
          <w:spacing w:val="-8"/>
        </w:rPr>
        <w:t> </w:t>
      </w:r>
      <w:r>
        <w:rPr/>
        <w:t>της</w:t>
      </w:r>
      <w:r>
        <w:rPr>
          <w:spacing w:val="-8"/>
        </w:rPr>
        <w:t> </w:t>
      </w:r>
      <w:r>
        <w:rPr/>
        <w:t>δομής</w:t>
      </w:r>
      <w:r>
        <w:rPr>
          <w:spacing w:val="-8"/>
        </w:rPr>
        <w:t> </w:t>
      </w:r>
      <w:r>
        <w:rPr/>
        <w:t>και</w:t>
      </w:r>
      <w:r>
        <w:rPr>
          <w:spacing w:val="-7"/>
        </w:rPr>
        <w:t> </w:t>
      </w:r>
      <w:r>
        <w:rPr/>
        <w:t>της</w:t>
      </w:r>
      <w:r>
        <w:rPr>
          <w:spacing w:val="-8"/>
        </w:rPr>
        <w:t> </w:t>
      </w:r>
      <w:r>
        <w:rPr/>
        <w:t>λειτουργίας</w:t>
      </w:r>
      <w:r>
        <w:rPr>
          <w:spacing w:val="-9"/>
        </w:rPr>
        <w:t> </w:t>
      </w:r>
      <w:r>
        <w:rPr/>
        <w:t>του</w:t>
      </w:r>
      <w:r>
        <w:rPr>
          <w:spacing w:val="-4"/>
        </w:rPr>
        <w:t> </w:t>
      </w:r>
      <w:r>
        <w:rPr/>
        <w:t>ελληνικού</w:t>
      </w:r>
      <w:r>
        <w:rPr>
          <w:spacing w:val="-6"/>
        </w:rPr>
        <w:t> </w:t>
      </w:r>
      <w:r>
        <w:rPr/>
        <w:t>χρηματοπιστωτικού</w:t>
      </w:r>
      <w:r>
        <w:rPr>
          <w:spacing w:val="-9"/>
        </w:rPr>
        <w:t> </w:t>
      </w:r>
      <w:r>
        <w:rPr/>
        <w:t>συ-στήματος</w:t>
      </w:r>
      <w:r>
        <w:rPr>
          <w:spacing w:val="-7"/>
        </w:rPr>
        <w:t> </w:t>
      </w:r>
      <w:r>
        <w:rPr/>
        <w:t>με</w:t>
      </w:r>
      <w:r>
        <w:rPr>
          <w:spacing w:val="-7"/>
        </w:rPr>
        <w:t> </w:t>
      </w:r>
      <w:r>
        <w:rPr/>
        <w:t>γνώμονα</w:t>
      </w:r>
      <w:r>
        <w:rPr>
          <w:spacing w:val="-6"/>
        </w:rPr>
        <w:t> </w:t>
      </w:r>
      <w:r>
        <w:rPr/>
        <w:t>τον</w:t>
      </w:r>
      <w:r>
        <w:rPr>
          <w:spacing w:val="-5"/>
        </w:rPr>
        <w:t> </w:t>
      </w:r>
      <w:r>
        <w:rPr/>
        <w:t>τραπεζοκεντρικό</w:t>
      </w:r>
      <w:r>
        <w:rPr>
          <w:spacing w:val="-8"/>
        </w:rPr>
        <w:t> </w:t>
      </w:r>
      <w:r>
        <w:rPr/>
        <w:t>του</w:t>
      </w:r>
      <w:r>
        <w:rPr>
          <w:spacing w:val="-7"/>
        </w:rPr>
        <w:t> </w:t>
      </w:r>
      <w:r>
        <w:rPr/>
        <w:t>χαρακτήρα.</w:t>
      </w:r>
      <w:r>
        <w:rPr>
          <w:spacing w:val="-6"/>
        </w:rPr>
        <w:t> </w:t>
      </w:r>
      <w:r>
        <w:rPr/>
        <w:t>Ειδικότερα,</w:t>
      </w:r>
      <w:r>
        <w:rPr>
          <w:spacing w:val="-8"/>
        </w:rPr>
        <w:t> </w:t>
      </w:r>
      <w:r>
        <w:rPr/>
        <w:t>στην</w:t>
      </w:r>
      <w:r>
        <w:rPr>
          <w:spacing w:val="-5"/>
        </w:rPr>
        <w:t> </w:t>
      </w:r>
      <w:r>
        <w:rPr/>
        <w:t>περιοχή</w:t>
      </w:r>
      <w:r>
        <w:rPr>
          <w:spacing w:val="-5"/>
        </w:rPr>
        <w:t> </w:t>
      </w:r>
      <w:r>
        <w:rPr/>
        <w:t>διερεύνη-σης της ευρωστίας του τραπεζικού τομέα περιλαμβάνονται δείκτες που αποτυπώνουν την ανθε-κτικότητα</w:t>
      </w:r>
      <w:r>
        <w:rPr>
          <w:spacing w:val="-1"/>
        </w:rPr>
        <w:t> </w:t>
      </w:r>
      <w:r>
        <w:rPr/>
        <w:t>των</w:t>
      </w:r>
      <w:r>
        <w:rPr>
          <w:spacing w:val="-1"/>
        </w:rPr>
        <w:t> </w:t>
      </w:r>
      <w:r>
        <w:rPr/>
        <w:t>πιστωτικών</w:t>
      </w:r>
      <w:r>
        <w:rPr>
          <w:spacing w:val="-4"/>
        </w:rPr>
        <w:t> </w:t>
      </w:r>
      <w:r>
        <w:rPr/>
        <w:t>ιδρυμάτων (banking soundness</w:t>
      </w:r>
      <w:r>
        <w:rPr>
          <w:spacing w:val="-1"/>
        </w:rPr>
        <w:t> </w:t>
      </w:r>
      <w:r>
        <w:rPr/>
        <w:t>indicators),</w:t>
      </w:r>
      <w:r>
        <w:rPr>
          <w:spacing w:val="-3"/>
        </w:rPr>
        <w:t> </w:t>
      </w:r>
      <w:r>
        <w:rPr/>
        <w:t>όπως</w:t>
      </w:r>
      <w:r>
        <w:rPr>
          <w:spacing w:val="-1"/>
        </w:rPr>
        <w:t> </w:t>
      </w:r>
      <w:r>
        <w:rPr/>
        <w:t>η</w:t>
      </w:r>
      <w:r>
        <w:rPr>
          <w:spacing w:val="-2"/>
        </w:rPr>
        <w:t> </w:t>
      </w:r>
      <w:r>
        <w:rPr/>
        <w:t>εξέλιξη του</w:t>
      </w:r>
      <w:r>
        <w:rPr>
          <w:spacing w:val="-1"/>
        </w:rPr>
        <w:t> </w:t>
      </w:r>
      <w:r>
        <w:rPr/>
        <w:t>ενερ-γητικού των</w:t>
      </w:r>
      <w:r>
        <w:rPr>
          <w:spacing w:val="-2"/>
        </w:rPr>
        <w:t> </w:t>
      </w:r>
      <w:r>
        <w:rPr/>
        <w:t>τραπεζών,</w:t>
      </w:r>
      <w:r>
        <w:rPr>
          <w:spacing w:val="-1"/>
        </w:rPr>
        <w:t> </w:t>
      </w:r>
      <w:r>
        <w:rPr/>
        <w:t>δείκτες</w:t>
      </w:r>
      <w:r>
        <w:rPr>
          <w:spacing w:val="-2"/>
        </w:rPr>
        <w:t> </w:t>
      </w:r>
      <w:r>
        <w:rPr/>
        <w:t>κεφαλαιακής</w:t>
      </w:r>
      <w:r>
        <w:rPr>
          <w:spacing w:val="-2"/>
        </w:rPr>
        <w:t> </w:t>
      </w:r>
      <w:r>
        <w:rPr/>
        <w:t>επάρκειας,</w:t>
      </w:r>
      <w:r>
        <w:rPr>
          <w:spacing w:val="-1"/>
        </w:rPr>
        <w:t> </w:t>
      </w:r>
      <w:r>
        <w:rPr/>
        <w:t>μόχλευσης</w:t>
      </w:r>
      <w:r>
        <w:rPr>
          <w:spacing w:val="-2"/>
        </w:rPr>
        <w:t> </w:t>
      </w:r>
      <w:r>
        <w:rPr/>
        <w:t>και</w:t>
      </w:r>
      <w:r>
        <w:rPr>
          <w:spacing w:val="-1"/>
        </w:rPr>
        <w:t> </w:t>
      </w:r>
      <w:r>
        <w:rPr/>
        <w:t>ρευστότητας.</w:t>
      </w:r>
      <w:r>
        <w:rPr>
          <w:spacing w:val="-1"/>
        </w:rPr>
        <w:t> </w:t>
      </w:r>
      <w:r>
        <w:rPr/>
        <w:t>Οι δείκτες αυτοί</w:t>
      </w:r>
      <w:r>
        <w:rPr>
          <w:spacing w:val="-9"/>
        </w:rPr>
        <w:t> </w:t>
      </w:r>
      <w:r>
        <w:rPr/>
        <w:t>παρέχουν</w:t>
      </w:r>
      <w:r>
        <w:rPr>
          <w:spacing w:val="-10"/>
        </w:rPr>
        <w:t> </w:t>
      </w:r>
      <w:r>
        <w:rPr/>
        <w:t>συνολική</w:t>
      </w:r>
      <w:r>
        <w:rPr>
          <w:spacing w:val="-11"/>
        </w:rPr>
        <w:t> </w:t>
      </w:r>
      <w:r>
        <w:rPr/>
        <w:t>εικόνα</w:t>
      </w:r>
      <w:r>
        <w:rPr>
          <w:spacing w:val="-7"/>
        </w:rPr>
        <w:t> </w:t>
      </w:r>
      <w:r>
        <w:rPr/>
        <w:t>των</w:t>
      </w:r>
      <w:r>
        <w:rPr>
          <w:spacing w:val="-10"/>
        </w:rPr>
        <w:t> </w:t>
      </w:r>
      <w:r>
        <w:rPr/>
        <w:t>θεμελιωδών</w:t>
      </w:r>
      <w:r>
        <w:rPr>
          <w:spacing w:val="-10"/>
        </w:rPr>
        <w:t> </w:t>
      </w:r>
      <w:r>
        <w:rPr/>
        <w:t>μεγεθών</w:t>
      </w:r>
      <w:r>
        <w:rPr>
          <w:spacing w:val="-8"/>
        </w:rPr>
        <w:t> </w:t>
      </w:r>
      <w:r>
        <w:rPr/>
        <w:t>του</w:t>
      </w:r>
      <w:r>
        <w:rPr>
          <w:spacing w:val="-7"/>
        </w:rPr>
        <w:t> </w:t>
      </w:r>
      <w:r>
        <w:rPr/>
        <w:t>τραπεζικού</w:t>
      </w:r>
      <w:r>
        <w:rPr>
          <w:spacing w:val="-7"/>
        </w:rPr>
        <w:t> </w:t>
      </w:r>
      <w:r>
        <w:rPr/>
        <w:t>τομέα,</w:t>
      </w:r>
      <w:r>
        <w:rPr>
          <w:spacing w:val="-11"/>
        </w:rPr>
        <w:t> </w:t>
      </w:r>
      <w:r>
        <w:rPr/>
        <w:t>καθώς</w:t>
      </w:r>
      <w:r>
        <w:rPr>
          <w:spacing w:val="-9"/>
        </w:rPr>
        <w:t> </w:t>
      </w:r>
      <w:r>
        <w:rPr/>
        <w:t>και</w:t>
      </w:r>
      <w:r>
        <w:rPr>
          <w:spacing w:val="-8"/>
        </w:rPr>
        <w:t> </w:t>
      </w:r>
      <w:r>
        <w:rPr/>
        <w:t>της ικανότητάς του να απορροφά και να αντιμετωπίζει ενδεχόμενες εξωγενείς αναταράξεις.</w:t>
      </w:r>
    </w:p>
    <w:p>
      <w:pPr>
        <w:pStyle w:val="BodyText"/>
        <w:spacing w:line="285" w:lineRule="auto" w:before="52"/>
        <w:ind w:left="172" w:right="955"/>
        <w:jc w:val="both"/>
      </w:pPr>
      <w:r>
        <w:rPr/>
        <w:t>Στην περιοχή της συγκέντρωσης του τραπεζικού τομέα εξετάζονται δείκτες που αποτυπώνουν τον βαθμό συγκέντρωσής του, όπως ο δείκτης Herfindahl και ο δείκτης συγκέντρωσης με βάση το μερίδιο αγοράς των πέντε μεγαλύτερων πιστωτικών ιδρυμάτων(CR-5). Οι δείκτες αυτοί, δε-δομένης της δομής του ελληνικού χρηματοπιστωτικού συστήματος, παρουσιάζουν διαχρονική σταθερότητα.</w:t>
      </w:r>
      <w:r>
        <w:rPr>
          <w:spacing w:val="-14"/>
        </w:rPr>
        <w:t> </w:t>
      </w:r>
      <w:r>
        <w:rPr/>
        <w:t>Εντούτοις,</w:t>
      </w:r>
      <w:r>
        <w:rPr>
          <w:spacing w:val="-14"/>
        </w:rPr>
        <w:t> </w:t>
      </w:r>
      <w:r>
        <w:rPr/>
        <w:t>είναι</w:t>
      </w:r>
      <w:r>
        <w:rPr>
          <w:spacing w:val="-13"/>
        </w:rPr>
        <w:t> </w:t>
      </w:r>
      <w:r>
        <w:rPr/>
        <w:t>χρήσιμη</w:t>
      </w:r>
      <w:r>
        <w:rPr>
          <w:spacing w:val="-13"/>
        </w:rPr>
        <w:t> </w:t>
      </w:r>
      <w:r>
        <w:rPr/>
        <w:t>η</w:t>
      </w:r>
      <w:r>
        <w:rPr>
          <w:spacing w:val="-14"/>
        </w:rPr>
        <w:t> </w:t>
      </w:r>
      <w:r>
        <w:rPr/>
        <w:t>συστηματική</w:t>
      </w:r>
      <w:r>
        <w:rPr>
          <w:spacing w:val="-13"/>
        </w:rPr>
        <w:t> </w:t>
      </w:r>
      <w:r>
        <w:rPr/>
        <w:t>παρακολούθησή</w:t>
      </w:r>
      <w:r>
        <w:rPr>
          <w:spacing w:val="-14"/>
        </w:rPr>
        <w:t> </w:t>
      </w:r>
      <w:r>
        <w:rPr/>
        <w:t>τους</w:t>
      </w:r>
      <w:r>
        <w:rPr>
          <w:spacing w:val="-13"/>
        </w:rPr>
        <w:t> </w:t>
      </w:r>
      <w:r>
        <w:rPr/>
        <w:t>για</w:t>
      </w:r>
      <w:r>
        <w:rPr>
          <w:spacing w:val="-14"/>
        </w:rPr>
        <w:t> </w:t>
      </w:r>
      <w:r>
        <w:rPr/>
        <w:t>την</w:t>
      </w:r>
      <w:r>
        <w:rPr>
          <w:spacing w:val="-12"/>
        </w:rPr>
        <w:t> </w:t>
      </w:r>
      <w:r>
        <w:rPr>
          <w:spacing w:val="-2"/>
        </w:rPr>
        <w:t>αξιολόγηση</w:t>
      </w:r>
    </w:p>
    <w:p>
      <w:pPr>
        <w:pStyle w:val="BodyText"/>
        <w:rPr>
          <w:sz w:val="20"/>
        </w:rPr>
      </w:pPr>
    </w:p>
    <w:p>
      <w:pPr>
        <w:pStyle w:val="BodyText"/>
        <w:spacing w:before="6"/>
        <w:rPr>
          <w:sz w:val="20"/>
        </w:rPr>
      </w:pPr>
      <w:r>
        <w:rPr>
          <w:sz w:val="20"/>
        </w:rPr>
        <mc:AlternateContent>
          <mc:Choice Requires="wps">
            <w:drawing>
              <wp:anchor distT="0" distB="0" distL="0" distR="0" allowOverlap="1" layoutInCell="1" locked="0" behindDoc="1" simplePos="0" relativeHeight="487680000">
                <wp:simplePos x="0" y="0"/>
                <wp:positionH relativeFrom="page">
                  <wp:posOffset>1009192</wp:posOffset>
                </wp:positionH>
                <wp:positionV relativeFrom="paragraph">
                  <wp:posOffset>165662</wp:posOffset>
                </wp:positionV>
                <wp:extent cx="1829435" cy="7620"/>
                <wp:effectExtent l="0" t="0" r="0" b="0"/>
                <wp:wrapTopAndBottom/>
                <wp:docPr id="797" name="Graphic 797"/>
                <wp:cNvGraphicFramePr>
                  <a:graphicFrameLocks/>
                </wp:cNvGraphicFramePr>
                <a:graphic>
                  <a:graphicData uri="http://schemas.microsoft.com/office/word/2010/wordprocessingShape">
                    <wps:wsp>
                      <wps:cNvPr id="797" name="Graphic 79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3.044278pt;width:144.020pt;height:.599980pt;mso-position-horizontal-relative:page;mso-position-vertical-relative:paragraph;z-index:-15636480;mso-wrap-distance-left:0;mso-wrap-distance-right:0" id="docshape746" filled="true" fillcolor="#000000" stroked="false">
                <v:fill type="solid"/>
                <w10:wrap type="topAndBottom"/>
              </v:rect>
            </w:pict>
          </mc:Fallback>
        </mc:AlternateContent>
      </w:r>
    </w:p>
    <w:p>
      <w:pPr>
        <w:spacing w:before="165"/>
        <w:ind w:left="172" w:right="956" w:firstLine="0"/>
        <w:jc w:val="left"/>
        <w:rPr>
          <w:sz w:val="16"/>
        </w:rPr>
      </w:pPr>
      <w:bookmarkStart w:name="_bookmark182" w:id="183"/>
      <w:bookmarkEnd w:id="183"/>
      <w:r>
        <w:rPr/>
      </w:r>
      <w:r>
        <w:rPr>
          <w:sz w:val="16"/>
          <w:vertAlign w:val="superscript"/>
        </w:rPr>
        <w:t>123</w:t>
      </w:r>
      <w:r>
        <w:rPr>
          <w:sz w:val="16"/>
          <w:vertAlign w:val="baseline"/>
        </w:rPr>
        <w:t> Βλ. Τράπεζα της Ελλάδος, </w:t>
      </w:r>
      <w:hyperlink r:id="rId159">
        <w:r>
          <w:rPr>
            <w:color w:val="0000FF"/>
            <w:sz w:val="16"/>
            <w:u w:val="single" w:color="0000FF"/>
            <w:vertAlign w:val="baseline"/>
          </w:rPr>
          <w:t>Έκθεση</w:t>
        </w:r>
        <w:r>
          <w:rPr>
            <w:color w:val="0000FF"/>
            <w:spacing w:val="-2"/>
            <w:sz w:val="16"/>
            <w:u w:val="single" w:color="0000FF"/>
            <w:vertAlign w:val="baseline"/>
          </w:rPr>
          <w:t> </w:t>
        </w:r>
        <w:r>
          <w:rPr>
            <w:color w:val="0000FF"/>
            <w:sz w:val="16"/>
            <w:u w:val="single" w:color="0000FF"/>
            <w:vertAlign w:val="baseline"/>
          </w:rPr>
          <w:t>Χρηματοπιστωτικής Σταθερότητας - Οκτώβριος 2024</w:t>
        </w:r>
        <w:r>
          <w:rPr>
            <w:sz w:val="16"/>
            <w:vertAlign w:val="baseline"/>
          </w:rPr>
          <w:t>,</w:t>
        </w:r>
      </w:hyperlink>
      <w:r>
        <w:rPr>
          <w:sz w:val="16"/>
          <w:vertAlign w:val="baseline"/>
        </w:rPr>
        <w:t> Ειδικό Θέμα Ι “Πλαίσιο αξιολόγησης</w:t>
      </w:r>
      <w:r>
        <w:rPr>
          <w:spacing w:val="40"/>
          <w:sz w:val="16"/>
          <w:vertAlign w:val="baseline"/>
        </w:rPr>
        <w:t> </w:t>
      </w:r>
      <w:r>
        <w:rPr>
          <w:sz w:val="16"/>
          <w:vertAlign w:val="baseline"/>
        </w:rPr>
        <w:t>των κινδύνων από δάνεια και επενδύσεις σε επαγγελματικά ακίνητα στην Ελλάδα”.</w:t>
      </w:r>
    </w:p>
    <w:p>
      <w:pPr>
        <w:spacing w:after="0"/>
        <w:jc w:val="left"/>
        <w:rPr>
          <w:sz w:val="16"/>
        </w:rPr>
        <w:sectPr>
          <w:pgSz w:w="11910" w:h="16850"/>
          <w:pgMar w:header="0" w:footer="1262" w:top="1100" w:bottom="1460" w:left="1417" w:right="850"/>
        </w:sectPr>
      </w:pPr>
    </w:p>
    <w:p>
      <w:pPr>
        <w:pStyle w:val="BodyText"/>
        <w:spacing w:line="285" w:lineRule="auto" w:before="74"/>
        <w:ind w:left="172" w:right="956"/>
        <w:jc w:val="both"/>
      </w:pPr>
      <w:r>
        <w:rPr/>
        <w:t>των κινδύνων του τραπεζικού τομέα και</w:t>
      </w:r>
      <w:r>
        <w:rPr>
          <w:spacing w:val="-1"/>
        </w:rPr>
        <w:t> </w:t>
      </w:r>
      <w:r>
        <w:rPr/>
        <w:t>των δυνητικών επιπτώσεων από μια μετάδοση του κιν-δύνου μεταξύ των πιστωτικών ιδρυμάτων.</w:t>
      </w:r>
    </w:p>
    <w:p>
      <w:pPr>
        <w:pStyle w:val="BodyText"/>
        <w:spacing w:line="285" w:lineRule="auto" w:before="58"/>
        <w:ind w:left="172" w:right="958"/>
        <w:jc w:val="both"/>
        <w:rPr>
          <w:position w:val="6"/>
          <w:sz w:val="10"/>
        </w:rPr>
      </w:pPr>
      <w:r>
        <w:rPr/>
        <w:t>Τέλος, στην περιοχή παρακολούθησης της συστημικής ρευστότητας (systemic liquidity) περι-λαμβάνονται</w:t>
      </w:r>
      <w:r>
        <w:rPr>
          <w:spacing w:val="-7"/>
        </w:rPr>
        <w:t> </w:t>
      </w:r>
      <w:r>
        <w:rPr/>
        <w:t>δείκτες</w:t>
      </w:r>
      <w:r>
        <w:rPr>
          <w:spacing w:val="-8"/>
        </w:rPr>
        <w:t> </w:t>
      </w:r>
      <w:r>
        <w:rPr/>
        <w:t>που</w:t>
      </w:r>
      <w:r>
        <w:rPr>
          <w:spacing w:val="-6"/>
        </w:rPr>
        <w:t> </w:t>
      </w:r>
      <w:r>
        <w:rPr/>
        <w:t>αποτυπώνουν</w:t>
      </w:r>
      <w:r>
        <w:rPr>
          <w:spacing w:val="-6"/>
        </w:rPr>
        <w:t> </w:t>
      </w:r>
      <w:r>
        <w:rPr/>
        <w:t>τις</w:t>
      </w:r>
      <w:r>
        <w:rPr>
          <w:spacing w:val="-8"/>
        </w:rPr>
        <w:t> </w:t>
      </w:r>
      <w:r>
        <w:rPr/>
        <w:t>συνθήκες</w:t>
      </w:r>
      <w:r>
        <w:rPr>
          <w:spacing w:val="-8"/>
        </w:rPr>
        <w:t> </w:t>
      </w:r>
      <w:r>
        <w:rPr/>
        <w:t>χρηματοδότησης</w:t>
      </w:r>
      <w:r>
        <w:rPr>
          <w:spacing w:val="-8"/>
        </w:rPr>
        <w:t> </w:t>
      </w:r>
      <w:r>
        <w:rPr/>
        <w:t>και</w:t>
      </w:r>
      <w:r>
        <w:rPr>
          <w:spacing w:val="-7"/>
        </w:rPr>
        <w:t> </w:t>
      </w:r>
      <w:r>
        <w:rPr/>
        <w:t>ρευστότητας</w:t>
      </w:r>
      <w:r>
        <w:rPr>
          <w:spacing w:val="-8"/>
        </w:rPr>
        <w:t> </w:t>
      </w:r>
      <w:r>
        <w:rPr/>
        <w:t>στο</w:t>
      </w:r>
      <w:r>
        <w:rPr>
          <w:spacing w:val="-7"/>
        </w:rPr>
        <w:t> </w:t>
      </w:r>
      <w:r>
        <w:rPr/>
        <w:t>χρη-ματοπιστωτικό σύστημα. Επισημαίνεται ότι η επιλογή των εν λόγω δεικτών βασίστηκε, μεταξύ άλλων, σε σχετική ερευνητική εργασία που δημοσιεύθηκε πρόσφατα από το ΕΣΣΚ για την πα-ρακολούθηση των συστημικών κινδύνων ρευστότητας</w:t>
      </w:r>
      <w:hyperlink w:history="true" w:anchor="_bookmark183">
        <w:r>
          <w:rPr/>
          <w:t>.</w:t>
        </w:r>
        <w:r>
          <w:rPr>
            <w:position w:val="6"/>
            <w:sz w:val="10"/>
          </w:rPr>
          <w:t>124</w:t>
        </w:r>
      </w:hyperlink>
    </w:p>
    <w:p>
      <w:pPr>
        <w:pStyle w:val="BodyText"/>
        <w:spacing w:before="161"/>
      </w:pPr>
    </w:p>
    <w:p>
      <w:pPr>
        <w:pStyle w:val="Heading4"/>
        <w:spacing w:before="1"/>
      </w:pPr>
      <w:r>
        <w:rPr>
          <w:color w:val="1F487C"/>
        </w:rPr>
        <w:t>Γ.</w:t>
      </w:r>
      <w:r>
        <w:rPr>
          <w:color w:val="1F487C"/>
          <w:spacing w:val="-5"/>
        </w:rPr>
        <w:t> </w:t>
      </w:r>
      <w:r>
        <w:rPr>
          <w:color w:val="1F487C"/>
        </w:rPr>
        <w:t>Μη</w:t>
      </w:r>
      <w:r>
        <w:rPr>
          <w:color w:val="1F487C"/>
          <w:spacing w:val="-5"/>
        </w:rPr>
        <w:t> </w:t>
      </w:r>
      <w:r>
        <w:rPr>
          <w:color w:val="1F487C"/>
        </w:rPr>
        <w:t>τραπεζ</w:t>
      </w:r>
      <w:r>
        <w:rPr>
          <w:smallCaps/>
          <w:color w:val="1F487C"/>
        </w:rPr>
        <w:t>ι</w:t>
      </w:r>
      <w:r>
        <w:rPr>
          <w:smallCaps w:val="0"/>
          <w:color w:val="1F487C"/>
        </w:rPr>
        <w:t>κοί</w:t>
      </w:r>
      <w:r>
        <w:rPr>
          <w:smallCaps w:val="0"/>
          <w:color w:val="1F487C"/>
          <w:spacing w:val="-3"/>
        </w:rPr>
        <w:t> </w:t>
      </w:r>
      <w:r>
        <w:rPr>
          <w:smallCaps w:val="0"/>
          <w:color w:val="1F487C"/>
          <w:spacing w:val="-2"/>
        </w:rPr>
        <w:t>κίνδυνο</w:t>
      </w:r>
      <w:r>
        <w:rPr>
          <w:smallCaps/>
          <w:color w:val="1F487C"/>
          <w:spacing w:val="-2"/>
        </w:rPr>
        <w:t>ι</w:t>
      </w:r>
    </w:p>
    <w:p>
      <w:pPr>
        <w:pStyle w:val="BodyText"/>
        <w:spacing w:line="285" w:lineRule="auto" w:before="107"/>
        <w:ind w:left="172" w:right="956"/>
        <w:jc w:val="both"/>
      </w:pPr>
      <w:r>
        <w:rPr/>
        <w:t>Ο μη τραπεζικός χρηματοπιστωτικός τομέας στην Ελλάδα παραμένει σχετικά περιορισμένος σε μέγεθος, ιδίως σε σύγκριση με τη δυναμική που παρουσιάζει σε διεθνές επίπεδο. Ως εκ τούτου, αποτελεί</w:t>
      </w:r>
      <w:r>
        <w:rPr>
          <w:spacing w:val="-14"/>
        </w:rPr>
        <w:t> </w:t>
      </w:r>
      <w:r>
        <w:rPr/>
        <w:t>τη</w:t>
      </w:r>
      <w:r>
        <w:rPr>
          <w:spacing w:val="-14"/>
        </w:rPr>
        <w:t> </w:t>
      </w:r>
      <w:r>
        <w:rPr/>
        <w:t>μικρότερη</w:t>
      </w:r>
      <w:r>
        <w:rPr>
          <w:spacing w:val="-14"/>
        </w:rPr>
        <w:t> </w:t>
      </w:r>
      <w:r>
        <w:rPr/>
        <w:t>κατηγορία</w:t>
      </w:r>
      <w:r>
        <w:rPr>
          <w:spacing w:val="-13"/>
        </w:rPr>
        <w:t> </w:t>
      </w:r>
      <w:r>
        <w:rPr/>
        <w:t>του</w:t>
      </w:r>
      <w:r>
        <w:rPr>
          <w:spacing w:val="-14"/>
        </w:rPr>
        <w:t> </w:t>
      </w:r>
      <w:r>
        <w:rPr/>
        <w:t>πλαισίου</w:t>
      </w:r>
      <w:r>
        <w:rPr>
          <w:spacing w:val="-14"/>
        </w:rPr>
        <w:t> </w:t>
      </w:r>
      <w:r>
        <w:rPr/>
        <w:t>αξιολόγησης</w:t>
      </w:r>
      <w:r>
        <w:rPr>
          <w:spacing w:val="-14"/>
        </w:rPr>
        <w:t> </w:t>
      </w:r>
      <w:r>
        <w:rPr/>
        <w:t>των</w:t>
      </w:r>
      <w:r>
        <w:rPr>
          <w:spacing w:val="-13"/>
        </w:rPr>
        <w:t> </w:t>
      </w:r>
      <w:r>
        <w:rPr/>
        <w:t>συστημικών</w:t>
      </w:r>
      <w:r>
        <w:rPr>
          <w:spacing w:val="-14"/>
        </w:rPr>
        <w:t> </w:t>
      </w:r>
      <w:r>
        <w:rPr/>
        <w:t>κινδύνων.</w:t>
      </w:r>
      <w:r>
        <w:rPr>
          <w:spacing w:val="-14"/>
        </w:rPr>
        <w:t> </w:t>
      </w:r>
      <w:r>
        <w:rPr/>
        <w:t>Σημειώ-νεται ότι στην εν λόγω κατηγορία δόθηκε έμφαση στις ασφαλιστικές επιχειρήσεις, οι οποίες α-ποτελούν</w:t>
      </w:r>
      <w:r>
        <w:rPr>
          <w:spacing w:val="-2"/>
        </w:rPr>
        <w:t> </w:t>
      </w:r>
      <w:r>
        <w:rPr/>
        <w:t>τον δεύτερο</w:t>
      </w:r>
      <w:r>
        <w:rPr>
          <w:spacing w:val="-3"/>
        </w:rPr>
        <w:t> </w:t>
      </w:r>
      <w:r>
        <w:rPr/>
        <w:t>μεγαλύτερο</w:t>
      </w:r>
      <w:r>
        <w:rPr>
          <w:spacing w:val="-3"/>
        </w:rPr>
        <w:t> </w:t>
      </w:r>
      <w:r>
        <w:rPr/>
        <w:t>τομέα</w:t>
      </w:r>
      <w:r>
        <w:rPr>
          <w:spacing w:val="-4"/>
        </w:rPr>
        <w:t> </w:t>
      </w:r>
      <w:r>
        <w:rPr/>
        <w:t>του χρηματοπιστωτικού</w:t>
      </w:r>
      <w:r>
        <w:rPr>
          <w:spacing w:val="-2"/>
        </w:rPr>
        <w:t> </w:t>
      </w:r>
      <w:r>
        <w:rPr/>
        <w:t>συστήματος</w:t>
      </w:r>
      <w:r>
        <w:rPr>
          <w:spacing w:val="-5"/>
        </w:rPr>
        <w:t> </w:t>
      </w:r>
      <w:r>
        <w:rPr/>
        <w:t>σε όρους</w:t>
      </w:r>
      <w:r>
        <w:rPr>
          <w:spacing w:val="-3"/>
        </w:rPr>
        <w:t> </w:t>
      </w:r>
      <w:r>
        <w:rPr/>
        <w:t>ενεργη-</w:t>
      </w:r>
      <w:r>
        <w:rPr>
          <w:spacing w:val="-2"/>
        </w:rPr>
        <w:t>τικού.</w:t>
      </w:r>
    </w:p>
    <w:p>
      <w:pPr>
        <w:pStyle w:val="BodyText"/>
        <w:spacing w:line="285" w:lineRule="auto" w:before="54"/>
        <w:ind w:left="172" w:right="955"/>
        <w:jc w:val="both"/>
      </w:pPr>
      <w:r>
        <w:rPr/>
        <w:t>Αναλυτικά, για την παρακολούθηση των κινδύνων στον ασφαλιστικό τομέα αξιοποιούνται επο-πτικά</w:t>
      </w:r>
      <w:r>
        <w:rPr>
          <w:spacing w:val="-12"/>
        </w:rPr>
        <w:t> </w:t>
      </w:r>
      <w:r>
        <w:rPr/>
        <w:t>στοιχεία,</w:t>
      </w:r>
      <w:r>
        <w:rPr>
          <w:spacing w:val="-12"/>
        </w:rPr>
        <w:t> </w:t>
      </w:r>
      <w:r>
        <w:rPr/>
        <w:t>τα</w:t>
      </w:r>
      <w:r>
        <w:rPr>
          <w:spacing w:val="-12"/>
        </w:rPr>
        <w:t> </w:t>
      </w:r>
      <w:r>
        <w:rPr/>
        <w:t>οποία</w:t>
      </w:r>
      <w:r>
        <w:rPr>
          <w:spacing w:val="-14"/>
        </w:rPr>
        <w:t> </w:t>
      </w:r>
      <w:r>
        <w:rPr/>
        <w:t>επιτρέπουν</w:t>
      </w:r>
      <w:r>
        <w:rPr>
          <w:spacing w:val="-11"/>
        </w:rPr>
        <w:t> </w:t>
      </w:r>
      <w:r>
        <w:rPr/>
        <w:t>την</w:t>
      </w:r>
      <w:r>
        <w:rPr>
          <w:spacing w:val="-11"/>
        </w:rPr>
        <w:t> </w:t>
      </w:r>
      <w:r>
        <w:rPr/>
        <w:t>αποτύπωση</w:t>
      </w:r>
      <w:r>
        <w:rPr>
          <w:spacing w:val="-12"/>
        </w:rPr>
        <w:t> </w:t>
      </w:r>
      <w:r>
        <w:rPr/>
        <w:t>της</w:t>
      </w:r>
      <w:r>
        <w:rPr>
          <w:spacing w:val="-13"/>
        </w:rPr>
        <w:t> </w:t>
      </w:r>
      <w:r>
        <w:rPr/>
        <w:t>φερεγγυότητας</w:t>
      </w:r>
      <w:r>
        <w:rPr>
          <w:spacing w:val="-13"/>
        </w:rPr>
        <w:t> </w:t>
      </w:r>
      <w:r>
        <w:rPr/>
        <w:t>και</w:t>
      </w:r>
      <w:r>
        <w:rPr>
          <w:spacing w:val="-14"/>
        </w:rPr>
        <w:t> </w:t>
      </w:r>
      <w:r>
        <w:rPr/>
        <w:t>της</w:t>
      </w:r>
      <w:r>
        <w:rPr>
          <w:spacing w:val="-13"/>
        </w:rPr>
        <w:t> </w:t>
      </w:r>
      <w:r>
        <w:rPr/>
        <w:t>κερδοφορίας</w:t>
      </w:r>
      <w:r>
        <w:rPr>
          <w:spacing w:val="-13"/>
        </w:rPr>
        <w:t> </w:t>
      </w:r>
      <w:r>
        <w:rPr/>
        <w:t>των ασφαλιστικών επιχειρήσεων. Όσον αφορά τους λοιπούς τομείς του μη τραπεζικού χρηματοπι-στωτικού συστήματος, η παρακολούθηση των κινδύνων εστιάζει στην εξέλιξη του ενεργητικού τους και τη ρευστότητά τους.</w:t>
      </w:r>
    </w:p>
    <w:p>
      <w:pPr>
        <w:pStyle w:val="BodyText"/>
        <w:spacing w:before="162"/>
      </w:pPr>
    </w:p>
    <w:p>
      <w:pPr>
        <w:pStyle w:val="Heading4"/>
      </w:pPr>
      <w:r>
        <w:rPr>
          <w:color w:val="1F487C"/>
          <w:spacing w:val="-2"/>
        </w:rPr>
        <w:t>Αξ</w:t>
      </w:r>
      <w:r>
        <w:rPr>
          <w:smallCaps/>
          <w:color w:val="1F487C"/>
          <w:spacing w:val="-2"/>
        </w:rPr>
        <w:t>ιο</w:t>
      </w:r>
      <w:r>
        <w:rPr>
          <w:smallCaps w:val="0"/>
          <w:color w:val="1F487C"/>
          <w:spacing w:val="-2"/>
        </w:rPr>
        <w:t>λόγηση</w:t>
      </w:r>
      <w:r>
        <w:rPr>
          <w:smallCaps w:val="0"/>
          <w:color w:val="1F487C"/>
          <w:spacing w:val="-5"/>
        </w:rPr>
        <w:t> </w:t>
      </w:r>
      <w:r>
        <w:rPr>
          <w:smallCaps w:val="0"/>
          <w:color w:val="1F487C"/>
          <w:spacing w:val="-2"/>
        </w:rPr>
        <w:t>των συστημ</w:t>
      </w:r>
      <w:r>
        <w:rPr>
          <w:smallCaps/>
          <w:color w:val="1F487C"/>
          <w:spacing w:val="-2"/>
        </w:rPr>
        <w:t>ι</w:t>
      </w:r>
      <w:r>
        <w:rPr>
          <w:smallCaps w:val="0"/>
          <w:color w:val="1F487C"/>
          <w:spacing w:val="-2"/>
        </w:rPr>
        <w:t>κών</w:t>
      </w:r>
      <w:r>
        <w:rPr>
          <w:smallCaps w:val="0"/>
          <w:color w:val="1F487C"/>
          <w:spacing w:val="-1"/>
        </w:rPr>
        <w:t> </w:t>
      </w:r>
      <w:r>
        <w:rPr>
          <w:smallCaps w:val="0"/>
          <w:color w:val="1F487C"/>
          <w:spacing w:val="-2"/>
        </w:rPr>
        <w:t>κ</w:t>
      </w:r>
      <w:r>
        <w:rPr>
          <w:smallCaps/>
          <w:color w:val="1F487C"/>
          <w:spacing w:val="-2"/>
        </w:rPr>
        <w:t>ιν</w:t>
      </w:r>
      <w:r>
        <w:rPr>
          <w:smallCaps w:val="0"/>
          <w:color w:val="1F487C"/>
          <w:spacing w:val="-2"/>
        </w:rPr>
        <w:t>δύνων</w:t>
      </w:r>
    </w:p>
    <w:p>
      <w:pPr>
        <w:pStyle w:val="BodyText"/>
        <w:spacing w:line="285" w:lineRule="auto" w:before="107"/>
        <w:ind w:left="172" w:right="958"/>
        <w:jc w:val="both"/>
      </w:pPr>
      <w:r>
        <w:rPr/>
        <w:t>Ο προσδιορισμός του συνολικού επιπέδου των συστημικών κινδύνων στηρίζεται στην αξιολό-γηση</w:t>
      </w:r>
      <w:r>
        <w:rPr>
          <w:spacing w:val="-3"/>
        </w:rPr>
        <w:t> </w:t>
      </w:r>
      <w:r>
        <w:rPr/>
        <w:t>των</w:t>
      </w:r>
      <w:r>
        <w:rPr>
          <w:spacing w:val="-1"/>
        </w:rPr>
        <w:t> </w:t>
      </w:r>
      <w:r>
        <w:rPr/>
        <w:t>επιμέρους</w:t>
      </w:r>
      <w:r>
        <w:rPr>
          <w:spacing w:val="-4"/>
        </w:rPr>
        <w:t> </w:t>
      </w:r>
      <w:r>
        <w:rPr/>
        <w:t>περιοχών</w:t>
      </w:r>
      <w:r>
        <w:rPr>
          <w:spacing w:val="-1"/>
        </w:rPr>
        <w:t> </w:t>
      </w:r>
      <w:r>
        <w:rPr/>
        <w:t>κινδύνου.</w:t>
      </w:r>
      <w:r>
        <w:rPr>
          <w:spacing w:val="-3"/>
        </w:rPr>
        <w:t> </w:t>
      </w:r>
      <w:r>
        <w:rPr/>
        <w:t>Συγκεκριμένα, εκτιμώνται η</w:t>
      </w:r>
      <w:r>
        <w:rPr>
          <w:spacing w:val="-3"/>
        </w:rPr>
        <w:t> </w:t>
      </w:r>
      <w:r>
        <w:rPr/>
        <w:t>ένταση, η</w:t>
      </w:r>
      <w:r>
        <w:rPr>
          <w:spacing w:val="-3"/>
        </w:rPr>
        <w:t> </w:t>
      </w:r>
      <w:r>
        <w:rPr/>
        <w:t>κατεύθυνση</w:t>
      </w:r>
      <w:r>
        <w:rPr>
          <w:spacing w:val="-3"/>
        </w:rPr>
        <w:t> </w:t>
      </w:r>
      <w:r>
        <w:rPr/>
        <w:t>και τα ποιοτικά και ποσοτικά χαρακτηριστικά των επιμέρους δεικτών και εν συνεχεία το επίπεδο κινδύνου</w:t>
      </w:r>
      <w:r>
        <w:rPr>
          <w:spacing w:val="-11"/>
        </w:rPr>
        <w:t> </w:t>
      </w:r>
      <w:r>
        <w:rPr/>
        <w:t>ανά</w:t>
      </w:r>
      <w:r>
        <w:rPr>
          <w:spacing w:val="-10"/>
        </w:rPr>
        <w:t> </w:t>
      </w:r>
      <w:r>
        <w:rPr/>
        <w:t>περιοχή,</w:t>
      </w:r>
      <w:r>
        <w:rPr>
          <w:spacing w:val="-12"/>
        </w:rPr>
        <w:t> </w:t>
      </w:r>
      <w:r>
        <w:rPr/>
        <w:t>ώστε</w:t>
      </w:r>
      <w:r>
        <w:rPr>
          <w:spacing w:val="-9"/>
        </w:rPr>
        <w:t> </w:t>
      </w:r>
      <w:r>
        <w:rPr/>
        <w:t>να</w:t>
      </w:r>
      <w:r>
        <w:rPr>
          <w:spacing w:val="-12"/>
        </w:rPr>
        <w:t> </w:t>
      </w:r>
      <w:r>
        <w:rPr/>
        <w:t>προσδιοριστεί</w:t>
      </w:r>
      <w:r>
        <w:rPr>
          <w:spacing w:val="-9"/>
        </w:rPr>
        <w:t> </w:t>
      </w:r>
      <w:r>
        <w:rPr/>
        <w:t>το</w:t>
      </w:r>
      <w:r>
        <w:rPr>
          <w:spacing w:val="-12"/>
        </w:rPr>
        <w:t> </w:t>
      </w:r>
      <w:r>
        <w:rPr/>
        <w:t>επίπεδο</w:t>
      </w:r>
      <w:r>
        <w:rPr>
          <w:spacing w:val="-10"/>
        </w:rPr>
        <w:t> </w:t>
      </w:r>
      <w:r>
        <w:rPr/>
        <w:t>κινδύνου</w:t>
      </w:r>
      <w:r>
        <w:rPr>
          <w:spacing w:val="-9"/>
        </w:rPr>
        <w:t> </w:t>
      </w:r>
      <w:r>
        <w:rPr/>
        <w:t>κάθε</w:t>
      </w:r>
      <w:r>
        <w:rPr>
          <w:spacing w:val="-11"/>
        </w:rPr>
        <w:t> </w:t>
      </w:r>
      <w:r>
        <w:rPr/>
        <w:t>διάστασης.</w:t>
      </w:r>
      <w:r>
        <w:rPr>
          <w:spacing w:val="-10"/>
        </w:rPr>
        <w:t> </w:t>
      </w:r>
      <w:r>
        <w:rPr/>
        <w:t>Το</w:t>
      </w:r>
      <w:r>
        <w:rPr>
          <w:spacing w:val="-10"/>
        </w:rPr>
        <w:t> </w:t>
      </w:r>
      <w:r>
        <w:rPr/>
        <w:t>συνολικό επίπεδο κινδύνων για το χρηματοπιστωτικό σύστημα προκύπτει από τη σύνθεση των επιμέρους </w:t>
      </w:r>
      <w:r>
        <w:rPr>
          <w:spacing w:val="-2"/>
        </w:rPr>
        <w:t>διαστάσεων.</w:t>
      </w:r>
    </w:p>
    <w:p>
      <w:pPr>
        <w:pStyle w:val="BodyText"/>
        <w:spacing w:line="285" w:lineRule="auto" w:before="54"/>
        <w:ind w:left="172" w:right="954"/>
        <w:jc w:val="both"/>
      </w:pPr>
      <w:r>
        <w:rPr/>
        <w:t>Με</w:t>
      </w:r>
      <w:r>
        <w:rPr>
          <w:spacing w:val="-9"/>
        </w:rPr>
        <w:t> </w:t>
      </w:r>
      <w:r>
        <w:rPr/>
        <w:t>βάση</w:t>
      </w:r>
      <w:r>
        <w:rPr>
          <w:spacing w:val="-11"/>
        </w:rPr>
        <w:t> </w:t>
      </w:r>
      <w:r>
        <w:rPr/>
        <w:t>τα</w:t>
      </w:r>
      <w:r>
        <w:rPr>
          <w:spacing w:val="-8"/>
        </w:rPr>
        <w:t> </w:t>
      </w:r>
      <w:r>
        <w:rPr/>
        <w:t>παραπάνω,</w:t>
      </w:r>
      <w:r>
        <w:rPr>
          <w:spacing w:val="-8"/>
        </w:rPr>
        <w:t> </w:t>
      </w:r>
      <w:r>
        <w:rPr/>
        <w:t>από</w:t>
      </w:r>
      <w:r>
        <w:rPr>
          <w:spacing w:val="-8"/>
        </w:rPr>
        <w:t> </w:t>
      </w:r>
      <w:r>
        <w:rPr/>
        <w:t>την</w:t>
      </w:r>
      <w:r>
        <w:rPr>
          <w:spacing w:val="-10"/>
        </w:rPr>
        <w:t> </w:t>
      </w:r>
      <w:r>
        <w:rPr/>
        <w:t>ανάλυση</w:t>
      </w:r>
      <w:r>
        <w:rPr>
          <w:spacing w:val="-8"/>
        </w:rPr>
        <w:t> </w:t>
      </w:r>
      <w:r>
        <w:rPr/>
        <w:t>των</w:t>
      </w:r>
      <w:r>
        <w:rPr>
          <w:spacing w:val="-7"/>
        </w:rPr>
        <w:t> </w:t>
      </w:r>
      <w:r>
        <w:rPr/>
        <w:t>επιμέρους</w:t>
      </w:r>
      <w:r>
        <w:rPr>
          <w:spacing w:val="-9"/>
        </w:rPr>
        <w:t> </w:t>
      </w:r>
      <w:r>
        <w:rPr/>
        <w:t>περιοχών</w:t>
      </w:r>
      <w:r>
        <w:rPr>
          <w:spacing w:val="-7"/>
        </w:rPr>
        <w:t> </w:t>
      </w:r>
      <w:r>
        <w:rPr/>
        <w:t>κινδύνου</w:t>
      </w:r>
      <w:r>
        <w:rPr>
          <w:spacing w:val="-7"/>
        </w:rPr>
        <w:t> </w:t>
      </w:r>
      <w:r>
        <w:rPr/>
        <w:t>με</w:t>
      </w:r>
      <w:r>
        <w:rPr>
          <w:spacing w:val="-7"/>
        </w:rPr>
        <w:t> </w:t>
      </w:r>
      <w:r>
        <w:rPr/>
        <w:t>ημερομηνία</w:t>
      </w:r>
      <w:r>
        <w:rPr>
          <w:spacing w:val="-8"/>
        </w:rPr>
        <w:t> </w:t>
      </w:r>
      <w:r>
        <w:rPr/>
        <w:t>ανα-φοράς</w:t>
      </w:r>
      <w:r>
        <w:rPr>
          <w:spacing w:val="-6"/>
        </w:rPr>
        <w:t> </w:t>
      </w:r>
      <w:r>
        <w:rPr/>
        <w:t>το</w:t>
      </w:r>
      <w:r>
        <w:rPr>
          <w:spacing w:val="-7"/>
        </w:rPr>
        <w:t> </w:t>
      </w:r>
      <w:r>
        <w:rPr/>
        <w:t>γ΄</w:t>
      </w:r>
      <w:r>
        <w:rPr>
          <w:spacing w:val="-6"/>
        </w:rPr>
        <w:t> </w:t>
      </w:r>
      <w:r>
        <w:rPr/>
        <w:t>τρίμηνο</w:t>
      </w:r>
      <w:r>
        <w:rPr>
          <w:spacing w:val="-6"/>
        </w:rPr>
        <w:t> </w:t>
      </w:r>
      <w:r>
        <w:rPr/>
        <w:t>του</w:t>
      </w:r>
      <w:r>
        <w:rPr>
          <w:spacing w:val="-4"/>
        </w:rPr>
        <w:t> </w:t>
      </w:r>
      <w:r>
        <w:rPr/>
        <w:t>2025</w:t>
      </w:r>
      <w:r>
        <w:rPr>
          <w:spacing w:val="-3"/>
        </w:rPr>
        <w:t> </w:t>
      </w:r>
      <w:r>
        <w:rPr/>
        <w:t>(με</w:t>
      </w:r>
      <w:r>
        <w:rPr>
          <w:spacing w:val="-4"/>
        </w:rPr>
        <w:t> </w:t>
      </w:r>
      <w:r>
        <w:rPr/>
        <w:t>βάση</w:t>
      </w:r>
      <w:r>
        <w:rPr>
          <w:spacing w:val="-7"/>
        </w:rPr>
        <w:t> </w:t>
      </w:r>
      <w:r>
        <w:rPr/>
        <w:t>τα</w:t>
      </w:r>
      <w:r>
        <w:rPr>
          <w:spacing w:val="-5"/>
        </w:rPr>
        <w:t> </w:t>
      </w:r>
      <w:r>
        <w:rPr/>
        <w:t>διαθέσιμα</w:t>
      </w:r>
      <w:r>
        <w:rPr>
          <w:spacing w:val="-5"/>
        </w:rPr>
        <w:t> </w:t>
      </w:r>
      <w:r>
        <w:rPr/>
        <w:t>στοιχεία</w:t>
      </w:r>
      <w:r>
        <w:rPr>
          <w:spacing w:val="-7"/>
        </w:rPr>
        <w:t> </w:t>
      </w:r>
      <w:r>
        <w:rPr/>
        <w:t>για</w:t>
      </w:r>
      <w:r>
        <w:rPr>
          <w:spacing w:val="-7"/>
        </w:rPr>
        <w:t> </w:t>
      </w:r>
      <w:r>
        <w:rPr/>
        <w:t>το</w:t>
      </w:r>
      <w:r>
        <w:rPr>
          <w:spacing w:val="-7"/>
        </w:rPr>
        <w:t> </w:t>
      </w:r>
      <w:r>
        <w:rPr/>
        <w:t>σύνολο</w:t>
      </w:r>
      <w:r>
        <w:rPr>
          <w:spacing w:val="-5"/>
        </w:rPr>
        <w:t> </w:t>
      </w:r>
      <w:r>
        <w:rPr/>
        <w:t>των</w:t>
      </w:r>
      <w:r>
        <w:rPr>
          <w:spacing w:val="-4"/>
        </w:rPr>
        <w:t> </w:t>
      </w:r>
      <w:r>
        <w:rPr/>
        <w:t>δεικτών),</w:t>
      </w:r>
      <w:r>
        <w:rPr>
          <w:spacing w:val="-5"/>
        </w:rPr>
        <w:t> </w:t>
      </w:r>
      <w:r>
        <w:rPr/>
        <w:t>όπως αποτυπώνεται στον Πίνακα 1 που ακολουθεί, προκύπτει ότι υφίσταται σταδιακή συσσώρευση κυκλικών</w:t>
      </w:r>
      <w:r>
        <w:rPr>
          <w:spacing w:val="-4"/>
        </w:rPr>
        <w:t> </w:t>
      </w:r>
      <w:r>
        <w:rPr/>
        <w:t>συστημικών</w:t>
      </w:r>
      <w:r>
        <w:rPr>
          <w:spacing w:val="-4"/>
        </w:rPr>
        <w:t> </w:t>
      </w:r>
      <w:r>
        <w:rPr/>
        <w:t>κινδύνων</w:t>
      </w:r>
      <w:r>
        <w:rPr>
          <w:spacing w:val="-1"/>
        </w:rPr>
        <w:t> </w:t>
      </w:r>
      <w:r>
        <w:rPr/>
        <w:t>με</w:t>
      </w:r>
      <w:r>
        <w:rPr>
          <w:spacing w:val="-2"/>
        </w:rPr>
        <w:t> </w:t>
      </w:r>
      <w:r>
        <w:rPr/>
        <w:t>ανοδική</w:t>
      </w:r>
      <w:r>
        <w:rPr>
          <w:spacing w:val="-2"/>
        </w:rPr>
        <w:t> </w:t>
      </w:r>
      <w:r>
        <w:rPr/>
        <w:t>τάση,</w:t>
      </w:r>
      <w:r>
        <w:rPr>
          <w:spacing w:val="-2"/>
        </w:rPr>
        <w:t> </w:t>
      </w:r>
      <w:r>
        <w:rPr/>
        <w:t>κυρίως</w:t>
      </w:r>
      <w:r>
        <w:rPr>
          <w:spacing w:val="-3"/>
        </w:rPr>
        <w:t> </w:t>
      </w:r>
      <w:r>
        <w:rPr/>
        <w:t>σε</w:t>
      </w:r>
      <w:r>
        <w:rPr>
          <w:spacing w:val="-3"/>
        </w:rPr>
        <w:t> </w:t>
      </w:r>
      <w:r>
        <w:rPr/>
        <w:t>επιμέρους</w:t>
      </w:r>
      <w:r>
        <w:rPr>
          <w:spacing w:val="-3"/>
        </w:rPr>
        <w:t> </w:t>
      </w:r>
      <w:r>
        <w:rPr/>
        <w:t>τομείς</w:t>
      </w:r>
      <w:r>
        <w:rPr>
          <w:spacing w:val="-2"/>
        </w:rPr>
        <w:t> </w:t>
      </w:r>
      <w:r>
        <w:rPr/>
        <w:t>όπως</w:t>
      </w:r>
      <w:r>
        <w:rPr>
          <w:spacing w:val="-3"/>
        </w:rPr>
        <w:t> </w:t>
      </w:r>
      <w:r>
        <w:rPr/>
        <w:t>η</w:t>
      </w:r>
      <w:r>
        <w:rPr>
          <w:spacing w:val="-2"/>
        </w:rPr>
        <w:t> </w:t>
      </w:r>
      <w:r>
        <w:rPr/>
        <w:t>χρηματο-δότηση των μη χρηματοπιστωτικών επιχειρήσεων και οι τιμές των οικιστικών και επαγγελματι-κών</w:t>
      </w:r>
      <w:r>
        <w:rPr>
          <w:spacing w:val="-4"/>
        </w:rPr>
        <w:t> </w:t>
      </w:r>
      <w:r>
        <w:rPr/>
        <w:t>ακινήτων.</w:t>
      </w:r>
      <w:r>
        <w:rPr>
          <w:spacing w:val="-6"/>
        </w:rPr>
        <w:t> </w:t>
      </w:r>
      <w:r>
        <w:rPr/>
        <w:t>Ωστόσο,</w:t>
      </w:r>
      <w:r>
        <w:rPr>
          <w:spacing w:val="-5"/>
        </w:rPr>
        <w:t> </w:t>
      </w:r>
      <w:r>
        <w:rPr/>
        <w:t>συνολικά</w:t>
      </w:r>
      <w:r>
        <w:rPr>
          <w:spacing w:val="-7"/>
        </w:rPr>
        <w:t> </w:t>
      </w:r>
      <w:r>
        <w:rPr/>
        <w:t>το</w:t>
      </w:r>
      <w:r>
        <w:rPr>
          <w:spacing w:val="-6"/>
        </w:rPr>
        <w:t> </w:t>
      </w:r>
      <w:r>
        <w:rPr/>
        <w:t>επίπεδο</w:t>
      </w:r>
      <w:r>
        <w:rPr>
          <w:spacing w:val="-9"/>
        </w:rPr>
        <w:t> </w:t>
      </w:r>
      <w:r>
        <w:rPr/>
        <w:t>των</w:t>
      </w:r>
      <w:r>
        <w:rPr>
          <w:spacing w:val="-5"/>
        </w:rPr>
        <w:t> </w:t>
      </w:r>
      <w:r>
        <w:rPr/>
        <w:t>κυκλικών</w:t>
      </w:r>
      <w:r>
        <w:rPr>
          <w:spacing w:val="-5"/>
        </w:rPr>
        <w:t> </w:t>
      </w:r>
      <w:r>
        <w:rPr/>
        <w:t>κινδύνων</w:t>
      </w:r>
      <w:r>
        <w:rPr>
          <w:spacing w:val="-2"/>
        </w:rPr>
        <w:t> </w:t>
      </w:r>
      <w:r>
        <w:rPr/>
        <w:t>παραμένει</w:t>
      </w:r>
      <w:r>
        <w:rPr>
          <w:spacing w:val="-7"/>
        </w:rPr>
        <w:t> </w:t>
      </w:r>
      <w:r>
        <w:rPr/>
        <w:t>ακόμη</w:t>
      </w:r>
      <w:r>
        <w:rPr>
          <w:spacing w:val="-5"/>
        </w:rPr>
        <w:t> </w:t>
      </w:r>
      <w:r>
        <w:rPr/>
        <w:t>χαμηλό. Αντίστοιχα,</w:t>
      </w:r>
      <w:r>
        <w:rPr>
          <w:spacing w:val="-16"/>
        </w:rPr>
        <w:t> </w:t>
      </w:r>
      <w:r>
        <w:rPr/>
        <w:t>όσον</w:t>
      </w:r>
      <w:r>
        <w:rPr>
          <w:spacing w:val="-14"/>
        </w:rPr>
        <w:t> </w:t>
      </w:r>
      <w:r>
        <w:rPr/>
        <w:t>αφορά</w:t>
      </w:r>
      <w:r>
        <w:rPr>
          <w:spacing w:val="-14"/>
        </w:rPr>
        <w:t> </w:t>
      </w:r>
      <w:r>
        <w:rPr/>
        <w:t>τους</w:t>
      </w:r>
      <w:r>
        <w:rPr>
          <w:spacing w:val="-13"/>
        </w:rPr>
        <w:t> </w:t>
      </w:r>
      <w:r>
        <w:rPr/>
        <w:t>διαρθρωτικούς</w:t>
      </w:r>
      <w:r>
        <w:rPr>
          <w:spacing w:val="-14"/>
        </w:rPr>
        <w:t> </w:t>
      </w:r>
      <w:r>
        <w:rPr/>
        <w:t>κινδύνους</w:t>
      </w:r>
      <w:r>
        <w:rPr>
          <w:spacing w:val="-14"/>
        </w:rPr>
        <w:t> </w:t>
      </w:r>
      <w:r>
        <w:rPr/>
        <w:t>και</w:t>
      </w:r>
      <w:r>
        <w:rPr>
          <w:spacing w:val="-14"/>
        </w:rPr>
        <w:t> </w:t>
      </w:r>
      <w:r>
        <w:rPr/>
        <w:t>τους</w:t>
      </w:r>
      <w:r>
        <w:rPr>
          <w:spacing w:val="-13"/>
        </w:rPr>
        <w:t> </w:t>
      </w:r>
      <w:r>
        <w:rPr/>
        <w:t>κινδύνους</w:t>
      </w:r>
      <w:r>
        <w:rPr>
          <w:spacing w:val="-14"/>
        </w:rPr>
        <w:t> </w:t>
      </w:r>
      <w:r>
        <w:rPr/>
        <w:t>από</w:t>
      </w:r>
      <w:r>
        <w:rPr>
          <w:spacing w:val="-14"/>
        </w:rPr>
        <w:t> </w:t>
      </w:r>
      <w:r>
        <w:rPr/>
        <w:t>τον</w:t>
      </w:r>
      <w:r>
        <w:rPr>
          <w:spacing w:val="-14"/>
        </w:rPr>
        <w:t> </w:t>
      </w:r>
      <w:r>
        <w:rPr/>
        <w:t>μη</w:t>
      </w:r>
      <w:r>
        <w:rPr>
          <w:spacing w:val="-13"/>
        </w:rPr>
        <w:t> </w:t>
      </w:r>
      <w:r>
        <w:rPr/>
        <w:t>τραπεζικό χρηματοπιστωτικό τομέα, όπως αποτυπώνονται στον Πίνακα 2 που ακολουθεί, το επίπεδο των κινδύνων παραμένει χαμηλό, χωρίς να διαμορφώνεται στην παρούσα χρονική συγκυρία κάποια τάση.</w:t>
      </w:r>
      <w:r>
        <w:rPr>
          <w:spacing w:val="-2"/>
        </w:rPr>
        <w:t> </w:t>
      </w:r>
      <w:r>
        <w:rPr/>
        <w:t>Συμπερασματικά,</w:t>
      </w:r>
      <w:r>
        <w:rPr>
          <w:spacing w:val="-2"/>
        </w:rPr>
        <w:t> </w:t>
      </w:r>
      <w:r>
        <w:rPr/>
        <w:t>το</w:t>
      </w:r>
      <w:r>
        <w:rPr>
          <w:spacing w:val="-5"/>
        </w:rPr>
        <w:t> </w:t>
      </w:r>
      <w:r>
        <w:rPr/>
        <w:t>συνολικό</w:t>
      </w:r>
      <w:r>
        <w:rPr>
          <w:spacing w:val="-2"/>
        </w:rPr>
        <w:t> </w:t>
      </w:r>
      <w:r>
        <w:rPr/>
        <w:t>επίπεδο</w:t>
      </w:r>
      <w:r>
        <w:rPr>
          <w:spacing w:val="-2"/>
        </w:rPr>
        <w:t> </w:t>
      </w:r>
      <w:r>
        <w:rPr/>
        <w:t>των</w:t>
      </w:r>
      <w:r>
        <w:rPr>
          <w:spacing w:val="-1"/>
        </w:rPr>
        <w:t> </w:t>
      </w:r>
      <w:r>
        <w:rPr/>
        <w:t>συστημικών κινδύνων</w:t>
      </w:r>
      <w:r>
        <w:rPr>
          <w:spacing w:val="-3"/>
        </w:rPr>
        <w:t> </w:t>
      </w:r>
      <w:r>
        <w:rPr/>
        <w:t>για</w:t>
      </w:r>
      <w:r>
        <w:rPr>
          <w:spacing w:val="-2"/>
        </w:rPr>
        <w:t> </w:t>
      </w:r>
      <w:r>
        <w:rPr/>
        <w:t>το</w:t>
      </w:r>
      <w:r>
        <w:rPr>
          <w:spacing w:val="-4"/>
        </w:rPr>
        <w:t> </w:t>
      </w:r>
      <w:r>
        <w:rPr/>
        <w:t>ελληνικό</w:t>
      </w:r>
      <w:r>
        <w:rPr>
          <w:spacing w:val="-5"/>
        </w:rPr>
        <w:t> </w:t>
      </w:r>
      <w:r>
        <w:rPr/>
        <w:t>χρημα-τοπιστωτικό σύστημα παραμένει χαμηλό.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3"/>
        <w:rPr>
          <w:sz w:val="20"/>
        </w:rPr>
      </w:pPr>
      <w:r>
        <w:rPr>
          <w:sz w:val="20"/>
        </w:rPr>
        <mc:AlternateContent>
          <mc:Choice Requires="wps">
            <w:drawing>
              <wp:anchor distT="0" distB="0" distL="0" distR="0" allowOverlap="1" layoutInCell="1" locked="0" behindDoc="1" simplePos="0" relativeHeight="487680512">
                <wp:simplePos x="0" y="0"/>
                <wp:positionH relativeFrom="page">
                  <wp:posOffset>1009192</wp:posOffset>
                </wp:positionH>
                <wp:positionV relativeFrom="paragraph">
                  <wp:posOffset>227043</wp:posOffset>
                </wp:positionV>
                <wp:extent cx="1829435" cy="7620"/>
                <wp:effectExtent l="0" t="0" r="0" b="0"/>
                <wp:wrapTopAndBottom/>
                <wp:docPr id="798" name="Graphic 798"/>
                <wp:cNvGraphicFramePr>
                  <a:graphicFrameLocks/>
                </wp:cNvGraphicFramePr>
                <a:graphic>
                  <a:graphicData uri="http://schemas.microsoft.com/office/word/2010/wordprocessingShape">
                    <wps:wsp>
                      <wps:cNvPr id="798" name="Graphic 79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7.877441pt;width:144.020pt;height:.599980pt;mso-position-horizontal-relative:page;mso-position-vertical-relative:paragraph;z-index:-15635968;mso-wrap-distance-left:0;mso-wrap-distance-right:0" id="docshape747" filled="true" fillcolor="#000000" stroked="false">
                <v:fill type="solid"/>
                <w10:wrap type="topAndBottom"/>
              </v:rect>
            </w:pict>
          </mc:Fallback>
        </mc:AlternateContent>
      </w:r>
    </w:p>
    <w:p>
      <w:pPr>
        <w:spacing w:before="167"/>
        <w:ind w:left="172" w:right="0" w:firstLine="0"/>
        <w:jc w:val="left"/>
        <w:rPr>
          <w:sz w:val="16"/>
        </w:rPr>
      </w:pPr>
      <w:bookmarkStart w:name="_bookmark183" w:id="184"/>
      <w:bookmarkEnd w:id="184"/>
      <w:r>
        <w:rPr/>
      </w:r>
      <w:r>
        <w:rPr>
          <w:sz w:val="16"/>
          <w:vertAlign w:val="superscript"/>
        </w:rPr>
        <w:t>124</w:t>
      </w:r>
      <w:r>
        <w:rPr>
          <w:spacing w:val="-6"/>
          <w:sz w:val="16"/>
          <w:vertAlign w:val="baseline"/>
        </w:rPr>
        <w:t> </w:t>
      </w:r>
      <w:r>
        <w:rPr>
          <w:sz w:val="16"/>
          <w:vertAlign w:val="baseline"/>
        </w:rPr>
        <w:t>Βλ.</w:t>
      </w:r>
      <w:r>
        <w:rPr>
          <w:spacing w:val="-4"/>
          <w:sz w:val="16"/>
          <w:vertAlign w:val="baseline"/>
        </w:rPr>
        <w:t> </w:t>
      </w:r>
      <w:r>
        <w:rPr>
          <w:sz w:val="16"/>
          <w:vertAlign w:val="baseline"/>
        </w:rPr>
        <w:t>European</w:t>
      </w:r>
      <w:r>
        <w:rPr>
          <w:spacing w:val="-4"/>
          <w:sz w:val="16"/>
          <w:vertAlign w:val="baseline"/>
        </w:rPr>
        <w:t> </w:t>
      </w:r>
      <w:r>
        <w:rPr>
          <w:sz w:val="16"/>
          <w:vertAlign w:val="baseline"/>
        </w:rPr>
        <w:t>Systemic</w:t>
      </w:r>
      <w:r>
        <w:rPr>
          <w:spacing w:val="-4"/>
          <w:sz w:val="16"/>
          <w:vertAlign w:val="baseline"/>
        </w:rPr>
        <w:t> </w:t>
      </w:r>
      <w:r>
        <w:rPr>
          <w:sz w:val="16"/>
          <w:vertAlign w:val="baseline"/>
        </w:rPr>
        <w:t>Risk</w:t>
      </w:r>
      <w:r>
        <w:rPr>
          <w:spacing w:val="-6"/>
          <w:sz w:val="16"/>
          <w:vertAlign w:val="baseline"/>
        </w:rPr>
        <w:t> </w:t>
      </w:r>
      <w:r>
        <w:rPr>
          <w:sz w:val="16"/>
          <w:vertAlign w:val="baseline"/>
        </w:rPr>
        <w:t>Board,</w:t>
      </w:r>
      <w:r>
        <w:rPr>
          <w:spacing w:val="-8"/>
          <w:sz w:val="16"/>
          <w:vertAlign w:val="baseline"/>
        </w:rPr>
        <w:t> </w:t>
      </w:r>
      <w:hyperlink r:id="rId155">
        <w:r>
          <w:rPr>
            <w:color w:val="0000FF"/>
            <w:sz w:val="16"/>
            <w:u w:val="single" w:color="0000FF"/>
            <w:vertAlign w:val="baseline"/>
          </w:rPr>
          <w:t>Systemic</w:t>
        </w:r>
        <w:r>
          <w:rPr>
            <w:color w:val="0000FF"/>
            <w:spacing w:val="-4"/>
            <w:sz w:val="16"/>
            <w:u w:val="single" w:color="0000FF"/>
            <w:vertAlign w:val="baseline"/>
          </w:rPr>
          <w:t> </w:t>
        </w:r>
        <w:r>
          <w:rPr>
            <w:color w:val="0000FF"/>
            <w:sz w:val="16"/>
            <w:u w:val="single" w:color="0000FF"/>
            <w:vertAlign w:val="baseline"/>
          </w:rPr>
          <w:t>liquidity</w:t>
        </w:r>
        <w:r>
          <w:rPr>
            <w:color w:val="0000FF"/>
            <w:spacing w:val="-4"/>
            <w:sz w:val="16"/>
            <w:u w:val="single" w:color="0000FF"/>
            <w:vertAlign w:val="baseline"/>
          </w:rPr>
          <w:t> </w:t>
        </w:r>
        <w:r>
          <w:rPr>
            <w:color w:val="0000FF"/>
            <w:sz w:val="16"/>
            <w:u w:val="single" w:color="0000FF"/>
            <w:vertAlign w:val="baseline"/>
          </w:rPr>
          <w:t>risk:</w:t>
        </w:r>
        <w:r>
          <w:rPr>
            <w:color w:val="0000FF"/>
            <w:spacing w:val="-4"/>
            <w:sz w:val="16"/>
            <w:u w:val="single" w:color="0000FF"/>
            <w:vertAlign w:val="baseline"/>
          </w:rPr>
          <w:t> </w:t>
        </w:r>
        <w:r>
          <w:rPr>
            <w:color w:val="0000FF"/>
            <w:sz w:val="16"/>
            <w:u w:val="single" w:color="0000FF"/>
            <w:vertAlign w:val="baseline"/>
          </w:rPr>
          <w:t>a</w:t>
        </w:r>
        <w:r>
          <w:rPr>
            <w:color w:val="0000FF"/>
            <w:spacing w:val="-7"/>
            <w:sz w:val="16"/>
            <w:u w:val="single" w:color="0000FF"/>
            <w:vertAlign w:val="baseline"/>
          </w:rPr>
          <w:t> </w:t>
        </w:r>
        <w:r>
          <w:rPr>
            <w:color w:val="0000FF"/>
            <w:sz w:val="16"/>
            <w:u w:val="single" w:color="0000FF"/>
            <w:vertAlign w:val="baseline"/>
          </w:rPr>
          <w:t>monitoring</w:t>
        </w:r>
        <w:r>
          <w:rPr>
            <w:color w:val="0000FF"/>
            <w:spacing w:val="-6"/>
            <w:sz w:val="16"/>
            <w:u w:val="single" w:color="0000FF"/>
            <w:vertAlign w:val="baseline"/>
          </w:rPr>
          <w:t> </w:t>
        </w:r>
        <w:r>
          <w:rPr>
            <w:color w:val="0000FF"/>
            <w:spacing w:val="-2"/>
            <w:sz w:val="16"/>
            <w:u w:val="single" w:color="0000FF"/>
            <w:vertAlign w:val="baseline"/>
          </w:rPr>
          <w:t>framework</w:t>
        </w:r>
      </w:hyperlink>
    </w:p>
    <w:p>
      <w:pPr>
        <w:spacing w:after="0"/>
        <w:jc w:val="left"/>
        <w:rPr>
          <w:sz w:val="16"/>
        </w:rPr>
        <w:sectPr>
          <w:pgSz w:w="11910" w:h="16850"/>
          <w:pgMar w:header="0" w:footer="1262" w:top="1100" w:bottom="1460" w:left="1417" w:right="850"/>
        </w:sectPr>
      </w:pPr>
    </w:p>
    <w:p>
      <w:pPr>
        <w:pStyle w:val="Heading4"/>
        <w:spacing w:before="158"/>
        <w:ind w:left="160"/>
        <w:jc w:val="left"/>
      </w:pPr>
      <w:r>
        <w:rPr/>
        <mc:AlternateContent>
          <mc:Choice Requires="wps">
            <w:drawing>
              <wp:anchor distT="0" distB="0" distL="0" distR="0" allowOverlap="1" layoutInCell="1" locked="0" behindDoc="0" simplePos="0" relativeHeight="15822336">
                <wp:simplePos x="0" y="0"/>
                <wp:positionH relativeFrom="page">
                  <wp:posOffset>9718185</wp:posOffset>
                </wp:positionH>
                <wp:positionV relativeFrom="page">
                  <wp:posOffset>1135124</wp:posOffset>
                </wp:positionV>
                <wp:extent cx="372110" cy="1457325"/>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372110" cy="1457325"/>
                        </a:xfrm>
                        <a:prstGeom prst="rect">
                          <a:avLst/>
                        </a:prstGeom>
                      </wps:spPr>
                      <wps:txbx>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wps:txbx>
                      <wps:bodyPr wrap="square" lIns="0" tIns="0" rIns="0" bIns="0" rtlCol="0" vert="vert270">
                        <a:noAutofit/>
                      </wps:bodyPr>
                    </wps:wsp>
                  </a:graphicData>
                </a:graphic>
              </wp:anchor>
            </w:drawing>
          </mc:Choice>
          <mc:Fallback>
            <w:pict>
              <v:shape style="position:absolute;margin-left:765.211426pt;margin-top:89.379875pt;width:29.3pt;height:114.75pt;mso-position-horizontal-relative:page;mso-position-vertical-relative:page;z-index:15822336" type="#_x0000_t202" id="docshape748" filled="false" stroked="false">
                <v:textbox inset="0,0,0,0" style="layout-flow:vertical;mso-layout-flow-alt:bottom-to-top">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v:textbox>
                <w10:wrap type="none"/>
              </v:shape>
            </w:pict>
          </mc:Fallback>
        </mc:AlternateContent>
      </w:r>
      <w:r>
        <w:rPr/>
        <mc:AlternateContent>
          <mc:Choice Requires="wps">
            <w:drawing>
              <wp:anchor distT="0" distB="0" distL="0" distR="0" allowOverlap="1" layoutInCell="1" locked="0" behindDoc="0" simplePos="0" relativeHeight="15822848">
                <wp:simplePos x="0" y="0"/>
                <wp:positionH relativeFrom="page">
                  <wp:posOffset>9738958</wp:posOffset>
                </wp:positionH>
                <wp:positionV relativeFrom="page">
                  <wp:posOffset>493522</wp:posOffset>
                </wp:positionV>
                <wp:extent cx="334645" cy="516255"/>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334645" cy="516255"/>
                        </a:xfrm>
                        <a:prstGeom prst="rect">
                          <a:avLst/>
                        </a:prstGeom>
                      </wps:spPr>
                      <wps:txbx>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t>105</w:t>
                            </w:r>
                          </w:p>
                        </w:txbxContent>
                      </wps:txbx>
                      <wps:bodyPr wrap="square" lIns="0" tIns="0" rIns="0" bIns="0" rtlCol="0" vert="vert270">
                        <a:noAutofit/>
                      </wps:bodyPr>
                    </wps:wsp>
                  </a:graphicData>
                </a:graphic>
              </wp:anchor>
            </w:drawing>
          </mc:Choice>
          <mc:Fallback>
            <w:pict>
              <v:shape style="position:absolute;margin-left:766.847107pt;margin-top:38.860004pt;width:26.35pt;height:40.65pt;mso-position-horizontal-relative:page;mso-position-vertical-relative:page;z-index:15822848" type="#_x0000_t202" id="docshape749" filled="false" stroked="false">
                <v:textbox inset="0,0,0,0" style="layout-flow:vertical;mso-layout-flow-alt:bottom-to-top">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t>105</w:t>
                      </w:r>
                    </w:p>
                  </w:txbxContent>
                </v:textbox>
                <w10:wrap type="none"/>
              </v:shape>
            </w:pict>
          </mc:Fallback>
        </mc:AlternateContent>
      </w:r>
      <w:r>
        <w:rPr>
          <w:color w:val="1F487C"/>
          <w:spacing w:val="-2"/>
        </w:rPr>
        <w:t>Πίνακας</w:t>
      </w:r>
      <w:r>
        <w:rPr>
          <w:color w:val="1F487C"/>
          <w:spacing w:val="-11"/>
        </w:rPr>
        <w:t> </w:t>
      </w:r>
      <w:r>
        <w:rPr>
          <w:color w:val="1F487C"/>
          <w:spacing w:val="-2"/>
        </w:rPr>
        <w:t>1:</w:t>
      </w:r>
      <w:r>
        <w:rPr>
          <w:color w:val="1F487C"/>
          <w:spacing w:val="-11"/>
        </w:rPr>
        <w:t> </w:t>
      </w:r>
      <w:r>
        <w:rPr>
          <w:color w:val="1F487C"/>
          <w:spacing w:val="-2"/>
        </w:rPr>
        <w:t>Περ</w:t>
      </w:r>
      <w:r>
        <w:rPr>
          <w:smallCaps/>
          <w:color w:val="1F487C"/>
          <w:spacing w:val="-2"/>
        </w:rPr>
        <w:t>ιο</w:t>
      </w:r>
      <w:r>
        <w:rPr>
          <w:smallCaps w:val="0"/>
          <w:color w:val="1F487C"/>
          <w:spacing w:val="-2"/>
        </w:rPr>
        <w:t>χές</w:t>
      </w:r>
      <w:r>
        <w:rPr>
          <w:smallCaps w:val="0"/>
          <w:color w:val="1F487C"/>
          <w:spacing w:val="-10"/>
        </w:rPr>
        <w:t> </w:t>
      </w:r>
      <w:r>
        <w:rPr>
          <w:smallCaps w:val="0"/>
          <w:color w:val="1F487C"/>
          <w:spacing w:val="-2"/>
        </w:rPr>
        <w:t>κ</w:t>
      </w:r>
      <w:r>
        <w:rPr>
          <w:smallCaps/>
          <w:color w:val="1F487C"/>
          <w:spacing w:val="-2"/>
        </w:rPr>
        <w:t>ιν</w:t>
      </w:r>
      <w:r>
        <w:rPr>
          <w:smallCaps w:val="0"/>
          <w:color w:val="1F487C"/>
          <w:spacing w:val="-2"/>
        </w:rPr>
        <w:t>δύνου</w:t>
      </w:r>
      <w:r>
        <w:rPr>
          <w:smallCaps w:val="0"/>
          <w:color w:val="1F487C"/>
          <w:spacing w:val="-11"/>
        </w:rPr>
        <w:t> </w:t>
      </w:r>
      <w:r>
        <w:rPr>
          <w:smallCaps w:val="0"/>
          <w:color w:val="1F487C"/>
          <w:spacing w:val="-2"/>
        </w:rPr>
        <w:t>της</w:t>
      </w:r>
      <w:r>
        <w:rPr>
          <w:smallCaps w:val="0"/>
          <w:color w:val="1F487C"/>
          <w:spacing w:val="-9"/>
        </w:rPr>
        <w:t> </w:t>
      </w:r>
      <w:r>
        <w:rPr>
          <w:smallCaps w:val="0"/>
          <w:color w:val="1F487C"/>
          <w:spacing w:val="-2"/>
        </w:rPr>
        <w:t>κυκλ</w:t>
      </w:r>
      <w:r>
        <w:rPr>
          <w:smallCaps/>
          <w:color w:val="1F487C"/>
          <w:spacing w:val="-2"/>
        </w:rPr>
        <w:t>ι</w:t>
      </w:r>
      <w:r>
        <w:rPr>
          <w:smallCaps w:val="0"/>
          <w:color w:val="1F487C"/>
          <w:spacing w:val="-2"/>
        </w:rPr>
        <w:t>κής</w:t>
      </w:r>
      <w:r>
        <w:rPr>
          <w:smallCaps w:val="0"/>
          <w:color w:val="1F487C"/>
          <w:spacing w:val="-9"/>
        </w:rPr>
        <w:t> </w:t>
      </w:r>
      <w:r>
        <w:rPr>
          <w:smallCaps w:val="0"/>
          <w:color w:val="1F487C"/>
          <w:spacing w:val="-2"/>
        </w:rPr>
        <w:t>δ</w:t>
      </w:r>
      <w:r>
        <w:rPr>
          <w:smallCaps/>
          <w:color w:val="1F487C"/>
          <w:spacing w:val="-2"/>
        </w:rPr>
        <w:t>ι</w:t>
      </w:r>
      <w:r>
        <w:rPr>
          <w:smallCaps w:val="0"/>
          <w:color w:val="1F487C"/>
          <w:spacing w:val="-2"/>
        </w:rPr>
        <w:t>άστασης</w:t>
      </w:r>
    </w:p>
    <w:p>
      <w:pPr>
        <w:pStyle w:val="BodyText"/>
        <w:spacing w:before="4"/>
        <w:rPr>
          <w:b/>
          <w:sz w:val="20"/>
        </w:rPr>
      </w:pPr>
      <w:r>
        <w:rPr>
          <w:b/>
          <w:sz w:val="20"/>
        </w:rPr>
        <w:drawing>
          <wp:anchor distT="0" distB="0" distL="0" distR="0" allowOverlap="1" layoutInCell="1" locked="0" behindDoc="1" simplePos="0" relativeHeight="487681024">
            <wp:simplePos x="0" y="0"/>
            <wp:positionH relativeFrom="page">
              <wp:posOffset>836295</wp:posOffset>
            </wp:positionH>
            <wp:positionV relativeFrom="paragraph">
              <wp:posOffset>163843</wp:posOffset>
            </wp:positionV>
            <wp:extent cx="8547967" cy="5401056"/>
            <wp:effectExtent l="0" t="0" r="0" b="0"/>
            <wp:wrapTopAndBottom/>
            <wp:docPr id="801" name="Image 801"/>
            <wp:cNvGraphicFramePr>
              <a:graphicFrameLocks/>
            </wp:cNvGraphicFramePr>
            <a:graphic>
              <a:graphicData uri="http://schemas.openxmlformats.org/drawingml/2006/picture">
                <pic:pic>
                  <pic:nvPicPr>
                    <pic:cNvPr id="801" name="Image 801"/>
                    <pic:cNvPicPr/>
                  </pic:nvPicPr>
                  <pic:blipFill>
                    <a:blip r:embed="rId161" cstate="print"/>
                    <a:stretch>
                      <a:fillRect/>
                    </a:stretch>
                  </pic:blipFill>
                  <pic:spPr>
                    <a:xfrm>
                      <a:off x="0" y="0"/>
                      <a:ext cx="8547967" cy="5401056"/>
                    </a:xfrm>
                    <a:prstGeom prst="rect">
                      <a:avLst/>
                    </a:prstGeom>
                  </pic:spPr>
                </pic:pic>
              </a:graphicData>
            </a:graphic>
          </wp:anchor>
        </w:drawing>
      </w:r>
    </w:p>
    <w:p>
      <w:pPr>
        <w:pStyle w:val="BodyText"/>
        <w:spacing w:after="0"/>
        <w:rPr>
          <w:b/>
          <w:sz w:val="20"/>
        </w:rPr>
        <w:sectPr>
          <w:footerReference w:type="default" r:id="rId160"/>
          <w:pgSz w:w="16850" w:h="11910" w:orient="landscape"/>
          <w:pgMar w:header="0" w:footer="0" w:top="1340" w:bottom="280" w:left="1133" w:right="1842"/>
        </w:sectPr>
      </w:pPr>
    </w:p>
    <w:p>
      <w:pPr>
        <w:pStyle w:val="Heading4"/>
        <w:spacing w:before="162"/>
        <w:ind w:left="173"/>
        <w:jc w:val="left"/>
      </w:pPr>
      <w:r>
        <w:rPr/>
        <mc:AlternateContent>
          <mc:Choice Requires="wps">
            <w:drawing>
              <wp:anchor distT="0" distB="0" distL="0" distR="0" allowOverlap="1" layoutInCell="1" locked="0" behindDoc="0" simplePos="0" relativeHeight="15823872">
                <wp:simplePos x="0" y="0"/>
                <wp:positionH relativeFrom="page">
                  <wp:posOffset>9718185</wp:posOffset>
                </wp:positionH>
                <wp:positionV relativeFrom="page">
                  <wp:posOffset>1135124</wp:posOffset>
                </wp:positionV>
                <wp:extent cx="372110" cy="1457325"/>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372110" cy="1457325"/>
                        </a:xfrm>
                        <a:prstGeom prst="rect">
                          <a:avLst/>
                        </a:prstGeom>
                      </wps:spPr>
                      <wps:txbx>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wps:txbx>
                      <wps:bodyPr wrap="square" lIns="0" tIns="0" rIns="0" bIns="0" rtlCol="0" vert="vert270">
                        <a:noAutofit/>
                      </wps:bodyPr>
                    </wps:wsp>
                  </a:graphicData>
                </a:graphic>
              </wp:anchor>
            </w:drawing>
          </mc:Choice>
          <mc:Fallback>
            <w:pict>
              <v:shape style="position:absolute;margin-left:765.211426pt;margin-top:89.379875pt;width:29.3pt;height:114.75pt;mso-position-horizontal-relative:page;mso-position-vertical-relative:page;z-index:15823872" type="#_x0000_t202" id="docshape750" filled="false" stroked="false">
                <v:textbox inset="0,0,0,0" style="layout-flow:vertical;mso-layout-flow-alt:bottom-to-top">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v:textbox>
                <w10:wrap type="none"/>
              </v:shape>
            </w:pict>
          </mc:Fallback>
        </mc:AlternateContent>
      </w:r>
      <w:r>
        <w:rPr/>
        <mc:AlternateContent>
          <mc:Choice Requires="wps">
            <w:drawing>
              <wp:anchor distT="0" distB="0" distL="0" distR="0" allowOverlap="1" layoutInCell="1" locked="0" behindDoc="0" simplePos="0" relativeHeight="15824384">
                <wp:simplePos x="0" y="0"/>
                <wp:positionH relativeFrom="page">
                  <wp:posOffset>9738958</wp:posOffset>
                </wp:positionH>
                <wp:positionV relativeFrom="page">
                  <wp:posOffset>493522</wp:posOffset>
                </wp:positionV>
                <wp:extent cx="334645" cy="51625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334645" cy="516255"/>
                        </a:xfrm>
                        <a:prstGeom prst="rect">
                          <a:avLst/>
                        </a:prstGeom>
                      </wps:spPr>
                      <wps:txbx>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t>106</w:t>
                            </w:r>
                          </w:p>
                        </w:txbxContent>
                      </wps:txbx>
                      <wps:bodyPr wrap="square" lIns="0" tIns="0" rIns="0" bIns="0" rtlCol="0" vert="vert270">
                        <a:noAutofit/>
                      </wps:bodyPr>
                    </wps:wsp>
                  </a:graphicData>
                </a:graphic>
              </wp:anchor>
            </w:drawing>
          </mc:Choice>
          <mc:Fallback>
            <w:pict>
              <v:shape style="position:absolute;margin-left:766.847107pt;margin-top:38.860004pt;width:26.35pt;height:40.65pt;mso-position-horizontal-relative:page;mso-position-vertical-relative:page;z-index:15824384" type="#_x0000_t202" id="docshape751" filled="false" stroked="false">
                <v:textbox inset="0,0,0,0" style="layout-flow:vertical;mso-layout-flow-alt:bottom-to-top">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t>106</w:t>
                      </w:r>
                    </w:p>
                  </w:txbxContent>
                </v:textbox>
                <w10:wrap type="none"/>
              </v:shape>
            </w:pict>
          </mc:Fallback>
        </mc:AlternateContent>
      </w:r>
      <w:r>
        <w:rPr>
          <w:color w:val="1F487C"/>
        </w:rPr>
        <w:t>Πίνακας</w:t>
      </w:r>
      <w:r>
        <w:rPr>
          <w:color w:val="1F487C"/>
          <w:spacing w:val="-13"/>
        </w:rPr>
        <w:t> </w:t>
      </w:r>
      <w:r>
        <w:rPr>
          <w:color w:val="1F487C"/>
        </w:rPr>
        <w:t>2:</w:t>
      </w:r>
      <w:r>
        <w:rPr>
          <w:color w:val="1F487C"/>
          <w:spacing w:val="-13"/>
        </w:rPr>
        <w:t> </w:t>
      </w:r>
      <w:r>
        <w:rPr>
          <w:color w:val="1F487C"/>
        </w:rPr>
        <w:t>Περ</w:t>
      </w:r>
      <w:r>
        <w:rPr>
          <w:smallCaps/>
          <w:color w:val="1F487C"/>
        </w:rPr>
        <w:t>ιο</w:t>
      </w:r>
      <w:r>
        <w:rPr>
          <w:smallCaps w:val="0"/>
          <w:color w:val="1F487C"/>
        </w:rPr>
        <w:t>χές</w:t>
      </w:r>
      <w:r>
        <w:rPr>
          <w:smallCaps w:val="0"/>
          <w:color w:val="1F487C"/>
          <w:spacing w:val="-13"/>
        </w:rPr>
        <w:t> </w:t>
      </w:r>
      <w:r>
        <w:rPr>
          <w:smallCaps w:val="0"/>
          <w:color w:val="1F487C"/>
        </w:rPr>
        <w:t>κ</w:t>
      </w:r>
      <w:r>
        <w:rPr>
          <w:smallCaps/>
          <w:color w:val="1F487C"/>
        </w:rPr>
        <w:t>ιν</w:t>
      </w:r>
      <w:r>
        <w:rPr>
          <w:smallCaps w:val="0"/>
          <w:color w:val="1F487C"/>
        </w:rPr>
        <w:t>δύνου</w:t>
      </w:r>
      <w:r>
        <w:rPr>
          <w:smallCaps w:val="0"/>
          <w:color w:val="1F487C"/>
          <w:spacing w:val="-11"/>
        </w:rPr>
        <w:t> </w:t>
      </w:r>
      <w:r>
        <w:rPr>
          <w:smallCaps w:val="0"/>
          <w:color w:val="1F487C"/>
        </w:rPr>
        <w:t>της</w:t>
      </w:r>
      <w:r>
        <w:rPr>
          <w:smallCaps w:val="0"/>
          <w:color w:val="1F487C"/>
          <w:spacing w:val="-11"/>
        </w:rPr>
        <w:t> </w:t>
      </w:r>
      <w:r>
        <w:rPr>
          <w:smallCaps w:val="0"/>
          <w:color w:val="1F487C"/>
        </w:rPr>
        <w:t>δ</w:t>
      </w:r>
      <w:r>
        <w:rPr>
          <w:smallCaps/>
          <w:color w:val="1F487C"/>
        </w:rPr>
        <w:t>ι</w:t>
      </w:r>
      <w:r>
        <w:rPr>
          <w:smallCaps w:val="0"/>
          <w:color w:val="1F487C"/>
        </w:rPr>
        <w:t>αρθρωτ</w:t>
      </w:r>
      <w:r>
        <w:rPr>
          <w:smallCaps/>
          <w:color w:val="1F487C"/>
        </w:rPr>
        <w:t>ι</w:t>
      </w:r>
      <w:r>
        <w:rPr>
          <w:smallCaps w:val="0"/>
          <w:color w:val="1F487C"/>
        </w:rPr>
        <w:t>κής</w:t>
      </w:r>
      <w:r>
        <w:rPr>
          <w:smallCaps w:val="0"/>
          <w:color w:val="1F487C"/>
          <w:spacing w:val="-12"/>
        </w:rPr>
        <w:t> </w:t>
      </w:r>
      <w:r>
        <w:rPr>
          <w:smallCaps w:val="0"/>
          <w:color w:val="1F487C"/>
        </w:rPr>
        <w:t>δ</w:t>
      </w:r>
      <w:r>
        <w:rPr>
          <w:smallCaps/>
          <w:color w:val="1F487C"/>
        </w:rPr>
        <w:t>ι</w:t>
      </w:r>
      <w:r>
        <w:rPr>
          <w:smallCaps w:val="0"/>
          <w:color w:val="1F487C"/>
        </w:rPr>
        <w:t>άστασης</w:t>
      </w:r>
      <w:r>
        <w:rPr>
          <w:smallCaps w:val="0"/>
          <w:color w:val="1F487C"/>
          <w:spacing w:val="-11"/>
        </w:rPr>
        <w:t> </w:t>
      </w:r>
      <w:r>
        <w:rPr>
          <w:smallCaps w:val="0"/>
          <w:color w:val="1F487C"/>
        </w:rPr>
        <w:t>κα</w:t>
      </w:r>
      <w:r>
        <w:rPr>
          <w:smallCaps/>
          <w:color w:val="1F487C"/>
        </w:rPr>
        <w:t>ι</w:t>
      </w:r>
      <w:r>
        <w:rPr>
          <w:smallCaps w:val="0"/>
          <w:color w:val="1F487C"/>
          <w:spacing w:val="-10"/>
        </w:rPr>
        <w:t> </w:t>
      </w:r>
      <w:r>
        <w:rPr>
          <w:smallCaps w:val="0"/>
          <w:color w:val="1F487C"/>
        </w:rPr>
        <w:t>του</w:t>
      </w:r>
      <w:r>
        <w:rPr>
          <w:smallCaps w:val="0"/>
          <w:color w:val="1F487C"/>
          <w:spacing w:val="-11"/>
        </w:rPr>
        <w:t> </w:t>
      </w:r>
      <w:r>
        <w:rPr>
          <w:smallCaps w:val="0"/>
          <w:color w:val="1F487C"/>
        </w:rPr>
        <w:t>μη</w:t>
      </w:r>
      <w:r>
        <w:rPr>
          <w:smallCaps w:val="0"/>
          <w:color w:val="1F487C"/>
          <w:spacing w:val="-14"/>
        </w:rPr>
        <w:t> </w:t>
      </w:r>
      <w:r>
        <w:rPr>
          <w:smallCaps w:val="0"/>
          <w:color w:val="1F487C"/>
        </w:rPr>
        <w:t>τραπε</w:t>
      </w:r>
      <w:r>
        <w:rPr>
          <w:smallCaps w:val="0"/>
          <w:color w:val="1F487C"/>
          <w:spacing w:val="17"/>
        </w:rPr>
        <w:t> </w:t>
      </w:r>
      <w:r>
        <w:rPr>
          <w:smallCaps/>
          <w:color w:val="1F487C"/>
        </w:rPr>
        <w:t>ι</w:t>
      </w:r>
      <w:r>
        <w:rPr>
          <w:smallCaps w:val="0"/>
          <w:color w:val="1F487C"/>
        </w:rPr>
        <w:t>κού</w:t>
      </w:r>
      <w:r>
        <w:rPr>
          <w:smallCaps w:val="0"/>
          <w:color w:val="1F487C"/>
          <w:spacing w:val="-12"/>
        </w:rPr>
        <w:t> </w:t>
      </w:r>
      <w:r>
        <w:rPr>
          <w:smallCaps w:val="0"/>
          <w:color w:val="1F487C"/>
        </w:rPr>
        <w:t>χρηματοπ</w:t>
      </w:r>
      <w:r>
        <w:rPr>
          <w:smallCaps/>
          <w:color w:val="1F487C"/>
        </w:rPr>
        <w:t>ι</w:t>
      </w:r>
      <w:r>
        <w:rPr>
          <w:smallCaps w:val="0"/>
          <w:color w:val="1F487C"/>
        </w:rPr>
        <w:t>στωτ</w:t>
      </w:r>
      <w:r>
        <w:rPr>
          <w:smallCaps/>
          <w:color w:val="1F487C"/>
        </w:rPr>
        <w:t>ι</w:t>
      </w:r>
      <w:r>
        <w:rPr>
          <w:smallCaps w:val="0"/>
          <w:color w:val="1F487C"/>
        </w:rPr>
        <w:t>κού</w:t>
      </w:r>
      <w:r>
        <w:rPr>
          <w:smallCaps w:val="0"/>
          <w:color w:val="1F487C"/>
          <w:spacing w:val="-11"/>
        </w:rPr>
        <w:t> </w:t>
      </w:r>
      <w:r>
        <w:rPr>
          <w:smallCaps w:val="0"/>
          <w:color w:val="1F487C"/>
          <w:spacing w:val="-2"/>
        </w:rPr>
        <w:t>τομέα</w:t>
      </w:r>
    </w:p>
    <w:p>
      <w:pPr>
        <w:pStyle w:val="BodyText"/>
        <w:rPr>
          <w:b/>
          <w:sz w:val="20"/>
        </w:rPr>
      </w:pPr>
    </w:p>
    <w:p>
      <w:pPr>
        <w:pStyle w:val="BodyText"/>
        <w:spacing w:before="133"/>
        <w:rPr>
          <w:b/>
          <w:sz w:val="20"/>
        </w:rPr>
      </w:pPr>
      <w:r>
        <w:rPr>
          <w:b/>
          <w:sz w:val="20"/>
        </w:rPr>
        <w:drawing>
          <wp:anchor distT="0" distB="0" distL="0" distR="0" allowOverlap="1" layoutInCell="1" locked="0" behindDoc="1" simplePos="0" relativeHeight="487682560">
            <wp:simplePos x="0" y="0"/>
            <wp:positionH relativeFrom="page">
              <wp:posOffset>723899</wp:posOffset>
            </wp:positionH>
            <wp:positionV relativeFrom="paragraph">
              <wp:posOffset>245771</wp:posOffset>
            </wp:positionV>
            <wp:extent cx="8723004" cy="5035296"/>
            <wp:effectExtent l="0" t="0" r="0" b="0"/>
            <wp:wrapTopAndBottom/>
            <wp:docPr id="804" name="Image 804"/>
            <wp:cNvGraphicFramePr>
              <a:graphicFrameLocks/>
            </wp:cNvGraphicFramePr>
            <a:graphic>
              <a:graphicData uri="http://schemas.openxmlformats.org/drawingml/2006/picture">
                <pic:pic>
                  <pic:nvPicPr>
                    <pic:cNvPr id="804" name="Image 804"/>
                    <pic:cNvPicPr/>
                  </pic:nvPicPr>
                  <pic:blipFill>
                    <a:blip r:embed="rId163" cstate="print"/>
                    <a:stretch>
                      <a:fillRect/>
                    </a:stretch>
                  </pic:blipFill>
                  <pic:spPr>
                    <a:xfrm>
                      <a:off x="0" y="0"/>
                      <a:ext cx="8723004" cy="5035296"/>
                    </a:xfrm>
                    <a:prstGeom prst="rect">
                      <a:avLst/>
                    </a:prstGeom>
                  </pic:spPr>
                </pic:pic>
              </a:graphicData>
            </a:graphic>
          </wp:anchor>
        </w:drawing>
      </w:r>
    </w:p>
    <w:p>
      <w:pPr>
        <w:pStyle w:val="BodyText"/>
        <w:spacing w:after="0"/>
        <w:rPr>
          <w:b/>
          <w:sz w:val="20"/>
        </w:rPr>
        <w:sectPr>
          <w:footerReference w:type="default" r:id="rId162"/>
          <w:pgSz w:w="16850" w:h="11910" w:orient="landscape"/>
          <w:pgMar w:header="0" w:footer="0" w:top="1340" w:bottom="280" w:left="1133" w:right="1842"/>
        </w:sectPr>
      </w:pPr>
    </w:p>
    <w:p>
      <w:pPr>
        <w:pStyle w:val="Heading1"/>
        <w:spacing w:before="59"/>
      </w:pPr>
      <w:bookmarkStart w:name="_bookmark184" w:id="185"/>
      <w:bookmarkEnd w:id="185"/>
      <w:r>
        <w:rPr>
          <w:b w:val="0"/>
        </w:rPr>
      </w:r>
      <w:r>
        <w:rPr>
          <w:color w:val="1F487C"/>
          <w:spacing w:val="23"/>
        </w:rPr>
        <w:t>ΕΙΔΙΚΟ</w:t>
      </w:r>
      <w:r>
        <w:rPr>
          <w:color w:val="1F487C"/>
          <w:spacing w:val="58"/>
        </w:rPr>
        <w:t> </w:t>
      </w:r>
      <w:r>
        <w:rPr>
          <w:color w:val="1F487C"/>
          <w:spacing w:val="21"/>
        </w:rPr>
        <w:t>ΘΕΜΑ</w:t>
      </w:r>
      <w:r>
        <w:rPr>
          <w:color w:val="1F487C"/>
          <w:spacing w:val="68"/>
        </w:rPr>
        <w:t> </w:t>
      </w:r>
      <w:r>
        <w:rPr>
          <w:color w:val="1F487C"/>
          <w:spacing w:val="7"/>
        </w:rPr>
        <w:t>ΙI</w:t>
      </w:r>
    </w:p>
    <w:p>
      <w:pPr>
        <w:spacing w:before="60"/>
        <w:ind w:left="30" w:right="403" w:firstLine="0"/>
        <w:jc w:val="left"/>
        <w:rPr>
          <w:b/>
          <w:sz w:val="28"/>
        </w:rPr>
      </w:pPr>
      <w:bookmarkStart w:name="_bookmark185" w:id="186"/>
      <w:bookmarkEnd w:id="186"/>
      <w:r>
        <w:rPr/>
      </w:r>
      <w:r>
        <w:rPr>
          <w:b/>
          <w:color w:val="1F487C"/>
          <w:spacing w:val="25"/>
          <w:sz w:val="28"/>
        </w:rPr>
        <w:t>ΕΞΕΛΙΞΕΙΣ</w:t>
      </w:r>
      <w:r>
        <w:rPr>
          <w:b/>
          <w:color w:val="1F487C"/>
          <w:spacing w:val="25"/>
          <w:sz w:val="28"/>
        </w:rPr>
        <w:t> </w:t>
      </w:r>
      <w:r>
        <w:rPr>
          <w:b/>
          <w:color w:val="1F487C"/>
          <w:spacing w:val="20"/>
          <w:sz w:val="28"/>
        </w:rPr>
        <w:t>ΣΤΗ</w:t>
      </w:r>
      <w:r>
        <w:rPr>
          <w:b/>
          <w:color w:val="1F487C"/>
          <w:spacing w:val="20"/>
          <w:sz w:val="28"/>
        </w:rPr>
        <w:t> </w:t>
      </w:r>
      <w:r>
        <w:rPr>
          <w:b/>
          <w:color w:val="1F487C"/>
          <w:spacing w:val="23"/>
          <w:sz w:val="28"/>
        </w:rPr>
        <w:t>ΧΡΗΣΗ</w:t>
      </w:r>
      <w:r>
        <w:rPr>
          <w:b/>
          <w:color w:val="1F487C"/>
          <w:spacing w:val="23"/>
          <w:sz w:val="28"/>
        </w:rPr>
        <w:t> </w:t>
      </w:r>
      <w:r>
        <w:rPr>
          <w:b/>
          <w:color w:val="1F487C"/>
          <w:spacing w:val="18"/>
          <w:sz w:val="28"/>
        </w:rPr>
        <w:t>ΤΗΣ</w:t>
      </w:r>
      <w:r>
        <w:rPr>
          <w:b/>
          <w:color w:val="1F487C"/>
          <w:spacing w:val="18"/>
          <w:sz w:val="28"/>
        </w:rPr>
        <w:t> </w:t>
      </w:r>
      <w:r>
        <w:rPr>
          <w:b/>
          <w:color w:val="1F487C"/>
          <w:spacing w:val="26"/>
          <w:sz w:val="28"/>
        </w:rPr>
        <w:t>ΤΕΧΝΟΛΟΓΙΑΣ</w:t>
      </w:r>
      <w:r>
        <w:rPr>
          <w:b/>
          <w:color w:val="1F487C"/>
          <w:spacing w:val="26"/>
          <w:sz w:val="28"/>
        </w:rPr>
        <w:t> </w:t>
      </w:r>
      <w:r>
        <w:rPr>
          <w:b/>
          <w:color w:val="1F487C"/>
          <w:spacing w:val="20"/>
          <w:sz w:val="28"/>
        </w:rPr>
        <w:t>DLT </w:t>
      </w:r>
      <w:r>
        <w:rPr>
          <w:b/>
          <w:color w:val="1F487C"/>
          <w:spacing w:val="21"/>
          <w:sz w:val="28"/>
        </w:rPr>
        <w:t>ΣΤΙΣ</w:t>
      </w:r>
      <w:r>
        <w:rPr>
          <w:b/>
          <w:color w:val="1F487C"/>
          <w:spacing w:val="21"/>
          <w:sz w:val="28"/>
        </w:rPr>
        <w:t> </w:t>
      </w:r>
      <w:r>
        <w:rPr>
          <w:b/>
          <w:color w:val="1F487C"/>
          <w:spacing w:val="26"/>
          <w:sz w:val="28"/>
        </w:rPr>
        <w:t>ΧΡΗΜΑΤΟΠΙΣΤΩΤΙΚΕΣ</w:t>
      </w:r>
      <w:r>
        <w:rPr>
          <w:b/>
          <w:color w:val="1F487C"/>
          <w:spacing w:val="26"/>
          <w:sz w:val="28"/>
        </w:rPr>
        <w:t> </w:t>
      </w:r>
      <w:r>
        <w:rPr>
          <w:b/>
          <w:color w:val="1F487C"/>
          <w:spacing w:val="23"/>
          <w:sz w:val="28"/>
        </w:rPr>
        <w:t>ΑΓΟΡΕΣ</w:t>
      </w:r>
    </w:p>
    <w:p>
      <w:pPr>
        <w:pStyle w:val="BodyText"/>
        <w:spacing w:before="206"/>
        <w:rPr>
          <w:b/>
          <w:sz w:val="28"/>
        </w:rPr>
      </w:pPr>
    </w:p>
    <w:p>
      <w:pPr>
        <w:pStyle w:val="BodyText"/>
        <w:spacing w:line="285" w:lineRule="auto"/>
        <w:ind w:left="30" w:right="248"/>
        <w:jc w:val="both"/>
      </w:pPr>
      <w:r>
        <w:rPr/>
        <w:t>Τα</w:t>
      </w:r>
      <w:r>
        <w:rPr>
          <w:spacing w:val="-12"/>
        </w:rPr>
        <w:t> </w:t>
      </w:r>
      <w:r>
        <w:rPr/>
        <w:t>τελευταία</w:t>
      </w:r>
      <w:r>
        <w:rPr>
          <w:spacing w:val="-11"/>
        </w:rPr>
        <w:t> </w:t>
      </w:r>
      <w:r>
        <w:rPr/>
        <w:t>χρόνια</w:t>
      </w:r>
      <w:r>
        <w:rPr>
          <w:spacing w:val="-10"/>
        </w:rPr>
        <w:t> </w:t>
      </w:r>
      <w:r>
        <w:rPr/>
        <w:t>οι</w:t>
      </w:r>
      <w:r>
        <w:rPr>
          <w:spacing w:val="-12"/>
        </w:rPr>
        <w:t> </w:t>
      </w:r>
      <w:r>
        <w:rPr/>
        <w:t>χρηματοπιστωτικές</w:t>
      </w:r>
      <w:r>
        <w:rPr>
          <w:spacing w:val="-11"/>
        </w:rPr>
        <w:t> </w:t>
      </w:r>
      <w:r>
        <w:rPr/>
        <w:t>αγορές</w:t>
      </w:r>
      <w:r>
        <w:rPr>
          <w:spacing w:val="-10"/>
        </w:rPr>
        <w:t> </w:t>
      </w:r>
      <w:r>
        <w:rPr/>
        <w:t>βρίσκονται</w:t>
      </w:r>
      <w:r>
        <w:rPr>
          <w:spacing w:val="-10"/>
        </w:rPr>
        <w:t> </w:t>
      </w:r>
      <w:r>
        <w:rPr/>
        <w:t>σε</w:t>
      </w:r>
      <w:r>
        <w:rPr>
          <w:spacing w:val="-10"/>
        </w:rPr>
        <w:t> </w:t>
      </w:r>
      <w:r>
        <w:rPr/>
        <w:t>διαδικασία</w:t>
      </w:r>
      <w:r>
        <w:rPr>
          <w:spacing w:val="-13"/>
        </w:rPr>
        <w:t> </w:t>
      </w:r>
      <w:r>
        <w:rPr/>
        <w:t>σημαντικού</w:t>
      </w:r>
      <w:r>
        <w:rPr>
          <w:spacing w:val="-10"/>
        </w:rPr>
        <w:t> </w:t>
      </w:r>
      <w:r>
        <w:rPr/>
        <w:t>ψηφια-κού μετασχηματισμού, με νέες τεχνολογίες να επηρεάζουν σταδιακά τον τρόπο έκδοσης, δια-πραγμάτευσης και διακανονισμού χρηματοπιστωτικών μέσων. Στο πλαίσιο αυτό, η τεχνολογία κατανεμημένου</w:t>
      </w:r>
      <w:r>
        <w:rPr>
          <w:spacing w:val="-3"/>
        </w:rPr>
        <w:t> </w:t>
      </w:r>
      <w:r>
        <w:rPr/>
        <w:t>καθολικού</w:t>
      </w:r>
      <w:r>
        <w:rPr>
          <w:spacing w:val="-6"/>
        </w:rPr>
        <w:t> </w:t>
      </w:r>
      <w:r>
        <w:rPr/>
        <w:t>(Distributed</w:t>
      </w:r>
      <w:r>
        <w:rPr>
          <w:spacing w:val="-6"/>
        </w:rPr>
        <w:t> </w:t>
      </w:r>
      <w:r>
        <w:rPr/>
        <w:t>Ledger</w:t>
      </w:r>
      <w:r>
        <w:rPr>
          <w:spacing w:val="-6"/>
        </w:rPr>
        <w:t> </w:t>
      </w:r>
      <w:r>
        <w:rPr/>
        <w:t>Technology</w:t>
      </w:r>
      <w:r>
        <w:rPr>
          <w:spacing w:val="-3"/>
        </w:rPr>
        <w:t> </w:t>
      </w:r>
      <w:r>
        <w:rPr/>
        <w:t>–</w:t>
      </w:r>
      <w:r>
        <w:rPr>
          <w:spacing w:val="-4"/>
        </w:rPr>
        <w:t> </w:t>
      </w:r>
      <w:r>
        <w:rPr/>
        <w:t>DLT)</w:t>
      </w:r>
      <w:r>
        <w:rPr>
          <w:spacing w:val="-4"/>
        </w:rPr>
        <w:t> </w:t>
      </w:r>
      <w:r>
        <w:rPr/>
        <w:t>προσελκύει</w:t>
      </w:r>
      <w:r>
        <w:rPr>
          <w:spacing w:val="-6"/>
        </w:rPr>
        <w:t> </w:t>
      </w:r>
      <w:r>
        <w:rPr/>
        <w:t>αυξανόμενο</w:t>
      </w:r>
      <w:r>
        <w:rPr>
          <w:spacing w:val="-9"/>
        </w:rPr>
        <w:t> </w:t>
      </w:r>
      <w:r>
        <w:rPr/>
        <w:t>εν-διαφέρον από τους</w:t>
      </w:r>
      <w:r>
        <w:rPr>
          <w:spacing w:val="-1"/>
        </w:rPr>
        <w:t> </w:t>
      </w:r>
      <w:r>
        <w:rPr/>
        <w:t>συμμετέχοντες</w:t>
      </w:r>
      <w:r>
        <w:rPr>
          <w:spacing w:val="-1"/>
        </w:rPr>
        <w:t> </w:t>
      </w:r>
      <w:r>
        <w:rPr/>
        <w:t>στις</w:t>
      </w:r>
      <w:r>
        <w:rPr>
          <w:spacing w:val="-1"/>
        </w:rPr>
        <w:t> </w:t>
      </w:r>
      <w:r>
        <w:rPr/>
        <w:t>αγορές, καθώς</w:t>
      </w:r>
      <w:r>
        <w:rPr>
          <w:spacing w:val="-3"/>
        </w:rPr>
        <w:t> </w:t>
      </w:r>
      <w:r>
        <w:rPr/>
        <w:t>προσφέρει</w:t>
      </w:r>
      <w:r>
        <w:rPr>
          <w:spacing w:val="-2"/>
        </w:rPr>
        <w:t> </w:t>
      </w:r>
      <w:r>
        <w:rPr/>
        <w:t>τη δυνατότητα</w:t>
      </w:r>
      <w:r>
        <w:rPr>
          <w:spacing w:val="-3"/>
        </w:rPr>
        <w:t> </w:t>
      </w:r>
      <w:r>
        <w:rPr/>
        <w:t>αυτοματοποίη-σης διαδικασιών, ενίσχυσης της διαφάνειας και βελτίωσης της αποδοτικότητας των χρηματοπι-στωτικών υποδομών. Η χρήση της τεχνολογίας αυτής δεν περιορίζεται πλέον σε πειραματικές εφαρμογές</w:t>
      </w:r>
      <w:r>
        <w:rPr>
          <w:spacing w:val="-1"/>
        </w:rPr>
        <w:t> </w:t>
      </w:r>
      <w:r>
        <w:rPr/>
        <w:t>ή πιλοτικά</w:t>
      </w:r>
      <w:r>
        <w:rPr>
          <w:spacing w:val="-1"/>
        </w:rPr>
        <w:t> </w:t>
      </w:r>
      <w:r>
        <w:rPr/>
        <w:t>έργα, αλλά</w:t>
      </w:r>
      <w:r>
        <w:rPr>
          <w:spacing w:val="-1"/>
        </w:rPr>
        <w:t> </w:t>
      </w:r>
      <w:r>
        <w:rPr/>
        <w:t>επεκτείνεται σταδιακά</w:t>
      </w:r>
      <w:r>
        <w:rPr>
          <w:spacing w:val="-1"/>
        </w:rPr>
        <w:t> </w:t>
      </w:r>
      <w:r>
        <w:rPr/>
        <w:t>σε μεγαλύτερου</w:t>
      </w:r>
      <w:r>
        <w:rPr>
          <w:spacing w:val="-1"/>
        </w:rPr>
        <w:t> </w:t>
      </w:r>
      <w:r>
        <w:rPr/>
        <w:t>εύρους</w:t>
      </w:r>
      <w:r>
        <w:rPr>
          <w:spacing w:val="-2"/>
        </w:rPr>
        <w:t> </w:t>
      </w:r>
      <w:r>
        <w:rPr/>
        <w:t>δοκιμές σε ρε-αλιστικές συνθήκες αγοράς καθώς και σε πραγματικές εφαρμογές στις χρηματοπιστωτικές αγο-</w:t>
      </w:r>
      <w:r>
        <w:rPr>
          <w:spacing w:val="-4"/>
        </w:rPr>
        <w:t>ρές.</w:t>
      </w:r>
    </w:p>
    <w:p>
      <w:pPr>
        <w:pStyle w:val="BodyText"/>
        <w:spacing w:line="285" w:lineRule="auto" w:before="50"/>
        <w:ind w:left="30" w:right="245"/>
        <w:jc w:val="both"/>
        <w:rPr>
          <w:position w:val="7"/>
          <w:sz w:val="13"/>
        </w:rPr>
      </w:pPr>
      <w:r>
        <w:rPr/>
        <w:t>Από</w:t>
      </w:r>
      <w:r>
        <w:rPr>
          <w:spacing w:val="-14"/>
        </w:rPr>
        <w:t> </w:t>
      </w:r>
      <w:r>
        <w:rPr/>
        <w:t>τις</w:t>
      </w:r>
      <w:r>
        <w:rPr>
          <w:spacing w:val="-14"/>
        </w:rPr>
        <w:t> </w:t>
      </w:r>
      <w:r>
        <w:rPr/>
        <w:t>23</w:t>
      </w:r>
      <w:r>
        <w:rPr>
          <w:spacing w:val="-14"/>
        </w:rPr>
        <w:t> </w:t>
      </w:r>
      <w:r>
        <w:rPr/>
        <w:t>Μαρτίου</w:t>
      </w:r>
      <w:r>
        <w:rPr>
          <w:spacing w:val="-13"/>
        </w:rPr>
        <w:t> </w:t>
      </w:r>
      <w:r>
        <w:rPr/>
        <w:t>2023</w:t>
      </w:r>
      <w:r>
        <w:rPr>
          <w:spacing w:val="-14"/>
        </w:rPr>
        <w:t> </w:t>
      </w:r>
      <w:r>
        <w:rPr/>
        <w:t>εφαρμόζεται</w:t>
      </w:r>
      <w:r>
        <w:rPr>
          <w:spacing w:val="-14"/>
        </w:rPr>
        <w:t> </w:t>
      </w:r>
      <w:r>
        <w:rPr/>
        <w:t>στην</w:t>
      </w:r>
      <w:r>
        <w:rPr>
          <w:spacing w:val="-14"/>
        </w:rPr>
        <w:t> </w:t>
      </w:r>
      <w:r>
        <w:rPr/>
        <w:t>Ευρωπαϊκή</w:t>
      </w:r>
      <w:r>
        <w:rPr>
          <w:spacing w:val="-13"/>
        </w:rPr>
        <w:t> </w:t>
      </w:r>
      <w:r>
        <w:rPr/>
        <w:t>Ένωση</w:t>
      </w:r>
      <w:r>
        <w:rPr>
          <w:spacing w:val="-14"/>
        </w:rPr>
        <w:t> </w:t>
      </w:r>
      <w:r>
        <w:rPr/>
        <w:t>(ΕΕ)</w:t>
      </w:r>
      <w:r>
        <w:rPr>
          <w:spacing w:val="-14"/>
        </w:rPr>
        <w:t> </w:t>
      </w:r>
      <w:r>
        <w:rPr/>
        <w:t>το</w:t>
      </w:r>
      <w:r>
        <w:rPr>
          <w:spacing w:val="-14"/>
        </w:rPr>
        <w:t> </w:t>
      </w:r>
      <w:r>
        <w:rPr/>
        <w:t>πιλοτικό</w:t>
      </w:r>
      <w:r>
        <w:rPr>
          <w:spacing w:val="-13"/>
        </w:rPr>
        <w:t> </w:t>
      </w:r>
      <w:r>
        <w:rPr/>
        <w:t>καθεστώς</w:t>
      </w:r>
      <w:r>
        <w:rPr>
          <w:spacing w:val="-14"/>
        </w:rPr>
        <w:t> </w:t>
      </w:r>
      <w:r>
        <w:rPr/>
        <w:t>DLT, ένα ειδικό ρυθμιστικό πλαίσιο που επιτρέπει σε πλατφόρμες και υποδομές να λαμβάνουν άδεια και να χρησιμοποιούν την τεχνολογία DLT σε ελεγχόμενο περιβάλλον για την έκδοση, τη δια-πραγμάτευση</w:t>
      </w:r>
      <w:r>
        <w:rPr>
          <w:spacing w:val="-14"/>
        </w:rPr>
        <w:t> </w:t>
      </w:r>
      <w:r>
        <w:rPr/>
        <w:t>και</w:t>
      </w:r>
      <w:r>
        <w:rPr>
          <w:spacing w:val="-11"/>
        </w:rPr>
        <w:t> </w:t>
      </w:r>
      <w:r>
        <w:rPr/>
        <w:t>τον</w:t>
      </w:r>
      <w:r>
        <w:rPr>
          <w:spacing w:val="-10"/>
        </w:rPr>
        <w:t> </w:t>
      </w:r>
      <w:r>
        <w:rPr/>
        <w:t>διακανονισμό</w:t>
      </w:r>
      <w:r>
        <w:rPr>
          <w:spacing w:val="-14"/>
        </w:rPr>
        <w:t> </w:t>
      </w:r>
      <w:r>
        <w:rPr/>
        <w:t>χρηματοπιστωτικών</w:t>
      </w:r>
      <w:r>
        <w:rPr>
          <w:spacing w:val="-11"/>
        </w:rPr>
        <w:t> </w:t>
      </w:r>
      <w:r>
        <w:rPr/>
        <w:t>μέσων,</w:t>
      </w:r>
      <w:r>
        <w:rPr>
          <w:spacing w:val="-11"/>
        </w:rPr>
        <w:t> </w:t>
      </w:r>
      <w:r>
        <w:rPr/>
        <w:t>εξασφαλίζοντας</w:t>
      </w:r>
      <w:r>
        <w:rPr>
          <w:spacing w:val="-12"/>
        </w:rPr>
        <w:t> </w:t>
      </w:r>
      <w:r>
        <w:rPr/>
        <w:t>παράλληλα</w:t>
      </w:r>
      <w:r>
        <w:rPr>
          <w:spacing w:val="-12"/>
        </w:rPr>
        <w:t> </w:t>
      </w:r>
      <w:r>
        <w:rPr/>
        <w:t>την προστασία των επενδυτών και τη χρηματοπιστωτική σταθερότητα.</w:t>
      </w:r>
      <w:hyperlink w:history="true" w:anchor="_bookmark186">
        <w:r>
          <w:rPr>
            <w:position w:val="7"/>
            <w:sz w:val="13"/>
          </w:rPr>
          <w:t>125</w:t>
        </w:r>
      </w:hyperlink>
    </w:p>
    <w:p>
      <w:pPr>
        <w:pStyle w:val="BodyText"/>
        <w:spacing w:line="285" w:lineRule="auto" w:before="55"/>
        <w:ind w:left="30" w:right="246"/>
        <w:jc w:val="both"/>
      </w:pPr>
      <w:r>
        <w:rPr/>
        <w:t>Το πιλοτικό καθεστώς DLT ορίζει τρεις κατηγορίες αδειοδοτημένων οντοτήτων/υποδομών: α) τους</w:t>
      </w:r>
      <w:r>
        <w:rPr>
          <w:spacing w:val="-6"/>
        </w:rPr>
        <w:t> </w:t>
      </w:r>
      <w:r>
        <w:rPr/>
        <w:t>πολυμερείς</w:t>
      </w:r>
      <w:r>
        <w:rPr>
          <w:spacing w:val="-5"/>
        </w:rPr>
        <w:t> </w:t>
      </w:r>
      <w:r>
        <w:rPr/>
        <w:t>μηχανισμούς</w:t>
      </w:r>
      <w:r>
        <w:rPr>
          <w:spacing w:val="-6"/>
        </w:rPr>
        <w:t> </w:t>
      </w:r>
      <w:r>
        <w:rPr/>
        <w:t>διαπραγμάτευσης</w:t>
      </w:r>
      <w:r>
        <w:rPr>
          <w:spacing w:val="-6"/>
        </w:rPr>
        <w:t> </w:t>
      </w:r>
      <w:r>
        <w:rPr/>
        <w:t>(DLT</w:t>
      </w:r>
      <w:r>
        <w:rPr>
          <w:spacing w:val="-5"/>
        </w:rPr>
        <w:t> </w:t>
      </w:r>
      <w:r>
        <w:rPr/>
        <w:t>multilateral</w:t>
      </w:r>
      <w:r>
        <w:rPr>
          <w:spacing w:val="-5"/>
        </w:rPr>
        <w:t> </w:t>
      </w:r>
      <w:r>
        <w:rPr/>
        <w:t>trading</w:t>
      </w:r>
      <w:r>
        <w:rPr>
          <w:spacing w:val="-4"/>
        </w:rPr>
        <w:t> </w:t>
      </w:r>
      <w:r>
        <w:rPr/>
        <w:t>facility</w:t>
      </w:r>
      <w:r>
        <w:rPr>
          <w:spacing w:val="-4"/>
        </w:rPr>
        <w:t> </w:t>
      </w:r>
      <w:r>
        <w:rPr/>
        <w:t>–</w:t>
      </w:r>
      <w:r>
        <w:rPr>
          <w:spacing w:val="-5"/>
        </w:rPr>
        <w:t> </w:t>
      </w:r>
      <w:r>
        <w:rPr/>
        <w:t>DLT</w:t>
      </w:r>
      <w:r>
        <w:rPr>
          <w:spacing w:val="-5"/>
        </w:rPr>
        <w:t> </w:t>
      </w:r>
      <w:r>
        <w:rPr/>
        <w:t>MTF), που</w:t>
      </w:r>
      <w:r>
        <w:rPr>
          <w:spacing w:val="-14"/>
        </w:rPr>
        <w:t> </w:t>
      </w:r>
      <w:r>
        <w:rPr/>
        <w:t>εστιάζουν</w:t>
      </w:r>
      <w:r>
        <w:rPr>
          <w:spacing w:val="-14"/>
        </w:rPr>
        <w:t> </w:t>
      </w:r>
      <w:r>
        <w:rPr/>
        <w:t>στη</w:t>
      </w:r>
      <w:r>
        <w:rPr>
          <w:spacing w:val="-14"/>
        </w:rPr>
        <w:t> </w:t>
      </w:r>
      <w:r>
        <w:rPr/>
        <w:t>διαπραγμάτευση</w:t>
      </w:r>
      <w:r>
        <w:rPr>
          <w:spacing w:val="-13"/>
        </w:rPr>
        <w:t> </w:t>
      </w:r>
      <w:r>
        <w:rPr/>
        <w:t>χρηματοπιστωτικών</w:t>
      </w:r>
      <w:r>
        <w:rPr>
          <w:spacing w:val="-14"/>
        </w:rPr>
        <w:t> </w:t>
      </w:r>
      <w:r>
        <w:rPr/>
        <w:t>μέσων,</w:t>
      </w:r>
      <w:r>
        <w:rPr>
          <w:spacing w:val="-14"/>
        </w:rPr>
        <w:t> </w:t>
      </w:r>
      <w:r>
        <w:rPr/>
        <w:t>β)</w:t>
      </w:r>
      <w:r>
        <w:rPr>
          <w:spacing w:val="-14"/>
        </w:rPr>
        <w:t> </w:t>
      </w:r>
      <w:r>
        <w:rPr/>
        <w:t>τα</w:t>
      </w:r>
      <w:r>
        <w:rPr>
          <w:spacing w:val="-13"/>
        </w:rPr>
        <w:t> </w:t>
      </w:r>
      <w:r>
        <w:rPr/>
        <w:t>συστήματα</w:t>
      </w:r>
      <w:r>
        <w:rPr>
          <w:spacing w:val="-14"/>
        </w:rPr>
        <w:t> </w:t>
      </w:r>
      <w:r>
        <w:rPr/>
        <w:t>διακανονισμού (DLT</w:t>
      </w:r>
      <w:r>
        <w:rPr>
          <w:spacing w:val="-3"/>
        </w:rPr>
        <w:t> </w:t>
      </w:r>
      <w:r>
        <w:rPr/>
        <w:t>settlement</w:t>
      </w:r>
      <w:r>
        <w:rPr>
          <w:spacing w:val="-1"/>
        </w:rPr>
        <w:t> </w:t>
      </w:r>
      <w:r>
        <w:rPr/>
        <w:t>system</w:t>
      </w:r>
      <w:r>
        <w:rPr>
          <w:spacing w:val="-1"/>
        </w:rPr>
        <w:t> </w:t>
      </w:r>
      <w:r>
        <w:rPr/>
        <w:t>–</w:t>
      </w:r>
      <w:r>
        <w:rPr>
          <w:spacing w:val="-2"/>
        </w:rPr>
        <w:t> </w:t>
      </w:r>
      <w:r>
        <w:rPr/>
        <w:t>DLT</w:t>
      </w:r>
      <w:r>
        <w:rPr>
          <w:spacing w:val="-3"/>
        </w:rPr>
        <w:t> </w:t>
      </w:r>
      <w:r>
        <w:rPr/>
        <w:t>SS),</w:t>
      </w:r>
      <w:r>
        <w:rPr>
          <w:spacing w:val="-2"/>
        </w:rPr>
        <w:t> </w:t>
      </w:r>
      <w:r>
        <w:rPr/>
        <w:t>που</w:t>
      </w:r>
      <w:r>
        <w:rPr>
          <w:spacing w:val="-1"/>
        </w:rPr>
        <w:t> </w:t>
      </w:r>
      <w:r>
        <w:rPr/>
        <w:t>εστιάζουν</w:t>
      </w:r>
      <w:r>
        <w:rPr>
          <w:spacing w:val="-1"/>
        </w:rPr>
        <w:t> </w:t>
      </w:r>
      <w:r>
        <w:rPr/>
        <w:t>στον</w:t>
      </w:r>
      <w:r>
        <w:rPr>
          <w:spacing w:val="-1"/>
        </w:rPr>
        <w:t> </w:t>
      </w:r>
      <w:r>
        <w:rPr/>
        <w:t>διακανονισμό</w:t>
      </w:r>
      <w:r>
        <w:rPr>
          <w:spacing w:val="-5"/>
        </w:rPr>
        <w:t> </w:t>
      </w:r>
      <w:r>
        <w:rPr/>
        <w:t>συναλλαγών</w:t>
      </w:r>
      <w:r>
        <w:rPr>
          <w:spacing w:val="-1"/>
        </w:rPr>
        <w:t> </w:t>
      </w:r>
      <w:r>
        <w:rPr/>
        <w:t>και</w:t>
      </w:r>
      <w:r>
        <w:rPr>
          <w:spacing w:val="-2"/>
        </w:rPr>
        <w:t> </w:t>
      </w:r>
      <w:r>
        <w:rPr/>
        <w:t>την</w:t>
      </w:r>
      <w:r>
        <w:rPr>
          <w:spacing w:val="-2"/>
        </w:rPr>
        <w:t> </w:t>
      </w:r>
      <w:r>
        <w:rPr/>
        <w:t>αρ-χική καταχώριση και φύλαξη</w:t>
      </w:r>
      <w:r>
        <w:rPr>
          <w:spacing w:val="-1"/>
        </w:rPr>
        <w:t> </w:t>
      </w:r>
      <w:r>
        <w:rPr/>
        <w:t>τίτλων, και γ) τα</w:t>
      </w:r>
      <w:r>
        <w:rPr>
          <w:spacing w:val="-1"/>
        </w:rPr>
        <w:t> </w:t>
      </w:r>
      <w:r>
        <w:rPr/>
        <w:t>συστήματα διαπραγμάτευσης</w:t>
      </w:r>
      <w:r>
        <w:rPr>
          <w:spacing w:val="-1"/>
        </w:rPr>
        <w:t> </w:t>
      </w:r>
      <w:r>
        <w:rPr/>
        <w:t>και</w:t>
      </w:r>
      <w:r>
        <w:rPr>
          <w:spacing w:val="-2"/>
        </w:rPr>
        <w:t> </w:t>
      </w:r>
      <w:r>
        <w:rPr/>
        <w:t>διακανονισμού (DLT</w:t>
      </w:r>
      <w:r>
        <w:rPr>
          <w:spacing w:val="-8"/>
        </w:rPr>
        <w:t> </w:t>
      </w:r>
      <w:r>
        <w:rPr/>
        <w:t>trading</w:t>
      </w:r>
      <w:r>
        <w:rPr>
          <w:spacing w:val="-9"/>
        </w:rPr>
        <w:t> </w:t>
      </w:r>
      <w:r>
        <w:rPr/>
        <w:t>and</w:t>
      </w:r>
      <w:r>
        <w:rPr>
          <w:spacing w:val="-9"/>
        </w:rPr>
        <w:t> </w:t>
      </w:r>
      <w:r>
        <w:rPr/>
        <w:t>settlement</w:t>
      </w:r>
      <w:r>
        <w:rPr>
          <w:spacing w:val="-5"/>
        </w:rPr>
        <w:t> </w:t>
      </w:r>
      <w:r>
        <w:rPr/>
        <w:t>system</w:t>
      </w:r>
      <w:r>
        <w:rPr>
          <w:spacing w:val="-8"/>
        </w:rPr>
        <w:t> </w:t>
      </w:r>
      <w:r>
        <w:rPr/>
        <w:t>–</w:t>
      </w:r>
      <w:r>
        <w:rPr>
          <w:spacing w:val="-7"/>
        </w:rPr>
        <w:t> </w:t>
      </w:r>
      <w:r>
        <w:rPr/>
        <w:t>DLT</w:t>
      </w:r>
      <w:r>
        <w:rPr>
          <w:spacing w:val="-10"/>
        </w:rPr>
        <w:t> </w:t>
      </w:r>
      <w:r>
        <w:rPr/>
        <w:t>TSS),</w:t>
      </w:r>
      <w:r>
        <w:rPr>
          <w:spacing w:val="-9"/>
        </w:rPr>
        <w:t> </w:t>
      </w:r>
      <w:r>
        <w:rPr/>
        <w:t>που</w:t>
      </w:r>
      <w:r>
        <w:rPr>
          <w:spacing w:val="-11"/>
        </w:rPr>
        <w:t> </w:t>
      </w:r>
      <w:r>
        <w:rPr/>
        <w:t>συνδυάζουν</w:t>
      </w:r>
      <w:r>
        <w:rPr>
          <w:spacing w:val="-11"/>
        </w:rPr>
        <w:t> </w:t>
      </w:r>
      <w:r>
        <w:rPr/>
        <w:t>λειτουργίες</w:t>
      </w:r>
      <w:r>
        <w:rPr>
          <w:spacing w:val="-8"/>
        </w:rPr>
        <w:t> </w:t>
      </w:r>
      <w:r>
        <w:rPr/>
        <w:t>διαπραγμάτευσης και διακανονισμού σε μια ενιαία πλατφόρμα.</w:t>
      </w:r>
    </w:p>
    <w:p>
      <w:pPr>
        <w:pStyle w:val="BodyText"/>
        <w:spacing w:line="285" w:lineRule="auto" w:before="53"/>
        <w:ind w:left="30" w:right="246"/>
        <w:jc w:val="both"/>
      </w:pPr>
      <w:r>
        <w:rPr/>
        <w:t>Σε αυτές τις υποδομές εκδίδονται, καταγράφονται και μεταβιβάζονται χρηματοπιστωτικά μέσα (π.χ.</w:t>
      </w:r>
      <w:r>
        <w:rPr>
          <w:spacing w:val="-14"/>
        </w:rPr>
        <w:t> </w:t>
      </w:r>
      <w:r>
        <w:rPr/>
        <w:t>μετοχές</w:t>
      </w:r>
      <w:r>
        <w:rPr>
          <w:spacing w:val="-14"/>
        </w:rPr>
        <w:t> </w:t>
      </w:r>
      <w:r>
        <w:rPr/>
        <w:t>ή</w:t>
      </w:r>
      <w:r>
        <w:rPr>
          <w:spacing w:val="-8"/>
        </w:rPr>
        <w:t> </w:t>
      </w:r>
      <w:r>
        <w:rPr/>
        <w:t>ομόλογα)</w:t>
      </w:r>
      <w:r>
        <w:rPr>
          <w:spacing w:val="-9"/>
        </w:rPr>
        <w:t> </w:t>
      </w:r>
      <w:r>
        <w:rPr/>
        <w:t>σε</w:t>
      </w:r>
      <w:r>
        <w:rPr>
          <w:spacing w:val="-9"/>
        </w:rPr>
        <w:t> </w:t>
      </w:r>
      <w:r>
        <w:rPr/>
        <w:t>μορφή</w:t>
      </w:r>
      <w:r>
        <w:rPr>
          <w:spacing w:val="-6"/>
        </w:rPr>
        <w:t> </w:t>
      </w:r>
      <w:r>
        <w:rPr/>
        <w:t>ψηφιακού</w:t>
      </w:r>
      <w:r>
        <w:rPr>
          <w:spacing w:val="-6"/>
        </w:rPr>
        <w:t> </w:t>
      </w:r>
      <w:r>
        <w:rPr/>
        <w:t>παραστατικού</w:t>
      </w:r>
      <w:r>
        <w:rPr>
          <w:spacing w:val="-6"/>
        </w:rPr>
        <w:t> </w:t>
      </w:r>
      <w:r>
        <w:rPr/>
        <w:t>αξίας</w:t>
      </w:r>
      <w:r>
        <w:rPr>
          <w:spacing w:val="-9"/>
        </w:rPr>
        <w:t> </w:t>
      </w:r>
      <w:r>
        <w:rPr/>
        <w:t>(token).</w:t>
      </w:r>
      <w:r>
        <w:rPr>
          <w:spacing w:val="-14"/>
        </w:rPr>
        <w:t> </w:t>
      </w:r>
      <w:hyperlink w:history="true" w:anchor="_bookmark187">
        <w:r>
          <w:rPr>
            <w:position w:val="7"/>
            <w:sz w:val="13"/>
          </w:rPr>
          <w:t>126</w:t>
        </w:r>
      </w:hyperlink>
      <w:r>
        <w:rPr>
          <w:spacing w:val="16"/>
          <w:position w:val="7"/>
          <w:sz w:val="13"/>
        </w:rPr>
        <w:t> </w:t>
      </w:r>
      <w:r>
        <w:rPr/>
        <w:t>Τα</w:t>
      </w:r>
      <w:r>
        <w:rPr>
          <w:spacing w:val="-8"/>
        </w:rPr>
        <w:t> </w:t>
      </w:r>
      <w:r>
        <w:rPr/>
        <w:t>χρηματοπιστω-τικά</w:t>
      </w:r>
      <w:r>
        <w:rPr>
          <w:spacing w:val="-3"/>
        </w:rPr>
        <w:t> </w:t>
      </w:r>
      <w:r>
        <w:rPr/>
        <w:t>αυτά</w:t>
      </w:r>
      <w:r>
        <w:rPr>
          <w:spacing w:val="-2"/>
        </w:rPr>
        <w:t> </w:t>
      </w:r>
      <w:r>
        <w:rPr/>
        <w:t>μέσα</w:t>
      </w:r>
      <w:r>
        <w:rPr>
          <w:spacing w:val="-3"/>
        </w:rPr>
        <w:t> </w:t>
      </w:r>
      <w:r>
        <w:rPr/>
        <w:t>(tokenised</w:t>
      </w:r>
      <w:r>
        <w:rPr>
          <w:spacing w:val="-5"/>
        </w:rPr>
        <w:t> </w:t>
      </w:r>
      <w:r>
        <w:rPr/>
        <w:t>financial</w:t>
      </w:r>
      <w:r>
        <w:rPr>
          <w:spacing w:val="-4"/>
        </w:rPr>
        <w:t> </w:t>
      </w:r>
      <w:r>
        <w:rPr/>
        <w:t>assets)</w:t>
      </w:r>
      <w:r>
        <w:rPr>
          <w:spacing w:val="-1"/>
        </w:rPr>
        <w:t> </w:t>
      </w:r>
      <w:r>
        <w:rPr/>
        <w:t>αποτελούν</w:t>
      </w:r>
      <w:r>
        <w:rPr>
          <w:spacing w:val="-4"/>
        </w:rPr>
        <w:t> </w:t>
      </w:r>
      <w:r>
        <w:rPr/>
        <w:t>ψηφιακές</w:t>
      </w:r>
      <w:r>
        <w:rPr>
          <w:spacing w:val="-3"/>
        </w:rPr>
        <w:t> </w:t>
      </w:r>
      <w:r>
        <w:rPr/>
        <w:t>αναπαραστάσεις</w:t>
      </w:r>
      <w:r>
        <w:rPr>
          <w:spacing w:val="-5"/>
        </w:rPr>
        <w:t> </w:t>
      </w:r>
      <w:r>
        <w:rPr/>
        <w:t>περιουσιακών στοιχείων που εκδίδονται και διακινούνται μέσω τεχνολογίας DLT.</w:t>
      </w:r>
    </w:p>
    <w:p>
      <w:pPr>
        <w:pStyle w:val="BodyText"/>
        <w:spacing w:line="285" w:lineRule="auto" w:before="56"/>
        <w:ind w:left="30" w:right="248"/>
        <w:jc w:val="both"/>
      </w:pPr>
      <w:r>
        <w:rPr/>
        <w:t>Τη</w:t>
      </w:r>
      <w:r>
        <w:rPr>
          <w:spacing w:val="-5"/>
        </w:rPr>
        <w:t> </w:t>
      </w:r>
      <w:r>
        <w:rPr/>
        <w:t>διετία</w:t>
      </w:r>
      <w:r>
        <w:rPr>
          <w:spacing w:val="-3"/>
        </w:rPr>
        <w:t> </w:t>
      </w:r>
      <w:r>
        <w:rPr/>
        <w:t>2024-2025</w:t>
      </w:r>
      <w:r>
        <w:rPr>
          <w:spacing w:val="-4"/>
        </w:rPr>
        <w:t> </w:t>
      </w:r>
      <w:r>
        <w:rPr/>
        <w:t>έλαβαν</w:t>
      </w:r>
      <w:r>
        <w:rPr>
          <w:spacing w:val="-2"/>
        </w:rPr>
        <w:t> </w:t>
      </w:r>
      <w:r>
        <w:rPr/>
        <w:t>άδεια</w:t>
      </w:r>
      <w:r>
        <w:rPr>
          <w:spacing w:val="-6"/>
        </w:rPr>
        <w:t> </w:t>
      </w:r>
      <w:r>
        <w:rPr/>
        <w:t>λειτουργίας</w:t>
      </w:r>
      <w:r>
        <w:rPr>
          <w:spacing w:val="-5"/>
        </w:rPr>
        <w:t> </w:t>
      </w:r>
      <w:r>
        <w:rPr/>
        <w:t>από</w:t>
      </w:r>
      <w:r>
        <w:rPr>
          <w:spacing w:val="-4"/>
        </w:rPr>
        <w:t> </w:t>
      </w:r>
      <w:r>
        <w:rPr/>
        <w:t>τις</w:t>
      </w:r>
      <w:r>
        <w:rPr>
          <w:spacing w:val="-4"/>
        </w:rPr>
        <w:t> </w:t>
      </w:r>
      <w:r>
        <w:rPr/>
        <w:t>αρμόδιες</w:t>
      </w:r>
      <w:r>
        <w:rPr>
          <w:spacing w:val="-5"/>
        </w:rPr>
        <w:t> </w:t>
      </w:r>
      <w:r>
        <w:rPr/>
        <w:t>εθνικές</w:t>
      </w:r>
      <w:r>
        <w:rPr>
          <w:spacing w:val="-7"/>
        </w:rPr>
        <w:t> </w:t>
      </w:r>
      <w:r>
        <w:rPr/>
        <w:t>εποπτικές</w:t>
      </w:r>
      <w:r>
        <w:rPr>
          <w:spacing w:val="-7"/>
        </w:rPr>
        <w:t> </w:t>
      </w:r>
      <w:r>
        <w:rPr/>
        <w:t>αρχές</w:t>
      </w:r>
      <w:r>
        <w:rPr>
          <w:spacing w:val="-5"/>
        </w:rPr>
        <w:t> </w:t>
      </w:r>
      <w:r>
        <w:rPr/>
        <w:t>της</w:t>
      </w:r>
      <w:r>
        <w:rPr>
          <w:spacing w:val="-5"/>
        </w:rPr>
        <w:t> </w:t>
      </w:r>
      <w:r>
        <w:rPr/>
        <w:t>ΕΕ διάφορες πλατφόρμες/υποδομές DLT όπως</w:t>
      </w:r>
      <w:hyperlink w:history="true" w:anchor="_bookmark188">
        <w:r>
          <w:rPr>
            <w:position w:val="7"/>
            <w:sz w:val="13"/>
          </w:rPr>
          <w:t>127</w:t>
        </w:r>
      </w:hyperlink>
      <w:r>
        <w:rPr/>
        <w:t>:</w:t>
      </w:r>
    </w:p>
    <w:p>
      <w:pPr>
        <w:pStyle w:val="ListParagraph"/>
        <w:numPr>
          <w:ilvl w:val="0"/>
          <w:numId w:val="8"/>
        </w:numPr>
        <w:tabs>
          <w:tab w:pos="750" w:val="left" w:leader="none"/>
        </w:tabs>
        <w:spacing w:line="259" w:lineRule="auto" w:before="23" w:after="0"/>
        <w:ind w:left="750" w:right="521" w:hanging="360"/>
        <w:jc w:val="left"/>
        <w:rPr>
          <w:sz w:val="22"/>
        </w:rPr>
      </w:pPr>
      <w:r>
        <w:rPr>
          <w:sz w:val="22"/>
        </w:rPr>
        <w:t>το</w:t>
      </w:r>
      <w:r>
        <w:rPr>
          <w:spacing w:val="-3"/>
          <w:sz w:val="22"/>
        </w:rPr>
        <w:t> </w:t>
      </w:r>
      <w:r>
        <w:rPr>
          <w:sz w:val="22"/>
        </w:rPr>
        <w:t>CSD</w:t>
      </w:r>
      <w:r>
        <w:rPr>
          <w:spacing w:val="-5"/>
          <w:sz w:val="22"/>
        </w:rPr>
        <w:t> </w:t>
      </w:r>
      <w:r>
        <w:rPr>
          <w:sz w:val="22"/>
        </w:rPr>
        <w:t>Prague,</w:t>
      </w:r>
      <w:r>
        <w:rPr>
          <w:spacing w:val="-3"/>
          <w:sz w:val="22"/>
        </w:rPr>
        <w:t> </w:t>
      </w:r>
      <w:r>
        <w:rPr>
          <w:sz w:val="22"/>
        </w:rPr>
        <w:t>με</w:t>
      </w:r>
      <w:r>
        <w:rPr>
          <w:spacing w:val="-5"/>
          <w:sz w:val="22"/>
        </w:rPr>
        <w:t> </w:t>
      </w:r>
      <w:r>
        <w:rPr>
          <w:sz w:val="22"/>
        </w:rPr>
        <w:t>έδρα</w:t>
      </w:r>
      <w:r>
        <w:rPr>
          <w:spacing w:val="-3"/>
          <w:sz w:val="22"/>
        </w:rPr>
        <w:t> </w:t>
      </w:r>
      <w:r>
        <w:rPr>
          <w:sz w:val="22"/>
        </w:rPr>
        <w:t>την</w:t>
      </w:r>
      <w:r>
        <w:rPr>
          <w:spacing w:val="-2"/>
          <w:sz w:val="22"/>
        </w:rPr>
        <w:t> </w:t>
      </w:r>
      <w:r>
        <w:rPr>
          <w:sz w:val="22"/>
        </w:rPr>
        <w:t>Τσεχία,</w:t>
      </w:r>
      <w:r>
        <w:rPr>
          <w:spacing w:val="-3"/>
          <w:sz w:val="22"/>
        </w:rPr>
        <w:t> </w:t>
      </w:r>
      <w:r>
        <w:rPr>
          <w:sz w:val="22"/>
        </w:rPr>
        <w:t>που</w:t>
      </w:r>
      <w:r>
        <w:rPr>
          <w:spacing w:val="-5"/>
          <w:sz w:val="22"/>
        </w:rPr>
        <w:t> </w:t>
      </w:r>
      <w:r>
        <w:rPr>
          <w:sz w:val="22"/>
        </w:rPr>
        <w:t>είναι</w:t>
      </w:r>
      <w:r>
        <w:rPr>
          <w:spacing w:val="-3"/>
          <w:sz w:val="22"/>
        </w:rPr>
        <w:t> </w:t>
      </w:r>
      <w:r>
        <w:rPr>
          <w:sz w:val="22"/>
        </w:rPr>
        <w:t>το</w:t>
      </w:r>
      <w:r>
        <w:rPr>
          <w:spacing w:val="-3"/>
          <w:sz w:val="22"/>
        </w:rPr>
        <w:t> </w:t>
      </w:r>
      <w:r>
        <w:rPr>
          <w:sz w:val="22"/>
        </w:rPr>
        <w:t>πρώτο</w:t>
      </w:r>
      <w:r>
        <w:rPr>
          <w:spacing w:val="-3"/>
          <w:sz w:val="22"/>
        </w:rPr>
        <w:t> </w:t>
      </w:r>
      <w:r>
        <w:rPr>
          <w:sz w:val="22"/>
        </w:rPr>
        <w:t>κεντρικό</w:t>
      </w:r>
      <w:r>
        <w:rPr>
          <w:spacing w:val="-3"/>
          <w:sz w:val="22"/>
        </w:rPr>
        <w:t> </w:t>
      </w:r>
      <w:r>
        <w:rPr>
          <w:sz w:val="22"/>
        </w:rPr>
        <w:t>αποθετήριο</w:t>
      </w:r>
      <w:r>
        <w:rPr>
          <w:spacing w:val="-5"/>
          <w:sz w:val="22"/>
        </w:rPr>
        <w:t> </w:t>
      </w:r>
      <w:r>
        <w:rPr>
          <w:sz w:val="22"/>
        </w:rPr>
        <w:t>τίτλων που έλαβε άδεια λειτουργίας ως σύστημα διακανονισμού DLT SS,</w:t>
      </w:r>
    </w:p>
    <w:p>
      <w:pPr>
        <w:pStyle w:val="ListParagraph"/>
        <w:numPr>
          <w:ilvl w:val="0"/>
          <w:numId w:val="8"/>
        </w:numPr>
        <w:tabs>
          <w:tab w:pos="750" w:val="left" w:leader="none"/>
        </w:tabs>
        <w:spacing w:line="259" w:lineRule="auto" w:before="0" w:after="0"/>
        <w:ind w:left="750" w:right="313" w:hanging="360"/>
        <w:jc w:val="left"/>
        <w:rPr>
          <w:sz w:val="22"/>
        </w:rPr>
      </w:pPr>
      <w:r>
        <w:rPr>
          <w:sz w:val="22"/>
        </w:rPr>
        <w:t>το</w:t>
      </w:r>
      <w:r>
        <w:rPr>
          <w:spacing w:val="-2"/>
          <w:sz w:val="22"/>
        </w:rPr>
        <w:t> </w:t>
      </w:r>
      <w:r>
        <w:rPr>
          <w:sz w:val="22"/>
        </w:rPr>
        <w:t>21X</w:t>
      </w:r>
      <w:r>
        <w:rPr>
          <w:spacing w:val="-3"/>
          <w:sz w:val="22"/>
        </w:rPr>
        <w:t> </w:t>
      </w:r>
      <w:r>
        <w:rPr>
          <w:sz w:val="22"/>
        </w:rPr>
        <w:t>AG,</w:t>
      </w:r>
      <w:r>
        <w:rPr>
          <w:spacing w:val="-2"/>
          <w:sz w:val="22"/>
        </w:rPr>
        <w:t> </w:t>
      </w:r>
      <w:r>
        <w:rPr>
          <w:sz w:val="22"/>
        </w:rPr>
        <w:t>με</w:t>
      </w:r>
      <w:r>
        <w:rPr>
          <w:spacing w:val="-2"/>
          <w:sz w:val="22"/>
        </w:rPr>
        <w:t> </w:t>
      </w:r>
      <w:r>
        <w:rPr>
          <w:sz w:val="22"/>
        </w:rPr>
        <w:t>έδρα</w:t>
      </w:r>
      <w:r>
        <w:rPr>
          <w:spacing w:val="-5"/>
          <w:sz w:val="22"/>
        </w:rPr>
        <w:t> </w:t>
      </w:r>
      <w:r>
        <w:rPr>
          <w:sz w:val="22"/>
        </w:rPr>
        <w:t>την</w:t>
      </w:r>
      <w:r>
        <w:rPr>
          <w:spacing w:val="-2"/>
          <w:sz w:val="22"/>
        </w:rPr>
        <w:t> </w:t>
      </w:r>
      <w:r>
        <w:rPr>
          <w:sz w:val="22"/>
        </w:rPr>
        <w:t>Γερμανία,</w:t>
      </w:r>
      <w:r>
        <w:rPr>
          <w:spacing w:val="-2"/>
          <w:sz w:val="22"/>
        </w:rPr>
        <w:t> </w:t>
      </w:r>
      <w:r>
        <w:rPr>
          <w:sz w:val="22"/>
        </w:rPr>
        <w:t>που</w:t>
      </w:r>
      <w:r>
        <w:rPr>
          <w:spacing w:val="-1"/>
          <w:sz w:val="22"/>
        </w:rPr>
        <w:t> </w:t>
      </w:r>
      <w:r>
        <w:rPr>
          <w:sz w:val="22"/>
        </w:rPr>
        <w:t>έλαβε</w:t>
      </w:r>
      <w:r>
        <w:rPr>
          <w:spacing w:val="-2"/>
          <w:sz w:val="22"/>
        </w:rPr>
        <w:t> </w:t>
      </w:r>
      <w:r>
        <w:rPr>
          <w:sz w:val="22"/>
        </w:rPr>
        <w:t>άδεια</w:t>
      </w:r>
      <w:r>
        <w:rPr>
          <w:spacing w:val="-4"/>
          <w:sz w:val="22"/>
        </w:rPr>
        <w:t> </w:t>
      </w:r>
      <w:r>
        <w:rPr>
          <w:sz w:val="22"/>
        </w:rPr>
        <w:t>λειτουργίας</w:t>
      </w:r>
      <w:r>
        <w:rPr>
          <w:spacing w:val="-6"/>
          <w:sz w:val="22"/>
        </w:rPr>
        <w:t> </w:t>
      </w:r>
      <w:r>
        <w:rPr>
          <w:sz w:val="22"/>
        </w:rPr>
        <w:t>ως</w:t>
      </w:r>
      <w:r>
        <w:rPr>
          <w:spacing w:val="-3"/>
          <w:sz w:val="22"/>
        </w:rPr>
        <w:t> </w:t>
      </w:r>
      <w:r>
        <w:rPr>
          <w:sz w:val="22"/>
        </w:rPr>
        <w:t>σύστημα</w:t>
      </w:r>
      <w:r>
        <w:rPr>
          <w:spacing w:val="-2"/>
          <w:sz w:val="22"/>
        </w:rPr>
        <w:t> </w:t>
      </w:r>
      <w:r>
        <w:rPr>
          <w:sz w:val="22"/>
        </w:rPr>
        <w:t>συναλλα-γών και διακανονισμού DLT TSS,</w:t>
      </w:r>
    </w:p>
    <w:p>
      <w:pPr>
        <w:pStyle w:val="BodyText"/>
        <w:rPr>
          <w:sz w:val="20"/>
        </w:rPr>
      </w:pPr>
    </w:p>
    <w:p>
      <w:pPr>
        <w:pStyle w:val="BodyText"/>
        <w:spacing w:before="113"/>
        <w:rPr>
          <w:sz w:val="20"/>
        </w:rPr>
      </w:pPr>
      <w:r>
        <w:rPr>
          <w:sz w:val="20"/>
        </w:rPr>
        <mc:AlternateContent>
          <mc:Choice Requires="wps">
            <w:drawing>
              <wp:anchor distT="0" distB="0" distL="0" distR="0" allowOverlap="1" layoutInCell="1" locked="0" behindDoc="1" simplePos="0" relativeHeight="487684096">
                <wp:simplePos x="0" y="0"/>
                <wp:positionH relativeFrom="page">
                  <wp:posOffset>1009192</wp:posOffset>
                </wp:positionH>
                <wp:positionV relativeFrom="paragraph">
                  <wp:posOffset>233350</wp:posOffset>
                </wp:positionV>
                <wp:extent cx="1829435" cy="7620"/>
                <wp:effectExtent l="0" t="0" r="0" b="0"/>
                <wp:wrapTopAndBottom/>
                <wp:docPr id="807" name="Graphic 807"/>
                <wp:cNvGraphicFramePr>
                  <a:graphicFrameLocks/>
                </wp:cNvGraphicFramePr>
                <a:graphic>
                  <a:graphicData uri="http://schemas.microsoft.com/office/word/2010/wordprocessingShape">
                    <wps:wsp>
                      <wps:cNvPr id="807" name="Graphic 80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8.374063pt;width:144.020pt;height:.599980pt;mso-position-horizontal-relative:page;mso-position-vertical-relative:paragraph;z-index:-15632384;mso-wrap-distance-left:0;mso-wrap-distance-right:0" id="docshape754" filled="true" fillcolor="#000000" stroked="false">
                <v:fill type="solid"/>
                <w10:wrap type="topAndBottom"/>
              </v:rect>
            </w:pict>
          </mc:Fallback>
        </mc:AlternateContent>
      </w:r>
    </w:p>
    <w:p>
      <w:pPr>
        <w:spacing w:before="167"/>
        <w:ind w:left="30" w:right="245" w:firstLine="0"/>
        <w:jc w:val="both"/>
        <w:rPr>
          <w:sz w:val="16"/>
        </w:rPr>
      </w:pPr>
      <w:bookmarkStart w:name="_bookmark186" w:id="187"/>
      <w:bookmarkEnd w:id="187"/>
      <w:r>
        <w:rPr/>
      </w:r>
      <w:r>
        <w:rPr>
          <w:sz w:val="16"/>
          <w:vertAlign w:val="superscript"/>
        </w:rPr>
        <w:t>125</w:t>
      </w:r>
      <w:r>
        <w:rPr>
          <w:sz w:val="16"/>
          <w:vertAlign w:val="baseline"/>
        </w:rPr>
        <w:t> Κανονισμός (ΕΕ) 2022/858 του Ευρωπαϊκού Κοινοβουλίου και του Συμβουλίου της 30ής Μαΐου 2022 σχετικά με ένα πιλοτικό</w:t>
      </w:r>
      <w:r>
        <w:rPr>
          <w:spacing w:val="40"/>
          <w:sz w:val="16"/>
          <w:vertAlign w:val="baseline"/>
        </w:rPr>
        <w:t> </w:t>
      </w:r>
      <w:r>
        <w:rPr>
          <w:sz w:val="16"/>
          <w:vertAlign w:val="baseline"/>
        </w:rPr>
        <w:t>καθεστώς</w:t>
      </w:r>
      <w:r>
        <w:rPr>
          <w:spacing w:val="-1"/>
          <w:sz w:val="16"/>
          <w:vertAlign w:val="baseline"/>
        </w:rPr>
        <w:t> </w:t>
      </w:r>
      <w:r>
        <w:rPr>
          <w:sz w:val="16"/>
          <w:vertAlign w:val="baseline"/>
        </w:rPr>
        <w:t>για</w:t>
      </w:r>
      <w:r>
        <w:rPr>
          <w:spacing w:val="-5"/>
          <w:sz w:val="16"/>
          <w:vertAlign w:val="baseline"/>
        </w:rPr>
        <w:t> </w:t>
      </w:r>
      <w:r>
        <w:rPr>
          <w:sz w:val="16"/>
          <w:vertAlign w:val="baseline"/>
        </w:rPr>
        <w:t>υποδομές</w:t>
      </w:r>
      <w:r>
        <w:rPr>
          <w:spacing w:val="-1"/>
          <w:sz w:val="16"/>
          <w:vertAlign w:val="baseline"/>
        </w:rPr>
        <w:t> </w:t>
      </w:r>
      <w:r>
        <w:rPr>
          <w:sz w:val="16"/>
          <w:vertAlign w:val="baseline"/>
        </w:rPr>
        <w:t>της</w:t>
      </w:r>
      <w:r>
        <w:rPr>
          <w:spacing w:val="-1"/>
          <w:sz w:val="16"/>
          <w:vertAlign w:val="baseline"/>
        </w:rPr>
        <w:t> </w:t>
      </w:r>
      <w:r>
        <w:rPr>
          <w:sz w:val="16"/>
          <w:vertAlign w:val="baseline"/>
        </w:rPr>
        <w:t>αγοράς</w:t>
      </w:r>
      <w:r>
        <w:rPr>
          <w:spacing w:val="-1"/>
          <w:sz w:val="16"/>
          <w:vertAlign w:val="baseline"/>
        </w:rPr>
        <w:t> </w:t>
      </w:r>
      <w:r>
        <w:rPr>
          <w:sz w:val="16"/>
          <w:vertAlign w:val="baseline"/>
        </w:rPr>
        <w:t>που</w:t>
      </w:r>
      <w:r>
        <w:rPr>
          <w:spacing w:val="-2"/>
          <w:sz w:val="16"/>
          <w:vertAlign w:val="baseline"/>
        </w:rPr>
        <w:t> </w:t>
      </w:r>
      <w:r>
        <w:rPr>
          <w:sz w:val="16"/>
          <w:vertAlign w:val="baseline"/>
        </w:rPr>
        <w:t>βασίζονται</w:t>
      </w:r>
      <w:r>
        <w:rPr>
          <w:spacing w:val="-4"/>
          <w:sz w:val="16"/>
          <w:vertAlign w:val="baseline"/>
        </w:rPr>
        <w:t> </w:t>
      </w:r>
      <w:r>
        <w:rPr>
          <w:sz w:val="16"/>
          <w:vertAlign w:val="baseline"/>
        </w:rPr>
        <w:t>σε</w:t>
      </w:r>
      <w:r>
        <w:rPr>
          <w:spacing w:val="-2"/>
          <w:sz w:val="16"/>
          <w:vertAlign w:val="baseline"/>
        </w:rPr>
        <w:t> </w:t>
      </w:r>
      <w:r>
        <w:rPr>
          <w:sz w:val="16"/>
          <w:vertAlign w:val="baseline"/>
        </w:rPr>
        <w:t>τεχνολογία</w:t>
      </w:r>
      <w:r>
        <w:rPr>
          <w:spacing w:val="-2"/>
          <w:sz w:val="16"/>
          <w:vertAlign w:val="baseline"/>
        </w:rPr>
        <w:t> </w:t>
      </w:r>
      <w:r>
        <w:rPr>
          <w:sz w:val="16"/>
          <w:vertAlign w:val="baseline"/>
        </w:rPr>
        <w:t>κατανεμημένου</w:t>
      </w:r>
      <w:r>
        <w:rPr>
          <w:spacing w:val="-2"/>
          <w:sz w:val="16"/>
          <w:vertAlign w:val="baseline"/>
        </w:rPr>
        <w:t> </w:t>
      </w:r>
      <w:r>
        <w:rPr>
          <w:sz w:val="16"/>
          <w:vertAlign w:val="baseline"/>
        </w:rPr>
        <w:t>καθολικού</w:t>
      </w:r>
      <w:r>
        <w:rPr>
          <w:spacing w:val="-5"/>
          <w:sz w:val="16"/>
          <w:vertAlign w:val="baseline"/>
        </w:rPr>
        <w:t> </w:t>
      </w:r>
      <w:r>
        <w:rPr>
          <w:sz w:val="16"/>
          <w:vertAlign w:val="baseline"/>
        </w:rPr>
        <w:t>και</w:t>
      </w:r>
      <w:r>
        <w:rPr>
          <w:spacing w:val="-2"/>
          <w:sz w:val="16"/>
          <w:vertAlign w:val="baseline"/>
        </w:rPr>
        <w:t> </w:t>
      </w:r>
      <w:r>
        <w:rPr>
          <w:sz w:val="16"/>
          <w:vertAlign w:val="baseline"/>
        </w:rPr>
        <w:t>την</w:t>
      </w:r>
      <w:r>
        <w:rPr>
          <w:spacing w:val="-4"/>
          <w:sz w:val="16"/>
          <w:vertAlign w:val="baseline"/>
        </w:rPr>
        <w:t> </w:t>
      </w:r>
      <w:r>
        <w:rPr>
          <w:sz w:val="16"/>
          <w:vertAlign w:val="baseline"/>
        </w:rPr>
        <w:t>τροποποίηση</w:t>
      </w:r>
      <w:r>
        <w:rPr>
          <w:spacing w:val="-2"/>
          <w:sz w:val="16"/>
          <w:vertAlign w:val="baseline"/>
        </w:rPr>
        <w:t> </w:t>
      </w:r>
      <w:r>
        <w:rPr>
          <w:sz w:val="16"/>
          <w:vertAlign w:val="baseline"/>
        </w:rPr>
        <w:t>των</w:t>
      </w:r>
      <w:r>
        <w:rPr>
          <w:spacing w:val="-2"/>
          <w:sz w:val="16"/>
          <w:vertAlign w:val="baseline"/>
        </w:rPr>
        <w:t> </w:t>
      </w:r>
      <w:r>
        <w:rPr>
          <w:sz w:val="16"/>
          <w:vertAlign w:val="baseline"/>
        </w:rPr>
        <w:t>κανονισμών</w:t>
      </w:r>
      <w:r>
        <w:rPr>
          <w:spacing w:val="40"/>
          <w:sz w:val="16"/>
          <w:vertAlign w:val="baseline"/>
        </w:rPr>
        <w:t> </w:t>
      </w:r>
      <w:r>
        <w:rPr>
          <w:sz w:val="16"/>
          <w:vertAlign w:val="baseline"/>
        </w:rPr>
        <w:t>(ΕΕ)</w:t>
      </w:r>
      <w:r>
        <w:rPr>
          <w:spacing w:val="-4"/>
          <w:sz w:val="16"/>
          <w:vertAlign w:val="baseline"/>
        </w:rPr>
        <w:t> </w:t>
      </w:r>
      <w:r>
        <w:rPr>
          <w:sz w:val="16"/>
          <w:vertAlign w:val="baseline"/>
        </w:rPr>
        <w:t>αριθ.</w:t>
      </w:r>
      <w:r>
        <w:rPr>
          <w:spacing w:val="-5"/>
          <w:sz w:val="16"/>
          <w:vertAlign w:val="baseline"/>
        </w:rPr>
        <w:t> </w:t>
      </w:r>
      <w:r>
        <w:rPr>
          <w:sz w:val="16"/>
          <w:vertAlign w:val="baseline"/>
        </w:rPr>
        <w:t>600/2014</w:t>
      </w:r>
      <w:r>
        <w:rPr>
          <w:spacing w:val="-5"/>
          <w:sz w:val="16"/>
          <w:vertAlign w:val="baseline"/>
        </w:rPr>
        <w:t> </w:t>
      </w:r>
      <w:r>
        <w:rPr>
          <w:sz w:val="16"/>
          <w:vertAlign w:val="baseline"/>
        </w:rPr>
        <w:t>και</w:t>
      </w:r>
      <w:r>
        <w:rPr>
          <w:spacing w:val="-3"/>
          <w:sz w:val="16"/>
          <w:vertAlign w:val="baseline"/>
        </w:rPr>
        <w:t> </w:t>
      </w:r>
      <w:r>
        <w:rPr>
          <w:sz w:val="16"/>
          <w:vertAlign w:val="baseline"/>
        </w:rPr>
        <w:t>(ΕΕ)</w:t>
      </w:r>
      <w:r>
        <w:rPr>
          <w:spacing w:val="-4"/>
          <w:sz w:val="16"/>
          <w:vertAlign w:val="baseline"/>
        </w:rPr>
        <w:t> </w:t>
      </w:r>
      <w:r>
        <w:rPr>
          <w:sz w:val="16"/>
          <w:vertAlign w:val="baseline"/>
        </w:rPr>
        <w:t>αριθ.</w:t>
      </w:r>
      <w:r>
        <w:rPr>
          <w:spacing w:val="-5"/>
          <w:sz w:val="16"/>
          <w:vertAlign w:val="baseline"/>
        </w:rPr>
        <w:t> </w:t>
      </w:r>
      <w:r>
        <w:rPr>
          <w:sz w:val="16"/>
          <w:vertAlign w:val="baseline"/>
        </w:rPr>
        <w:t>909/2014</w:t>
      </w:r>
      <w:r>
        <w:rPr>
          <w:spacing w:val="-5"/>
          <w:sz w:val="16"/>
          <w:vertAlign w:val="baseline"/>
        </w:rPr>
        <w:t> </w:t>
      </w:r>
      <w:r>
        <w:rPr>
          <w:sz w:val="16"/>
          <w:vertAlign w:val="baseline"/>
        </w:rPr>
        <w:t>και</w:t>
      </w:r>
      <w:r>
        <w:rPr>
          <w:spacing w:val="-3"/>
          <w:sz w:val="16"/>
          <w:vertAlign w:val="baseline"/>
        </w:rPr>
        <w:t> </w:t>
      </w:r>
      <w:r>
        <w:rPr>
          <w:sz w:val="16"/>
          <w:vertAlign w:val="baseline"/>
        </w:rPr>
        <w:t>της</w:t>
      </w:r>
      <w:r>
        <w:rPr>
          <w:spacing w:val="-5"/>
          <w:sz w:val="16"/>
          <w:vertAlign w:val="baseline"/>
        </w:rPr>
        <w:t> </w:t>
      </w:r>
      <w:r>
        <w:rPr>
          <w:sz w:val="16"/>
          <w:vertAlign w:val="baseline"/>
        </w:rPr>
        <w:t>οδηγίας</w:t>
      </w:r>
      <w:r>
        <w:rPr>
          <w:spacing w:val="-5"/>
          <w:sz w:val="16"/>
          <w:vertAlign w:val="baseline"/>
        </w:rPr>
        <w:t> </w:t>
      </w:r>
      <w:r>
        <w:rPr>
          <w:sz w:val="16"/>
          <w:vertAlign w:val="baseline"/>
        </w:rPr>
        <w:t>2014/65/ΕΕ.</w:t>
      </w:r>
      <w:r>
        <w:rPr>
          <w:spacing w:val="-2"/>
          <w:sz w:val="16"/>
          <w:vertAlign w:val="baseline"/>
        </w:rPr>
        <w:t> </w:t>
      </w:r>
      <w:r>
        <w:rPr>
          <w:sz w:val="16"/>
          <w:vertAlign w:val="baseline"/>
        </w:rPr>
        <w:t>Σύμφωνα</w:t>
      </w:r>
      <w:r>
        <w:rPr>
          <w:spacing w:val="-3"/>
          <w:sz w:val="16"/>
          <w:vertAlign w:val="baseline"/>
        </w:rPr>
        <w:t> </w:t>
      </w:r>
      <w:r>
        <w:rPr>
          <w:sz w:val="16"/>
          <w:vertAlign w:val="baseline"/>
        </w:rPr>
        <w:t>με</w:t>
      </w:r>
      <w:r>
        <w:rPr>
          <w:spacing w:val="-6"/>
          <w:sz w:val="16"/>
          <w:vertAlign w:val="baseline"/>
        </w:rPr>
        <w:t> </w:t>
      </w:r>
      <w:r>
        <w:rPr>
          <w:sz w:val="16"/>
          <w:vertAlign w:val="baseline"/>
        </w:rPr>
        <w:t>το άρθρο</w:t>
      </w:r>
      <w:r>
        <w:rPr>
          <w:spacing w:val="-4"/>
          <w:sz w:val="16"/>
          <w:vertAlign w:val="baseline"/>
        </w:rPr>
        <w:t> </w:t>
      </w:r>
      <w:r>
        <w:rPr>
          <w:sz w:val="16"/>
          <w:vertAlign w:val="baseline"/>
        </w:rPr>
        <w:t>2</w:t>
      </w:r>
      <w:r>
        <w:rPr>
          <w:spacing w:val="-5"/>
          <w:sz w:val="16"/>
          <w:vertAlign w:val="baseline"/>
        </w:rPr>
        <w:t> </w:t>
      </w:r>
      <w:r>
        <w:rPr>
          <w:sz w:val="16"/>
          <w:vertAlign w:val="baseline"/>
        </w:rPr>
        <w:t>του</w:t>
      </w:r>
      <w:r>
        <w:rPr>
          <w:spacing w:val="-5"/>
          <w:sz w:val="16"/>
          <w:vertAlign w:val="baseline"/>
        </w:rPr>
        <w:t> </w:t>
      </w:r>
      <w:r>
        <w:rPr>
          <w:sz w:val="16"/>
          <w:vertAlign w:val="baseline"/>
        </w:rPr>
        <w:t>εν</w:t>
      </w:r>
      <w:r>
        <w:rPr>
          <w:spacing w:val="-4"/>
          <w:sz w:val="16"/>
          <w:vertAlign w:val="baseline"/>
        </w:rPr>
        <w:t> </w:t>
      </w:r>
      <w:r>
        <w:rPr>
          <w:sz w:val="16"/>
          <w:vertAlign w:val="baseline"/>
        </w:rPr>
        <w:t>λόγω</w:t>
      </w:r>
      <w:r>
        <w:rPr>
          <w:spacing w:val="-6"/>
          <w:sz w:val="16"/>
          <w:vertAlign w:val="baseline"/>
        </w:rPr>
        <w:t> </w:t>
      </w:r>
      <w:r>
        <w:rPr>
          <w:sz w:val="16"/>
          <w:vertAlign w:val="baseline"/>
        </w:rPr>
        <w:t>Κανονισμού,</w:t>
      </w:r>
      <w:r>
        <w:rPr>
          <w:spacing w:val="-4"/>
          <w:sz w:val="16"/>
          <w:vertAlign w:val="baseline"/>
        </w:rPr>
        <w:t> </w:t>
      </w:r>
      <w:r>
        <w:rPr>
          <w:sz w:val="16"/>
          <w:vertAlign w:val="baseline"/>
        </w:rPr>
        <w:t>“κατα-νεμημένο</w:t>
      </w:r>
      <w:r>
        <w:rPr>
          <w:spacing w:val="-8"/>
          <w:sz w:val="16"/>
          <w:vertAlign w:val="baseline"/>
        </w:rPr>
        <w:t> </w:t>
      </w:r>
      <w:r>
        <w:rPr>
          <w:sz w:val="16"/>
          <w:vertAlign w:val="baseline"/>
        </w:rPr>
        <w:t>καθολικό”</w:t>
      </w:r>
      <w:r>
        <w:rPr>
          <w:spacing w:val="-6"/>
          <w:sz w:val="16"/>
          <w:vertAlign w:val="baseline"/>
        </w:rPr>
        <w:t> </w:t>
      </w:r>
      <w:r>
        <w:rPr>
          <w:sz w:val="16"/>
          <w:vertAlign w:val="baseline"/>
        </w:rPr>
        <w:t>είναι</w:t>
      </w:r>
      <w:r>
        <w:rPr>
          <w:spacing w:val="-9"/>
          <w:sz w:val="16"/>
          <w:vertAlign w:val="baseline"/>
        </w:rPr>
        <w:t> </w:t>
      </w:r>
      <w:r>
        <w:rPr>
          <w:sz w:val="16"/>
          <w:vertAlign w:val="baseline"/>
        </w:rPr>
        <w:t>ένα</w:t>
      </w:r>
      <w:r>
        <w:rPr>
          <w:spacing w:val="-7"/>
          <w:sz w:val="16"/>
          <w:vertAlign w:val="baseline"/>
        </w:rPr>
        <w:t> </w:t>
      </w:r>
      <w:r>
        <w:rPr>
          <w:sz w:val="16"/>
          <w:vertAlign w:val="baseline"/>
        </w:rPr>
        <w:t>αποθετήριο</w:t>
      </w:r>
      <w:r>
        <w:rPr>
          <w:spacing w:val="-6"/>
          <w:sz w:val="16"/>
          <w:vertAlign w:val="baseline"/>
        </w:rPr>
        <w:t> </w:t>
      </w:r>
      <w:r>
        <w:rPr>
          <w:sz w:val="16"/>
          <w:vertAlign w:val="baseline"/>
        </w:rPr>
        <w:t>πληροφοριών</w:t>
      </w:r>
      <w:r>
        <w:rPr>
          <w:spacing w:val="-7"/>
          <w:sz w:val="16"/>
          <w:vertAlign w:val="baseline"/>
        </w:rPr>
        <w:t> </w:t>
      </w:r>
      <w:r>
        <w:rPr>
          <w:sz w:val="16"/>
          <w:vertAlign w:val="baseline"/>
        </w:rPr>
        <w:t>που</w:t>
      </w:r>
      <w:r>
        <w:rPr>
          <w:spacing w:val="-9"/>
          <w:sz w:val="16"/>
          <w:vertAlign w:val="baseline"/>
        </w:rPr>
        <w:t> </w:t>
      </w:r>
      <w:r>
        <w:rPr>
          <w:sz w:val="16"/>
          <w:vertAlign w:val="baseline"/>
        </w:rPr>
        <w:t>τηρεί</w:t>
      </w:r>
      <w:r>
        <w:rPr>
          <w:spacing w:val="-7"/>
          <w:sz w:val="16"/>
          <w:vertAlign w:val="baseline"/>
        </w:rPr>
        <w:t> </w:t>
      </w:r>
      <w:r>
        <w:rPr>
          <w:sz w:val="16"/>
          <w:vertAlign w:val="baseline"/>
        </w:rPr>
        <w:t>αρχεία</w:t>
      </w:r>
      <w:r>
        <w:rPr>
          <w:spacing w:val="-10"/>
          <w:sz w:val="16"/>
          <w:vertAlign w:val="baseline"/>
        </w:rPr>
        <w:t> </w:t>
      </w:r>
      <w:r>
        <w:rPr>
          <w:sz w:val="16"/>
          <w:vertAlign w:val="baseline"/>
        </w:rPr>
        <w:t>συναλλαγών</w:t>
      </w:r>
      <w:r>
        <w:rPr>
          <w:spacing w:val="-10"/>
          <w:sz w:val="16"/>
          <w:vertAlign w:val="baseline"/>
        </w:rPr>
        <w:t> </w:t>
      </w:r>
      <w:r>
        <w:rPr>
          <w:sz w:val="16"/>
          <w:vertAlign w:val="baseline"/>
        </w:rPr>
        <w:t>και</w:t>
      </w:r>
      <w:r>
        <w:rPr>
          <w:spacing w:val="-7"/>
          <w:sz w:val="16"/>
          <w:vertAlign w:val="baseline"/>
        </w:rPr>
        <w:t> </w:t>
      </w:r>
      <w:r>
        <w:rPr>
          <w:sz w:val="16"/>
          <w:vertAlign w:val="baseline"/>
        </w:rPr>
        <w:t>το</w:t>
      </w:r>
      <w:r>
        <w:rPr>
          <w:spacing w:val="-8"/>
          <w:sz w:val="16"/>
          <w:vertAlign w:val="baseline"/>
        </w:rPr>
        <w:t> </w:t>
      </w:r>
      <w:r>
        <w:rPr>
          <w:sz w:val="16"/>
          <w:vertAlign w:val="baseline"/>
        </w:rPr>
        <w:t>οποίο</w:t>
      </w:r>
      <w:r>
        <w:rPr>
          <w:spacing w:val="-8"/>
          <w:sz w:val="16"/>
          <w:vertAlign w:val="baseline"/>
        </w:rPr>
        <w:t> </w:t>
      </w:r>
      <w:r>
        <w:rPr>
          <w:sz w:val="16"/>
          <w:vertAlign w:val="baseline"/>
        </w:rPr>
        <w:t>διαμοιράζεται</w:t>
      </w:r>
      <w:r>
        <w:rPr>
          <w:spacing w:val="-6"/>
          <w:sz w:val="16"/>
          <w:vertAlign w:val="baseline"/>
        </w:rPr>
        <w:t> </w:t>
      </w:r>
      <w:r>
        <w:rPr>
          <w:sz w:val="16"/>
          <w:vertAlign w:val="baseline"/>
        </w:rPr>
        <w:t>και</w:t>
      </w:r>
      <w:r>
        <w:rPr>
          <w:spacing w:val="-7"/>
          <w:sz w:val="16"/>
          <w:vertAlign w:val="baseline"/>
        </w:rPr>
        <w:t> </w:t>
      </w:r>
      <w:r>
        <w:rPr>
          <w:sz w:val="16"/>
          <w:vertAlign w:val="baseline"/>
        </w:rPr>
        <w:t>συγχρονίζεται</w:t>
      </w:r>
      <w:r>
        <w:rPr>
          <w:spacing w:val="40"/>
          <w:sz w:val="16"/>
          <w:vertAlign w:val="baseline"/>
        </w:rPr>
        <w:t> </w:t>
      </w:r>
      <w:r>
        <w:rPr>
          <w:sz w:val="16"/>
          <w:vertAlign w:val="baseline"/>
        </w:rPr>
        <w:t>μεταξύ ενός συνόλου κόμβων δικτύου DLT.</w:t>
      </w:r>
    </w:p>
    <w:p>
      <w:pPr>
        <w:spacing w:before="19"/>
        <w:ind w:left="30" w:right="246" w:firstLine="0"/>
        <w:jc w:val="both"/>
        <w:rPr>
          <w:sz w:val="16"/>
        </w:rPr>
      </w:pPr>
      <w:bookmarkStart w:name="_bookmark187" w:id="188"/>
      <w:bookmarkEnd w:id="188"/>
      <w:r>
        <w:rPr/>
      </w:r>
      <w:r>
        <w:rPr>
          <w:sz w:val="16"/>
          <w:vertAlign w:val="superscript"/>
        </w:rPr>
        <w:t>126</w:t>
      </w:r>
      <w:r>
        <w:rPr>
          <w:spacing w:val="-4"/>
          <w:sz w:val="16"/>
          <w:vertAlign w:val="baseline"/>
        </w:rPr>
        <w:t> </w:t>
      </w:r>
      <w:r>
        <w:rPr>
          <w:sz w:val="16"/>
          <w:vertAlign w:val="baseline"/>
        </w:rPr>
        <w:t>Τα</w:t>
      </w:r>
      <w:r>
        <w:rPr>
          <w:spacing w:val="-7"/>
          <w:sz w:val="16"/>
          <w:vertAlign w:val="baseline"/>
        </w:rPr>
        <w:t> </w:t>
      </w:r>
      <w:r>
        <w:rPr>
          <w:sz w:val="16"/>
          <w:vertAlign w:val="baseline"/>
        </w:rPr>
        <w:t>ψηφιακά</w:t>
      </w:r>
      <w:r>
        <w:rPr>
          <w:spacing w:val="-7"/>
          <w:sz w:val="16"/>
          <w:vertAlign w:val="baseline"/>
        </w:rPr>
        <w:t> </w:t>
      </w:r>
      <w:r>
        <w:rPr>
          <w:sz w:val="16"/>
          <w:vertAlign w:val="baseline"/>
        </w:rPr>
        <w:t>παραστατικά</w:t>
      </w:r>
      <w:r>
        <w:rPr>
          <w:spacing w:val="-4"/>
          <w:sz w:val="16"/>
          <w:vertAlign w:val="baseline"/>
        </w:rPr>
        <w:t> </w:t>
      </w:r>
      <w:r>
        <w:rPr>
          <w:sz w:val="16"/>
          <w:vertAlign w:val="baseline"/>
        </w:rPr>
        <w:t>αξίας</w:t>
      </w:r>
      <w:r>
        <w:rPr>
          <w:spacing w:val="-5"/>
          <w:sz w:val="16"/>
          <w:vertAlign w:val="baseline"/>
        </w:rPr>
        <w:t> </w:t>
      </w:r>
      <w:r>
        <w:rPr>
          <w:sz w:val="16"/>
          <w:vertAlign w:val="baseline"/>
        </w:rPr>
        <w:t>(digital</w:t>
      </w:r>
      <w:r>
        <w:rPr>
          <w:spacing w:val="-5"/>
          <w:sz w:val="16"/>
          <w:vertAlign w:val="baseline"/>
        </w:rPr>
        <w:t> </w:t>
      </w:r>
      <w:r>
        <w:rPr>
          <w:sz w:val="16"/>
          <w:vertAlign w:val="baseline"/>
        </w:rPr>
        <w:t>tokens)</w:t>
      </w:r>
      <w:r>
        <w:rPr>
          <w:spacing w:val="-5"/>
          <w:sz w:val="16"/>
          <w:vertAlign w:val="baseline"/>
        </w:rPr>
        <w:t> </w:t>
      </w:r>
      <w:r>
        <w:rPr>
          <w:sz w:val="16"/>
          <w:vertAlign w:val="baseline"/>
        </w:rPr>
        <w:t>είναι</w:t>
      </w:r>
      <w:r>
        <w:rPr>
          <w:spacing w:val="-7"/>
          <w:sz w:val="16"/>
          <w:vertAlign w:val="baseline"/>
        </w:rPr>
        <w:t> </w:t>
      </w:r>
      <w:r>
        <w:rPr>
          <w:sz w:val="16"/>
          <w:vertAlign w:val="baseline"/>
        </w:rPr>
        <w:t>εγγραφές</w:t>
      </w:r>
      <w:r>
        <w:rPr>
          <w:spacing w:val="-3"/>
          <w:sz w:val="16"/>
          <w:vertAlign w:val="baseline"/>
        </w:rPr>
        <w:t> </w:t>
      </w:r>
      <w:r>
        <w:rPr>
          <w:sz w:val="16"/>
          <w:vertAlign w:val="baseline"/>
        </w:rPr>
        <w:t>σε</w:t>
      </w:r>
      <w:r>
        <w:rPr>
          <w:spacing w:val="-7"/>
          <w:sz w:val="16"/>
          <w:vertAlign w:val="baseline"/>
        </w:rPr>
        <w:t> </w:t>
      </w:r>
      <w:r>
        <w:rPr>
          <w:sz w:val="16"/>
          <w:vertAlign w:val="baseline"/>
        </w:rPr>
        <w:t>μια</w:t>
      </w:r>
      <w:r>
        <w:rPr>
          <w:spacing w:val="-7"/>
          <w:sz w:val="16"/>
          <w:vertAlign w:val="baseline"/>
        </w:rPr>
        <w:t> </w:t>
      </w:r>
      <w:r>
        <w:rPr>
          <w:sz w:val="16"/>
          <w:vertAlign w:val="baseline"/>
        </w:rPr>
        <w:t>βάση</w:t>
      </w:r>
      <w:r>
        <w:rPr>
          <w:spacing w:val="-4"/>
          <w:sz w:val="16"/>
          <w:vertAlign w:val="baseline"/>
        </w:rPr>
        <w:t> </w:t>
      </w:r>
      <w:r>
        <w:rPr>
          <w:sz w:val="16"/>
          <w:vertAlign w:val="baseline"/>
        </w:rPr>
        <w:t>δεδομένων</w:t>
      </w:r>
      <w:r>
        <w:rPr>
          <w:spacing w:val="-5"/>
          <w:sz w:val="16"/>
          <w:vertAlign w:val="baseline"/>
        </w:rPr>
        <w:t> </w:t>
      </w:r>
      <w:r>
        <w:rPr>
          <w:sz w:val="16"/>
          <w:vertAlign w:val="baseline"/>
        </w:rPr>
        <w:t>που</w:t>
      </w:r>
      <w:r>
        <w:rPr>
          <w:spacing w:val="-7"/>
          <w:sz w:val="16"/>
          <w:vertAlign w:val="baseline"/>
        </w:rPr>
        <w:t> </w:t>
      </w:r>
      <w:r>
        <w:rPr>
          <w:sz w:val="16"/>
          <w:vertAlign w:val="baseline"/>
        </w:rPr>
        <w:t>καταγράφονται</w:t>
      </w:r>
      <w:r>
        <w:rPr>
          <w:spacing w:val="-7"/>
          <w:sz w:val="16"/>
          <w:vertAlign w:val="baseline"/>
        </w:rPr>
        <w:t> </w:t>
      </w:r>
      <w:r>
        <w:rPr>
          <w:sz w:val="16"/>
          <w:vertAlign w:val="baseline"/>
        </w:rPr>
        <w:t>ψηφιακά</w:t>
      </w:r>
      <w:r>
        <w:rPr>
          <w:spacing w:val="-6"/>
          <w:sz w:val="16"/>
          <w:vertAlign w:val="baseline"/>
        </w:rPr>
        <w:t> </w:t>
      </w:r>
      <w:r>
        <w:rPr>
          <w:sz w:val="16"/>
          <w:vertAlign w:val="baseline"/>
        </w:rPr>
        <w:t>και</w:t>
      </w:r>
      <w:r>
        <w:rPr>
          <w:spacing w:val="-4"/>
          <w:sz w:val="16"/>
          <w:vertAlign w:val="baseline"/>
        </w:rPr>
        <w:t> </w:t>
      </w:r>
      <w:r>
        <w:rPr>
          <w:sz w:val="16"/>
          <w:vertAlign w:val="baseline"/>
        </w:rPr>
        <w:t>μπορούν</w:t>
      </w:r>
      <w:r>
        <w:rPr>
          <w:spacing w:val="40"/>
          <w:sz w:val="16"/>
          <w:vertAlign w:val="baseline"/>
        </w:rPr>
        <w:t> </w:t>
      </w:r>
      <w:r>
        <w:rPr>
          <w:sz w:val="16"/>
          <w:vertAlign w:val="baseline"/>
        </w:rPr>
        <w:t>να εμπεριέχουν πληροφορίες και λειτουργίες. Τα ψηφιακά παραστατικά αξίας μπορούν να αντιπροσωπεύουν χρηματοπιστωτικά ή</w:t>
      </w:r>
      <w:r>
        <w:rPr>
          <w:spacing w:val="40"/>
          <w:sz w:val="16"/>
          <w:vertAlign w:val="baseline"/>
        </w:rPr>
        <w:t> </w:t>
      </w:r>
      <w:r>
        <w:rPr>
          <w:sz w:val="16"/>
          <w:vertAlign w:val="baseline"/>
        </w:rPr>
        <w:t>πραγματικά περιουσιακά στοιχεία. Βλ. BIS, </w:t>
      </w:r>
      <w:hyperlink r:id="rId165">
        <w:r>
          <w:rPr>
            <w:sz w:val="16"/>
            <w:vertAlign w:val="baseline"/>
          </w:rPr>
          <w:t>“</w:t>
        </w:r>
        <w:r>
          <w:rPr>
            <w:color w:val="0000FF"/>
            <w:sz w:val="16"/>
            <w:u w:val="single" w:color="0000FF"/>
            <w:vertAlign w:val="baseline"/>
          </w:rPr>
          <w:t>Tokenisation in the context of money and other assets: concepts and implications for</w:t>
        </w:r>
      </w:hyperlink>
      <w:r>
        <w:rPr>
          <w:color w:val="0000FF"/>
          <w:spacing w:val="40"/>
          <w:sz w:val="16"/>
          <w:vertAlign w:val="baseline"/>
        </w:rPr>
        <w:t> </w:t>
      </w:r>
      <w:hyperlink r:id="rId165">
        <w:r>
          <w:rPr>
            <w:color w:val="0000FF"/>
            <w:sz w:val="16"/>
            <w:u w:val="single" w:color="0000FF"/>
            <w:vertAlign w:val="baseline"/>
          </w:rPr>
          <w:t>central</w:t>
        </w:r>
        <w:r>
          <w:rPr>
            <w:color w:val="0000FF"/>
            <w:spacing w:val="-5"/>
            <w:sz w:val="16"/>
            <w:u w:val="single" w:color="0000FF"/>
            <w:vertAlign w:val="baseline"/>
          </w:rPr>
          <w:t> </w:t>
        </w:r>
        <w:r>
          <w:rPr>
            <w:color w:val="0000FF"/>
            <w:sz w:val="16"/>
            <w:u w:val="single" w:color="0000FF"/>
            <w:vertAlign w:val="baseline"/>
          </w:rPr>
          <w:t>banks</w:t>
        </w:r>
        <w:r>
          <w:rPr>
            <w:sz w:val="16"/>
            <w:vertAlign w:val="baseline"/>
          </w:rPr>
          <w:t>”</w:t>
        </w:r>
      </w:hyperlink>
      <w:r>
        <w:rPr>
          <w:spacing w:val="-6"/>
          <w:sz w:val="16"/>
          <w:vertAlign w:val="baseline"/>
        </w:rPr>
        <w:t> </w:t>
      </w:r>
      <w:r>
        <w:rPr>
          <w:sz w:val="16"/>
          <w:vertAlign w:val="baseline"/>
        </w:rPr>
        <w:t>-</w:t>
      </w:r>
      <w:r>
        <w:rPr>
          <w:spacing w:val="-7"/>
          <w:sz w:val="16"/>
          <w:vertAlign w:val="baseline"/>
        </w:rPr>
        <w:t> </w:t>
      </w:r>
      <w:r>
        <w:rPr>
          <w:sz w:val="16"/>
          <w:vertAlign w:val="baseline"/>
        </w:rPr>
        <w:t>October</w:t>
      </w:r>
      <w:r>
        <w:rPr>
          <w:spacing w:val="-7"/>
          <w:sz w:val="16"/>
          <w:vertAlign w:val="baseline"/>
        </w:rPr>
        <w:t> </w:t>
      </w:r>
      <w:r>
        <w:rPr>
          <w:sz w:val="16"/>
          <w:vertAlign w:val="baseline"/>
        </w:rPr>
        <w:t>2024,</w:t>
      </w:r>
      <w:r>
        <w:rPr>
          <w:spacing w:val="-8"/>
          <w:sz w:val="16"/>
          <w:vertAlign w:val="baseline"/>
        </w:rPr>
        <w:t> </w:t>
      </w:r>
      <w:r>
        <w:rPr>
          <w:sz w:val="16"/>
          <w:vertAlign w:val="baseline"/>
        </w:rPr>
        <w:t>Κανονισμός</w:t>
      </w:r>
      <w:r>
        <w:rPr>
          <w:spacing w:val="-4"/>
          <w:sz w:val="16"/>
          <w:vertAlign w:val="baseline"/>
        </w:rPr>
        <w:t> </w:t>
      </w:r>
      <w:r>
        <w:rPr>
          <w:sz w:val="16"/>
          <w:vertAlign w:val="baseline"/>
        </w:rPr>
        <w:t>(ΕΕ)</w:t>
      </w:r>
      <w:r>
        <w:rPr>
          <w:spacing w:val="-7"/>
          <w:sz w:val="16"/>
          <w:vertAlign w:val="baseline"/>
        </w:rPr>
        <w:t> </w:t>
      </w:r>
      <w:r>
        <w:rPr>
          <w:sz w:val="16"/>
          <w:vertAlign w:val="baseline"/>
        </w:rPr>
        <w:t>2022/858,</w:t>
      </w:r>
      <w:r>
        <w:rPr>
          <w:spacing w:val="-5"/>
          <w:sz w:val="16"/>
          <w:vertAlign w:val="baseline"/>
        </w:rPr>
        <w:t> </w:t>
      </w:r>
      <w:r>
        <w:rPr>
          <w:sz w:val="16"/>
          <w:vertAlign w:val="baseline"/>
        </w:rPr>
        <w:t>αιτιολογική</w:t>
      </w:r>
      <w:r>
        <w:rPr>
          <w:spacing w:val="-6"/>
          <w:sz w:val="16"/>
          <w:vertAlign w:val="baseline"/>
        </w:rPr>
        <w:t> </w:t>
      </w:r>
      <w:r>
        <w:rPr>
          <w:sz w:val="16"/>
          <w:vertAlign w:val="baseline"/>
        </w:rPr>
        <w:t>σκέψη</w:t>
      </w:r>
      <w:r>
        <w:rPr>
          <w:spacing w:val="-6"/>
          <w:sz w:val="16"/>
          <w:vertAlign w:val="baseline"/>
        </w:rPr>
        <w:t> </w:t>
      </w:r>
      <w:r>
        <w:rPr>
          <w:sz w:val="16"/>
          <w:vertAlign w:val="baseline"/>
        </w:rPr>
        <w:t>3,</w:t>
      </w:r>
      <w:r>
        <w:rPr>
          <w:spacing w:val="-8"/>
          <w:sz w:val="16"/>
          <w:vertAlign w:val="baseline"/>
        </w:rPr>
        <w:t> </w:t>
      </w:r>
      <w:r>
        <w:rPr>
          <w:sz w:val="16"/>
          <w:vertAlign w:val="baseline"/>
        </w:rPr>
        <w:t>και</w:t>
      </w:r>
      <w:r>
        <w:rPr>
          <w:spacing w:val="-7"/>
          <w:sz w:val="16"/>
          <w:vertAlign w:val="baseline"/>
        </w:rPr>
        <w:t> </w:t>
      </w:r>
      <w:r>
        <w:rPr>
          <w:sz w:val="16"/>
          <w:vertAlign w:val="baseline"/>
        </w:rPr>
        <w:t>Τράπεζα</w:t>
      </w:r>
      <w:r>
        <w:rPr>
          <w:spacing w:val="-7"/>
          <w:sz w:val="16"/>
          <w:vertAlign w:val="baseline"/>
        </w:rPr>
        <w:t> </w:t>
      </w:r>
      <w:r>
        <w:rPr>
          <w:sz w:val="16"/>
          <w:vertAlign w:val="baseline"/>
        </w:rPr>
        <w:t>της</w:t>
      </w:r>
      <w:r>
        <w:rPr>
          <w:spacing w:val="-6"/>
          <w:sz w:val="16"/>
          <w:vertAlign w:val="baseline"/>
        </w:rPr>
        <w:t> </w:t>
      </w:r>
      <w:r>
        <w:rPr>
          <w:sz w:val="16"/>
          <w:vertAlign w:val="baseline"/>
        </w:rPr>
        <w:t>Ελλάδος,</w:t>
      </w:r>
      <w:r>
        <w:rPr>
          <w:spacing w:val="-5"/>
          <w:sz w:val="16"/>
          <w:vertAlign w:val="baseline"/>
        </w:rPr>
        <w:t> </w:t>
      </w:r>
      <w:hyperlink r:id="rId166">
        <w:r>
          <w:rPr>
            <w:color w:val="0000FF"/>
            <w:sz w:val="16"/>
            <w:u w:val="single" w:color="0000FF"/>
            <w:vertAlign w:val="baseline"/>
          </w:rPr>
          <w:t>Έκθεση</w:t>
        </w:r>
        <w:r>
          <w:rPr>
            <w:color w:val="0000FF"/>
            <w:spacing w:val="-7"/>
            <w:sz w:val="16"/>
            <w:u w:val="single" w:color="0000FF"/>
            <w:vertAlign w:val="baseline"/>
          </w:rPr>
          <w:t> </w:t>
        </w:r>
        <w:r>
          <w:rPr>
            <w:color w:val="0000FF"/>
            <w:sz w:val="16"/>
            <w:u w:val="single" w:color="0000FF"/>
            <w:vertAlign w:val="baseline"/>
          </w:rPr>
          <w:t>Χρηματοπιστω-</w:t>
        </w:r>
      </w:hyperlink>
      <w:hyperlink r:id="rId166">
        <w:r>
          <w:rPr>
            <w:color w:val="0000FF"/>
            <w:sz w:val="16"/>
            <w:u w:val="single" w:color="0000FF"/>
            <w:vertAlign w:val="baseline"/>
          </w:rPr>
          <w:t>τικής Σταθερότητας– Απρίλιος 2024</w:t>
        </w:r>
        <w:r>
          <w:rPr>
            <w:sz w:val="16"/>
            <w:vertAlign w:val="baseline"/>
          </w:rPr>
          <w:t>,</w:t>
        </w:r>
      </w:hyperlink>
      <w:r>
        <w:rPr>
          <w:sz w:val="16"/>
          <w:vertAlign w:val="baseline"/>
        </w:rPr>
        <w:t> Ειδικό Θέμα ΙΙ: H χρήση νέων τεχνολογιών στον διακανονισμό συναλλαγών.</w:t>
      </w:r>
    </w:p>
    <w:p>
      <w:pPr>
        <w:spacing w:before="20"/>
        <w:ind w:left="30" w:right="0" w:firstLine="0"/>
        <w:jc w:val="both"/>
        <w:rPr>
          <w:sz w:val="16"/>
        </w:rPr>
      </w:pPr>
      <w:bookmarkStart w:name="_bookmark188" w:id="189"/>
      <w:bookmarkEnd w:id="189"/>
      <w:r>
        <w:rPr/>
      </w:r>
      <w:r>
        <w:rPr>
          <w:sz w:val="16"/>
          <w:vertAlign w:val="superscript"/>
        </w:rPr>
        <w:t>127</w:t>
      </w:r>
      <w:r>
        <w:rPr>
          <w:spacing w:val="-5"/>
          <w:sz w:val="16"/>
          <w:vertAlign w:val="baseline"/>
        </w:rPr>
        <w:t> </w:t>
      </w:r>
      <w:r>
        <w:rPr>
          <w:sz w:val="16"/>
          <w:vertAlign w:val="baseline"/>
        </w:rPr>
        <w:t>Βλ.</w:t>
      </w:r>
      <w:r>
        <w:rPr>
          <w:spacing w:val="-4"/>
          <w:sz w:val="16"/>
          <w:vertAlign w:val="baseline"/>
        </w:rPr>
        <w:t> </w:t>
      </w:r>
      <w:r>
        <w:rPr>
          <w:sz w:val="16"/>
          <w:vertAlign w:val="baseline"/>
        </w:rPr>
        <w:t>European</w:t>
      </w:r>
      <w:r>
        <w:rPr>
          <w:spacing w:val="-4"/>
          <w:sz w:val="16"/>
          <w:vertAlign w:val="baseline"/>
        </w:rPr>
        <w:t> </w:t>
      </w:r>
      <w:r>
        <w:rPr>
          <w:sz w:val="16"/>
          <w:vertAlign w:val="baseline"/>
        </w:rPr>
        <w:t>Securities</w:t>
      </w:r>
      <w:r>
        <w:rPr>
          <w:spacing w:val="-6"/>
          <w:sz w:val="16"/>
          <w:vertAlign w:val="baseline"/>
        </w:rPr>
        <w:t> </w:t>
      </w:r>
      <w:r>
        <w:rPr>
          <w:sz w:val="16"/>
          <w:vertAlign w:val="baseline"/>
        </w:rPr>
        <w:t>and</w:t>
      </w:r>
      <w:r>
        <w:rPr>
          <w:spacing w:val="-5"/>
          <w:sz w:val="16"/>
          <w:vertAlign w:val="baseline"/>
        </w:rPr>
        <w:t> </w:t>
      </w:r>
      <w:r>
        <w:rPr>
          <w:sz w:val="16"/>
          <w:vertAlign w:val="baseline"/>
        </w:rPr>
        <w:t>Markets</w:t>
      </w:r>
      <w:r>
        <w:rPr>
          <w:spacing w:val="-7"/>
          <w:sz w:val="16"/>
          <w:vertAlign w:val="baseline"/>
        </w:rPr>
        <w:t> </w:t>
      </w:r>
      <w:r>
        <w:rPr>
          <w:sz w:val="16"/>
          <w:vertAlign w:val="baseline"/>
        </w:rPr>
        <w:t>Authority,</w:t>
      </w:r>
      <w:r>
        <w:rPr>
          <w:spacing w:val="-5"/>
          <w:sz w:val="16"/>
          <w:vertAlign w:val="baseline"/>
        </w:rPr>
        <w:t> </w:t>
      </w:r>
      <w:hyperlink r:id="rId167">
        <w:r>
          <w:rPr>
            <w:color w:val="0000FF"/>
            <w:sz w:val="16"/>
            <w:u w:val="single" w:color="0000FF"/>
            <w:vertAlign w:val="baseline"/>
          </w:rPr>
          <w:t>Authorised</w:t>
        </w:r>
        <w:r>
          <w:rPr>
            <w:color w:val="0000FF"/>
            <w:spacing w:val="-6"/>
            <w:sz w:val="16"/>
            <w:u w:val="single" w:color="0000FF"/>
            <w:vertAlign w:val="baseline"/>
          </w:rPr>
          <w:t> </w:t>
        </w:r>
        <w:r>
          <w:rPr>
            <w:color w:val="0000FF"/>
            <w:sz w:val="16"/>
            <w:u w:val="single" w:color="0000FF"/>
            <w:vertAlign w:val="baseline"/>
          </w:rPr>
          <w:t>DLT</w:t>
        </w:r>
        <w:r>
          <w:rPr>
            <w:color w:val="0000FF"/>
            <w:spacing w:val="-6"/>
            <w:sz w:val="16"/>
            <w:u w:val="single" w:color="0000FF"/>
            <w:vertAlign w:val="baseline"/>
          </w:rPr>
          <w:t> </w:t>
        </w:r>
        <w:r>
          <w:rPr>
            <w:color w:val="0000FF"/>
            <w:sz w:val="16"/>
            <w:u w:val="single" w:color="0000FF"/>
            <w:vertAlign w:val="baseline"/>
          </w:rPr>
          <w:t>Market</w:t>
        </w:r>
        <w:r>
          <w:rPr>
            <w:color w:val="0000FF"/>
            <w:spacing w:val="-4"/>
            <w:sz w:val="16"/>
            <w:u w:val="single" w:color="0000FF"/>
            <w:vertAlign w:val="baseline"/>
          </w:rPr>
          <w:t> </w:t>
        </w:r>
        <w:r>
          <w:rPr>
            <w:color w:val="0000FF"/>
            <w:spacing w:val="-2"/>
            <w:sz w:val="16"/>
            <w:u w:val="single" w:color="0000FF"/>
            <w:vertAlign w:val="baseline"/>
          </w:rPr>
          <w:t>Infrastructures</w:t>
        </w:r>
        <w:r>
          <w:rPr>
            <w:spacing w:val="-2"/>
            <w:sz w:val="16"/>
            <w:vertAlign w:val="baseline"/>
          </w:rPr>
          <w:t>.</w:t>
        </w:r>
      </w:hyperlink>
    </w:p>
    <w:p>
      <w:pPr>
        <w:spacing w:after="0"/>
        <w:jc w:val="both"/>
        <w:rPr>
          <w:sz w:val="16"/>
        </w:rPr>
        <w:sectPr>
          <w:footerReference w:type="default" r:id="rId164"/>
          <w:pgSz w:w="11910" w:h="16850"/>
          <w:pgMar w:header="0" w:footer="1262" w:top="1080" w:bottom="1460" w:left="1559" w:right="1559"/>
          <w:pgNumType w:start="107"/>
        </w:sectPr>
      </w:pPr>
    </w:p>
    <w:p>
      <w:pPr>
        <w:pStyle w:val="ListParagraph"/>
        <w:numPr>
          <w:ilvl w:val="0"/>
          <w:numId w:val="8"/>
        </w:numPr>
        <w:tabs>
          <w:tab w:pos="750" w:val="left" w:leader="none"/>
        </w:tabs>
        <w:spacing w:line="259" w:lineRule="auto" w:before="79" w:after="0"/>
        <w:ind w:left="750" w:right="472" w:hanging="360"/>
        <w:jc w:val="both"/>
        <w:rPr>
          <w:sz w:val="22"/>
        </w:rPr>
      </w:pPr>
      <w:r>
        <w:rPr>
          <w:sz w:val="22"/>
        </w:rPr>
        <w:t>το Lise SA, με</w:t>
      </w:r>
      <w:r>
        <w:rPr>
          <w:spacing w:val="-1"/>
          <w:sz w:val="22"/>
        </w:rPr>
        <w:t> </w:t>
      </w:r>
      <w:r>
        <w:rPr>
          <w:sz w:val="22"/>
        </w:rPr>
        <w:t>έδρα τη Γαλλία, το</w:t>
      </w:r>
      <w:r>
        <w:rPr>
          <w:spacing w:val="-1"/>
          <w:sz w:val="22"/>
        </w:rPr>
        <w:t> </w:t>
      </w:r>
      <w:r>
        <w:rPr>
          <w:sz w:val="22"/>
        </w:rPr>
        <w:t>οποίο</w:t>
      </w:r>
      <w:r>
        <w:rPr>
          <w:spacing w:val="-1"/>
          <w:sz w:val="22"/>
        </w:rPr>
        <w:t> </w:t>
      </w:r>
      <w:r>
        <w:rPr>
          <w:sz w:val="22"/>
        </w:rPr>
        <w:t>έλαβε άδεια λειτουργίας και παρέχει</w:t>
      </w:r>
      <w:r>
        <w:rPr>
          <w:spacing w:val="-1"/>
          <w:sz w:val="22"/>
        </w:rPr>
        <w:t> </w:t>
      </w:r>
      <w:r>
        <w:rPr>
          <w:sz w:val="22"/>
        </w:rPr>
        <w:t>υπηρε-σίες</w:t>
      </w:r>
      <w:r>
        <w:rPr>
          <w:spacing w:val="-4"/>
          <w:sz w:val="22"/>
        </w:rPr>
        <w:t> </w:t>
      </w:r>
      <w:r>
        <w:rPr>
          <w:sz w:val="22"/>
        </w:rPr>
        <w:t>διαπραγμάτευσης</w:t>
      </w:r>
      <w:r>
        <w:rPr>
          <w:spacing w:val="-5"/>
          <w:sz w:val="22"/>
        </w:rPr>
        <w:t> </w:t>
      </w:r>
      <w:r>
        <w:rPr>
          <w:sz w:val="22"/>
        </w:rPr>
        <w:t>και</w:t>
      </w:r>
      <w:r>
        <w:rPr>
          <w:spacing w:val="-6"/>
          <w:sz w:val="22"/>
        </w:rPr>
        <w:t> </w:t>
      </w:r>
      <w:r>
        <w:rPr>
          <w:sz w:val="22"/>
        </w:rPr>
        <w:t>διακανονισμού</w:t>
      </w:r>
      <w:r>
        <w:rPr>
          <w:spacing w:val="-2"/>
          <w:sz w:val="22"/>
        </w:rPr>
        <w:t> </w:t>
      </w:r>
      <w:r>
        <w:rPr>
          <w:sz w:val="22"/>
        </w:rPr>
        <w:t>(DLT</w:t>
      </w:r>
      <w:r>
        <w:rPr>
          <w:spacing w:val="-4"/>
          <w:sz w:val="22"/>
        </w:rPr>
        <w:t> </w:t>
      </w:r>
      <w:r>
        <w:rPr>
          <w:sz w:val="22"/>
        </w:rPr>
        <w:t>TSS),</w:t>
      </w:r>
      <w:r>
        <w:rPr>
          <w:spacing w:val="-6"/>
          <w:sz w:val="22"/>
        </w:rPr>
        <w:t> </w:t>
      </w:r>
      <w:r>
        <w:rPr>
          <w:sz w:val="22"/>
        </w:rPr>
        <w:t>εστιάζοντας</w:t>
      </w:r>
      <w:r>
        <w:rPr>
          <w:spacing w:val="-5"/>
          <w:sz w:val="22"/>
        </w:rPr>
        <w:t> </w:t>
      </w:r>
      <w:r>
        <w:rPr>
          <w:sz w:val="22"/>
        </w:rPr>
        <w:t>σε</w:t>
      </w:r>
      <w:r>
        <w:rPr>
          <w:spacing w:val="-3"/>
          <w:sz w:val="22"/>
        </w:rPr>
        <w:t> </w:t>
      </w:r>
      <w:r>
        <w:rPr>
          <w:sz w:val="22"/>
        </w:rPr>
        <w:t>μετοχές</w:t>
      </w:r>
      <w:r>
        <w:rPr>
          <w:spacing w:val="-4"/>
          <w:sz w:val="22"/>
        </w:rPr>
        <w:t> </w:t>
      </w:r>
      <w:r>
        <w:rPr>
          <w:sz w:val="22"/>
        </w:rPr>
        <w:t>για</w:t>
      </w:r>
      <w:r>
        <w:rPr>
          <w:spacing w:val="-5"/>
          <w:sz w:val="22"/>
        </w:rPr>
        <w:t> </w:t>
      </w:r>
      <w:r>
        <w:rPr>
          <w:sz w:val="22"/>
        </w:rPr>
        <w:t>μι-κρές και μεσαίες επιχειρήσεις,</w:t>
      </w:r>
    </w:p>
    <w:p>
      <w:pPr>
        <w:pStyle w:val="ListParagraph"/>
        <w:numPr>
          <w:ilvl w:val="0"/>
          <w:numId w:val="8"/>
        </w:numPr>
        <w:tabs>
          <w:tab w:pos="750" w:val="left" w:leader="none"/>
        </w:tabs>
        <w:spacing w:line="259" w:lineRule="auto" w:before="0" w:after="0"/>
        <w:ind w:left="750" w:right="410" w:hanging="360"/>
        <w:jc w:val="left"/>
        <w:rPr>
          <w:sz w:val="22"/>
        </w:rPr>
      </w:pPr>
      <w:r>
        <w:rPr>
          <w:sz w:val="22"/>
        </w:rPr>
        <w:t>το Securitize Europe Brokerage and Markets, με έδρα την Ισπανία, που έλαβε άδεια λειτουργίας</w:t>
      </w:r>
      <w:r>
        <w:rPr>
          <w:spacing w:val="-7"/>
          <w:sz w:val="22"/>
        </w:rPr>
        <w:t> </w:t>
      </w:r>
      <w:r>
        <w:rPr>
          <w:sz w:val="22"/>
        </w:rPr>
        <w:t>ως</w:t>
      </w:r>
      <w:r>
        <w:rPr>
          <w:spacing w:val="-4"/>
          <w:sz w:val="22"/>
        </w:rPr>
        <w:t> </w:t>
      </w:r>
      <w:r>
        <w:rPr>
          <w:sz w:val="22"/>
        </w:rPr>
        <w:t>DLT</w:t>
      </w:r>
      <w:r>
        <w:rPr>
          <w:spacing w:val="-4"/>
          <w:sz w:val="22"/>
        </w:rPr>
        <w:t> </w:t>
      </w:r>
      <w:r>
        <w:rPr>
          <w:sz w:val="22"/>
        </w:rPr>
        <w:t>TSS</w:t>
      </w:r>
      <w:r>
        <w:rPr>
          <w:spacing w:val="-3"/>
          <w:sz w:val="22"/>
        </w:rPr>
        <w:t> </w:t>
      </w:r>
      <w:r>
        <w:rPr>
          <w:sz w:val="22"/>
        </w:rPr>
        <w:t>για</w:t>
      </w:r>
      <w:r>
        <w:rPr>
          <w:spacing w:val="-3"/>
          <w:sz w:val="22"/>
        </w:rPr>
        <w:t> </w:t>
      </w:r>
      <w:r>
        <w:rPr>
          <w:sz w:val="22"/>
        </w:rPr>
        <w:t>την</w:t>
      </w:r>
      <w:r>
        <w:rPr>
          <w:spacing w:val="-2"/>
          <w:sz w:val="22"/>
        </w:rPr>
        <w:t> </w:t>
      </w:r>
      <w:r>
        <w:rPr>
          <w:sz w:val="22"/>
        </w:rPr>
        <w:t>έκδοση,</w:t>
      </w:r>
      <w:r>
        <w:rPr>
          <w:spacing w:val="-3"/>
          <w:sz w:val="22"/>
        </w:rPr>
        <w:t> </w:t>
      </w:r>
      <w:r>
        <w:rPr>
          <w:sz w:val="22"/>
        </w:rPr>
        <w:t>διαπραγμάτευση</w:t>
      </w:r>
      <w:r>
        <w:rPr>
          <w:spacing w:val="-3"/>
          <w:sz w:val="22"/>
        </w:rPr>
        <w:t> </w:t>
      </w:r>
      <w:r>
        <w:rPr>
          <w:sz w:val="22"/>
        </w:rPr>
        <w:t>και</w:t>
      </w:r>
      <w:r>
        <w:rPr>
          <w:spacing w:val="-6"/>
          <w:sz w:val="22"/>
        </w:rPr>
        <w:t> </w:t>
      </w:r>
      <w:r>
        <w:rPr>
          <w:sz w:val="22"/>
        </w:rPr>
        <w:t>διακανονισμό</w:t>
      </w:r>
      <w:r>
        <w:rPr>
          <w:spacing w:val="-3"/>
          <w:sz w:val="22"/>
        </w:rPr>
        <w:t> </w:t>
      </w:r>
      <w:r>
        <w:rPr>
          <w:sz w:val="22"/>
        </w:rPr>
        <w:t>μετοχών και ομολόγων.</w:t>
      </w:r>
    </w:p>
    <w:p>
      <w:pPr>
        <w:pStyle w:val="BodyText"/>
        <w:spacing w:line="285" w:lineRule="auto" w:before="190"/>
        <w:ind w:left="30" w:right="249"/>
        <w:jc w:val="both"/>
      </w:pPr>
      <w:r>
        <w:rPr/>
        <w:t>Επιπρόσθετα,</w:t>
      </w:r>
      <w:r>
        <w:rPr>
          <w:spacing w:val="-10"/>
        </w:rPr>
        <w:t> </w:t>
      </w:r>
      <w:r>
        <w:rPr/>
        <w:t>κεντρικά</w:t>
      </w:r>
      <w:r>
        <w:rPr>
          <w:spacing w:val="-10"/>
        </w:rPr>
        <w:t> </w:t>
      </w:r>
      <w:r>
        <w:rPr/>
        <w:t>αποθετήρια</w:t>
      </w:r>
      <w:r>
        <w:rPr>
          <w:spacing w:val="-12"/>
        </w:rPr>
        <w:t> </w:t>
      </w:r>
      <w:r>
        <w:rPr/>
        <w:t>τίτλων</w:t>
      </w:r>
      <w:r>
        <w:rPr>
          <w:spacing w:val="-9"/>
        </w:rPr>
        <w:t> </w:t>
      </w:r>
      <w:r>
        <w:rPr/>
        <w:t>της</w:t>
      </w:r>
      <w:r>
        <w:rPr>
          <w:spacing w:val="-11"/>
        </w:rPr>
        <w:t> </w:t>
      </w:r>
      <w:r>
        <w:rPr/>
        <w:t>ΕΕ</w:t>
      </w:r>
      <w:r>
        <w:rPr>
          <w:spacing w:val="-11"/>
        </w:rPr>
        <w:t> </w:t>
      </w:r>
      <w:r>
        <w:rPr/>
        <w:t>όπως</w:t>
      </w:r>
      <w:r>
        <w:rPr>
          <w:spacing w:val="-11"/>
        </w:rPr>
        <w:t> </w:t>
      </w:r>
      <w:r>
        <w:rPr/>
        <w:t>η</w:t>
      </w:r>
      <w:r>
        <w:rPr>
          <w:spacing w:val="-10"/>
        </w:rPr>
        <w:t> </w:t>
      </w:r>
      <w:r>
        <w:rPr/>
        <w:t>Euroclear</w:t>
      </w:r>
      <w:r>
        <w:rPr>
          <w:spacing w:val="-8"/>
        </w:rPr>
        <w:t> </w:t>
      </w:r>
      <w:r>
        <w:rPr/>
        <w:t>και</w:t>
      </w:r>
      <w:r>
        <w:rPr>
          <w:spacing w:val="-12"/>
        </w:rPr>
        <w:t> </w:t>
      </w:r>
      <w:r>
        <w:rPr/>
        <w:t>η</w:t>
      </w:r>
      <w:r>
        <w:rPr>
          <w:spacing w:val="-10"/>
        </w:rPr>
        <w:t> </w:t>
      </w:r>
      <w:r>
        <w:rPr/>
        <w:t>Clearstream</w:t>
      </w:r>
      <w:r>
        <w:rPr>
          <w:spacing w:val="-11"/>
        </w:rPr>
        <w:t> </w:t>
      </w:r>
      <w:r>
        <w:rPr/>
        <w:t>που</w:t>
      </w:r>
      <w:r>
        <w:rPr>
          <w:spacing w:val="-11"/>
        </w:rPr>
        <w:t> </w:t>
      </w:r>
      <w:r>
        <w:rPr/>
        <w:t>έχουν λάβει</w:t>
      </w:r>
      <w:r>
        <w:rPr>
          <w:spacing w:val="-4"/>
        </w:rPr>
        <w:t> </w:t>
      </w:r>
      <w:r>
        <w:rPr/>
        <w:t>άδεια</w:t>
      </w:r>
      <w:r>
        <w:rPr>
          <w:spacing w:val="-4"/>
        </w:rPr>
        <w:t> </w:t>
      </w:r>
      <w:r>
        <w:rPr/>
        <w:t>λειτουργίας</w:t>
      </w:r>
      <w:r>
        <w:rPr>
          <w:spacing w:val="-6"/>
        </w:rPr>
        <w:t> </w:t>
      </w:r>
      <w:r>
        <w:rPr/>
        <w:t>σύμφωνα</w:t>
      </w:r>
      <w:r>
        <w:rPr>
          <w:spacing w:val="-5"/>
        </w:rPr>
        <w:t> </w:t>
      </w:r>
      <w:r>
        <w:rPr/>
        <w:t>με</w:t>
      </w:r>
      <w:r>
        <w:rPr>
          <w:spacing w:val="-4"/>
        </w:rPr>
        <w:t> </w:t>
      </w:r>
      <w:r>
        <w:rPr/>
        <w:t>τον</w:t>
      </w:r>
      <w:r>
        <w:rPr>
          <w:spacing w:val="-4"/>
        </w:rPr>
        <w:t> </w:t>
      </w:r>
      <w:r>
        <w:rPr/>
        <w:t>Κανονισμό</w:t>
      </w:r>
      <w:r>
        <w:rPr>
          <w:spacing w:val="-5"/>
        </w:rPr>
        <w:t> </w:t>
      </w:r>
      <w:r>
        <w:rPr/>
        <w:t>(ΕΕ)</w:t>
      </w:r>
      <w:r>
        <w:rPr>
          <w:spacing w:val="-4"/>
        </w:rPr>
        <w:t> </w:t>
      </w:r>
      <w:r>
        <w:rPr/>
        <w:t>909/2014</w:t>
      </w:r>
      <w:r>
        <w:rPr>
          <w:spacing w:val="-5"/>
        </w:rPr>
        <w:t> </w:t>
      </w:r>
      <w:r>
        <w:rPr/>
        <w:t>για</w:t>
      </w:r>
      <w:r>
        <w:rPr>
          <w:spacing w:val="-2"/>
        </w:rPr>
        <w:t> </w:t>
      </w:r>
      <w:r>
        <w:rPr/>
        <w:t>τα</w:t>
      </w:r>
      <w:r>
        <w:rPr>
          <w:spacing w:val="-5"/>
        </w:rPr>
        <w:t> </w:t>
      </w:r>
      <w:r>
        <w:rPr/>
        <w:t>κεντρικά</w:t>
      </w:r>
      <w:r>
        <w:rPr>
          <w:spacing w:val="-5"/>
        </w:rPr>
        <w:t> </w:t>
      </w:r>
      <w:r>
        <w:rPr/>
        <w:t>αποθετήρια τίτλων</w:t>
      </w:r>
      <w:r>
        <w:rPr>
          <w:spacing w:val="-9"/>
        </w:rPr>
        <w:t> </w:t>
      </w:r>
      <w:r>
        <w:rPr/>
        <w:t>(CSDR),</w:t>
      </w:r>
      <w:r>
        <w:rPr>
          <w:spacing w:val="-10"/>
        </w:rPr>
        <w:t> </w:t>
      </w:r>
      <w:r>
        <w:rPr/>
        <w:t>έχουν</w:t>
      </w:r>
      <w:r>
        <w:rPr>
          <w:spacing w:val="-6"/>
        </w:rPr>
        <w:t> </w:t>
      </w:r>
      <w:r>
        <w:rPr/>
        <w:t>αναπτύξει</w:t>
      </w:r>
      <w:r>
        <w:rPr>
          <w:spacing w:val="-9"/>
        </w:rPr>
        <w:t> </w:t>
      </w:r>
      <w:r>
        <w:rPr/>
        <w:t>και</w:t>
      </w:r>
      <w:r>
        <w:rPr>
          <w:spacing w:val="-9"/>
        </w:rPr>
        <w:t> </w:t>
      </w:r>
      <w:r>
        <w:rPr/>
        <w:t>ενσωματώσει</w:t>
      </w:r>
      <w:r>
        <w:rPr>
          <w:spacing w:val="-6"/>
        </w:rPr>
        <w:t> </w:t>
      </w:r>
      <w:r>
        <w:rPr/>
        <w:t>πλατφόρμες</w:t>
      </w:r>
      <w:r>
        <w:rPr>
          <w:spacing w:val="-8"/>
        </w:rPr>
        <w:t> </w:t>
      </w:r>
      <w:r>
        <w:rPr/>
        <w:t>DLT</w:t>
      </w:r>
      <w:r>
        <w:rPr>
          <w:spacing w:val="-11"/>
        </w:rPr>
        <w:t> </w:t>
      </w:r>
      <w:r>
        <w:rPr/>
        <w:t>στο</w:t>
      </w:r>
      <w:r>
        <w:rPr>
          <w:spacing w:val="-10"/>
        </w:rPr>
        <w:t> </w:t>
      </w:r>
      <w:r>
        <w:rPr/>
        <w:t>οικοσύστημα</w:t>
      </w:r>
      <w:r>
        <w:rPr>
          <w:spacing w:val="-8"/>
        </w:rPr>
        <w:t> </w:t>
      </w:r>
      <w:r>
        <w:rPr/>
        <w:t>των</w:t>
      </w:r>
      <w:r>
        <w:rPr>
          <w:spacing w:val="-9"/>
        </w:rPr>
        <w:t> </w:t>
      </w:r>
      <w:r>
        <w:rPr/>
        <w:t>υπη-ρεσιών τους για την έκδοση και διαχείριση ψηφιακών τίτλων σε μορφή token, διατηρώντας πα-ράλληλα διασύνδεση με τα υφιστάμενα παραδοσιακά τους συστήματα.</w:t>
      </w:r>
    </w:p>
    <w:p>
      <w:pPr>
        <w:pStyle w:val="BodyText"/>
        <w:spacing w:line="285" w:lineRule="auto" w:before="55"/>
        <w:ind w:left="30" w:right="248"/>
        <w:jc w:val="both"/>
      </w:pPr>
      <w:r>
        <w:rPr/>
        <w:t>Ο αριθμός και η ποικιλία των αιτήσεων καλύπτουν ευρύ φάσμα επιχειρηματικών μοντέλων και λειτουργιών, γεγονός που υπογραμμίζει το αυξανόμενο ενδιαφέρον στις χρηματοπιστωτικές α-γορές για την χρήση της τεχνολογίας DLT.</w:t>
      </w:r>
    </w:p>
    <w:p>
      <w:pPr>
        <w:pStyle w:val="BodyText"/>
        <w:spacing w:line="285" w:lineRule="auto" w:before="58"/>
        <w:ind w:left="30" w:right="245"/>
        <w:jc w:val="both"/>
      </w:pPr>
      <w:r>
        <w:rPr/>
        <w:t>Ωστόσο, όπως επισημαίνεται σε σχετική</w:t>
      </w:r>
      <w:r>
        <w:rPr>
          <w:spacing w:val="-1"/>
        </w:rPr>
        <w:t> </w:t>
      </w:r>
      <w:r>
        <w:rPr/>
        <w:t>έκθεση της Ευρωπαϊκής Αρχής Κινητών Αξιών και Α-γορών (ΕΑΚΑΑ)</w:t>
      </w:r>
      <w:hyperlink w:history="true" w:anchor="_bookmark189">
        <w:r>
          <w:rPr/>
          <w:t>,</w:t>
        </w:r>
        <w:r>
          <w:rPr>
            <w:position w:val="7"/>
            <w:sz w:val="13"/>
          </w:rPr>
          <w:t>128</w:t>
        </w:r>
      </w:hyperlink>
      <w:r>
        <w:rPr>
          <w:spacing w:val="34"/>
          <w:position w:val="7"/>
          <w:sz w:val="13"/>
        </w:rPr>
        <w:t> </w:t>
      </w:r>
      <w:r>
        <w:rPr/>
        <w:t>παράγοντες όπως η έλλειψη πρόσβασης σε χρήμα κεντρικής τράπεζας για τον</w:t>
      </w:r>
      <w:r>
        <w:rPr>
          <w:spacing w:val="-9"/>
        </w:rPr>
        <w:t> </w:t>
      </w:r>
      <w:r>
        <w:rPr/>
        <w:t>διακανονισμό</w:t>
      </w:r>
      <w:r>
        <w:rPr>
          <w:spacing w:val="-10"/>
        </w:rPr>
        <w:t> </w:t>
      </w:r>
      <w:r>
        <w:rPr/>
        <w:t>των</w:t>
      </w:r>
      <w:r>
        <w:rPr>
          <w:spacing w:val="-9"/>
        </w:rPr>
        <w:t> </w:t>
      </w:r>
      <w:r>
        <w:rPr/>
        <w:t>συναλλαγών</w:t>
      </w:r>
      <w:r>
        <w:rPr>
          <w:spacing w:val="-9"/>
        </w:rPr>
        <w:t> </w:t>
      </w:r>
      <w:r>
        <w:rPr/>
        <w:t>DLT,</w:t>
      </w:r>
      <w:r>
        <w:rPr>
          <w:spacing w:val="-10"/>
        </w:rPr>
        <w:t> </w:t>
      </w:r>
      <w:r>
        <w:rPr/>
        <w:t>οι</w:t>
      </w:r>
      <w:r>
        <w:rPr>
          <w:spacing w:val="-9"/>
        </w:rPr>
        <w:t> </w:t>
      </w:r>
      <w:r>
        <w:rPr/>
        <w:t>λειτουργικές</w:t>
      </w:r>
      <w:r>
        <w:rPr>
          <w:spacing w:val="-11"/>
        </w:rPr>
        <w:t> </w:t>
      </w:r>
      <w:r>
        <w:rPr/>
        <w:t>διαφορές</w:t>
      </w:r>
      <w:r>
        <w:rPr>
          <w:spacing w:val="-11"/>
        </w:rPr>
        <w:t> </w:t>
      </w:r>
      <w:r>
        <w:rPr/>
        <w:t>μεταξύ</w:t>
      </w:r>
      <w:r>
        <w:rPr>
          <w:spacing w:val="-9"/>
        </w:rPr>
        <w:t> </w:t>
      </w:r>
      <w:r>
        <w:rPr/>
        <w:t>υποδομών,</w:t>
      </w:r>
      <w:r>
        <w:rPr>
          <w:spacing w:val="-10"/>
        </w:rPr>
        <w:t> </w:t>
      </w:r>
      <w:r>
        <w:rPr/>
        <w:t>καθώς</w:t>
      </w:r>
      <w:r>
        <w:rPr>
          <w:spacing w:val="-11"/>
        </w:rPr>
        <w:t> </w:t>
      </w:r>
      <w:r>
        <w:rPr/>
        <w:t>και η περιορισμένη ενσωμάτωση κανονιστικών απαιτήσεων παρεμποδίζουν τη διαλειτουργικότητα των χρηματοπιστωτικών υποδομών (DLT /και παραδοσιακών πλατφορμών/υποδομών). Επι-πλέον, η ανάπτυξη τέτοιων υποδομών συνεπάγεται σημαντικές λειτουργικές και οικονομικές προκλήσεις, ιδίως όσον αφορά την τεχνολογική ανάπτυξη, τη συμμόρφωση με απαιτήσεις κυ-βερνοασφάλειας, τη διαχείριση κινδύνων και τη διαμόρφωση της νομικής δομής των tokenised assets. Έτσι, οι υποδομές DLT λειτουργούν επί του παρόντος σε απομονωμένα περιβάλλοντα (siloes), με περιορισμένο αριθμό χρηστών/συμμετεχόντων και χαμηλό όγκο συναλλαγών.</w:t>
      </w:r>
    </w:p>
    <w:p>
      <w:pPr>
        <w:pStyle w:val="BodyText"/>
        <w:spacing w:line="285" w:lineRule="auto" w:before="49"/>
        <w:ind w:left="30" w:right="247"/>
        <w:jc w:val="both"/>
      </w:pPr>
      <w:r>
        <w:rPr/>
        <w:t>Στην Ελλάδα, ο ν. 5113/2024 θέσπισε τα μέτρα εφαρμογής του πιλοτικού καθεστώτος DLT και η</w:t>
      </w:r>
      <w:r>
        <w:rPr>
          <w:spacing w:val="-5"/>
        </w:rPr>
        <w:t> </w:t>
      </w:r>
      <w:r>
        <w:rPr/>
        <w:t>Επιτροπή</w:t>
      </w:r>
      <w:r>
        <w:rPr>
          <w:spacing w:val="-5"/>
        </w:rPr>
        <w:t> </w:t>
      </w:r>
      <w:r>
        <w:rPr/>
        <w:t>Κεφαλαιαγοράς,</w:t>
      </w:r>
      <w:r>
        <w:rPr>
          <w:spacing w:val="-5"/>
        </w:rPr>
        <w:t> </w:t>
      </w:r>
      <w:r>
        <w:rPr/>
        <w:t>με</w:t>
      </w:r>
      <w:r>
        <w:rPr>
          <w:spacing w:val="-4"/>
        </w:rPr>
        <w:t> </w:t>
      </w:r>
      <w:r>
        <w:rPr/>
        <w:t>ανακοίνωση</w:t>
      </w:r>
      <w:r>
        <w:rPr>
          <w:spacing w:val="-5"/>
        </w:rPr>
        <w:t> </w:t>
      </w:r>
      <w:r>
        <w:rPr/>
        <w:t>της</w:t>
      </w:r>
      <w:r>
        <w:rPr>
          <w:spacing w:val="-4"/>
        </w:rPr>
        <w:t> </w:t>
      </w:r>
      <w:r>
        <w:rPr/>
        <w:t>27ης</w:t>
      </w:r>
      <w:r>
        <w:rPr>
          <w:spacing w:val="-6"/>
        </w:rPr>
        <w:t> </w:t>
      </w:r>
      <w:r>
        <w:rPr/>
        <w:t>Φεβρουαρίου</w:t>
      </w:r>
      <w:r>
        <w:rPr>
          <w:spacing w:val="-4"/>
        </w:rPr>
        <w:t> </w:t>
      </w:r>
      <w:r>
        <w:rPr/>
        <w:t>2025,</w:t>
      </w:r>
      <w:r>
        <w:rPr>
          <w:spacing w:val="-5"/>
        </w:rPr>
        <w:t> </w:t>
      </w:r>
      <w:r>
        <w:rPr/>
        <w:t>ενημέρωσε</w:t>
      </w:r>
      <w:r>
        <w:rPr>
          <w:spacing w:val="-4"/>
        </w:rPr>
        <w:t> </w:t>
      </w:r>
      <w:r>
        <w:rPr/>
        <w:t>τους</w:t>
      </w:r>
      <w:r>
        <w:rPr>
          <w:spacing w:val="-6"/>
        </w:rPr>
        <w:t> </w:t>
      </w:r>
      <w:r>
        <w:rPr/>
        <w:t>συμ-μετέχοντες στην αγορά και</w:t>
      </w:r>
      <w:r>
        <w:rPr>
          <w:spacing w:val="-1"/>
        </w:rPr>
        <w:t> </w:t>
      </w:r>
      <w:r>
        <w:rPr/>
        <w:t>το επενδυτικό κοινό ότι</w:t>
      </w:r>
      <w:r>
        <w:rPr>
          <w:spacing w:val="-1"/>
        </w:rPr>
        <w:t> </w:t>
      </w:r>
      <w:r>
        <w:rPr/>
        <w:t>έχει ενσωματώσει τις κατευθυντήριες γραμ-μές της ΕΑΚΑΑ σχετικά με τα πρότυπα, τις μορφές και τα υποδείγματα αιτήσεων για</w:t>
      </w:r>
      <w:r>
        <w:rPr>
          <w:spacing w:val="-1"/>
        </w:rPr>
        <w:t> </w:t>
      </w:r>
      <w:r>
        <w:rPr/>
        <w:t>την άδεια λειτουργίας υποδομής αγοράς</w:t>
      </w:r>
      <w:hyperlink w:history="true" w:anchor="_bookmark190">
        <w:r>
          <w:rPr/>
          <w:t>.</w:t>
        </w:r>
        <w:r>
          <w:rPr>
            <w:vertAlign w:val="superscript"/>
          </w:rPr>
          <w:t>129</w:t>
        </w:r>
      </w:hyperlink>
      <w:r>
        <w:rPr>
          <w:vertAlign w:val="baseline"/>
        </w:rPr>
        <w:t> Συνεπώς, οι εταιρίες που επιθυμούν να λειτουργήσουν υποδο-μές DLT (διαπραγμάτευση/διακανονισμός) στην Ελλάδα μπορούν να υποβάλλουν τις αιτήσεις τους</w:t>
      </w:r>
      <w:r>
        <w:rPr>
          <w:spacing w:val="-6"/>
          <w:vertAlign w:val="baseline"/>
        </w:rPr>
        <w:t> </w:t>
      </w:r>
      <w:r>
        <w:rPr>
          <w:vertAlign w:val="baseline"/>
        </w:rPr>
        <w:t>ακολουθώντας</w:t>
      </w:r>
      <w:r>
        <w:rPr>
          <w:spacing w:val="-6"/>
          <w:vertAlign w:val="baseline"/>
        </w:rPr>
        <w:t> </w:t>
      </w:r>
      <w:r>
        <w:rPr>
          <w:vertAlign w:val="baseline"/>
        </w:rPr>
        <w:t>τις</w:t>
      </w:r>
      <w:r>
        <w:rPr>
          <w:spacing w:val="-5"/>
          <w:vertAlign w:val="baseline"/>
        </w:rPr>
        <w:t> </w:t>
      </w:r>
      <w:r>
        <w:rPr>
          <w:vertAlign w:val="baseline"/>
        </w:rPr>
        <w:t>παραπάνω</w:t>
      </w:r>
      <w:r>
        <w:rPr>
          <w:spacing w:val="-3"/>
          <w:vertAlign w:val="baseline"/>
        </w:rPr>
        <w:t> </w:t>
      </w:r>
      <w:r>
        <w:rPr>
          <w:vertAlign w:val="baseline"/>
        </w:rPr>
        <w:t>κατευθυντήριες</w:t>
      </w:r>
      <w:r>
        <w:rPr>
          <w:spacing w:val="-6"/>
          <w:vertAlign w:val="baseline"/>
        </w:rPr>
        <w:t> </w:t>
      </w:r>
      <w:r>
        <w:rPr>
          <w:vertAlign w:val="baseline"/>
        </w:rPr>
        <w:t>γραμμές.</w:t>
      </w:r>
      <w:r>
        <w:rPr>
          <w:spacing w:val="-5"/>
          <w:vertAlign w:val="baseline"/>
        </w:rPr>
        <w:t> </w:t>
      </w:r>
      <w:r>
        <w:rPr>
          <w:vertAlign w:val="baseline"/>
        </w:rPr>
        <w:t>Μέχρι</w:t>
      </w:r>
      <w:r>
        <w:rPr>
          <w:spacing w:val="-4"/>
          <w:vertAlign w:val="baseline"/>
        </w:rPr>
        <w:t> </w:t>
      </w:r>
      <w:r>
        <w:rPr>
          <w:vertAlign w:val="baseline"/>
        </w:rPr>
        <w:t>στιγμής</w:t>
      </w:r>
      <w:r>
        <w:rPr>
          <w:spacing w:val="-6"/>
          <w:vertAlign w:val="baseline"/>
        </w:rPr>
        <w:t> </w:t>
      </w:r>
      <w:r>
        <w:rPr>
          <w:vertAlign w:val="baseline"/>
        </w:rPr>
        <w:t>όμως</w:t>
      </w:r>
      <w:r>
        <w:rPr>
          <w:spacing w:val="-6"/>
          <w:vertAlign w:val="baseline"/>
        </w:rPr>
        <w:t> </w:t>
      </w:r>
      <w:r>
        <w:rPr>
          <w:vertAlign w:val="baseline"/>
        </w:rPr>
        <w:t>δεν</w:t>
      </w:r>
      <w:r>
        <w:rPr>
          <w:spacing w:val="-4"/>
          <w:vertAlign w:val="baseline"/>
        </w:rPr>
        <w:t> </w:t>
      </w:r>
      <w:r>
        <w:rPr>
          <w:vertAlign w:val="baseline"/>
        </w:rPr>
        <w:t>έχει</w:t>
      </w:r>
      <w:r>
        <w:rPr>
          <w:spacing w:val="-4"/>
          <w:vertAlign w:val="baseline"/>
        </w:rPr>
        <w:t> </w:t>
      </w:r>
      <w:r>
        <w:rPr>
          <w:vertAlign w:val="baseline"/>
        </w:rPr>
        <w:t>αδειο-δοτηθεί ελληνική εταιρία ως πλατφόρμα/υποδομή DLT υπό το πιλοτικό καθεστώς DLT.</w:t>
      </w:r>
    </w:p>
    <w:p>
      <w:pPr>
        <w:pStyle w:val="Heading4"/>
        <w:spacing w:before="52"/>
        <w:ind w:left="30"/>
      </w:pPr>
      <w:r>
        <w:rPr>
          <w:color w:val="1F487C"/>
        </w:rPr>
        <w:t>Ευρωσύστημα</w:t>
      </w:r>
      <w:r>
        <w:rPr>
          <w:color w:val="1F487C"/>
          <w:spacing w:val="-8"/>
        </w:rPr>
        <w:t> </w:t>
      </w:r>
      <w:r>
        <w:rPr>
          <w:color w:val="1F487C"/>
        </w:rPr>
        <w:t>κα</w:t>
      </w:r>
      <w:r>
        <w:rPr>
          <w:smallCaps/>
          <w:color w:val="1F487C"/>
        </w:rPr>
        <w:t>ι</w:t>
      </w:r>
      <w:r>
        <w:rPr>
          <w:smallCaps w:val="0"/>
          <w:color w:val="1F487C"/>
          <w:spacing w:val="-8"/>
        </w:rPr>
        <w:t> </w:t>
      </w:r>
      <w:r>
        <w:rPr>
          <w:smallCaps w:val="0"/>
          <w:color w:val="1F487C"/>
        </w:rPr>
        <w:t>δ</w:t>
      </w:r>
      <w:r>
        <w:rPr>
          <w:smallCaps/>
          <w:color w:val="1F487C"/>
        </w:rPr>
        <w:t>ι</w:t>
      </w:r>
      <w:r>
        <w:rPr>
          <w:smallCaps w:val="0"/>
          <w:color w:val="1F487C"/>
        </w:rPr>
        <w:t>ακανον</w:t>
      </w:r>
      <w:r>
        <w:rPr>
          <w:smallCaps/>
          <w:color w:val="1F487C"/>
        </w:rPr>
        <w:t>ι</w:t>
      </w:r>
      <w:r>
        <w:rPr>
          <w:smallCaps w:val="0"/>
          <w:color w:val="1F487C"/>
        </w:rPr>
        <w:t>σμός</w:t>
      </w:r>
      <w:r>
        <w:rPr>
          <w:smallCaps w:val="0"/>
          <w:color w:val="1F487C"/>
          <w:spacing w:val="-8"/>
        </w:rPr>
        <w:t> </w:t>
      </w:r>
      <w:r>
        <w:rPr>
          <w:smallCaps w:val="0"/>
          <w:color w:val="1F487C"/>
        </w:rPr>
        <w:t>σε</w:t>
      </w:r>
      <w:r>
        <w:rPr>
          <w:smallCaps w:val="0"/>
          <w:color w:val="1F487C"/>
          <w:spacing w:val="-8"/>
        </w:rPr>
        <w:t> </w:t>
      </w:r>
      <w:r>
        <w:rPr>
          <w:smallCaps w:val="0"/>
          <w:color w:val="1F487C"/>
        </w:rPr>
        <w:t>χρήμα</w:t>
      </w:r>
      <w:r>
        <w:rPr>
          <w:smallCaps w:val="0"/>
          <w:color w:val="1F487C"/>
          <w:spacing w:val="-7"/>
        </w:rPr>
        <w:t> </w:t>
      </w:r>
      <w:r>
        <w:rPr>
          <w:smallCaps w:val="0"/>
          <w:color w:val="1F487C"/>
        </w:rPr>
        <w:t>κεντρ</w:t>
      </w:r>
      <w:r>
        <w:rPr>
          <w:smallCaps/>
          <w:color w:val="1F487C"/>
        </w:rPr>
        <w:t>ι</w:t>
      </w:r>
      <w:r>
        <w:rPr>
          <w:smallCaps w:val="0"/>
          <w:color w:val="1F487C"/>
        </w:rPr>
        <w:t>κής</w:t>
      </w:r>
      <w:r>
        <w:rPr>
          <w:smallCaps w:val="0"/>
          <w:color w:val="1F487C"/>
          <w:spacing w:val="-6"/>
        </w:rPr>
        <w:t> </w:t>
      </w:r>
      <w:r>
        <w:rPr>
          <w:smallCaps w:val="0"/>
          <w:color w:val="1F487C"/>
          <w:spacing w:val="-2"/>
        </w:rPr>
        <w:t>τράπεζας</w:t>
      </w:r>
    </w:p>
    <w:p>
      <w:pPr>
        <w:pStyle w:val="BodyText"/>
        <w:spacing w:line="285" w:lineRule="auto" w:before="107"/>
        <w:ind w:left="30" w:right="247"/>
        <w:jc w:val="both"/>
      </w:pPr>
      <w:r>
        <w:rPr/>
        <w:t>Σε αυτό το</w:t>
      </w:r>
      <w:r>
        <w:rPr>
          <w:spacing w:val="-2"/>
        </w:rPr>
        <w:t> </w:t>
      </w:r>
      <w:r>
        <w:rPr/>
        <w:t>εξελισσόμενο περιβάλλον, η</w:t>
      </w:r>
      <w:r>
        <w:rPr>
          <w:spacing w:val="-2"/>
        </w:rPr>
        <w:t> </w:t>
      </w:r>
      <w:r>
        <w:rPr/>
        <w:t>στρατηγική του Ευρωσυστήματος</w:t>
      </w:r>
      <w:r>
        <w:rPr>
          <w:spacing w:val="-4"/>
        </w:rPr>
        <w:t> </w:t>
      </w:r>
      <w:r>
        <w:rPr/>
        <w:t>για την ενσωμάτωση της</w:t>
      </w:r>
      <w:r>
        <w:rPr>
          <w:spacing w:val="-1"/>
        </w:rPr>
        <w:t> </w:t>
      </w:r>
      <w:r>
        <w:rPr/>
        <w:t>τεχνολογίας DLT</w:t>
      </w:r>
      <w:r>
        <w:rPr>
          <w:spacing w:val="-1"/>
        </w:rPr>
        <w:t> </w:t>
      </w:r>
      <w:r>
        <w:rPr/>
        <w:t>στις</w:t>
      </w:r>
      <w:r>
        <w:rPr>
          <w:spacing w:val="-1"/>
        </w:rPr>
        <w:t> </w:t>
      </w:r>
      <w:r>
        <w:rPr/>
        <w:t>χρηματοπιστωτικές</w:t>
      </w:r>
      <w:r>
        <w:rPr>
          <w:spacing w:val="-1"/>
        </w:rPr>
        <w:t> </w:t>
      </w:r>
      <w:r>
        <w:rPr/>
        <w:t>αγορές</w:t>
      </w:r>
      <w:r>
        <w:rPr>
          <w:spacing w:val="-3"/>
        </w:rPr>
        <w:t> </w:t>
      </w:r>
      <w:r>
        <w:rPr/>
        <w:t>επικεντρώνεται</w:t>
      </w:r>
      <w:r>
        <w:rPr>
          <w:spacing w:val="-2"/>
        </w:rPr>
        <w:t> </w:t>
      </w:r>
      <w:r>
        <w:rPr/>
        <w:t>στη διερεύνηση ασφαλών και</w:t>
      </w:r>
      <w:r>
        <w:rPr>
          <w:spacing w:val="-10"/>
        </w:rPr>
        <w:t> </w:t>
      </w:r>
      <w:r>
        <w:rPr/>
        <w:t>αποδοτικών</w:t>
      </w:r>
      <w:r>
        <w:rPr>
          <w:spacing w:val="-10"/>
        </w:rPr>
        <w:t> </w:t>
      </w:r>
      <w:r>
        <w:rPr/>
        <w:t>μηχανισμών</w:t>
      </w:r>
      <w:r>
        <w:rPr>
          <w:spacing w:val="-10"/>
        </w:rPr>
        <w:t> </w:t>
      </w:r>
      <w:r>
        <w:rPr/>
        <w:t>διακανονισμού</w:t>
      </w:r>
      <w:r>
        <w:rPr>
          <w:spacing w:val="-10"/>
        </w:rPr>
        <w:t> </w:t>
      </w:r>
      <w:r>
        <w:rPr/>
        <w:t>συναλλαγών</w:t>
      </w:r>
      <w:r>
        <w:rPr>
          <w:spacing w:val="-12"/>
        </w:rPr>
        <w:t> </w:t>
      </w:r>
      <w:r>
        <w:rPr/>
        <w:t>σε</w:t>
      </w:r>
      <w:r>
        <w:rPr>
          <w:spacing w:val="-10"/>
        </w:rPr>
        <w:t> </w:t>
      </w:r>
      <w:r>
        <w:rPr/>
        <w:t>χρήμα</w:t>
      </w:r>
      <w:r>
        <w:rPr>
          <w:spacing w:val="-11"/>
        </w:rPr>
        <w:t> </w:t>
      </w:r>
      <w:r>
        <w:rPr/>
        <w:t>κεντρικής</w:t>
      </w:r>
      <w:r>
        <w:rPr>
          <w:spacing w:val="-7"/>
        </w:rPr>
        <w:t> </w:t>
      </w:r>
      <w:r>
        <w:rPr/>
        <w:t>τράπεζας</w:t>
      </w:r>
      <w:r>
        <w:rPr>
          <w:spacing w:val="-11"/>
        </w:rPr>
        <w:t> </w:t>
      </w:r>
      <w:r>
        <w:rPr/>
        <w:t>και</w:t>
      </w:r>
      <w:r>
        <w:rPr>
          <w:spacing w:val="-10"/>
        </w:rPr>
        <w:t> </w:t>
      </w:r>
      <w:r>
        <w:rPr/>
        <w:t>στην ανάπτυξη</w:t>
      </w:r>
      <w:r>
        <w:rPr>
          <w:spacing w:val="-13"/>
        </w:rPr>
        <w:t> </w:t>
      </w:r>
      <w:r>
        <w:rPr/>
        <w:t>ενοποιημένων</w:t>
      </w:r>
      <w:r>
        <w:rPr>
          <w:spacing w:val="-12"/>
        </w:rPr>
        <w:t> </w:t>
      </w:r>
      <w:r>
        <w:rPr/>
        <w:t>(integrated),</w:t>
      </w:r>
      <w:r>
        <w:rPr>
          <w:spacing w:val="-13"/>
        </w:rPr>
        <w:t> </w:t>
      </w:r>
      <w:r>
        <w:rPr/>
        <w:t>καινοτόμων</w:t>
      </w:r>
      <w:r>
        <w:rPr>
          <w:spacing w:val="-11"/>
        </w:rPr>
        <w:t> </w:t>
      </w:r>
      <w:r>
        <w:rPr/>
        <w:t>και</w:t>
      </w:r>
      <w:r>
        <w:rPr>
          <w:spacing w:val="-11"/>
        </w:rPr>
        <w:t> </w:t>
      </w:r>
      <w:r>
        <w:rPr/>
        <w:t>ανθεκτικών</w:t>
      </w:r>
      <w:r>
        <w:rPr>
          <w:spacing w:val="-12"/>
        </w:rPr>
        <w:t> </w:t>
      </w:r>
      <w:r>
        <w:rPr/>
        <w:t>tokenised</w:t>
      </w:r>
      <w:r>
        <w:rPr>
          <w:spacing w:val="-13"/>
        </w:rPr>
        <w:t> </w:t>
      </w:r>
      <w:r>
        <w:rPr/>
        <w:t>χρηματοπιστωτικών αγορών</w:t>
      </w:r>
      <w:r>
        <w:rPr>
          <w:spacing w:val="-1"/>
        </w:rPr>
        <w:t> </w:t>
      </w:r>
      <w:r>
        <w:rPr/>
        <w:t>στην</w:t>
      </w:r>
      <w:r>
        <w:rPr>
          <w:spacing w:val="-1"/>
        </w:rPr>
        <w:t> </w:t>
      </w:r>
      <w:r>
        <w:rPr/>
        <w:t>Ευρώπη.</w:t>
      </w:r>
      <w:r>
        <w:rPr>
          <w:spacing w:val="-2"/>
        </w:rPr>
        <w:t> </w:t>
      </w:r>
      <w:r>
        <w:rPr/>
        <w:t>Το</w:t>
      </w:r>
      <w:r>
        <w:rPr>
          <w:spacing w:val="-2"/>
        </w:rPr>
        <w:t> </w:t>
      </w:r>
      <w:r>
        <w:rPr/>
        <w:t>χρήμα</w:t>
      </w:r>
      <w:r>
        <w:rPr>
          <w:spacing w:val="-2"/>
        </w:rPr>
        <w:t> </w:t>
      </w:r>
      <w:r>
        <w:rPr/>
        <w:t>κεντρικής</w:t>
      </w:r>
      <w:r>
        <w:rPr>
          <w:spacing w:val="-4"/>
        </w:rPr>
        <w:t> </w:t>
      </w:r>
      <w:r>
        <w:rPr/>
        <w:t>τράπεζας</w:t>
      </w:r>
      <w:r>
        <w:rPr>
          <w:spacing w:val="-3"/>
        </w:rPr>
        <w:t> </w:t>
      </w:r>
      <w:r>
        <w:rPr/>
        <w:t>αποτελεί</w:t>
      </w:r>
      <w:r>
        <w:rPr>
          <w:spacing w:val="-2"/>
        </w:rPr>
        <w:t> </w:t>
      </w:r>
      <w:r>
        <w:rPr/>
        <w:t>την</w:t>
      </w:r>
      <w:r>
        <w:rPr>
          <w:spacing w:val="-1"/>
        </w:rPr>
        <w:t> </w:t>
      </w:r>
      <w:r>
        <w:rPr/>
        <w:t>ασφαλέστερη</w:t>
      </w:r>
      <w:r>
        <w:rPr>
          <w:spacing w:val="-2"/>
        </w:rPr>
        <w:t> </w:t>
      </w:r>
      <w:r>
        <w:rPr/>
        <w:t>και</w:t>
      </w:r>
      <w:r>
        <w:rPr>
          <w:spacing w:val="-2"/>
        </w:rPr>
        <w:t> </w:t>
      </w:r>
      <w:r>
        <w:rPr/>
        <w:t>πιο</w:t>
      </w:r>
      <w:r>
        <w:rPr>
          <w:spacing w:val="-2"/>
        </w:rPr>
        <w:t> </w:t>
      </w:r>
      <w:r>
        <w:rPr/>
        <w:t>ρευστή μορφή χρήματος που διασφαλίζει την ενιαία φύση του (singleness of money) και παρέχει μια άγκυρα σταθερότητας για τις πληρωμές.</w:t>
      </w:r>
    </w:p>
    <w:p>
      <w:pPr>
        <w:pStyle w:val="BodyText"/>
        <w:rPr>
          <w:sz w:val="20"/>
        </w:rPr>
      </w:pPr>
    </w:p>
    <w:p>
      <w:pPr>
        <w:pStyle w:val="BodyText"/>
        <w:rPr>
          <w:sz w:val="20"/>
        </w:rPr>
      </w:pPr>
    </w:p>
    <w:p>
      <w:pPr>
        <w:pStyle w:val="BodyText"/>
        <w:rPr>
          <w:sz w:val="20"/>
        </w:rPr>
      </w:pPr>
    </w:p>
    <w:p>
      <w:pPr>
        <w:pStyle w:val="BodyText"/>
        <w:spacing w:before="121"/>
        <w:rPr>
          <w:sz w:val="20"/>
        </w:rPr>
      </w:pPr>
      <w:r>
        <w:rPr>
          <w:sz w:val="20"/>
        </w:rPr>
        <mc:AlternateContent>
          <mc:Choice Requires="wps">
            <w:drawing>
              <wp:anchor distT="0" distB="0" distL="0" distR="0" allowOverlap="1" layoutInCell="1" locked="0" behindDoc="1" simplePos="0" relativeHeight="487684608">
                <wp:simplePos x="0" y="0"/>
                <wp:positionH relativeFrom="page">
                  <wp:posOffset>1009192</wp:posOffset>
                </wp:positionH>
                <wp:positionV relativeFrom="paragraph">
                  <wp:posOffset>238491</wp:posOffset>
                </wp:positionV>
                <wp:extent cx="1829435" cy="7620"/>
                <wp:effectExtent l="0" t="0" r="0" b="0"/>
                <wp:wrapTopAndBottom/>
                <wp:docPr id="808" name="Graphic 808"/>
                <wp:cNvGraphicFramePr>
                  <a:graphicFrameLocks/>
                </wp:cNvGraphicFramePr>
                <a:graphic>
                  <a:graphicData uri="http://schemas.microsoft.com/office/word/2010/wordprocessingShape">
                    <wps:wsp>
                      <wps:cNvPr id="808" name="Graphic 80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8.778833pt;width:144.020pt;height:.599980pt;mso-position-horizontal-relative:page;mso-position-vertical-relative:paragraph;z-index:-15631872;mso-wrap-distance-left:0;mso-wrap-distance-right:0" id="docshape755" filled="true" fillcolor="#000000" stroked="false">
                <v:fill type="solid"/>
                <w10:wrap type="topAndBottom"/>
              </v:rect>
            </w:pict>
          </mc:Fallback>
        </mc:AlternateContent>
      </w:r>
    </w:p>
    <w:p>
      <w:pPr>
        <w:spacing w:before="167"/>
        <w:ind w:left="30" w:right="0" w:firstLine="0"/>
        <w:jc w:val="left"/>
        <w:rPr>
          <w:sz w:val="16"/>
        </w:rPr>
      </w:pPr>
      <w:bookmarkStart w:name="_bookmark189" w:id="190"/>
      <w:bookmarkEnd w:id="190"/>
      <w:r>
        <w:rPr/>
      </w:r>
      <w:r>
        <w:rPr>
          <w:sz w:val="16"/>
          <w:vertAlign w:val="superscript"/>
        </w:rPr>
        <w:t>128</w:t>
      </w:r>
      <w:r>
        <w:rPr>
          <w:spacing w:val="-4"/>
          <w:sz w:val="16"/>
          <w:vertAlign w:val="baseline"/>
        </w:rPr>
        <w:t> </w:t>
      </w:r>
      <w:r>
        <w:rPr>
          <w:sz w:val="16"/>
          <w:vertAlign w:val="baseline"/>
        </w:rPr>
        <w:t>Βλ.:</w:t>
      </w:r>
      <w:r>
        <w:rPr>
          <w:spacing w:val="-5"/>
          <w:sz w:val="16"/>
          <w:vertAlign w:val="baseline"/>
        </w:rPr>
        <w:t> </w:t>
      </w:r>
      <w:hyperlink r:id="rId168">
        <w:r>
          <w:rPr>
            <w:color w:val="0000FF"/>
            <w:sz w:val="16"/>
            <w:u w:val="single" w:color="0000FF"/>
            <w:vertAlign w:val="baseline"/>
          </w:rPr>
          <w:t>ESMA</w:t>
        </w:r>
        <w:r>
          <w:rPr>
            <w:color w:val="0000FF"/>
            <w:spacing w:val="-4"/>
            <w:sz w:val="16"/>
            <w:u w:val="single" w:color="0000FF"/>
            <w:vertAlign w:val="baseline"/>
          </w:rPr>
          <w:t> </w:t>
        </w:r>
        <w:r>
          <w:rPr>
            <w:color w:val="0000FF"/>
            <w:sz w:val="16"/>
            <w:u w:val="single" w:color="0000FF"/>
            <w:vertAlign w:val="baseline"/>
          </w:rPr>
          <w:t>Report</w:t>
        </w:r>
        <w:r>
          <w:rPr>
            <w:color w:val="0000FF"/>
            <w:spacing w:val="-5"/>
            <w:sz w:val="16"/>
            <w:u w:val="single" w:color="0000FF"/>
            <w:vertAlign w:val="baseline"/>
          </w:rPr>
          <w:t> </w:t>
        </w:r>
        <w:r>
          <w:rPr>
            <w:color w:val="0000FF"/>
            <w:sz w:val="16"/>
            <w:u w:val="single" w:color="0000FF"/>
            <w:vertAlign w:val="baseline"/>
          </w:rPr>
          <w:t>on</w:t>
        </w:r>
        <w:r>
          <w:rPr>
            <w:color w:val="0000FF"/>
            <w:spacing w:val="-4"/>
            <w:sz w:val="16"/>
            <w:u w:val="single" w:color="0000FF"/>
            <w:vertAlign w:val="baseline"/>
          </w:rPr>
          <w:t> </w:t>
        </w:r>
        <w:r>
          <w:rPr>
            <w:color w:val="0000FF"/>
            <w:sz w:val="16"/>
            <w:u w:val="single" w:color="0000FF"/>
            <w:vertAlign w:val="baseline"/>
          </w:rPr>
          <w:t>the</w:t>
        </w:r>
        <w:r>
          <w:rPr>
            <w:color w:val="0000FF"/>
            <w:spacing w:val="-3"/>
            <w:sz w:val="16"/>
            <w:u w:val="single" w:color="0000FF"/>
            <w:vertAlign w:val="baseline"/>
          </w:rPr>
          <w:t> </w:t>
        </w:r>
        <w:r>
          <w:rPr>
            <w:color w:val="0000FF"/>
            <w:sz w:val="16"/>
            <w:u w:val="single" w:color="0000FF"/>
            <w:vertAlign w:val="baseline"/>
          </w:rPr>
          <w:t>Functioning</w:t>
        </w:r>
        <w:r>
          <w:rPr>
            <w:color w:val="0000FF"/>
            <w:spacing w:val="-3"/>
            <w:sz w:val="16"/>
            <w:u w:val="single" w:color="0000FF"/>
            <w:vertAlign w:val="baseline"/>
          </w:rPr>
          <w:t> </w:t>
        </w:r>
        <w:r>
          <w:rPr>
            <w:color w:val="0000FF"/>
            <w:sz w:val="16"/>
            <w:u w:val="single" w:color="0000FF"/>
            <w:vertAlign w:val="baseline"/>
          </w:rPr>
          <w:t>and</w:t>
        </w:r>
        <w:r>
          <w:rPr>
            <w:color w:val="0000FF"/>
            <w:spacing w:val="-4"/>
            <w:sz w:val="16"/>
            <w:u w:val="single" w:color="0000FF"/>
            <w:vertAlign w:val="baseline"/>
          </w:rPr>
          <w:t> </w:t>
        </w:r>
        <w:r>
          <w:rPr>
            <w:color w:val="0000FF"/>
            <w:sz w:val="16"/>
            <w:u w:val="single" w:color="0000FF"/>
            <w:vertAlign w:val="baseline"/>
          </w:rPr>
          <w:t>Review</w:t>
        </w:r>
        <w:r>
          <w:rPr>
            <w:color w:val="0000FF"/>
            <w:spacing w:val="-5"/>
            <w:sz w:val="16"/>
            <w:u w:val="single" w:color="0000FF"/>
            <w:vertAlign w:val="baseline"/>
          </w:rPr>
          <w:t> </w:t>
        </w:r>
        <w:r>
          <w:rPr>
            <w:color w:val="0000FF"/>
            <w:sz w:val="16"/>
            <w:u w:val="single" w:color="0000FF"/>
            <w:vertAlign w:val="baseline"/>
          </w:rPr>
          <w:t>of</w:t>
        </w:r>
        <w:r>
          <w:rPr>
            <w:color w:val="0000FF"/>
            <w:spacing w:val="-6"/>
            <w:sz w:val="16"/>
            <w:u w:val="single" w:color="0000FF"/>
            <w:vertAlign w:val="baseline"/>
          </w:rPr>
          <w:t> </w:t>
        </w:r>
        <w:r>
          <w:rPr>
            <w:color w:val="0000FF"/>
            <w:sz w:val="16"/>
            <w:u w:val="single" w:color="0000FF"/>
            <w:vertAlign w:val="baseline"/>
          </w:rPr>
          <w:t>the</w:t>
        </w:r>
        <w:r>
          <w:rPr>
            <w:color w:val="0000FF"/>
            <w:spacing w:val="-3"/>
            <w:sz w:val="16"/>
            <w:u w:val="single" w:color="0000FF"/>
            <w:vertAlign w:val="baseline"/>
          </w:rPr>
          <w:t> </w:t>
        </w:r>
        <w:r>
          <w:rPr>
            <w:color w:val="0000FF"/>
            <w:sz w:val="16"/>
            <w:u w:val="single" w:color="0000FF"/>
            <w:vertAlign w:val="baseline"/>
          </w:rPr>
          <w:t>DLT</w:t>
        </w:r>
        <w:r>
          <w:rPr>
            <w:color w:val="0000FF"/>
            <w:spacing w:val="-2"/>
            <w:sz w:val="16"/>
            <w:u w:val="single" w:color="0000FF"/>
            <w:vertAlign w:val="baseline"/>
          </w:rPr>
          <w:t> </w:t>
        </w:r>
        <w:r>
          <w:rPr>
            <w:color w:val="0000FF"/>
            <w:sz w:val="16"/>
            <w:u w:val="single" w:color="0000FF"/>
            <w:vertAlign w:val="baseline"/>
          </w:rPr>
          <w:t>Pilot</w:t>
        </w:r>
        <w:r>
          <w:rPr>
            <w:color w:val="0000FF"/>
            <w:spacing w:val="-5"/>
            <w:sz w:val="16"/>
            <w:u w:val="single" w:color="0000FF"/>
            <w:vertAlign w:val="baseline"/>
          </w:rPr>
          <w:t> </w:t>
        </w:r>
        <w:r>
          <w:rPr>
            <w:color w:val="0000FF"/>
            <w:spacing w:val="-2"/>
            <w:sz w:val="16"/>
            <w:u w:val="single" w:color="0000FF"/>
            <w:vertAlign w:val="baseline"/>
          </w:rPr>
          <w:t>Regime</w:t>
        </w:r>
        <w:r>
          <w:rPr>
            <w:spacing w:val="-2"/>
            <w:sz w:val="16"/>
            <w:vertAlign w:val="baseline"/>
          </w:rPr>
          <w:t>.</w:t>
        </w:r>
      </w:hyperlink>
    </w:p>
    <w:p>
      <w:pPr>
        <w:spacing w:before="18"/>
        <w:ind w:left="30" w:right="0" w:firstLine="0"/>
        <w:jc w:val="left"/>
        <w:rPr>
          <w:sz w:val="16"/>
        </w:rPr>
      </w:pPr>
      <w:bookmarkStart w:name="_bookmark190" w:id="191"/>
      <w:bookmarkEnd w:id="191"/>
      <w:r>
        <w:rPr/>
      </w:r>
      <w:r>
        <w:rPr>
          <w:sz w:val="16"/>
          <w:vertAlign w:val="superscript"/>
        </w:rPr>
        <w:t>129</w:t>
      </w:r>
      <w:r>
        <w:rPr>
          <w:sz w:val="16"/>
          <w:vertAlign w:val="baseline"/>
        </w:rPr>
        <w:t> Βλ. European Securities and Markets Authority, </w:t>
      </w:r>
      <w:hyperlink r:id="rId169">
        <w:r>
          <w:rPr>
            <w:color w:val="0000FF"/>
            <w:sz w:val="16"/>
            <w:u w:val="single" w:color="0000FF"/>
            <w:vertAlign w:val="baseline"/>
          </w:rPr>
          <w:t>Guidelines on standard forms, formats and templates to apply for permission to</w:t>
        </w:r>
      </w:hyperlink>
      <w:r>
        <w:rPr>
          <w:color w:val="0000FF"/>
          <w:spacing w:val="40"/>
          <w:sz w:val="16"/>
          <w:vertAlign w:val="baseline"/>
        </w:rPr>
        <w:t> </w:t>
      </w:r>
      <w:hyperlink r:id="rId169">
        <w:r>
          <w:rPr>
            <w:color w:val="0000FF"/>
            <w:sz w:val="16"/>
            <w:u w:val="single" w:color="0000FF"/>
            <w:vertAlign w:val="baseline"/>
          </w:rPr>
          <w:t>operate a DLT market infrastructure</w:t>
        </w:r>
        <w:r>
          <w:rPr>
            <w:sz w:val="16"/>
            <w:vertAlign w:val="baseline"/>
          </w:rPr>
          <w:t>.</w:t>
        </w:r>
      </w:hyperlink>
    </w:p>
    <w:p>
      <w:pPr>
        <w:spacing w:after="0"/>
        <w:jc w:val="left"/>
        <w:rPr>
          <w:sz w:val="16"/>
        </w:rPr>
        <w:sectPr>
          <w:pgSz w:w="11910" w:h="16850"/>
          <w:pgMar w:header="0" w:footer="1262" w:top="1060" w:bottom="1460" w:left="1559" w:right="1559"/>
        </w:sectPr>
      </w:pPr>
    </w:p>
    <w:p>
      <w:pPr>
        <w:pStyle w:val="BodyText"/>
        <w:spacing w:line="285" w:lineRule="auto" w:before="74"/>
        <w:ind w:left="30" w:right="246"/>
        <w:jc w:val="both"/>
      </w:pPr>
      <w:r>
        <w:rPr/>
        <w:t>Στόχος</w:t>
      </w:r>
      <w:r>
        <w:rPr>
          <w:spacing w:val="-16"/>
        </w:rPr>
        <w:t> </w:t>
      </w:r>
      <w:r>
        <w:rPr/>
        <w:t>της</w:t>
      </w:r>
      <w:r>
        <w:rPr>
          <w:spacing w:val="-14"/>
        </w:rPr>
        <w:t> </w:t>
      </w:r>
      <w:r>
        <w:rPr/>
        <w:t>στρατηγικής</w:t>
      </w:r>
      <w:r>
        <w:rPr>
          <w:spacing w:val="-14"/>
        </w:rPr>
        <w:t> </w:t>
      </w:r>
      <w:r>
        <w:rPr/>
        <w:t>είναι</w:t>
      </w:r>
      <w:r>
        <w:rPr>
          <w:spacing w:val="-13"/>
        </w:rPr>
        <w:t> </w:t>
      </w:r>
      <w:r>
        <w:rPr/>
        <w:t>η</w:t>
      </w:r>
      <w:r>
        <w:rPr>
          <w:spacing w:val="-14"/>
        </w:rPr>
        <w:t> </w:t>
      </w:r>
      <w:r>
        <w:rPr/>
        <w:t>αξιολόγηση</w:t>
      </w:r>
      <w:r>
        <w:rPr>
          <w:spacing w:val="-14"/>
        </w:rPr>
        <w:t> </w:t>
      </w:r>
      <w:r>
        <w:rPr/>
        <w:t>της</w:t>
      </w:r>
      <w:r>
        <w:rPr>
          <w:spacing w:val="-14"/>
        </w:rPr>
        <w:t> </w:t>
      </w:r>
      <w:r>
        <w:rPr/>
        <w:t>δυνατότητας</w:t>
      </w:r>
      <w:r>
        <w:rPr>
          <w:spacing w:val="-13"/>
        </w:rPr>
        <w:t> </w:t>
      </w:r>
      <w:r>
        <w:rPr/>
        <w:t>χρήσης</w:t>
      </w:r>
      <w:r>
        <w:rPr>
          <w:spacing w:val="-14"/>
        </w:rPr>
        <w:t> </w:t>
      </w:r>
      <w:r>
        <w:rPr/>
        <w:t>DLT</w:t>
      </w:r>
      <w:r>
        <w:rPr>
          <w:spacing w:val="-14"/>
        </w:rPr>
        <w:t> </w:t>
      </w:r>
      <w:r>
        <w:rPr/>
        <w:t>για</w:t>
      </w:r>
      <w:r>
        <w:rPr>
          <w:spacing w:val="-14"/>
        </w:rPr>
        <w:t> </w:t>
      </w:r>
      <w:r>
        <w:rPr/>
        <w:t>τον</w:t>
      </w:r>
      <w:r>
        <w:rPr>
          <w:spacing w:val="-13"/>
        </w:rPr>
        <w:t> </w:t>
      </w:r>
      <w:r>
        <w:rPr/>
        <w:t>εκσυγχρονισμό των</w:t>
      </w:r>
      <w:r>
        <w:rPr>
          <w:spacing w:val="-9"/>
        </w:rPr>
        <w:t> </w:t>
      </w:r>
      <w:r>
        <w:rPr/>
        <w:t>παραδοσιακών</w:t>
      </w:r>
      <w:r>
        <w:rPr>
          <w:spacing w:val="-9"/>
        </w:rPr>
        <w:t> </w:t>
      </w:r>
      <w:r>
        <w:rPr/>
        <w:t>διαδικασιών</w:t>
      </w:r>
      <w:r>
        <w:rPr>
          <w:spacing w:val="-9"/>
        </w:rPr>
        <w:t> </w:t>
      </w:r>
      <w:r>
        <w:rPr/>
        <w:t>έκδοσης,</w:t>
      </w:r>
      <w:r>
        <w:rPr>
          <w:spacing w:val="-9"/>
        </w:rPr>
        <w:t> </w:t>
      </w:r>
      <w:r>
        <w:rPr/>
        <w:t>διαπραγμάτευσης</w:t>
      </w:r>
      <w:r>
        <w:rPr>
          <w:spacing w:val="-10"/>
        </w:rPr>
        <w:t> </w:t>
      </w:r>
      <w:r>
        <w:rPr/>
        <w:t>και</w:t>
      </w:r>
      <w:r>
        <w:rPr>
          <w:spacing w:val="-9"/>
        </w:rPr>
        <w:t> </w:t>
      </w:r>
      <w:r>
        <w:rPr/>
        <w:t>διακανονισμού,</w:t>
      </w:r>
      <w:r>
        <w:rPr>
          <w:spacing w:val="-5"/>
        </w:rPr>
        <w:t> </w:t>
      </w:r>
      <w:r>
        <w:rPr/>
        <w:t>διασφαλίζοντας ταυτόχρονα την προστασία των επενδυτών και τη χρηματοπιστωτική σταθερότητα.</w:t>
      </w:r>
    </w:p>
    <w:p>
      <w:pPr>
        <w:pStyle w:val="BodyText"/>
        <w:spacing w:line="285" w:lineRule="auto" w:before="57"/>
        <w:ind w:left="30" w:right="252"/>
        <w:jc w:val="both"/>
        <w:rPr>
          <w:position w:val="7"/>
          <w:sz w:val="13"/>
        </w:rPr>
      </w:pPr>
      <w:r>
        <w:rPr/>
        <w:t>Βασιζόμενη στα αποτελέσματα του διερευνητικού έργου που διεξήγαγε το Ευρωσύστημα το 2024</w:t>
      </w:r>
      <w:hyperlink w:history="true" w:anchor="_bookmark191">
        <w:r>
          <w:rPr>
            <w:position w:val="7"/>
            <w:sz w:val="13"/>
          </w:rPr>
          <w:t>130</w:t>
        </w:r>
        <w:r>
          <w:rPr/>
          <w:t>,</w:t>
        </w:r>
      </w:hyperlink>
      <w:r>
        <w:rPr>
          <w:spacing w:val="-11"/>
        </w:rPr>
        <w:t> </w:t>
      </w:r>
      <w:r>
        <w:rPr/>
        <w:t>το</w:t>
      </w:r>
      <w:r>
        <w:rPr>
          <w:spacing w:val="-10"/>
        </w:rPr>
        <w:t> </w:t>
      </w:r>
      <w:r>
        <w:rPr/>
        <w:t>οποίο</w:t>
      </w:r>
      <w:r>
        <w:rPr>
          <w:spacing w:val="-10"/>
        </w:rPr>
        <w:t> </w:t>
      </w:r>
      <w:r>
        <w:rPr/>
        <w:t>επιβεβαίωσε</w:t>
      </w:r>
      <w:r>
        <w:rPr>
          <w:spacing w:val="-12"/>
        </w:rPr>
        <w:t> </w:t>
      </w:r>
      <w:r>
        <w:rPr/>
        <w:t>το</w:t>
      </w:r>
      <w:r>
        <w:rPr>
          <w:spacing w:val="-10"/>
        </w:rPr>
        <w:t> </w:t>
      </w:r>
      <w:r>
        <w:rPr/>
        <w:t>ενδιαφέρον</w:t>
      </w:r>
      <w:r>
        <w:rPr>
          <w:spacing w:val="-10"/>
        </w:rPr>
        <w:t> </w:t>
      </w:r>
      <w:r>
        <w:rPr/>
        <w:t>των</w:t>
      </w:r>
      <w:r>
        <w:rPr>
          <w:spacing w:val="-12"/>
        </w:rPr>
        <w:t> </w:t>
      </w:r>
      <w:r>
        <w:rPr/>
        <w:t>συμμετεχόντων</w:t>
      </w:r>
      <w:r>
        <w:rPr>
          <w:spacing w:val="-12"/>
        </w:rPr>
        <w:t> </w:t>
      </w:r>
      <w:r>
        <w:rPr/>
        <w:t>στις</w:t>
      </w:r>
      <w:r>
        <w:rPr>
          <w:spacing w:val="-11"/>
        </w:rPr>
        <w:t> </w:t>
      </w:r>
      <w:r>
        <w:rPr/>
        <w:t>αγορές</w:t>
      </w:r>
      <w:r>
        <w:rPr>
          <w:spacing w:val="-12"/>
        </w:rPr>
        <w:t> </w:t>
      </w:r>
      <w:r>
        <w:rPr/>
        <w:t>για</w:t>
      </w:r>
      <w:r>
        <w:rPr>
          <w:spacing w:val="-10"/>
        </w:rPr>
        <w:t> </w:t>
      </w:r>
      <w:r>
        <w:rPr/>
        <w:t>την</w:t>
      </w:r>
      <w:r>
        <w:rPr>
          <w:spacing w:val="-10"/>
        </w:rPr>
        <w:t> </w:t>
      </w:r>
      <w:r>
        <w:rPr/>
        <w:t>τεχνολογία DLT και τη χρήση tokens, η Ευρωπαϊκή Κεντρική Τράπεζα (ΕΚΤ) ανακοίνωσε τον Ιούλιο του 2025 την στρατηγική της που βασίζεται σε ένα ενιαίο πρόγραμμα με δύο άξονες</w:t>
      </w:r>
      <w:hyperlink w:history="true" w:anchor="_bookmark192">
        <w:r>
          <w:rPr/>
          <w:t>:</w:t>
        </w:r>
        <w:r>
          <w:rPr>
            <w:position w:val="7"/>
            <w:sz w:val="13"/>
          </w:rPr>
          <w:t>131</w:t>
        </w:r>
      </w:hyperlink>
    </w:p>
    <w:p>
      <w:pPr>
        <w:pStyle w:val="ListParagraph"/>
        <w:numPr>
          <w:ilvl w:val="0"/>
          <w:numId w:val="9"/>
        </w:numPr>
        <w:tabs>
          <w:tab w:pos="750" w:val="left" w:leader="none"/>
        </w:tabs>
        <w:spacing w:line="259" w:lineRule="auto" w:before="22" w:after="0"/>
        <w:ind w:left="750" w:right="249" w:hanging="360"/>
        <w:jc w:val="both"/>
        <w:rPr>
          <w:sz w:val="22"/>
        </w:rPr>
      </w:pPr>
      <w:r>
        <w:rPr>
          <w:sz w:val="22"/>
        </w:rPr>
        <w:t>το Pontes: βραχυπρόθεσμη</w:t>
      </w:r>
      <w:r>
        <w:rPr>
          <w:spacing w:val="-2"/>
          <w:sz w:val="22"/>
        </w:rPr>
        <w:t> </w:t>
      </w:r>
      <w:r>
        <w:rPr>
          <w:sz w:val="22"/>
        </w:rPr>
        <w:t>λύση – που στοχεύει</w:t>
      </w:r>
      <w:r>
        <w:rPr>
          <w:spacing w:val="-2"/>
          <w:sz w:val="22"/>
        </w:rPr>
        <w:t> </w:t>
      </w:r>
      <w:r>
        <w:rPr>
          <w:sz w:val="22"/>
        </w:rPr>
        <w:t>στη δημιουργία μιας</w:t>
      </w:r>
      <w:r>
        <w:rPr>
          <w:spacing w:val="-2"/>
          <w:sz w:val="22"/>
        </w:rPr>
        <w:t> </w:t>
      </w:r>
      <w:r>
        <w:rPr>
          <w:sz w:val="22"/>
        </w:rPr>
        <w:t>πλατφόρμας</w:t>
      </w:r>
      <w:r>
        <w:rPr>
          <w:spacing w:val="-1"/>
          <w:sz w:val="22"/>
        </w:rPr>
        <w:t> </w:t>
      </w:r>
      <w:r>
        <w:rPr>
          <w:sz w:val="22"/>
        </w:rPr>
        <w:t>DLT του Ευρωσυστήματος (γέφυρα) που θα</w:t>
      </w:r>
      <w:r>
        <w:rPr>
          <w:spacing w:val="-2"/>
          <w:sz w:val="22"/>
        </w:rPr>
        <w:t> </w:t>
      </w:r>
      <w:r>
        <w:rPr>
          <w:sz w:val="22"/>
        </w:rPr>
        <w:t>συνδέει τις πλατφόρμες DLT με τις υπάρχουσες υπηρεσίες TARGET του Ευρωσυστήματος. To Pontes θα επιτρέψει τον διακανονισμό tokenised</w:t>
      </w:r>
      <w:r>
        <w:rPr>
          <w:spacing w:val="-9"/>
          <w:sz w:val="22"/>
        </w:rPr>
        <w:t> </w:t>
      </w:r>
      <w:r>
        <w:rPr>
          <w:sz w:val="22"/>
        </w:rPr>
        <w:t>συναλλαγών</w:t>
      </w:r>
      <w:r>
        <w:rPr>
          <w:spacing w:val="-4"/>
          <w:sz w:val="22"/>
        </w:rPr>
        <w:t> </w:t>
      </w:r>
      <w:r>
        <w:rPr>
          <w:sz w:val="22"/>
        </w:rPr>
        <w:t>DLT</w:t>
      </w:r>
      <w:r>
        <w:rPr>
          <w:spacing w:val="-7"/>
          <w:sz w:val="22"/>
        </w:rPr>
        <w:t> </w:t>
      </w:r>
      <w:r>
        <w:rPr>
          <w:sz w:val="22"/>
        </w:rPr>
        <w:t>σε</w:t>
      </w:r>
      <w:r>
        <w:rPr>
          <w:spacing w:val="-8"/>
          <w:sz w:val="22"/>
        </w:rPr>
        <w:t> </w:t>
      </w:r>
      <w:r>
        <w:rPr>
          <w:sz w:val="22"/>
        </w:rPr>
        <w:t>χρήμα</w:t>
      </w:r>
      <w:r>
        <w:rPr>
          <w:spacing w:val="-9"/>
          <w:sz w:val="22"/>
        </w:rPr>
        <w:t> </w:t>
      </w:r>
      <w:r>
        <w:rPr>
          <w:sz w:val="22"/>
        </w:rPr>
        <w:t>κεντρικής</w:t>
      </w:r>
      <w:r>
        <w:rPr>
          <w:spacing w:val="-8"/>
          <w:sz w:val="22"/>
        </w:rPr>
        <w:t> </w:t>
      </w:r>
      <w:r>
        <w:rPr>
          <w:sz w:val="22"/>
        </w:rPr>
        <w:t>τράπεζας,</w:t>
      </w:r>
      <w:r>
        <w:rPr>
          <w:spacing w:val="-7"/>
          <w:sz w:val="22"/>
        </w:rPr>
        <w:t> </w:t>
      </w:r>
      <w:r>
        <w:rPr>
          <w:sz w:val="22"/>
        </w:rPr>
        <w:t>με</w:t>
      </w:r>
      <w:r>
        <w:rPr>
          <w:spacing w:val="-6"/>
          <w:sz w:val="22"/>
        </w:rPr>
        <w:t> </w:t>
      </w:r>
      <w:r>
        <w:rPr>
          <w:sz w:val="22"/>
        </w:rPr>
        <w:t>πιλοτική</w:t>
      </w:r>
      <w:r>
        <w:rPr>
          <w:spacing w:val="-6"/>
          <w:sz w:val="22"/>
        </w:rPr>
        <w:t> </w:t>
      </w:r>
      <w:r>
        <w:rPr>
          <w:sz w:val="22"/>
        </w:rPr>
        <w:t>παραγωγική</w:t>
      </w:r>
      <w:r>
        <w:rPr>
          <w:spacing w:val="-7"/>
          <w:sz w:val="22"/>
        </w:rPr>
        <w:t> </w:t>
      </w:r>
      <w:r>
        <w:rPr>
          <w:sz w:val="22"/>
        </w:rPr>
        <w:t>λει-τουργία</w:t>
      </w:r>
      <w:r>
        <w:rPr>
          <w:spacing w:val="-4"/>
          <w:sz w:val="22"/>
        </w:rPr>
        <w:t> </w:t>
      </w:r>
      <w:r>
        <w:rPr>
          <w:sz w:val="22"/>
        </w:rPr>
        <w:t>που</w:t>
      </w:r>
      <w:r>
        <w:rPr>
          <w:spacing w:val="-4"/>
          <w:sz w:val="22"/>
        </w:rPr>
        <w:t> </w:t>
      </w:r>
      <w:r>
        <w:rPr>
          <w:sz w:val="22"/>
        </w:rPr>
        <w:t>θα</w:t>
      </w:r>
      <w:r>
        <w:rPr>
          <w:spacing w:val="-8"/>
          <w:sz w:val="22"/>
        </w:rPr>
        <w:t> </w:t>
      </w:r>
      <w:r>
        <w:rPr>
          <w:sz w:val="22"/>
        </w:rPr>
        <w:t>ξεκινήσει</w:t>
      </w:r>
      <w:r>
        <w:rPr>
          <w:spacing w:val="-6"/>
          <w:sz w:val="22"/>
        </w:rPr>
        <w:t> </w:t>
      </w:r>
      <w:r>
        <w:rPr>
          <w:sz w:val="22"/>
        </w:rPr>
        <w:t>έως</w:t>
      </w:r>
      <w:r>
        <w:rPr>
          <w:spacing w:val="-6"/>
          <w:sz w:val="22"/>
        </w:rPr>
        <w:t> </w:t>
      </w:r>
      <w:r>
        <w:rPr>
          <w:sz w:val="22"/>
        </w:rPr>
        <w:t>το</w:t>
      </w:r>
      <w:r>
        <w:rPr>
          <w:spacing w:val="-5"/>
          <w:sz w:val="22"/>
        </w:rPr>
        <w:t> </w:t>
      </w:r>
      <w:r>
        <w:rPr>
          <w:sz w:val="22"/>
        </w:rPr>
        <w:t>τέλος</w:t>
      </w:r>
      <w:r>
        <w:rPr>
          <w:spacing w:val="-6"/>
          <w:sz w:val="22"/>
        </w:rPr>
        <w:t> </w:t>
      </w:r>
      <w:r>
        <w:rPr>
          <w:sz w:val="22"/>
        </w:rPr>
        <w:t>του</w:t>
      </w:r>
      <w:r>
        <w:rPr>
          <w:spacing w:val="-4"/>
          <w:sz w:val="22"/>
        </w:rPr>
        <w:t> </w:t>
      </w:r>
      <w:r>
        <w:rPr>
          <w:sz w:val="22"/>
        </w:rPr>
        <w:t>γ΄</w:t>
      </w:r>
      <w:r>
        <w:rPr>
          <w:spacing w:val="-4"/>
          <w:sz w:val="22"/>
        </w:rPr>
        <w:t> </w:t>
      </w:r>
      <w:r>
        <w:rPr>
          <w:sz w:val="22"/>
        </w:rPr>
        <w:t>τριμήνου</w:t>
      </w:r>
      <w:r>
        <w:rPr>
          <w:spacing w:val="-4"/>
          <w:sz w:val="22"/>
        </w:rPr>
        <w:t> </w:t>
      </w:r>
      <w:r>
        <w:rPr>
          <w:sz w:val="22"/>
        </w:rPr>
        <w:t>του</w:t>
      </w:r>
      <w:r>
        <w:rPr>
          <w:spacing w:val="-4"/>
          <w:sz w:val="22"/>
        </w:rPr>
        <w:t> </w:t>
      </w:r>
      <w:r>
        <w:rPr>
          <w:sz w:val="22"/>
        </w:rPr>
        <w:t>2026</w:t>
      </w:r>
      <w:r>
        <w:rPr>
          <w:spacing w:val="-5"/>
          <w:sz w:val="22"/>
        </w:rPr>
        <w:t> </w:t>
      </w:r>
      <w:r>
        <w:rPr>
          <w:sz w:val="22"/>
        </w:rPr>
        <w:t>θέτοντας</w:t>
      </w:r>
      <w:r>
        <w:rPr>
          <w:spacing w:val="-6"/>
          <w:sz w:val="22"/>
        </w:rPr>
        <w:t> </w:t>
      </w:r>
      <w:r>
        <w:rPr>
          <w:sz w:val="22"/>
        </w:rPr>
        <w:t>τις</w:t>
      </w:r>
      <w:r>
        <w:rPr>
          <w:spacing w:val="-5"/>
          <w:sz w:val="22"/>
        </w:rPr>
        <w:t> </w:t>
      </w:r>
      <w:r>
        <w:rPr>
          <w:sz w:val="22"/>
        </w:rPr>
        <w:t>βάσεις</w:t>
      </w:r>
      <w:r>
        <w:rPr>
          <w:spacing w:val="-8"/>
          <w:sz w:val="22"/>
        </w:rPr>
        <w:t> </w:t>
      </w:r>
      <w:r>
        <w:rPr>
          <w:sz w:val="22"/>
        </w:rPr>
        <w:t>για μελλοντικές εξελίξεις,</w:t>
      </w:r>
    </w:p>
    <w:p>
      <w:pPr>
        <w:pStyle w:val="ListParagraph"/>
        <w:numPr>
          <w:ilvl w:val="0"/>
          <w:numId w:val="9"/>
        </w:numPr>
        <w:tabs>
          <w:tab w:pos="750" w:val="left" w:leader="none"/>
        </w:tabs>
        <w:spacing w:line="259" w:lineRule="auto" w:before="0" w:after="0"/>
        <w:ind w:left="750" w:right="246" w:hanging="360"/>
        <w:jc w:val="both"/>
        <w:rPr>
          <w:sz w:val="22"/>
        </w:rPr>
      </w:pPr>
      <w:r>
        <w:rPr>
          <w:sz w:val="22"/>
        </w:rPr>
        <w:t>το Appia: μακροπρόθεσμη λύση – μια αναλυτική και διερευνητική πρωτοβουλία που ε-ξετάζει</w:t>
      </w:r>
      <w:r>
        <w:rPr>
          <w:spacing w:val="-7"/>
          <w:sz w:val="22"/>
        </w:rPr>
        <w:t> </w:t>
      </w:r>
      <w:r>
        <w:rPr>
          <w:sz w:val="22"/>
        </w:rPr>
        <w:t>τις</w:t>
      </w:r>
      <w:r>
        <w:rPr>
          <w:spacing w:val="-9"/>
          <w:sz w:val="22"/>
        </w:rPr>
        <w:t> </w:t>
      </w:r>
      <w:r>
        <w:rPr>
          <w:sz w:val="22"/>
        </w:rPr>
        <w:t>δυνατότητες</w:t>
      </w:r>
      <w:r>
        <w:rPr>
          <w:spacing w:val="-9"/>
          <w:sz w:val="22"/>
        </w:rPr>
        <w:t> </w:t>
      </w:r>
      <w:r>
        <w:rPr>
          <w:sz w:val="22"/>
        </w:rPr>
        <w:t>για</w:t>
      </w:r>
      <w:r>
        <w:rPr>
          <w:spacing w:val="-13"/>
          <w:sz w:val="22"/>
        </w:rPr>
        <w:t> </w:t>
      </w:r>
      <w:r>
        <w:rPr>
          <w:sz w:val="22"/>
        </w:rPr>
        <w:t>ένα</w:t>
      </w:r>
      <w:r>
        <w:rPr>
          <w:spacing w:val="-9"/>
          <w:sz w:val="22"/>
        </w:rPr>
        <w:t> </w:t>
      </w:r>
      <w:r>
        <w:rPr>
          <w:sz w:val="22"/>
        </w:rPr>
        <w:t>καινοτόμο</w:t>
      </w:r>
      <w:r>
        <w:rPr>
          <w:spacing w:val="-8"/>
          <w:sz w:val="22"/>
        </w:rPr>
        <w:t> </w:t>
      </w:r>
      <w:r>
        <w:rPr>
          <w:sz w:val="22"/>
        </w:rPr>
        <w:t>και</w:t>
      </w:r>
      <w:r>
        <w:rPr>
          <w:spacing w:val="-8"/>
          <w:sz w:val="22"/>
        </w:rPr>
        <w:t> </w:t>
      </w:r>
      <w:r>
        <w:rPr>
          <w:sz w:val="22"/>
        </w:rPr>
        <w:t>ολοκληρωμένο</w:t>
      </w:r>
      <w:r>
        <w:rPr>
          <w:spacing w:val="-7"/>
          <w:sz w:val="22"/>
        </w:rPr>
        <w:t> </w:t>
      </w:r>
      <w:r>
        <w:rPr>
          <w:sz w:val="22"/>
        </w:rPr>
        <w:t>tokenised</w:t>
      </w:r>
      <w:r>
        <w:rPr>
          <w:spacing w:val="-10"/>
          <w:sz w:val="22"/>
        </w:rPr>
        <w:t> </w:t>
      </w:r>
      <w:r>
        <w:rPr>
          <w:sz w:val="22"/>
        </w:rPr>
        <w:t>ευρωπαϊκό</w:t>
      </w:r>
      <w:r>
        <w:rPr>
          <w:spacing w:val="-8"/>
          <w:sz w:val="22"/>
        </w:rPr>
        <w:t> </w:t>
      </w:r>
      <w:r>
        <w:rPr>
          <w:sz w:val="22"/>
        </w:rPr>
        <w:t>χρη-ματοπιστωτικό οικοσύστημα βασισμένο στην τεχνολογία DLT, αναπτύσσοντας κοινά πρότυπα, πολιτικές και λειτουργικά δομικά στοιχεία,και όπου κεντρικό ρόλο θα έχει το χρήμα κεντρικής τράπεζας. Σύμφωνα με το “Appia Roadmap” που δημοσιεύθηκε το Μάρτιο του 2026</w:t>
      </w:r>
      <w:hyperlink w:history="true" w:anchor="_bookmark193">
        <w:r>
          <w:rPr>
            <w:sz w:val="22"/>
          </w:rPr>
          <w:t>,</w:t>
        </w:r>
        <w:r>
          <w:rPr>
            <w:position w:val="7"/>
            <w:sz w:val="13"/>
          </w:rPr>
          <w:t>132</w:t>
        </w:r>
      </w:hyperlink>
      <w:r>
        <w:rPr>
          <w:spacing w:val="27"/>
          <w:position w:val="7"/>
          <w:sz w:val="13"/>
        </w:rPr>
        <w:t> </w:t>
      </w:r>
      <w:r>
        <w:rPr>
          <w:sz w:val="22"/>
        </w:rPr>
        <w:t>οι στόχοι του Appia είναι: α) να διασφαλίσει την αποτελεσματικό-τητα</w:t>
      </w:r>
      <w:r>
        <w:rPr>
          <w:spacing w:val="-9"/>
          <w:sz w:val="22"/>
        </w:rPr>
        <w:t> </w:t>
      </w:r>
      <w:r>
        <w:rPr>
          <w:sz w:val="22"/>
        </w:rPr>
        <w:t>της</w:t>
      </w:r>
      <w:r>
        <w:rPr>
          <w:spacing w:val="-9"/>
          <w:sz w:val="22"/>
        </w:rPr>
        <w:t> </w:t>
      </w:r>
      <w:r>
        <w:rPr>
          <w:sz w:val="22"/>
        </w:rPr>
        <w:t>νομισματικής</w:t>
      </w:r>
      <w:r>
        <w:rPr>
          <w:spacing w:val="-9"/>
          <w:sz w:val="22"/>
        </w:rPr>
        <w:t> </w:t>
      </w:r>
      <w:r>
        <w:rPr>
          <w:sz w:val="22"/>
        </w:rPr>
        <w:t>πολιτικής,</w:t>
      </w:r>
      <w:r>
        <w:rPr>
          <w:spacing w:val="-8"/>
          <w:sz w:val="22"/>
        </w:rPr>
        <w:t> </w:t>
      </w:r>
      <w:r>
        <w:rPr>
          <w:sz w:val="22"/>
        </w:rPr>
        <w:t>τη</w:t>
      </w:r>
      <w:r>
        <w:rPr>
          <w:spacing w:val="-8"/>
          <w:sz w:val="22"/>
        </w:rPr>
        <w:t> </w:t>
      </w:r>
      <w:r>
        <w:rPr>
          <w:sz w:val="22"/>
        </w:rPr>
        <w:t>χρηματοπιστωτική</w:t>
      </w:r>
      <w:r>
        <w:rPr>
          <w:spacing w:val="-8"/>
          <w:sz w:val="22"/>
        </w:rPr>
        <w:t> </w:t>
      </w:r>
      <w:r>
        <w:rPr>
          <w:sz w:val="22"/>
        </w:rPr>
        <w:t>σταθερότητα</w:t>
      </w:r>
      <w:r>
        <w:rPr>
          <w:spacing w:val="-9"/>
          <w:sz w:val="22"/>
        </w:rPr>
        <w:t> </w:t>
      </w:r>
      <w:r>
        <w:rPr>
          <w:sz w:val="22"/>
        </w:rPr>
        <w:t>και</w:t>
      </w:r>
      <w:r>
        <w:rPr>
          <w:spacing w:val="-9"/>
          <w:sz w:val="22"/>
        </w:rPr>
        <w:t> </w:t>
      </w:r>
      <w:r>
        <w:rPr>
          <w:sz w:val="22"/>
        </w:rPr>
        <w:t>την</w:t>
      </w:r>
      <w:r>
        <w:rPr>
          <w:spacing w:val="-10"/>
          <w:sz w:val="22"/>
        </w:rPr>
        <w:t> </w:t>
      </w:r>
      <w:r>
        <w:rPr>
          <w:sz w:val="22"/>
        </w:rPr>
        <w:t>ομαλή</w:t>
      </w:r>
      <w:r>
        <w:rPr>
          <w:spacing w:val="-8"/>
          <w:sz w:val="22"/>
        </w:rPr>
        <w:t> </w:t>
      </w:r>
      <w:r>
        <w:rPr>
          <w:sz w:val="22"/>
        </w:rPr>
        <w:t>λει-τουργία</w:t>
      </w:r>
      <w:r>
        <w:rPr>
          <w:spacing w:val="-1"/>
          <w:sz w:val="22"/>
        </w:rPr>
        <w:t> </w:t>
      </w:r>
      <w:r>
        <w:rPr>
          <w:sz w:val="22"/>
        </w:rPr>
        <w:t>των</w:t>
      </w:r>
      <w:r>
        <w:rPr>
          <w:spacing w:val="-2"/>
          <w:sz w:val="22"/>
        </w:rPr>
        <w:t> </w:t>
      </w:r>
      <w:r>
        <w:rPr>
          <w:sz w:val="22"/>
        </w:rPr>
        <w:t>συστημάτων</w:t>
      </w:r>
      <w:r>
        <w:rPr>
          <w:spacing w:val="-2"/>
          <w:sz w:val="22"/>
        </w:rPr>
        <w:t> </w:t>
      </w:r>
      <w:r>
        <w:rPr>
          <w:sz w:val="22"/>
        </w:rPr>
        <w:t>πληρωμών,</w:t>
      </w:r>
      <w:r>
        <w:rPr>
          <w:spacing w:val="-1"/>
          <w:sz w:val="22"/>
        </w:rPr>
        <w:t> </w:t>
      </w:r>
      <w:r>
        <w:rPr>
          <w:sz w:val="22"/>
        </w:rPr>
        <w:t>β)</w:t>
      </w:r>
      <w:r>
        <w:rPr>
          <w:spacing w:val="-2"/>
          <w:sz w:val="22"/>
        </w:rPr>
        <w:t> </w:t>
      </w:r>
      <w:r>
        <w:rPr>
          <w:sz w:val="22"/>
        </w:rPr>
        <w:t>να</w:t>
      </w:r>
      <w:r>
        <w:rPr>
          <w:spacing w:val="-2"/>
          <w:sz w:val="22"/>
        </w:rPr>
        <w:t> </w:t>
      </w:r>
      <w:r>
        <w:rPr>
          <w:sz w:val="22"/>
        </w:rPr>
        <w:t>προωθήσει</w:t>
      </w:r>
      <w:r>
        <w:rPr>
          <w:spacing w:val="-1"/>
          <w:sz w:val="22"/>
        </w:rPr>
        <w:t> </w:t>
      </w:r>
      <w:r>
        <w:rPr>
          <w:sz w:val="22"/>
        </w:rPr>
        <w:t>ένα</w:t>
      </w:r>
      <w:r>
        <w:rPr>
          <w:spacing w:val="-4"/>
          <w:sz w:val="22"/>
        </w:rPr>
        <w:t> </w:t>
      </w:r>
      <w:r>
        <w:rPr>
          <w:sz w:val="22"/>
        </w:rPr>
        <w:t>πιο ολοκληρωμένο,</w:t>
      </w:r>
      <w:r>
        <w:rPr>
          <w:spacing w:val="-1"/>
          <w:sz w:val="22"/>
        </w:rPr>
        <w:t> </w:t>
      </w:r>
      <w:r>
        <w:rPr>
          <w:sz w:val="22"/>
        </w:rPr>
        <w:t>ανταγω-νιστικό</w:t>
      </w:r>
      <w:r>
        <w:rPr>
          <w:spacing w:val="-6"/>
          <w:sz w:val="22"/>
        </w:rPr>
        <w:t> </w:t>
      </w:r>
      <w:r>
        <w:rPr>
          <w:sz w:val="22"/>
        </w:rPr>
        <w:t>και</w:t>
      </w:r>
      <w:r>
        <w:rPr>
          <w:spacing w:val="-6"/>
          <w:sz w:val="22"/>
        </w:rPr>
        <w:t> </w:t>
      </w:r>
      <w:r>
        <w:rPr>
          <w:sz w:val="22"/>
        </w:rPr>
        <w:t>καινοτόμο</w:t>
      </w:r>
      <w:r>
        <w:rPr>
          <w:spacing w:val="-6"/>
          <w:sz w:val="22"/>
        </w:rPr>
        <w:t> </w:t>
      </w:r>
      <w:r>
        <w:rPr>
          <w:sz w:val="22"/>
        </w:rPr>
        <w:t>οικοσύστημα</w:t>
      </w:r>
      <w:r>
        <w:rPr>
          <w:spacing w:val="-6"/>
          <w:sz w:val="22"/>
        </w:rPr>
        <w:t> </w:t>
      </w:r>
      <w:r>
        <w:rPr>
          <w:sz w:val="22"/>
        </w:rPr>
        <w:t>μέσω</w:t>
      </w:r>
      <w:r>
        <w:rPr>
          <w:spacing w:val="-5"/>
          <w:sz w:val="22"/>
        </w:rPr>
        <w:t> </w:t>
      </w:r>
      <w:r>
        <w:rPr>
          <w:sz w:val="22"/>
        </w:rPr>
        <w:t>αποτελεσματικών</w:t>
      </w:r>
      <w:r>
        <w:rPr>
          <w:spacing w:val="-5"/>
          <w:sz w:val="22"/>
        </w:rPr>
        <w:t> </w:t>
      </w:r>
      <w:r>
        <w:rPr>
          <w:sz w:val="22"/>
        </w:rPr>
        <w:t>υποδομών</w:t>
      </w:r>
      <w:r>
        <w:rPr>
          <w:spacing w:val="-5"/>
          <w:sz w:val="22"/>
        </w:rPr>
        <w:t> </w:t>
      </w:r>
      <w:r>
        <w:rPr>
          <w:sz w:val="22"/>
        </w:rPr>
        <w:t>για</w:t>
      </w:r>
      <w:r>
        <w:rPr>
          <w:spacing w:val="-5"/>
          <w:sz w:val="22"/>
        </w:rPr>
        <w:t> </w:t>
      </w:r>
      <w:r>
        <w:rPr>
          <w:sz w:val="22"/>
        </w:rPr>
        <w:t>τις</w:t>
      </w:r>
      <w:r>
        <w:rPr>
          <w:spacing w:val="-6"/>
          <w:sz w:val="22"/>
        </w:rPr>
        <w:t> </w:t>
      </w:r>
      <w:r>
        <w:rPr>
          <w:sz w:val="22"/>
        </w:rPr>
        <w:t>χρηματο-πιστωτικές αγορές, γ) να υποστηρίξει τη στρατηγική αυτονομία και την ανθεκτικότητα των νομισματικών και χρηματοπιστωτικών συστημάτων της ΕΕ και δ) να ενισχύσει το ρόλο</w:t>
      </w:r>
      <w:r>
        <w:rPr>
          <w:spacing w:val="-3"/>
          <w:sz w:val="22"/>
        </w:rPr>
        <w:t> </w:t>
      </w:r>
      <w:r>
        <w:rPr>
          <w:sz w:val="22"/>
        </w:rPr>
        <w:t>του</w:t>
      </w:r>
      <w:r>
        <w:rPr>
          <w:spacing w:val="-1"/>
          <w:sz w:val="22"/>
        </w:rPr>
        <w:t> </w:t>
      </w:r>
      <w:r>
        <w:rPr>
          <w:sz w:val="22"/>
        </w:rPr>
        <w:t>ευρώ</w:t>
      </w:r>
      <w:r>
        <w:rPr>
          <w:spacing w:val="-1"/>
          <w:sz w:val="22"/>
        </w:rPr>
        <w:t> </w:t>
      </w:r>
      <w:r>
        <w:rPr>
          <w:sz w:val="22"/>
        </w:rPr>
        <w:t>ως</w:t>
      </w:r>
      <w:r>
        <w:rPr>
          <w:spacing w:val="-1"/>
          <w:sz w:val="22"/>
        </w:rPr>
        <w:t> </w:t>
      </w:r>
      <w:r>
        <w:rPr>
          <w:sz w:val="22"/>
        </w:rPr>
        <w:t>διεθνούς</w:t>
      </w:r>
      <w:r>
        <w:rPr>
          <w:spacing w:val="-4"/>
          <w:sz w:val="22"/>
        </w:rPr>
        <w:t> </w:t>
      </w:r>
      <w:r>
        <w:rPr>
          <w:sz w:val="22"/>
        </w:rPr>
        <w:t>νομίσματος. Ο</w:t>
      </w:r>
      <w:r>
        <w:rPr>
          <w:spacing w:val="-3"/>
          <w:sz w:val="22"/>
        </w:rPr>
        <w:t> </w:t>
      </w:r>
      <w:r>
        <w:rPr>
          <w:sz w:val="22"/>
        </w:rPr>
        <w:t>σχεδιασμός</w:t>
      </w:r>
      <w:r>
        <w:rPr>
          <w:spacing w:val="-1"/>
          <w:sz w:val="22"/>
        </w:rPr>
        <w:t> </w:t>
      </w:r>
      <w:r>
        <w:rPr>
          <w:sz w:val="22"/>
        </w:rPr>
        <w:t>αυτού</w:t>
      </w:r>
      <w:r>
        <w:rPr>
          <w:spacing w:val="-1"/>
          <w:sz w:val="22"/>
        </w:rPr>
        <w:t> </w:t>
      </w:r>
      <w:r>
        <w:rPr>
          <w:sz w:val="22"/>
        </w:rPr>
        <w:t>του</w:t>
      </w:r>
      <w:r>
        <w:rPr>
          <w:spacing w:val="-1"/>
          <w:sz w:val="22"/>
        </w:rPr>
        <w:t> </w:t>
      </w:r>
      <w:r>
        <w:rPr>
          <w:sz w:val="22"/>
        </w:rPr>
        <w:t>νέου οικοσυστήματος θα</w:t>
      </w:r>
      <w:r>
        <w:rPr>
          <w:spacing w:val="-14"/>
          <w:sz w:val="22"/>
        </w:rPr>
        <w:t> </w:t>
      </w:r>
      <w:r>
        <w:rPr>
          <w:sz w:val="22"/>
        </w:rPr>
        <w:t>βασιστεί</w:t>
      </w:r>
      <w:r>
        <w:rPr>
          <w:spacing w:val="-14"/>
          <w:sz w:val="22"/>
        </w:rPr>
        <w:t> </w:t>
      </w:r>
      <w:r>
        <w:rPr>
          <w:sz w:val="22"/>
        </w:rPr>
        <w:t>στη</w:t>
      </w:r>
      <w:r>
        <w:rPr>
          <w:spacing w:val="-14"/>
          <w:sz w:val="22"/>
        </w:rPr>
        <w:t> </w:t>
      </w:r>
      <w:r>
        <w:rPr>
          <w:sz w:val="22"/>
        </w:rPr>
        <w:t>στενή</w:t>
      </w:r>
      <w:r>
        <w:rPr>
          <w:spacing w:val="-12"/>
          <w:sz w:val="22"/>
        </w:rPr>
        <w:t> </w:t>
      </w:r>
      <w:r>
        <w:rPr>
          <w:sz w:val="22"/>
        </w:rPr>
        <w:t>συνεργασία</w:t>
      </w:r>
      <w:r>
        <w:rPr>
          <w:spacing w:val="-12"/>
          <w:sz w:val="22"/>
        </w:rPr>
        <w:t> </w:t>
      </w:r>
      <w:r>
        <w:rPr>
          <w:sz w:val="22"/>
        </w:rPr>
        <w:t>δημόσιου</w:t>
      </w:r>
      <w:r>
        <w:rPr>
          <w:spacing w:val="-10"/>
          <w:sz w:val="22"/>
        </w:rPr>
        <w:t> </w:t>
      </w:r>
      <w:r>
        <w:rPr>
          <w:sz w:val="22"/>
        </w:rPr>
        <w:t>και</w:t>
      </w:r>
      <w:r>
        <w:rPr>
          <w:spacing w:val="-11"/>
          <w:sz w:val="22"/>
        </w:rPr>
        <w:t> </w:t>
      </w:r>
      <w:r>
        <w:rPr>
          <w:sz w:val="22"/>
        </w:rPr>
        <w:t>ιδιωτικού</w:t>
      </w:r>
      <w:r>
        <w:rPr>
          <w:spacing w:val="-11"/>
          <w:sz w:val="22"/>
        </w:rPr>
        <w:t> </w:t>
      </w:r>
      <w:r>
        <w:rPr>
          <w:sz w:val="22"/>
        </w:rPr>
        <w:t>τομέα</w:t>
      </w:r>
      <w:r>
        <w:rPr>
          <w:spacing w:val="-10"/>
          <w:sz w:val="22"/>
        </w:rPr>
        <w:t> </w:t>
      </w:r>
      <w:r>
        <w:rPr>
          <w:sz w:val="22"/>
        </w:rPr>
        <w:t>με</w:t>
      </w:r>
      <w:r>
        <w:rPr>
          <w:spacing w:val="-14"/>
          <w:sz w:val="22"/>
        </w:rPr>
        <w:t> </w:t>
      </w:r>
      <w:r>
        <w:rPr>
          <w:sz w:val="22"/>
        </w:rPr>
        <w:t>στόχο</w:t>
      </w:r>
      <w:r>
        <w:rPr>
          <w:spacing w:val="-14"/>
          <w:sz w:val="22"/>
        </w:rPr>
        <w:t> </w:t>
      </w:r>
      <w:r>
        <w:rPr>
          <w:sz w:val="22"/>
        </w:rPr>
        <w:t>την</w:t>
      </w:r>
      <w:r>
        <w:rPr>
          <w:spacing w:val="-11"/>
          <w:sz w:val="22"/>
        </w:rPr>
        <w:t> </w:t>
      </w:r>
      <w:r>
        <w:rPr>
          <w:sz w:val="22"/>
        </w:rPr>
        <w:t>ανάπτυξη ενός</w:t>
      </w:r>
      <w:r>
        <w:rPr>
          <w:spacing w:val="-8"/>
          <w:sz w:val="22"/>
        </w:rPr>
        <w:t> </w:t>
      </w:r>
      <w:r>
        <w:rPr>
          <w:sz w:val="22"/>
        </w:rPr>
        <w:t>σχεδίου</w:t>
      </w:r>
      <w:r>
        <w:rPr>
          <w:spacing w:val="-6"/>
          <w:sz w:val="22"/>
        </w:rPr>
        <w:t> </w:t>
      </w:r>
      <w:r>
        <w:rPr>
          <w:sz w:val="22"/>
        </w:rPr>
        <w:t>(blueprint)</w:t>
      </w:r>
      <w:r>
        <w:rPr>
          <w:spacing w:val="-6"/>
          <w:sz w:val="22"/>
        </w:rPr>
        <w:t> </w:t>
      </w:r>
      <w:r>
        <w:rPr>
          <w:sz w:val="22"/>
        </w:rPr>
        <w:t>που</w:t>
      </w:r>
      <w:r>
        <w:rPr>
          <w:spacing w:val="-6"/>
          <w:sz w:val="22"/>
        </w:rPr>
        <w:t> </w:t>
      </w:r>
      <w:r>
        <w:rPr>
          <w:sz w:val="22"/>
        </w:rPr>
        <w:t>θα</w:t>
      </w:r>
      <w:r>
        <w:rPr>
          <w:spacing w:val="-4"/>
          <w:sz w:val="22"/>
        </w:rPr>
        <w:t> </w:t>
      </w:r>
      <w:r>
        <w:rPr>
          <w:sz w:val="22"/>
        </w:rPr>
        <w:t>δημοσιευθεί</w:t>
      </w:r>
      <w:r>
        <w:rPr>
          <w:spacing w:val="-6"/>
          <w:sz w:val="22"/>
        </w:rPr>
        <w:t> </w:t>
      </w:r>
      <w:r>
        <w:rPr>
          <w:sz w:val="22"/>
        </w:rPr>
        <w:t>το</w:t>
      </w:r>
      <w:r>
        <w:rPr>
          <w:spacing w:val="-7"/>
          <w:sz w:val="22"/>
        </w:rPr>
        <w:t> </w:t>
      </w:r>
      <w:r>
        <w:rPr>
          <w:sz w:val="22"/>
        </w:rPr>
        <w:t>2028.</w:t>
      </w:r>
      <w:r>
        <w:rPr>
          <w:spacing w:val="-9"/>
          <w:sz w:val="22"/>
        </w:rPr>
        <w:t> </w:t>
      </w:r>
      <w:r>
        <w:rPr>
          <w:sz w:val="22"/>
        </w:rPr>
        <w:t>Μαζί</w:t>
      </w:r>
      <w:r>
        <w:rPr>
          <w:spacing w:val="-7"/>
          <w:sz w:val="22"/>
        </w:rPr>
        <w:t> </w:t>
      </w:r>
      <w:r>
        <w:rPr>
          <w:sz w:val="22"/>
        </w:rPr>
        <w:t>με</w:t>
      </w:r>
      <w:r>
        <w:rPr>
          <w:spacing w:val="-6"/>
          <w:sz w:val="22"/>
        </w:rPr>
        <w:t> </w:t>
      </w:r>
      <w:r>
        <w:rPr>
          <w:sz w:val="22"/>
        </w:rPr>
        <w:t>το</w:t>
      </w:r>
      <w:r>
        <w:rPr>
          <w:spacing w:val="-7"/>
          <w:sz w:val="22"/>
        </w:rPr>
        <w:t> </w:t>
      </w:r>
      <w:r>
        <w:rPr>
          <w:sz w:val="22"/>
        </w:rPr>
        <w:t>Appia</w:t>
      </w:r>
      <w:r>
        <w:rPr>
          <w:spacing w:val="-7"/>
          <w:sz w:val="22"/>
        </w:rPr>
        <w:t> </w:t>
      </w:r>
      <w:r>
        <w:rPr>
          <w:sz w:val="22"/>
        </w:rPr>
        <w:t>Roadmap</w:t>
      </w:r>
      <w:r>
        <w:rPr>
          <w:spacing w:val="-9"/>
          <w:sz w:val="22"/>
        </w:rPr>
        <w:t> </w:t>
      </w:r>
      <w:r>
        <w:rPr>
          <w:sz w:val="22"/>
        </w:rPr>
        <w:t>δημο-σιεύθηκε και μια σχετική δημόσια διαβούλευση</w:t>
      </w:r>
      <w:hyperlink w:history="true" w:anchor="_bookmark194">
        <w:r>
          <w:rPr>
            <w:position w:val="6"/>
            <w:sz w:val="10"/>
          </w:rPr>
          <w:t>133</w:t>
        </w:r>
      </w:hyperlink>
      <w:r>
        <w:rPr>
          <w:spacing w:val="40"/>
          <w:position w:val="6"/>
          <w:sz w:val="10"/>
        </w:rPr>
        <w:t> </w:t>
      </w:r>
      <w:r>
        <w:rPr>
          <w:sz w:val="22"/>
        </w:rPr>
        <w:t>μέσω της οποίας τα ενδιαφερόμενα μέρη</w:t>
      </w:r>
      <w:r>
        <w:rPr>
          <w:spacing w:val="-2"/>
          <w:sz w:val="22"/>
        </w:rPr>
        <w:t> </w:t>
      </w:r>
      <w:r>
        <w:rPr>
          <w:sz w:val="22"/>
        </w:rPr>
        <w:t>μπορούν</w:t>
      </w:r>
      <w:r>
        <w:rPr>
          <w:spacing w:val="-1"/>
          <w:sz w:val="22"/>
        </w:rPr>
        <w:t> </w:t>
      </w:r>
      <w:r>
        <w:rPr>
          <w:sz w:val="22"/>
        </w:rPr>
        <w:t>να</w:t>
      </w:r>
      <w:r>
        <w:rPr>
          <w:spacing w:val="-2"/>
          <w:sz w:val="22"/>
        </w:rPr>
        <w:t> </w:t>
      </w:r>
      <w:r>
        <w:rPr>
          <w:sz w:val="22"/>
        </w:rPr>
        <w:t>παρέχουν</w:t>
      </w:r>
      <w:r>
        <w:rPr>
          <w:spacing w:val="-4"/>
          <w:sz w:val="22"/>
        </w:rPr>
        <w:t> </w:t>
      </w:r>
      <w:r>
        <w:rPr>
          <w:sz w:val="22"/>
        </w:rPr>
        <w:t>σχόλια</w:t>
      </w:r>
      <w:r>
        <w:rPr>
          <w:spacing w:val="-2"/>
          <w:sz w:val="22"/>
        </w:rPr>
        <w:t> </w:t>
      </w:r>
      <w:r>
        <w:rPr>
          <w:sz w:val="22"/>
        </w:rPr>
        <w:t>σχετικά</w:t>
      </w:r>
      <w:r>
        <w:rPr>
          <w:spacing w:val="-3"/>
          <w:sz w:val="22"/>
        </w:rPr>
        <w:t> </w:t>
      </w:r>
      <w:r>
        <w:rPr>
          <w:sz w:val="22"/>
        </w:rPr>
        <w:t>με</w:t>
      </w:r>
      <w:r>
        <w:rPr>
          <w:spacing w:val="-2"/>
          <w:sz w:val="22"/>
        </w:rPr>
        <w:t> </w:t>
      </w:r>
      <w:r>
        <w:rPr>
          <w:sz w:val="22"/>
        </w:rPr>
        <w:t>την</w:t>
      </w:r>
      <w:r>
        <w:rPr>
          <w:spacing w:val="-2"/>
          <w:sz w:val="22"/>
        </w:rPr>
        <w:t> </w:t>
      </w:r>
      <w:r>
        <w:rPr>
          <w:sz w:val="22"/>
        </w:rPr>
        <w:t>προσέγγιση του</w:t>
      </w:r>
      <w:r>
        <w:rPr>
          <w:spacing w:val="-1"/>
          <w:sz w:val="22"/>
        </w:rPr>
        <w:t> </w:t>
      </w:r>
      <w:r>
        <w:rPr>
          <w:sz w:val="22"/>
        </w:rPr>
        <w:t>Appia,</w:t>
      </w:r>
      <w:r>
        <w:rPr>
          <w:spacing w:val="-2"/>
          <w:sz w:val="22"/>
        </w:rPr>
        <w:t> </w:t>
      </w:r>
      <w:r>
        <w:rPr>
          <w:sz w:val="22"/>
        </w:rPr>
        <w:t>καθώς</w:t>
      </w:r>
      <w:r>
        <w:rPr>
          <w:spacing w:val="-3"/>
          <w:sz w:val="22"/>
        </w:rPr>
        <w:t> </w:t>
      </w:r>
      <w:r>
        <w:rPr>
          <w:sz w:val="22"/>
        </w:rPr>
        <w:t>και</w:t>
      </w:r>
      <w:r>
        <w:rPr>
          <w:spacing w:val="-2"/>
          <w:sz w:val="22"/>
        </w:rPr>
        <w:t> </w:t>
      </w:r>
      <w:r>
        <w:rPr>
          <w:sz w:val="22"/>
        </w:rPr>
        <w:t>να δηλώσουν</w:t>
      </w:r>
      <w:r>
        <w:rPr>
          <w:spacing w:val="-6"/>
          <w:sz w:val="22"/>
        </w:rPr>
        <w:t> </w:t>
      </w:r>
      <w:r>
        <w:rPr>
          <w:sz w:val="22"/>
        </w:rPr>
        <w:t>την</w:t>
      </w:r>
      <w:r>
        <w:rPr>
          <w:spacing w:val="-7"/>
          <w:sz w:val="22"/>
        </w:rPr>
        <w:t> </w:t>
      </w:r>
      <w:r>
        <w:rPr>
          <w:sz w:val="22"/>
        </w:rPr>
        <w:t>πρόθεσή</w:t>
      </w:r>
      <w:r>
        <w:rPr>
          <w:spacing w:val="-6"/>
          <w:sz w:val="22"/>
        </w:rPr>
        <w:t> </w:t>
      </w:r>
      <w:r>
        <w:rPr>
          <w:sz w:val="22"/>
        </w:rPr>
        <w:t>τους</w:t>
      </w:r>
      <w:r>
        <w:rPr>
          <w:spacing w:val="-8"/>
          <w:sz w:val="22"/>
        </w:rPr>
        <w:t> </w:t>
      </w:r>
      <w:r>
        <w:rPr>
          <w:sz w:val="22"/>
        </w:rPr>
        <w:t>να</w:t>
      </w:r>
      <w:r>
        <w:rPr>
          <w:spacing w:val="-8"/>
          <w:sz w:val="22"/>
        </w:rPr>
        <w:t> </w:t>
      </w:r>
      <w:r>
        <w:rPr>
          <w:sz w:val="22"/>
        </w:rPr>
        <w:t>συμμετάσχουν</w:t>
      </w:r>
      <w:r>
        <w:rPr>
          <w:spacing w:val="-9"/>
          <w:sz w:val="22"/>
        </w:rPr>
        <w:t> </w:t>
      </w:r>
      <w:r>
        <w:rPr>
          <w:sz w:val="22"/>
        </w:rPr>
        <w:t>ενεργά</w:t>
      </w:r>
      <w:r>
        <w:rPr>
          <w:spacing w:val="-10"/>
          <w:sz w:val="22"/>
        </w:rPr>
        <w:t> </w:t>
      </w:r>
      <w:r>
        <w:rPr>
          <w:sz w:val="22"/>
        </w:rPr>
        <w:t>στο</w:t>
      </w:r>
      <w:r>
        <w:rPr>
          <w:spacing w:val="-7"/>
          <w:sz w:val="22"/>
        </w:rPr>
        <w:t> </w:t>
      </w:r>
      <w:r>
        <w:rPr>
          <w:sz w:val="22"/>
        </w:rPr>
        <w:t>αναλυτικό</w:t>
      </w:r>
      <w:r>
        <w:rPr>
          <w:spacing w:val="-7"/>
          <w:sz w:val="22"/>
        </w:rPr>
        <w:t> </w:t>
      </w:r>
      <w:r>
        <w:rPr>
          <w:sz w:val="22"/>
        </w:rPr>
        <w:t>και</w:t>
      </w:r>
      <w:r>
        <w:rPr>
          <w:spacing w:val="-7"/>
          <w:sz w:val="22"/>
        </w:rPr>
        <w:t> </w:t>
      </w:r>
      <w:r>
        <w:rPr>
          <w:sz w:val="22"/>
        </w:rPr>
        <w:t>πρακτικό</w:t>
      </w:r>
      <w:r>
        <w:rPr>
          <w:spacing w:val="-7"/>
          <w:sz w:val="22"/>
        </w:rPr>
        <w:t> </w:t>
      </w:r>
      <w:r>
        <w:rPr>
          <w:sz w:val="22"/>
        </w:rPr>
        <w:t>έργο </w:t>
      </w:r>
      <w:r>
        <w:rPr>
          <w:spacing w:val="-4"/>
          <w:sz w:val="22"/>
        </w:rPr>
        <w:t>του.</w:t>
      </w:r>
    </w:p>
    <w:p>
      <w:pPr>
        <w:pStyle w:val="BodyText"/>
        <w:spacing w:line="285" w:lineRule="auto" w:before="190"/>
        <w:ind w:left="30" w:right="247"/>
        <w:jc w:val="both"/>
      </w:pPr>
      <w:r>
        <w:rPr/>
        <w:t>Επιπρόσθετα,</w:t>
      </w:r>
      <w:r>
        <w:rPr>
          <w:spacing w:val="-2"/>
        </w:rPr>
        <w:t> </w:t>
      </w:r>
      <w:r>
        <w:rPr/>
        <w:t>τον</w:t>
      </w:r>
      <w:r>
        <w:rPr>
          <w:spacing w:val="-1"/>
        </w:rPr>
        <w:t> </w:t>
      </w:r>
      <w:r>
        <w:rPr/>
        <w:t>Ιανουάριο</w:t>
      </w:r>
      <w:r>
        <w:rPr>
          <w:spacing w:val="-2"/>
        </w:rPr>
        <w:t> </w:t>
      </w:r>
      <w:r>
        <w:rPr/>
        <w:t>του</w:t>
      </w:r>
      <w:r>
        <w:rPr>
          <w:spacing w:val="-1"/>
        </w:rPr>
        <w:t> </w:t>
      </w:r>
      <w:r>
        <w:rPr/>
        <w:t>2026</w:t>
      </w:r>
      <w:r>
        <w:rPr>
          <w:spacing w:val="-2"/>
        </w:rPr>
        <w:t> </w:t>
      </w:r>
      <w:r>
        <w:rPr/>
        <w:t>η</w:t>
      </w:r>
      <w:r>
        <w:rPr>
          <w:spacing w:val="-2"/>
        </w:rPr>
        <w:t> </w:t>
      </w:r>
      <w:r>
        <w:rPr/>
        <w:t>ΕΚΤ</w:t>
      </w:r>
      <w:r>
        <w:rPr>
          <w:spacing w:val="-2"/>
        </w:rPr>
        <w:t> </w:t>
      </w:r>
      <w:r>
        <w:rPr/>
        <w:t>ανακοίνωσε</w:t>
      </w:r>
      <w:r>
        <w:rPr>
          <w:spacing w:val="-2"/>
        </w:rPr>
        <w:t> </w:t>
      </w:r>
      <w:r>
        <w:rPr/>
        <w:t>ότι,</w:t>
      </w:r>
      <w:r>
        <w:rPr>
          <w:spacing w:val="-2"/>
        </w:rPr>
        <w:t> </w:t>
      </w:r>
      <w:r>
        <w:rPr/>
        <w:t>από</w:t>
      </w:r>
      <w:r>
        <w:rPr>
          <w:spacing w:val="-2"/>
        </w:rPr>
        <w:t> </w:t>
      </w:r>
      <w:r>
        <w:rPr/>
        <w:t>τις</w:t>
      </w:r>
      <w:r>
        <w:rPr>
          <w:spacing w:val="-2"/>
        </w:rPr>
        <w:t> </w:t>
      </w:r>
      <w:r>
        <w:rPr/>
        <w:t>30</w:t>
      </w:r>
      <w:r>
        <w:rPr>
          <w:spacing w:val="-2"/>
        </w:rPr>
        <w:t> </w:t>
      </w:r>
      <w:r>
        <w:rPr/>
        <w:t>Μαρτίου</w:t>
      </w:r>
      <w:r>
        <w:rPr>
          <w:spacing w:val="-1"/>
        </w:rPr>
        <w:t> </w:t>
      </w:r>
      <w:r>
        <w:rPr/>
        <w:t>2026,</w:t>
      </w:r>
      <w:r>
        <w:rPr>
          <w:spacing w:val="-2"/>
        </w:rPr>
        <w:t> </w:t>
      </w:r>
      <w:r>
        <w:rPr/>
        <w:t>το</w:t>
      </w:r>
      <w:r>
        <w:rPr>
          <w:spacing w:val="-2"/>
        </w:rPr>
        <w:t> </w:t>
      </w:r>
      <w:r>
        <w:rPr/>
        <w:t>Ευ-ρωσύστημα</w:t>
      </w:r>
      <w:r>
        <w:rPr>
          <w:spacing w:val="-10"/>
        </w:rPr>
        <w:t> </w:t>
      </w:r>
      <w:r>
        <w:rPr/>
        <w:t>αναγνωρίζει</w:t>
      </w:r>
      <w:r>
        <w:rPr>
          <w:spacing w:val="-11"/>
        </w:rPr>
        <w:t> </w:t>
      </w:r>
      <w:r>
        <w:rPr/>
        <w:t>ως</w:t>
      </w:r>
      <w:r>
        <w:rPr>
          <w:spacing w:val="-13"/>
        </w:rPr>
        <w:t> </w:t>
      </w:r>
      <w:r>
        <w:rPr/>
        <w:t>αποδεκτές</w:t>
      </w:r>
      <w:r>
        <w:rPr>
          <w:spacing w:val="-11"/>
        </w:rPr>
        <w:t> </w:t>
      </w:r>
      <w:r>
        <w:rPr/>
        <w:t>εξασφαλίσεις</w:t>
      </w:r>
      <w:r>
        <w:rPr>
          <w:spacing w:val="-10"/>
        </w:rPr>
        <w:t> </w:t>
      </w:r>
      <w:r>
        <w:rPr/>
        <w:t>για</w:t>
      </w:r>
      <w:r>
        <w:rPr>
          <w:spacing w:val="-10"/>
        </w:rPr>
        <w:t> </w:t>
      </w:r>
      <w:r>
        <w:rPr/>
        <w:t>πράξεις</w:t>
      </w:r>
      <w:r>
        <w:rPr>
          <w:spacing w:val="-11"/>
        </w:rPr>
        <w:t> </w:t>
      </w:r>
      <w:r>
        <w:rPr/>
        <w:t>νομισματικής</w:t>
      </w:r>
      <w:r>
        <w:rPr>
          <w:spacing w:val="-11"/>
        </w:rPr>
        <w:t> </w:t>
      </w:r>
      <w:r>
        <w:rPr/>
        <w:t>πολιτικής</w:t>
      </w:r>
      <w:r>
        <w:rPr>
          <w:spacing w:val="-11"/>
        </w:rPr>
        <w:t> </w:t>
      </w:r>
      <w:r>
        <w:rPr/>
        <w:t>χρημα-τοπιστωτικά</w:t>
      </w:r>
      <w:r>
        <w:rPr>
          <w:spacing w:val="-4"/>
        </w:rPr>
        <w:t> </w:t>
      </w:r>
      <w:r>
        <w:rPr/>
        <w:t>μέσα</w:t>
      </w:r>
      <w:r>
        <w:rPr>
          <w:spacing w:val="-3"/>
        </w:rPr>
        <w:t> </w:t>
      </w:r>
      <w:r>
        <w:rPr/>
        <w:t>που</w:t>
      </w:r>
      <w:r>
        <w:rPr>
          <w:spacing w:val="-2"/>
        </w:rPr>
        <w:t> </w:t>
      </w:r>
      <w:r>
        <w:rPr/>
        <w:t>εκδίδονται</w:t>
      </w:r>
      <w:r>
        <w:rPr>
          <w:spacing w:val="-3"/>
        </w:rPr>
        <w:t> </w:t>
      </w:r>
      <w:r>
        <w:rPr/>
        <w:t>μέσω</w:t>
      </w:r>
      <w:r>
        <w:rPr>
          <w:spacing w:val="-2"/>
        </w:rPr>
        <w:t> </w:t>
      </w:r>
      <w:r>
        <w:rPr/>
        <w:t>κεντρικών</w:t>
      </w:r>
      <w:r>
        <w:rPr>
          <w:spacing w:val="-2"/>
        </w:rPr>
        <w:t> </w:t>
      </w:r>
      <w:r>
        <w:rPr/>
        <w:t>αποθετηρίων</w:t>
      </w:r>
      <w:r>
        <w:rPr>
          <w:spacing w:val="-2"/>
        </w:rPr>
        <w:t> </w:t>
      </w:r>
      <w:r>
        <w:rPr/>
        <w:t>τίτλων τα</w:t>
      </w:r>
      <w:r>
        <w:rPr>
          <w:spacing w:val="-6"/>
        </w:rPr>
        <w:t> </w:t>
      </w:r>
      <w:r>
        <w:rPr/>
        <w:t>οποία</w:t>
      </w:r>
      <w:r>
        <w:rPr>
          <w:spacing w:val="-6"/>
        </w:rPr>
        <w:t> </w:t>
      </w:r>
      <w:r>
        <w:rPr/>
        <w:t>παρέχουν</w:t>
      </w:r>
      <w:r>
        <w:rPr>
          <w:spacing w:val="-5"/>
        </w:rPr>
        <w:t> </w:t>
      </w:r>
      <w:r>
        <w:rPr/>
        <w:t>υπη-ρεσίες</w:t>
      </w:r>
      <w:r>
        <w:rPr>
          <w:spacing w:val="-8"/>
        </w:rPr>
        <w:t> </w:t>
      </w:r>
      <w:r>
        <w:rPr/>
        <w:t>βασισμένες</w:t>
      </w:r>
      <w:r>
        <w:rPr>
          <w:spacing w:val="-8"/>
        </w:rPr>
        <w:t> </w:t>
      </w:r>
      <w:r>
        <w:rPr/>
        <w:t>στην</w:t>
      </w:r>
      <w:r>
        <w:rPr>
          <w:spacing w:val="-6"/>
        </w:rPr>
        <w:t> </w:t>
      </w:r>
      <w:r>
        <w:rPr/>
        <w:t>τεχνολογία</w:t>
      </w:r>
      <w:r>
        <w:rPr>
          <w:spacing w:val="-7"/>
        </w:rPr>
        <w:t> </w:t>
      </w:r>
      <w:r>
        <w:rPr/>
        <w:t>DLT</w:t>
      </w:r>
      <w:hyperlink w:history="true" w:anchor="_bookmark195">
        <w:r>
          <w:rPr/>
          <w:t>.</w:t>
        </w:r>
        <w:r>
          <w:rPr>
            <w:position w:val="7"/>
            <w:sz w:val="13"/>
          </w:rPr>
          <w:t>134</w:t>
        </w:r>
      </w:hyperlink>
      <w:r>
        <w:rPr>
          <w:spacing w:val="15"/>
          <w:position w:val="7"/>
          <w:sz w:val="13"/>
        </w:rPr>
        <w:t> </w:t>
      </w:r>
      <w:r>
        <w:rPr/>
        <w:t>Παράλληλα,</w:t>
      </w:r>
      <w:r>
        <w:rPr>
          <w:spacing w:val="-10"/>
        </w:rPr>
        <w:t> </w:t>
      </w:r>
      <w:r>
        <w:rPr/>
        <w:t>διερευνά</w:t>
      </w:r>
      <w:r>
        <w:rPr>
          <w:spacing w:val="-8"/>
        </w:rPr>
        <w:t> </w:t>
      </w:r>
      <w:r>
        <w:rPr/>
        <w:t>εάν,</w:t>
      </w:r>
      <w:r>
        <w:rPr>
          <w:spacing w:val="-7"/>
        </w:rPr>
        <w:t> </w:t>
      </w:r>
      <w:r>
        <w:rPr/>
        <w:t>πώς</w:t>
      </w:r>
      <w:r>
        <w:rPr>
          <w:spacing w:val="-8"/>
        </w:rPr>
        <w:t> </w:t>
      </w:r>
      <w:r>
        <w:rPr/>
        <w:t>και</w:t>
      </w:r>
      <w:r>
        <w:rPr>
          <w:spacing w:val="-5"/>
        </w:rPr>
        <w:t> </w:t>
      </w:r>
      <w:r>
        <w:rPr/>
        <w:t>με</w:t>
      </w:r>
      <w:r>
        <w:rPr>
          <w:spacing w:val="-6"/>
        </w:rPr>
        <w:t> </w:t>
      </w:r>
      <w:r>
        <w:rPr/>
        <w:t>ποια</w:t>
      </w:r>
      <w:r>
        <w:rPr>
          <w:spacing w:val="-7"/>
        </w:rPr>
        <w:t> </w:t>
      </w:r>
      <w:r>
        <w:rPr/>
        <w:t>κριτήρια χρηματοπιστωτικά</w:t>
      </w:r>
      <w:r>
        <w:rPr>
          <w:spacing w:val="-6"/>
        </w:rPr>
        <w:t> </w:t>
      </w:r>
      <w:r>
        <w:rPr/>
        <w:t>μέσα</w:t>
      </w:r>
      <w:r>
        <w:rPr>
          <w:spacing w:val="-5"/>
        </w:rPr>
        <w:t> </w:t>
      </w:r>
      <w:r>
        <w:rPr/>
        <w:t>που</w:t>
      </w:r>
      <w:r>
        <w:rPr>
          <w:spacing w:val="-4"/>
        </w:rPr>
        <w:t> </w:t>
      </w:r>
      <w:r>
        <w:rPr/>
        <w:t>εκδίδονται</w:t>
      </w:r>
      <w:r>
        <w:rPr>
          <w:spacing w:val="-4"/>
        </w:rPr>
        <w:t> </w:t>
      </w:r>
      <w:r>
        <w:rPr/>
        <w:t>απευθείας</w:t>
      </w:r>
      <w:r>
        <w:rPr>
          <w:spacing w:val="-3"/>
        </w:rPr>
        <w:t> </w:t>
      </w:r>
      <w:r>
        <w:rPr/>
        <w:t>με</w:t>
      </w:r>
      <w:r>
        <w:rPr>
          <w:spacing w:val="-4"/>
        </w:rPr>
        <w:t> </w:t>
      </w:r>
      <w:r>
        <w:rPr/>
        <w:t>τεχνολογία</w:t>
      </w:r>
      <w:r>
        <w:rPr>
          <w:spacing w:val="-4"/>
        </w:rPr>
        <w:t> </w:t>
      </w:r>
      <w:r>
        <w:rPr/>
        <w:t>DLT</w:t>
      </w:r>
      <w:r>
        <w:rPr>
          <w:spacing w:val="-5"/>
        </w:rPr>
        <w:t> </w:t>
      </w:r>
      <w:r>
        <w:rPr/>
        <w:t>–</w:t>
      </w:r>
      <w:r>
        <w:rPr>
          <w:spacing w:val="-5"/>
        </w:rPr>
        <w:t> </w:t>
      </w:r>
      <w:r>
        <w:rPr/>
        <w:t>αλλά</w:t>
      </w:r>
      <w:r>
        <w:rPr>
          <w:spacing w:val="-5"/>
        </w:rPr>
        <w:t> </w:t>
      </w:r>
      <w:r>
        <w:rPr/>
        <w:t>δεν</w:t>
      </w:r>
      <w:r>
        <w:rPr>
          <w:spacing w:val="-6"/>
        </w:rPr>
        <w:t> </w:t>
      </w:r>
      <w:r>
        <w:rPr/>
        <w:t>εκπροσωπού-νται</w:t>
      </w:r>
      <w:r>
        <w:rPr>
          <w:spacing w:val="-5"/>
        </w:rPr>
        <w:t> </w:t>
      </w:r>
      <w:r>
        <w:rPr/>
        <w:t>σε</w:t>
      </w:r>
      <w:r>
        <w:rPr>
          <w:spacing w:val="-4"/>
        </w:rPr>
        <w:t> </w:t>
      </w:r>
      <w:r>
        <w:rPr/>
        <w:t>σύστημα</w:t>
      </w:r>
      <w:r>
        <w:rPr>
          <w:spacing w:val="-4"/>
        </w:rPr>
        <w:t> </w:t>
      </w:r>
      <w:r>
        <w:rPr/>
        <w:t>διακανονισμού</w:t>
      </w:r>
      <w:r>
        <w:rPr>
          <w:spacing w:val="-2"/>
        </w:rPr>
        <w:t> </w:t>
      </w:r>
      <w:r>
        <w:rPr/>
        <w:t>τίτλων</w:t>
      </w:r>
      <w:r>
        <w:rPr>
          <w:spacing w:val="-1"/>
        </w:rPr>
        <w:t> </w:t>
      </w:r>
      <w:r>
        <w:rPr/>
        <w:t>–</w:t>
      </w:r>
      <w:r>
        <w:rPr>
          <w:spacing w:val="-2"/>
        </w:rPr>
        <w:t> </w:t>
      </w:r>
      <w:r>
        <w:rPr/>
        <w:t>θα</w:t>
      </w:r>
      <w:r>
        <w:rPr>
          <w:spacing w:val="-5"/>
        </w:rPr>
        <w:t> </w:t>
      </w:r>
      <w:r>
        <w:rPr/>
        <w:t>μπορούσαν</w:t>
      </w:r>
      <w:r>
        <w:rPr>
          <w:spacing w:val="-2"/>
        </w:rPr>
        <w:t> </w:t>
      </w:r>
      <w:r>
        <w:rPr/>
        <w:t>επίσης</w:t>
      </w:r>
      <w:r>
        <w:rPr>
          <w:spacing w:val="-4"/>
        </w:rPr>
        <w:t> </w:t>
      </w:r>
      <w:r>
        <w:rPr/>
        <w:t>να</w:t>
      </w:r>
      <w:r>
        <w:rPr>
          <w:spacing w:val="-5"/>
        </w:rPr>
        <w:t> </w:t>
      </w:r>
      <w:r>
        <w:rPr/>
        <w:t>γίνουν</w:t>
      </w:r>
      <w:r>
        <w:rPr>
          <w:spacing w:val="-1"/>
        </w:rPr>
        <w:t> </w:t>
      </w:r>
      <w:r>
        <w:rPr/>
        <w:t>αποδεκτά</w:t>
      </w:r>
      <w:r>
        <w:rPr>
          <w:spacing w:val="-2"/>
        </w:rPr>
        <w:t> </w:t>
      </w:r>
      <w:r>
        <w:rPr/>
        <w:t>ως</w:t>
      </w:r>
      <w:r>
        <w:rPr>
          <w:spacing w:val="-2"/>
        </w:rPr>
        <w:t> </w:t>
      </w:r>
      <w:r>
        <w:rPr/>
        <w:t>εξασφα-λίσεις στο μέλλον.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r>
        <w:rPr>
          <w:sz w:val="20"/>
        </w:rPr>
        <mc:AlternateContent>
          <mc:Choice Requires="wps">
            <w:drawing>
              <wp:anchor distT="0" distB="0" distL="0" distR="0" allowOverlap="1" layoutInCell="1" locked="0" behindDoc="1" simplePos="0" relativeHeight="487685120">
                <wp:simplePos x="0" y="0"/>
                <wp:positionH relativeFrom="page">
                  <wp:posOffset>1009192</wp:posOffset>
                </wp:positionH>
                <wp:positionV relativeFrom="paragraph">
                  <wp:posOffset>186253</wp:posOffset>
                </wp:positionV>
                <wp:extent cx="1829435" cy="7620"/>
                <wp:effectExtent l="0" t="0" r="0" b="0"/>
                <wp:wrapTopAndBottom/>
                <wp:docPr id="809" name="Graphic 809"/>
                <wp:cNvGraphicFramePr>
                  <a:graphicFrameLocks/>
                </wp:cNvGraphicFramePr>
                <a:graphic>
                  <a:graphicData uri="http://schemas.microsoft.com/office/word/2010/wordprocessingShape">
                    <wps:wsp>
                      <wps:cNvPr id="809" name="Graphic 80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4.665596pt;width:144.020pt;height:.599980pt;mso-position-horizontal-relative:page;mso-position-vertical-relative:paragraph;z-index:-15631360;mso-wrap-distance-left:0;mso-wrap-distance-right:0" id="docshape756" filled="true" fillcolor="#000000" stroked="false">
                <v:fill type="solid"/>
                <w10:wrap type="topAndBottom"/>
              </v:rect>
            </w:pict>
          </mc:Fallback>
        </mc:AlternateContent>
      </w:r>
    </w:p>
    <w:p>
      <w:pPr>
        <w:spacing w:before="167"/>
        <w:ind w:left="30" w:right="0" w:firstLine="0"/>
        <w:jc w:val="left"/>
        <w:rPr>
          <w:sz w:val="16"/>
        </w:rPr>
      </w:pPr>
      <w:bookmarkStart w:name="_bookmark191" w:id="192"/>
      <w:bookmarkEnd w:id="192"/>
      <w:r>
        <w:rPr/>
      </w:r>
      <w:r>
        <w:rPr>
          <w:sz w:val="16"/>
          <w:vertAlign w:val="superscript"/>
        </w:rPr>
        <w:t>130</w:t>
      </w:r>
      <w:r>
        <w:rPr>
          <w:spacing w:val="-5"/>
          <w:sz w:val="16"/>
          <w:vertAlign w:val="baseline"/>
        </w:rPr>
        <w:t> </w:t>
      </w:r>
      <w:r>
        <w:rPr>
          <w:sz w:val="16"/>
          <w:vertAlign w:val="baseline"/>
        </w:rPr>
        <w:t>Βλ</w:t>
      </w:r>
      <w:hyperlink r:id="rId170">
        <w:r>
          <w:rPr>
            <w:sz w:val="16"/>
            <w:vertAlign w:val="baseline"/>
          </w:rPr>
          <w:t>.</w:t>
        </w:r>
        <w:r>
          <w:rPr>
            <w:color w:val="0000FF"/>
            <w:sz w:val="16"/>
            <w:u w:val="single" w:color="0000FF"/>
            <w:vertAlign w:val="baseline"/>
          </w:rPr>
          <w:t>The</w:t>
        </w:r>
        <w:r>
          <w:rPr>
            <w:color w:val="0000FF"/>
            <w:spacing w:val="-7"/>
            <w:sz w:val="16"/>
            <w:u w:val="single" w:color="0000FF"/>
            <w:vertAlign w:val="baseline"/>
          </w:rPr>
          <w:t> </w:t>
        </w:r>
        <w:r>
          <w:rPr>
            <w:color w:val="0000FF"/>
            <w:sz w:val="16"/>
            <w:u w:val="single" w:color="0000FF"/>
            <w:vertAlign w:val="baseline"/>
          </w:rPr>
          <w:t>Eurosystem’s</w:t>
        </w:r>
        <w:r>
          <w:rPr>
            <w:color w:val="0000FF"/>
            <w:spacing w:val="-4"/>
            <w:sz w:val="16"/>
            <w:u w:val="single" w:color="0000FF"/>
            <w:vertAlign w:val="baseline"/>
          </w:rPr>
          <w:t> </w:t>
        </w:r>
        <w:r>
          <w:rPr>
            <w:color w:val="0000FF"/>
            <w:sz w:val="16"/>
            <w:u w:val="single" w:color="0000FF"/>
            <w:vertAlign w:val="baseline"/>
          </w:rPr>
          <w:t>exploratory</w:t>
        </w:r>
        <w:r>
          <w:rPr>
            <w:color w:val="0000FF"/>
            <w:spacing w:val="-4"/>
            <w:sz w:val="16"/>
            <w:u w:val="single" w:color="0000FF"/>
            <w:vertAlign w:val="baseline"/>
          </w:rPr>
          <w:t> </w:t>
        </w:r>
        <w:r>
          <w:rPr>
            <w:color w:val="0000FF"/>
            <w:sz w:val="16"/>
            <w:u w:val="single" w:color="0000FF"/>
            <w:vertAlign w:val="baseline"/>
          </w:rPr>
          <w:t>work</w:t>
        </w:r>
        <w:r>
          <w:rPr>
            <w:color w:val="0000FF"/>
            <w:spacing w:val="-4"/>
            <w:sz w:val="16"/>
            <w:u w:val="single" w:color="0000FF"/>
            <w:vertAlign w:val="baseline"/>
          </w:rPr>
          <w:t> </w:t>
        </w:r>
        <w:r>
          <w:rPr>
            <w:color w:val="0000FF"/>
            <w:sz w:val="16"/>
            <w:u w:val="single" w:color="0000FF"/>
            <w:vertAlign w:val="baseline"/>
          </w:rPr>
          <w:t>on</w:t>
        </w:r>
        <w:r>
          <w:rPr>
            <w:color w:val="0000FF"/>
            <w:spacing w:val="-6"/>
            <w:sz w:val="16"/>
            <w:u w:val="single" w:color="0000FF"/>
            <w:vertAlign w:val="baseline"/>
          </w:rPr>
          <w:t> </w:t>
        </w:r>
        <w:r>
          <w:rPr>
            <w:color w:val="0000FF"/>
            <w:sz w:val="16"/>
            <w:u w:val="single" w:color="0000FF"/>
            <w:vertAlign w:val="baseline"/>
          </w:rPr>
          <w:t>new</w:t>
        </w:r>
        <w:r>
          <w:rPr>
            <w:color w:val="0000FF"/>
            <w:spacing w:val="-5"/>
            <w:sz w:val="16"/>
            <w:u w:val="single" w:color="0000FF"/>
            <w:vertAlign w:val="baseline"/>
          </w:rPr>
          <w:t> </w:t>
        </w:r>
        <w:r>
          <w:rPr>
            <w:color w:val="0000FF"/>
            <w:sz w:val="16"/>
            <w:u w:val="single" w:color="0000FF"/>
            <w:vertAlign w:val="baseline"/>
          </w:rPr>
          <w:t>technologies</w:t>
        </w:r>
        <w:r>
          <w:rPr>
            <w:color w:val="0000FF"/>
            <w:spacing w:val="-5"/>
            <w:sz w:val="16"/>
            <w:u w:val="single" w:color="0000FF"/>
            <w:vertAlign w:val="baseline"/>
          </w:rPr>
          <w:t> </w:t>
        </w:r>
        <w:r>
          <w:rPr>
            <w:color w:val="0000FF"/>
            <w:sz w:val="16"/>
            <w:u w:val="single" w:color="0000FF"/>
            <w:vertAlign w:val="baseline"/>
          </w:rPr>
          <w:t>for</w:t>
        </w:r>
        <w:r>
          <w:rPr>
            <w:color w:val="0000FF"/>
            <w:spacing w:val="-5"/>
            <w:sz w:val="16"/>
            <w:u w:val="single" w:color="0000FF"/>
            <w:vertAlign w:val="baseline"/>
          </w:rPr>
          <w:t> </w:t>
        </w:r>
        <w:r>
          <w:rPr>
            <w:color w:val="0000FF"/>
            <w:sz w:val="16"/>
            <w:u w:val="single" w:color="0000FF"/>
            <w:vertAlign w:val="baseline"/>
          </w:rPr>
          <w:t>wholesale</w:t>
        </w:r>
        <w:r>
          <w:rPr>
            <w:color w:val="0000FF"/>
            <w:spacing w:val="-7"/>
            <w:sz w:val="16"/>
            <w:u w:val="single" w:color="0000FF"/>
            <w:vertAlign w:val="baseline"/>
          </w:rPr>
          <w:t> </w:t>
        </w:r>
        <w:r>
          <w:rPr>
            <w:color w:val="0000FF"/>
            <w:sz w:val="16"/>
            <w:u w:val="single" w:color="0000FF"/>
            <w:vertAlign w:val="baseline"/>
          </w:rPr>
          <w:t>central</w:t>
        </w:r>
        <w:r>
          <w:rPr>
            <w:color w:val="0000FF"/>
            <w:spacing w:val="-5"/>
            <w:sz w:val="16"/>
            <w:u w:val="single" w:color="0000FF"/>
            <w:vertAlign w:val="baseline"/>
          </w:rPr>
          <w:t> </w:t>
        </w:r>
        <w:r>
          <w:rPr>
            <w:color w:val="0000FF"/>
            <w:sz w:val="16"/>
            <w:u w:val="single" w:color="0000FF"/>
            <w:vertAlign w:val="baseline"/>
          </w:rPr>
          <w:t>bank</w:t>
        </w:r>
        <w:r>
          <w:rPr>
            <w:color w:val="0000FF"/>
            <w:spacing w:val="-6"/>
            <w:sz w:val="16"/>
            <w:u w:val="single" w:color="0000FF"/>
            <w:vertAlign w:val="baseline"/>
          </w:rPr>
          <w:t> </w:t>
        </w:r>
        <w:r>
          <w:rPr>
            <w:color w:val="0000FF"/>
            <w:sz w:val="16"/>
            <w:u w:val="single" w:color="0000FF"/>
            <w:vertAlign w:val="baseline"/>
          </w:rPr>
          <w:t>money</w:t>
        </w:r>
        <w:r>
          <w:rPr>
            <w:color w:val="0000FF"/>
            <w:spacing w:val="-6"/>
            <w:sz w:val="16"/>
            <w:u w:val="single" w:color="0000FF"/>
            <w:vertAlign w:val="baseline"/>
          </w:rPr>
          <w:t> </w:t>
        </w:r>
        <w:r>
          <w:rPr>
            <w:color w:val="0000FF"/>
            <w:sz w:val="16"/>
            <w:u w:val="single" w:color="0000FF"/>
            <w:vertAlign w:val="baseline"/>
          </w:rPr>
          <w:t>settlement</w:t>
        </w:r>
        <w:r>
          <w:rPr>
            <w:sz w:val="16"/>
            <w:vertAlign w:val="baseline"/>
          </w:rPr>
          <w:t>,</w:t>
        </w:r>
      </w:hyperlink>
      <w:r>
        <w:rPr>
          <w:spacing w:val="-6"/>
          <w:sz w:val="16"/>
          <w:vertAlign w:val="baseline"/>
        </w:rPr>
        <w:t> </w:t>
      </w:r>
      <w:r>
        <w:rPr>
          <w:sz w:val="16"/>
          <w:vertAlign w:val="baseline"/>
        </w:rPr>
        <w:t>ECB,</w:t>
      </w:r>
      <w:r>
        <w:rPr>
          <w:spacing w:val="-7"/>
          <w:sz w:val="16"/>
          <w:vertAlign w:val="baseline"/>
        </w:rPr>
        <w:t> </w:t>
      </w:r>
      <w:r>
        <w:rPr>
          <w:sz w:val="16"/>
          <w:vertAlign w:val="baseline"/>
        </w:rPr>
        <w:t>June</w:t>
      </w:r>
      <w:r>
        <w:rPr>
          <w:spacing w:val="-6"/>
          <w:sz w:val="16"/>
          <w:vertAlign w:val="baseline"/>
        </w:rPr>
        <w:t> </w:t>
      </w:r>
      <w:r>
        <w:rPr>
          <w:spacing w:val="-2"/>
          <w:sz w:val="16"/>
          <w:vertAlign w:val="baseline"/>
        </w:rPr>
        <w:t>2025.</w:t>
      </w:r>
    </w:p>
    <w:p>
      <w:pPr>
        <w:spacing w:before="20"/>
        <w:ind w:left="30" w:right="0" w:firstLine="0"/>
        <w:jc w:val="left"/>
        <w:rPr>
          <w:sz w:val="16"/>
        </w:rPr>
      </w:pPr>
      <w:bookmarkStart w:name="_bookmark192" w:id="193"/>
      <w:bookmarkEnd w:id="193"/>
      <w:r>
        <w:rPr/>
      </w:r>
      <w:r>
        <w:rPr>
          <w:sz w:val="16"/>
          <w:vertAlign w:val="superscript"/>
        </w:rPr>
        <w:t>131</w:t>
      </w:r>
      <w:r>
        <w:rPr>
          <w:spacing w:val="-5"/>
          <w:sz w:val="16"/>
          <w:vertAlign w:val="baseline"/>
        </w:rPr>
        <w:t> </w:t>
      </w:r>
      <w:r>
        <w:rPr>
          <w:sz w:val="16"/>
          <w:vertAlign w:val="baseline"/>
        </w:rPr>
        <w:t>Βλ.</w:t>
      </w:r>
      <w:r>
        <w:rPr>
          <w:spacing w:val="-4"/>
          <w:sz w:val="16"/>
          <w:vertAlign w:val="baseline"/>
        </w:rPr>
        <w:t> </w:t>
      </w:r>
      <w:hyperlink r:id="rId171">
        <w:r>
          <w:rPr>
            <w:color w:val="0000FF"/>
            <w:sz w:val="16"/>
            <w:u w:val="single" w:color="0000FF"/>
            <w:vertAlign w:val="baseline"/>
          </w:rPr>
          <w:t>ECB</w:t>
        </w:r>
        <w:r>
          <w:rPr>
            <w:color w:val="0000FF"/>
            <w:spacing w:val="-3"/>
            <w:sz w:val="16"/>
            <w:u w:val="single" w:color="0000FF"/>
            <w:vertAlign w:val="baseline"/>
          </w:rPr>
          <w:t> </w:t>
        </w:r>
        <w:r>
          <w:rPr>
            <w:color w:val="0000FF"/>
            <w:sz w:val="16"/>
            <w:u w:val="single" w:color="0000FF"/>
            <w:vertAlign w:val="baseline"/>
          </w:rPr>
          <w:t>commits</w:t>
        </w:r>
        <w:r>
          <w:rPr>
            <w:color w:val="0000FF"/>
            <w:spacing w:val="-7"/>
            <w:sz w:val="16"/>
            <w:u w:val="single" w:color="0000FF"/>
            <w:vertAlign w:val="baseline"/>
          </w:rPr>
          <w:t> </w:t>
        </w:r>
        <w:r>
          <w:rPr>
            <w:color w:val="0000FF"/>
            <w:sz w:val="16"/>
            <w:u w:val="single" w:color="0000FF"/>
            <w:vertAlign w:val="baseline"/>
          </w:rPr>
          <w:t>to</w:t>
        </w:r>
        <w:r>
          <w:rPr>
            <w:color w:val="0000FF"/>
            <w:spacing w:val="-5"/>
            <w:sz w:val="16"/>
            <w:u w:val="single" w:color="0000FF"/>
            <w:vertAlign w:val="baseline"/>
          </w:rPr>
          <w:t> </w:t>
        </w:r>
        <w:r>
          <w:rPr>
            <w:color w:val="0000FF"/>
            <w:sz w:val="16"/>
            <w:u w:val="single" w:color="0000FF"/>
            <w:vertAlign w:val="baseline"/>
          </w:rPr>
          <w:t>distributed</w:t>
        </w:r>
        <w:r>
          <w:rPr>
            <w:color w:val="0000FF"/>
            <w:spacing w:val="-5"/>
            <w:sz w:val="16"/>
            <w:u w:val="single" w:color="0000FF"/>
            <w:vertAlign w:val="baseline"/>
          </w:rPr>
          <w:t> </w:t>
        </w:r>
        <w:r>
          <w:rPr>
            <w:color w:val="0000FF"/>
            <w:sz w:val="16"/>
            <w:u w:val="single" w:color="0000FF"/>
            <w:vertAlign w:val="baseline"/>
          </w:rPr>
          <w:t>ledger</w:t>
        </w:r>
        <w:r>
          <w:rPr>
            <w:color w:val="0000FF"/>
            <w:spacing w:val="-6"/>
            <w:sz w:val="16"/>
            <w:u w:val="single" w:color="0000FF"/>
            <w:vertAlign w:val="baseline"/>
          </w:rPr>
          <w:t> </w:t>
        </w:r>
        <w:r>
          <w:rPr>
            <w:color w:val="0000FF"/>
            <w:sz w:val="16"/>
            <w:u w:val="single" w:color="0000FF"/>
            <w:vertAlign w:val="baseline"/>
          </w:rPr>
          <w:t>technology</w:t>
        </w:r>
        <w:r>
          <w:rPr>
            <w:color w:val="0000FF"/>
            <w:spacing w:val="-5"/>
            <w:sz w:val="16"/>
            <w:u w:val="single" w:color="0000FF"/>
            <w:vertAlign w:val="baseline"/>
          </w:rPr>
          <w:t> </w:t>
        </w:r>
        <w:r>
          <w:rPr>
            <w:color w:val="0000FF"/>
            <w:sz w:val="16"/>
            <w:u w:val="single" w:color="0000FF"/>
            <w:vertAlign w:val="baseline"/>
          </w:rPr>
          <w:t>settlement</w:t>
        </w:r>
        <w:r>
          <w:rPr>
            <w:color w:val="0000FF"/>
            <w:spacing w:val="-6"/>
            <w:sz w:val="16"/>
            <w:u w:val="single" w:color="0000FF"/>
            <w:vertAlign w:val="baseline"/>
          </w:rPr>
          <w:t> </w:t>
        </w:r>
        <w:r>
          <w:rPr>
            <w:color w:val="0000FF"/>
            <w:sz w:val="16"/>
            <w:u w:val="single" w:color="0000FF"/>
            <w:vertAlign w:val="baseline"/>
          </w:rPr>
          <w:t>plans</w:t>
        </w:r>
        <w:r>
          <w:rPr>
            <w:color w:val="0000FF"/>
            <w:spacing w:val="-6"/>
            <w:sz w:val="16"/>
            <w:u w:val="single" w:color="0000FF"/>
            <w:vertAlign w:val="baseline"/>
          </w:rPr>
          <w:t> </w:t>
        </w:r>
        <w:r>
          <w:rPr>
            <w:color w:val="0000FF"/>
            <w:sz w:val="16"/>
            <w:u w:val="single" w:color="0000FF"/>
            <w:vertAlign w:val="baseline"/>
          </w:rPr>
          <w:t>with</w:t>
        </w:r>
        <w:r>
          <w:rPr>
            <w:color w:val="0000FF"/>
            <w:spacing w:val="-5"/>
            <w:sz w:val="16"/>
            <w:u w:val="single" w:color="0000FF"/>
            <w:vertAlign w:val="baseline"/>
          </w:rPr>
          <w:t> </w:t>
        </w:r>
        <w:r>
          <w:rPr>
            <w:color w:val="0000FF"/>
            <w:sz w:val="16"/>
            <w:u w:val="single" w:color="0000FF"/>
            <w:vertAlign w:val="baseline"/>
          </w:rPr>
          <w:t>dual-track</w:t>
        </w:r>
        <w:r>
          <w:rPr>
            <w:color w:val="0000FF"/>
            <w:spacing w:val="-4"/>
            <w:sz w:val="16"/>
            <w:u w:val="single" w:color="0000FF"/>
            <w:vertAlign w:val="baseline"/>
          </w:rPr>
          <w:t> </w:t>
        </w:r>
        <w:r>
          <w:rPr>
            <w:color w:val="0000FF"/>
            <w:spacing w:val="-2"/>
            <w:sz w:val="16"/>
            <w:u w:val="single" w:color="0000FF"/>
            <w:vertAlign w:val="baseline"/>
          </w:rPr>
          <w:t>strategy</w:t>
        </w:r>
        <w:r>
          <w:rPr>
            <w:spacing w:val="-2"/>
            <w:sz w:val="16"/>
            <w:vertAlign w:val="baseline"/>
          </w:rPr>
          <w:t>.</w:t>
        </w:r>
      </w:hyperlink>
    </w:p>
    <w:p>
      <w:pPr>
        <w:spacing w:before="20"/>
        <w:ind w:left="30" w:right="0" w:firstLine="0"/>
        <w:jc w:val="left"/>
        <w:rPr>
          <w:sz w:val="16"/>
        </w:rPr>
      </w:pPr>
      <w:bookmarkStart w:name="_bookmark193" w:id="194"/>
      <w:bookmarkEnd w:id="194"/>
      <w:r>
        <w:rPr/>
      </w:r>
      <w:r>
        <w:rPr>
          <w:sz w:val="16"/>
          <w:vertAlign w:val="superscript"/>
        </w:rPr>
        <w:t>132</w:t>
      </w:r>
      <w:r>
        <w:rPr>
          <w:spacing w:val="-5"/>
          <w:sz w:val="16"/>
          <w:vertAlign w:val="baseline"/>
        </w:rPr>
        <w:t> </w:t>
      </w:r>
      <w:r>
        <w:rPr>
          <w:sz w:val="16"/>
          <w:vertAlign w:val="baseline"/>
        </w:rPr>
        <w:t>Βλ.</w:t>
      </w:r>
      <w:r>
        <w:rPr>
          <w:spacing w:val="-5"/>
          <w:sz w:val="16"/>
          <w:vertAlign w:val="baseline"/>
        </w:rPr>
        <w:t> </w:t>
      </w:r>
      <w:hyperlink r:id="rId172">
        <w:r>
          <w:rPr>
            <w:color w:val="0000FF"/>
            <w:sz w:val="16"/>
            <w:u w:val="single" w:color="0000FF"/>
            <w:vertAlign w:val="baseline"/>
          </w:rPr>
          <w:t>Appia</w:t>
        </w:r>
        <w:r>
          <w:rPr>
            <w:color w:val="0000FF"/>
            <w:spacing w:val="-6"/>
            <w:sz w:val="16"/>
            <w:u w:val="single" w:color="0000FF"/>
            <w:vertAlign w:val="baseline"/>
          </w:rPr>
          <w:t> </w:t>
        </w:r>
        <w:r>
          <w:rPr>
            <w:color w:val="0000FF"/>
            <w:sz w:val="16"/>
            <w:u w:val="single" w:color="0000FF"/>
            <w:vertAlign w:val="baseline"/>
          </w:rPr>
          <w:t>–</w:t>
        </w:r>
        <w:r>
          <w:rPr>
            <w:color w:val="0000FF"/>
            <w:spacing w:val="-5"/>
            <w:sz w:val="16"/>
            <w:u w:val="single" w:color="0000FF"/>
            <w:vertAlign w:val="baseline"/>
          </w:rPr>
          <w:t> </w:t>
        </w:r>
        <w:r>
          <w:rPr>
            <w:color w:val="0000FF"/>
            <w:sz w:val="16"/>
            <w:u w:val="single" w:color="0000FF"/>
            <w:vertAlign w:val="baseline"/>
          </w:rPr>
          <w:t>paving</w:t>
        </w:r>
        <w:r>
          <w:rPr>
            <w:color w:val="0000FF"/>
            <w:spacing w:val="-6"/>
            <w:sz w:val="16"/>
            <w:u w:val="single" w:color="0000FF"/>
            <w:vertAlign w:val="baseline"/>
          </w:rPr>
          <w:t> </w:t>
        </w:r>
        <w:r>
          <w:rPr>
            <w:color w:val="0000FF"/>
            <w:sz w:val="16"/>
            <w:u w:val="single" w:color="0000FF"/>
            <w:vertAlign w:val="baseline"/>
          </w:rPr>
          <w:t>the</w:t>
        </w:r>
        <w:r>
          <w:rPr>
            <w:color w:val="0000FF"/>
            <w:spacing w:val="-4"/>
            <w:sz w:val="16"/>
            <w:u w:val="single" w:color="0000FF"/>
            <w:vertAlign w:val="baseline"/>
          </w:rPr>
          <w:t> </w:t>
        </w:r>
        <w:r>
          <w:rPr>
            <w:color w:val="0000FF"/>
            <w:sz w:val="16"/>
            <w:u w:val="single" w:color="0000FF"/>
            <w:vertAlign w:val="baseline"/>
          </w:rPr>
          <w:t>way</w:t>
        </w:r>
        <w:r>
          <w:rPr>
            <w:color w:val="0000FF"/>
            <w:spacing w:val="-6"/>
            <w:sz w:val="16"/>
            <w:u w:val="single" w:color="0000FF"/>
            <w:vertAlign w:val="baseline"/>
          </w:rPr>
          <w:t> </w:t>
        </w:r>
        <w:r>
          <w:rPr>
            <w:color w:val="0000FF"/>
            <w:sz w:val="16"/>
            <w:u w:val="single" w:color="0000FF"/>
            <w:vertAlign w:val="baseline"/>
          </w:rPr>
          <w:t>for</w:t>
        </w:r>
        <w:r>
          <w:rPr>
            <w:color w:val="0000FF"/>
            <w:spacing w:val="-8"/>
            <w:sz w:val="16"/>
            <w:u w:val="single" w:color="0000FF"/>
            <w:vertAlign w:val="baseline"/>
          </w:rPr>
          <w:t> </w:t>
        </w:r>
        <w:r>
          <w:rPr>
            <w:color w:val="0000FF"/>
            <w:sz w:val="16"/>
            <w:u w:val="single" w:color="0000FF"/>
            <w:vertAlign w:val="baseline"/>
          </w:rPr>
          <w:t>a</w:t>
        </w:r>
        <w:r>
          <w:rPr>
            <w:color w:val="0000FF"/>
            <w:spacing w:val="-4"/>
            <w:sz w:val="16"/>
            <w:u w:val="single" w:color="0000FF"/>
            <w:vertAlign w:val="baseline"/>
          </w:rPr>
          <w:t> </w:t>
        </w:r>
        <w:r>
          <w:rPr>
            <w:color w:val="0000FF"/>
            <w:sz w:val="16"/>
            <w:u w:val="single" w:color="0000FF"/>
            <w:vertAlign w:val="baseline"/>
          </w:rPr>
          <w:t>future-ready,</w:t>
        </w:r>
        <w:r>
          <w:rPr>
            <w:color w:val="0000FF"/>
            <w:spacing w:val="-7"/>
            <w:sz w:val="16"/>
            <w:u w:val="single" w:color="0000FF"/>
            <w:vertAlign w:val="baseline"/>
          </w:rPr>
          <w:t> </w:t>
        </w:r>
        <w:r>
          <w:rPr>
            <w:color w:val="0000FF"/>
            <w:sz w:val="16"/>
            <w:u w:val="single" w:color="0000FF"/>
            <w:vertAlign w:val="baseline"/>
          </w:rPr>
          <w:t>integrated</w:t>
        </w:r>
        <w:r>
          <w:rPr>
            <w:color w:val="0000FF"/>
            <w:spacing w:val="-4"/>
            <w:sz w:val="16"/>
            <w:u w:val="single" w:color="0000FF"/>
            <w:vertAlign w:val="baseline"/>
          </w:rPr>
          <w:t> </w:t>
        </w:r>
        <w:r>
          <w:rPr>
            <w:color w:val="0000FF"/>
            <w:sz w:val="16"/>
            <w:u w:val="single" w:color="0000FF"/>
            <w:vertAlign w:val="baseline"/>
          </w:rPr>
          <w:t>financial</w:t>
        </w:r>
        <w:r>
          <w:rPr>
            <w:color w:val="0000FF"/>
            <w:spacing w:val="-6"/>
            <w:sz w:val="16"/>
            <w:u w:val="single" w:color="0000FF"/>
            <w:vertAlign w:val="baseline"/>
          </w:rPr>
          <w:t> </w:t>
        </w:r>
        <w:r>
          <w:rPr>
            <w:color w:val="0000FF"/>
            <w:sz w:val="16"/>
            <w:u w:val="single" w:color="0000FF"/>
            <w:vertAlign w:val="baseline"/>
          </w:rPr>
          <w:t>ecosystem</w:t>
        </w:r>
        <w:r>
          <w:rPr>
            <w:color w:val="0000FF"/>
            <w:spacing w:val="-5"/>
            <w:sz w:val="16"/>
            <w:u w:val="single" w:color="0000FF"/>
            <w:vertAlign w:val="baseline"/>
          </w:rPr>
          <w:t> </w:t>
        </w:r>
        <w:r>
          <w:rPr>
            <w:color w:val="0000FF"/>
            <w:sz w:val="16"/>
            <w:u w:val="single" w:color="0000FF"/>
            <w:vertAlign w:val="baseline"/>
          </w:rPr>
          <w:t>leveraging</w:t>
        </w:r>
        <w:r>
          <w:rPr>
            <w:color w:val="0000FF"/>
            <w:spacing w:val="-4"/>
            <w:sz w:val="16"/>
            <w:u w:val="single" w:color="0000FF"/>
            <w:vertAlign w:val="baseline"/>
          </w:rPr>
          <w:t> </w:t>
        </w:r>
        <w:r>
          <w:rPr>
            <w:color w:val="0000FF"/>
            <w:sz w:val="16"/>
            <w:u w:val="single" w:color="0000FF"/>
            <w:vertAlign w:val="baseline"/>
          </w:rPr>
          <w:t>tokenisation</w:t>
        </w:r>
        <w:r>
          <w:rPr>
            <w:color w:val="0000FF"/>
            <w:spacing w:val="-6"/>
            <w:sz w:val="16"/>
            <w:u w:val="single" w:color="0000FF"/>
            <w:vertAlign w:val="baseline"/>
          </w:rPr>
          <w:t> </w:t>
        </w:r>
        <w:r>
          <w:rPr>
            <w:color w:val="0000FF"/>
            <w:sz w:val="16"/>
            <w:u w:val="single" w:color="0000FF"/>
            <w:vertAlign w:val="baseline"/>
          </w:rPr>
          <w:t>and</w:t>
        </w:r>
        <w:r>
          <w:rPr>
            <w:color w:val="0000FF"/>
            <w:spacing w:val="-4"/>
            <w:sz w:val="16"/>
            <w:u w:val="single" w:color="0000FF"/>
            <w:vertAlign w:val="baseline"/>
          </w:rPr>
          <w:t> DLT</w:t>
        </w:r>
        <w:r>
          <w:rPr>
            <w:spacing w:val="-4"/>
            <w:sz w:val="16"/>
            <w:vertAlign w:val="baseline"/>
          </w:rPr>
          <w:t>.</w:t>
        </w:r>
      </w:hyperlink>
    </w:p>
    <w:p>
      <w:pPr>
        <w:spacing w:before="20"/>
        <w:ind w:left="30" w:right="0" w:firstLine="0"/>
        <w:jc w:val="left"/>
        <w:rPr>
          <w:sz w:val="16"/>
        </w:rPr>
      </w:pPr>
      <w:bookmarkStart w:name="_bookmark194" w:id="195"/>
      <w:bookmarkEnd w:id="195"/>
      <w:r>
        <w:rPr/>
      </w:r>
      <w:r>
        <w:rPr>
          <w:sz w:val="16"/>
          <w:vertAlign w:val="superscript"/>
        </w:rPr>
        <w:t>133</w:t>
      </w:r>
      <w:r>
        <w:rPr>
          <w:spacing w:val="-4"/>
          <w:sz w:val="16"/>
          <w:vertAlign w:val="baseline"/>
        </w:rPr>
        <w:t> </w:t>
      </w:r>
      <w:r>
        <w:rPr>
          <w:sz w:val="16"/>
          <w:vertAlign w:val="baseline"/>
        </w:rPr>
        <w:t>Βλ.</w:t>
      </w:r>
      <w:r>
        <w:rPr>
          <w:spacing w:val="-6"/>
          <w:sz w:val="16"/>
          <w:vertAlign w:val="baseline"/>
        </w:rPr>
        <w:t> </w:t>
      </w:r>
      <w:hyperlink r:id="rId173">
        <w:r>
          <w:rPr>
            <w:color w:val="0000FF"/>
            <w:sz w:val="16"/>
            <w:u w:val="single" w:color="0000FF"/>
            <w:vertAlign w:val="baseline"/>
          </w:rPr>
          <w:t>Consultation</w:t>
        </w:r>
        <w:r>
          <w:rPr>
            <w:color w:val="0000FF"/>
            <w:spacing w:val="-5"/>
            <w:sz w:val="16"/>
            <w:u w:val="single" w:color="0000FF"/>
            <w:vertAlign w:val="baseline"/>
          </w:rPr>
          <w:t> </w:t>
        </w:r>
        <w:r>
          <w:rPr>
            <w:color w:val="0000FF"/>
            <w:sz w:val="16"/>
            <w:u w:val="single" w:color="0000FF"/>
            <w:vertAlign w:val="baseline"/>
          </w:rPr>
          <w:t>on</w:t>
        </w:r>
        <w:r>
          <w:rPr>
            <w:color w:val="0000FF"/>
            <w:spacing w:val="-5"/>
            <w:sz w:val="16"/>
            <w:u w:val="single" w:color="0000FF"/>
            <w:vertAlign w:val="baseline"/>
          </w:rPr>
          <w:t> </w:t>
        </w:r>
        <w:r>
          <w:rPr>
            <w:color w:val="0000FF"/>
            <w:sz w:val="16"/>
            <w:u w:val="single" w:color="0000FF"/>
            <w:vertAlign w:val="baseline"/>
          </w:rPr>
          <w:t>the</w:t>
        </w:r>
        <w:r>
          <w:rPr>
            <w:color w:val="0000FF"/>
            <w:spacing w:val="-5"/>
            <w:sz w:val="16"/>
            <w:u w:val="single" w:color="0000FF"/>
            <w:vertAlign w:val="baseline"/>
          </w:rPr>
          <w:t> </w:t>
        </w:r>
        <w:r>
          <w:rPr>
            <w:color w:val="0000FF"/>
            <w:sz w:val="16"/>
            <w:u w:val="single" w:color="0000FF"/>
            <w:vertAlign w:val="baseline"/>
          </w:rPr>
          <w:t>Eurosystem’s</w:t>
        </w:r>
        <w:r>
          <w:rPr>
            <w:color w:val="0000FF"/>
            <w:spacing w:val="-4"/>
            <w:sz w:val="16"/>
            <w:u w:val="single" w:color="0000FF"/>
            <w:vertAlign w:val="baseline"/>
          </w:rPr>
          <w:t> </w:t>
        </w:r>
        <w:r>
          <w:rPr>
            <w:color w:val="0000FF"/>
            <w:sz w:val="16"/>
            <w:u w:val="single" w:color="0000FF"/>
            <w:vertAlign w:val="baseline"/>
          </w:rPr>
          <w:t>Appia</w:t>
        </w:r>
        <w:r>
          <w:rPr>
            <w:color w:val="0000FF"/>
            <w:spacing w:val="-6"/>
            <w:sz w:val="16"/>
            <w:u w:val="single" w:color="0000FF"/>
            <w:vertAlign w:val="baseline"/>
          </w:rPr>
          <w:t> </w:t>
        </w:r>
        <w:r>
          <w:rPr>
            <w:color w:val="0000FF"/>
            <w:spacing w:val="-2"/>
            <w:sz w:val="16"/>
            <w:u w:val="single" w:color="0000FF"/>
            <w:vertAlign w:val="baseline"/>
          </w:rPr>
          <w:t>project</w:t>
        </w:r>
        <w:r>
          <w:rPr>
            <w:spacing w:val="-2"/>
            <w:sz w:val="16"/>
            <w:vertAlign w:val="baseline"/>
          </w:rPr>
          <w:t>.</w:t>
        </w:r>
      </w:hyperlink>
    </w:p>
    <w:p>
      <w:pPr>
        <w:spacing w:before="20"/>
        <w:ind w:left="30" w:right="0" w:firstLine="0"/>
        <w:jc w:val="left"/>
        <w:rPr>
          <w:sz w:val="16"/>
        </w:rPr>
      </w:pPr>
      <w:bookmarkStart w:name="_bookmark195" w:id="196"/>
      <w:bookmarkEnd w:id="196"/>
      <w:r>
        <w:rPr/>
      </w:r>
      <w:r>
        <w:rPr>
          <w:sz w:val="16"/>
          <w:vertAlign w:val="superscript"/>
        </w:rPr>
        <w:t>134</w:t>
      </w:r>
      <w:r>
        <w:rPr>
          <w:spacing w:val="-4"/>
          <w:sz w:val="16"/>
          <w:vertAlign w:val="baseline"/>
        </w:rPr>
        <w:t> </w:t>
      </w:r>
      <w:r>
        <w:rPr>
          <w:sz w:val="16"/>
          <w:vertAlign w:val="baseline"/>
        </w:rPr>
        <w:t>Βλ.</w:t>
      </w:r>
      <w:r>
        <w:rPr>
          <w:spacing w:val="-2"/>
          <w:sz w:val="16"/>
          <w:vertAlign w:val="baseline"/>
        </w:rPr>
        <w:t> </w:t>
      </w:r>
      <w:hyperlink r:id="rId174">
        <w:r>
          <w:rPr>
            <w:color w:val="0000FF"/>
            <w:sz w:val="16"/>
            <w:u w:val="single" w:color="0000FF"/>
            <w:vertAlign w:val="baseline"/>
          </w:rPr>
          <w:t>ECB</w:t>
        </w:r>
        <w:r>
          <w:rPr>
            <w:color w:val="0000FF"/>
            <w:spacing w:val="-5"/>
            <w:sz w:val="16"/>
            <w:u w:val="single" w:color="0000FF"/>
            <w:vertAlign w:val="baseline"/>
          </w:rPr>
          <w:t> </w:t>
        </w:r>
        <w:r>
          <w:rPr>
            <w:color w:val="0000FF"/>
            <w:sz w:val="16"/>
            <w:u w:val="single" w:color="0000FF"/>
            <w:vertAlign w:val="baseline"/>
          </w:rPr>
          <w:t>paves</w:t>
        </w:r>
        <w:r>
          <w:rPr>
            <w:color w:val="0000FF"/>
            <w:spacing w:val="-3"/>
            <w:sz w:val="16"/>
            <w:u w:val="single" w:color="0000FF"/>
            <w:vertAlign w:val="baseline"/>
          </w:rPr>
          <w:t> </w:t>
        </w:r>
        <w:r>
          <w:rPr>
            <w:color w:val="0000FF"/>
            <w:sz w:val="16"/>
            <w:u w:val="single" w:color="0000FF"/>
            <w:vertAlign w:val="baseline"/>
          </w:rPr>
          <w:t>way</w:t>
        </w:r>
        <w:r>
          <w:rPr>
            <w:color w:val="0000FF"/>
            <w:spacing w:val="-5"/>
            <w:sz w:val="16"/>
            <w:u w:val="single" w:color="0000FF"/>
            <w:vertAlign w:val="baseline"/>
          </w:rPr>
          <w:t> </w:t>
        </w:r>
        <w:r>
          <w:rPr>
            <w:color w:val="0000FF"/>
            <w:sz w:val="16"/>
            <w:u w:val="single" w:color="0000FF"/>
            <w:vertAlign w:val="baseline"/>
          </w:rPr>
          <w:t>for</w:t>
        </w:r>
        <w:r>
          <w:rPr>
            <w:color w:val="0000FF"/>
            <w:spacing w:val="-6"/>
            <w:sz w:val="16"/>
            <w:u w:val="single" w:color="0000FF"/>
            <w:vertAlign w:val="baseline"/>
          </w:rPr>
          <w:t> </w:t>
        </w:r>
        <w:r>
          <w:rPr>
            <w:color w:val="0000FF"/>
            <w:sz w:val="16"/>
            <w:u w:val="single" w:color="0000FF"/>
            <w:vertAlign w:val="baseline"/>
          </w:rPr>
          <w:t>acceptance</w:t>
        </w:r>
        <w:r>
          <w:rPr>
            <w:color w:val="0000FF"/>
            <w:spacing w:val="-5"/>
            <w:sz w:val="16"/>
            <w:u w:val="single" w:color="0000FF"/>
            <w:vertAlign w:val="baseline"/>
          </w:rPr>
          <w:t> </w:t>
        </w:r>
        <w:r>
          <w:rPr>
            <w:color w:val="0000FF"/>
            <w:sz w:val="16"/>
            <w:u w:val="single" w:color="0000FF"/>
            <w:vertAlign w:val="baseline"/>
          </w:rPr>
          <w:t>of</w:t>
        </w:r>
        <w:r>
          <w:rPr>
            <w:color w:val="0000FF"/>
            <w:spacing w:val="-4"/>
            <w:sz w:val="16"/>
            <w:u w:val="single" w:color="0000FF"/>
            <w:vertAlign w:val="baseline"/>
          </w:rPr>
          <w:t> </w:t>
        </w:r>
        <w:r>
          <w:rPr>
            <w:color w:val="0000FF"/>
            <w:sz w:val="16"/>
            <w:u w:val="single" w:color="0000FF"/>
            <w:vertAlign w:val="baseline"/>
          </w:rPr>
          <w:t>DLT-based</w:t>
        </w:r>
        <w:r>
          <w:rPr>
            <w:color w:val="0000FF"/>
            <w:spacing w:val="-3"/>
            <w:sz w:val="16"/>
            <w:u w:val="single" w:color="0000FF"/>
            <w:vertAlign w:val="baseline"/>
          </w:rPr>
          <w:t> </w:t>
        </w:r>
        <w:r>
          <w:rPr>
            <w:color w:val="0000FF"/>
            <w:sz w:val="16"/>
            <w:u w:val="single" w:color="0000FF"/>
            <w:vertAlign w:val="baseline"/>
          </w:rPr>
          <w:t>assets</w:t>
        </w:r>
        <w:r>
          <w:rPr>
            <w:color w:val="0000FF"/>
            <w:spacing w:val="-5"/>
            <w:sz w:val="16"/>
            <w:u w:val="single" w:color="0000FF"/>
            <w:vertAlign w:val="baseline"/>
          </w:rPr>
          <w:t> </w:t>
        </w:r>
        <w:r>
          <w:rPr>
            <w:color w:val="0000FF"/>
            <w:sz w:val="16"/>
            <w:u w:val="single" w:color="0000FF"/>
            <w:vertAlign w:val="baseline"/>
          </w:rPr>
          <w:t>as</w:t>
        </w:r>
        <w:r>
          <w:rPr>
            <w:color w:val="0000FF"/>
            <w:spacing w:val="-5"/>
            <w:sz w:val="16"/>
            <w:u w:val="single" w:color="0000FF"/>
            <w:vertAlign w:val="baseline"/>
          </w:rPr>
          <w:t> </w:t>
        </w:r>
        <w:r>
          <w:rPr>
            <w:color w:val="0000FF"/>
            <w:sz w:val="16"/>
            <w:u w:val="single" w:color="0000FF"/>
            <w:vertAlign w:val="baseline"/>
          </w:rPr>
          <w:t>eligible</w:t>
        </w:r>
        <w:r>
          <w:rPr>
            <w:color w:val="0000FF"/>
            <w:spacing w:val="-6"/>
            <w:sz w:val="16"/>
            <w:u w:val="single" w:color="0000FF"/>
            <w:vertAlign w:val="baseline"/>
          </w:rPr>
          <w:t> </w:t>
        </w:r>
        <w:r>
          <w:rPr>
            <w:color w:val="0000FF"/>
            <w:sz w:val="16"/>
            <w:u w:val="single" w:color="0000FF"/>
            <w:vertAlign w:val="baseline"/>
          </w:rPr>
          <w:t>Eurosystem</w:t>
        </w:r>
        <w:r>
          <w:rPr>
            <w:color w:val="0000FF"/>
            <w:spacing w:val="-5"/>
            <w:sz w:val="16"/>
            <w:u w:val="single" w:color="0000FF"/>
            <w:vertAlign w:val="baseline"/>
          </w:rPr>
          <w:t> </w:t>
        </w:r>
        <w:r>
          <w:rPr>
            <w:color w:val="0000FF"/>
            <w:spacing w:val="-2"/>
            <w:sz w:val="16"/>
            <w:u w:val="single" w:color="0000FF"/>
            <w:vertAlign w:val="baseline"/>
          </w:rPr>
          <w:t>collateral</w:t>
        </w:r>
        <w:r>
          <w:rPr>
            <w:spacing w:val="-2"/>
            <w:sz w:val="16"/>
            <w:vertAlign w:val="baseline"/>
          </w:rPr>
          <w:t>.</w:t>
        </w:r>
      </w:hyperlink>
    </w:p>
    <w:p>
      <w:pPr>
        <w:spacing w:after="0"/>
        <w:jc w:val="left"/>
        <w:rPr>
          <w:sz w:val="16"/>
        </w:rPr>
        <w:sectPr>
          <w:pgSz w:w="11910" w:h="16850"/>
          <w:pgMar w:header="0" w:footer="1262" w:top="1100" w:bottom="1460" w:left="1559" w:right="1559"/>
        </w:sectPr>
      </w:pPr>
    </w:p>
    <w:p>
      <w:pPr>
        <w:pStyle w:val="Heading1"/>
        <w:spacing w:before="59"/>
      </w:pPr>
      <w:bookmarkStart w:name="_bookmark196" w:id="197"/>
      <w:bookmarkEnd w:id="197"/>
      <w:r>
        <w:rPr>
          <w:b w:val="0"/>
        </w:rPr>
      </w:r>
      <w:r>
        <w:rPr>
          <w:color w:val="1F487C"/>
          <w:spacing w:val="23"/>
        </w:rPr>
        <w:t>ΕΙΔΙΚΟ</w:t>
      </w:r>
      <w:r>
        <w:rPr>
          <w:color w:val="1F487C"/>
          <w:spacing w:val="60"/>
        </w:rPr>
        <w:t> </w:t>
      </w:r>
      <w:r>
        <w:rPr>
          <w:color w:val="1F487C"/>
          <w:spacing w:val="21"/>
        </w:rPr>
        <w:t>ΘΕΜΑ</w:t>
      </w:r>
      <w:r>
        <w:rPr>
          <w:color w:val="1F487C"/>
          <w:spacing w:val="68"/>
        </w:rPr>
        <w:t> </w:t>
      </w:r>
      <w:r>
        <w:rPr>
          <w:color w:val="1F487C"/>
          <w:spacing w:val="14"/>
        </w:rPr>
        <w:t>ΙII </w:t>
      </w:r>
    </w:p>
    <w:p>
      <w:pPr>
        <w:spacing w:line="322" w:lineRule="exact" w:before="60"/>
        <w:ind w:left="30" w:right="0" w:firstLine="0"/>
        <w:jc w:val="left"/>
        <w:rPr>
          <w:b/>
          <w:sz w:val="28"/>
        </w:rPr>
      </w:pPr>
      <w:bookmarkStart w:name="_bookmark197" w:id="198"/>
      <w:bookmarkEnd w:id="198"/>
      <w:r>
        <w:rPr/>
      </w:r>
      <w:r>
        <w:rPr>
          <w:b/>
          <w:color w:val="1F487C"/>
          <w:spacing w:val="26"/>
          <w:sz w:val="28"/>
        </w:rPr>
        <w:t>ΔΙΑΧΕΙΡΙΣΗ</w:t>
      </w:r>
      <w:r>
        <w:rPr>
          <w:b/>
          <w:color w:val="1F487C"/>
          <w:spacing w:val="60"/>
          <w:sz w:val="28"/>
        </w:rPr>
        <w:t> </w:t>
      </w:r>
      <w:r>
        <w:rPr>
          <w:b/>
          <w:color w:val="1F487C"/>
          <w:spacing w:val="24"/>
          <w:sz w:val="28"/>
        </w:rPr>
        <w:t>ΚΙΝΔΥΝΟΥ</w:t>
      </w:r>
      <w:r>
        <w:rPr>
          <w:b/>
          <w:color w:val="1F487C"/>
          <w:spacing w:val="64"/>
          <w:sz w:val="28"/>
        </w:rPr>
        <w:t> </w:t>
      </w:r>
      <w:r>
        <w:rPr>
          <w:b/>
          <w:color w:val="1F487C"/>
          <w:spacing w:val="23"/>
          <w:sz w:val="28"/>
        </w:rPr>
        <w:t>ΤΡΙΤΩΝ</w:t>
      </w:r>
      <w:r>
        <w:rPr>
          <w:b/>
          <w:color w:val="1F487C"/>
          <w:spacing w:val="65"/>
          <w:sz w:val="28"/>
        </w:rPr>
        <w:t> </w:t>
      </w:r>
      <w:r>
        <w:rPr>
          <w:b/>
          <w:color w:val="1F487C"/>
          <w:spacing w:val="22"/>
          <w:sz w:val="28"/>
        </w:rPr>
        <w:t>ΠΑΡΟΧΩΝ</w:t>
      </w:r>
    </w:p>
    <w:p>
      <w:pPr>
        <w:spacing w:before="0"/>
        <w:ind w:left="30" w:right="0" w:firstLine="0"/>
        <w:jc w:val="left"/>
        <w:rPr>
          <w:b/>
          <w:sz w:val="28"/>
        </w:rPr>
      </w:pPr>
      <w:r>
        <w:rPr>
          <w:b/>
          <w:color w:val="1F487C"/>
          <w:spacing w:val="25"/>
          <w:sz w:val="28"/>
        </w:rPr>
        <w:t>ΥΠΗΡΕΣΙΩΝ</w:t>
      </w:r>
      <w:r>
        <w:rPr>
          <w:b/>
          <w:color w:val="1F487C"/>
          <w:spacing w:val="25"/>
          <w:sz w:val="28"/>
        </w:rPr>
        <w:t> ΤΕΧΝΟΛΟΓΙΩΝ</w:t>
      </w:r>
      <w:r>
        <w:rPr>
          <w:b/>
          <w:color w:val="1F487C"/>
          <w:spacing w:val="25"/>
          <w:sz w:val="28"/>
        </w:rPr>
        <w:t> </w:t>
      </w:r>
      <w:r>
        <w:rPr>
          <w:b/>
          <w:color w:val="1F487C"/>
          <w:spacing w:val="26"/>
          <w:sz w:val="28"/>
        </w:rPr>
        <w:t>ΠΛΗΡΟΦΟΡΙΩΝ</w:t>
      </w:r>
      <w:r>
        <w:rPr>
          <w:b/>
          <w:color w:val="1F487C"/>
          <w:spacing w:val="26"/>
          <w:sz w:val="28"/>
        </w:rPr>
        <w:t> </w:t>
      </w:r>
      <w:r>
        <w:rPr>
          <w:b/>
          <w:color w:val="1F487C"/>
          <w:spacing w:val="19"/>
          <w:sz w:val="28"/>
        </w:rPr>
        <w:t>ΚΑΙ </w:t>
      </w:r>
      <w:r>
        <w:rPr>
          <w:b/>
          <w:color w:val="1F487C"/>
          <w:spacing w:val="24"/>
          <w:sz w:val="28"/>
        </w:rPr>
        <w:t>ΕΠΙΚΟΙΝΩΝΙΩΝ</w:t>
      </w:r>
    </w:p>
    <w:p>
      <w:pPr>
        <w:pStyle w:val="BodyText"/>
        <w:spacing w:before="134"/>
        <w:rPr>
          <w:b/>
          <w:sz w:val="28"/>
        </w:rPr>
      </w:pPr>
    </w:p>
    <w:p>
      <w:pPr>
        <w:pStyle w:val="Heading4"/>
        <w:ind w:left="30"/>
        <w:jc w:val="left"/>
      </w:pPr>
      <w:r>
        <w:rPr>
          <w:color w:val="1F487C"/>
          <w:spacing w:val="-2"/>
        </w:rPr>
        <w:t>Ε</w:t>
      </w:r>
      <w:r>
        <w:rPr>
          <w:smallCaps/>
          <w:color w:val="1F487C"/>
          <w:spacing w:val="-2"/>
        </w:rPr>
        <w:t>ι</w:t>
      </w:r>
      <w:r>
        <w:rPr>
          <w:smallCaps w:val="0"/>
          <w:color w:val="1F487C"/>
          <w:spacing w:val="-2"/>
        </w:rPr>
        <w:t>σαγωγή</w:t>
      </w:r>
    </w:p>
    <w:p>
      <w:pPr>
        <w:pStyle w:val="BodyText"/>
        <w:spacing w:line="285" w:lineRule="auto" w:before="107"/>
        <w:ind w:left="30" w:right="246"/>
        <w:jc w:val="both"/>
      </w:pPr>
      <w:r>
        <w:rPr/>
        <w:t>Τα χρηματοπιστωτικά ιδρύματα παγκοσμίως, όπως και στη χώρα μας, περνούν από την εποχή του</w:t>
      </w:r>
      <w:r>
        <w:rPr>
          <w:spacing w:val="-7"/>
        </w:rPr>
        <w:t> </w:t>
      </w:r>
      <w:r>
        <w:rPr/>
        <w:t>ήπιου</w:t>
      </w:r>
      <w:r>
        <w:rPr>
          <w:spacing w:val="-7"/>
        </w:rPr>
        <w:t> </w:t>
      </w:r>
      <w:r>
        <w:rPr/>
        <w:t>ψηφιακού</w:t>
      </w:r>
      <w:r>
        <w:rPr>
          <w:spacing w:val="-7"/>
        </w:rPr>
        <w:t> </w:t>
      </w:r>
      <w:r>
        <w:rPr/>
        <w:t>μετασχηματισμού</w:t>
      </w:r>
      <w:r>
        <w:rPr>
          <w:spacing w:val="-7"/>
        </w:rPr>
        <w:t> </w:t>
      </w:r>
      <w:r>
        <w:rPr/>
        <w:t>στην</w:t>
      </w:r>
      <w:r>
        <w:rPr>
          <w:spacing w:val="-8"/>
        </w:rPr>
        <w:t> </w:t>
      </w:r>
      <w:r>
        <w:rPr/>
        <w:t>ταχύτερη</w:t>
      </w:r>
      <w:r>
        <w:rPr>
          <w:spacing w:val="-11"/>
        </w:rPr>
        <w:t> </w:t>
      </w:r>
      <w:r>
        <w:rPr/>
        <w:t>υιοθέτηση</w:t>
      </w:r>
      <w:r>
        <w:rPr>
          <w:spacing w:val="-8"/>
        </w:rPr>
        <w:t> </w:t>
      </w:r>
      <w:r>
        <w:rPr/>
        <w:t>καινοτόμων</w:t>
      </w:r>
      <w:r>
        <w:rPr>
          <w:spacing w:val="-7"/>
        </w:rPr>
        <w:t> </w:t>
      </w:r>
      <w:r>
        <w:rPr/>
        <w:t>τεχνολογιών,</w:t>
      </w:r>
      <w:r>
        <w:rPr>
          <w:spacing w:val="-8"/>
        </w:rPr>
        <w:t> </w:t>
      </w:r>
      <w:r>
        <w:rPr/>
        <w:t>προ-κειμένου να ανταποκριθούν σε ένα ολοένα πιο ανταγωνιστικό επιχειρηματικό περιβάλλον και στα μεταβαλλόμενα χαρακτηριστικά της ζήτησης χρηματοπιστωτικών υπηρεσιών. Καθώς όμως στις</w:t>
      </w:r>
      <w:r>
        <w:rPr>
          <w:spacing w:val="-8"/>
        </w:rPr>
        <w:t> </w:t>
      </w:r>
      <w:r>
        <w:rPr/>
        <w:t>περισσότερες</w:t>
      </w:r>
      <w:r>
        <w:rPr>
          <w:spacing w:val="-8"/>
        </w:rPr>
        <w:t> </w:t>
      </w:r>
      <w:r>
        <w:rPr/>
        <w:t>περιπτώσεις</w:t>
      </w:r>
      <w:r>
        <w:rPr>
          <w:spacing w:val="-5"/>
        </w:rPr>
        <w:t> </w:t>
      </w:r>
      <w:r>
        <w:rPr/>
        <w:t>τα</w:t>
      </w:r>
      <w:r>
        <w:rPr>
          <w:spacing w:val="-8"/>
        </w:rPr>
        <w:t> </w:t>
      </w:r>
      <w:r>
        <w:rPr/>
        <w:t>χρηματοπιστωτικά</w:t>
      </w:r>
      <w:r>
        <w:rPr>
          <w:spacing w:val="-8"/>
        </w:rPr>
        <w:t> </w:t>
      </w:r>
      <w:r>
        <w:rPr/>
        <w:t>ιδρύματα</w:t>
      </w:r>
      <w:r>
        <w:rPr>
          <w:spacing w:val="-7"/>
        </w:rPr>
        <w:t> </w:t>
      </w:r>
      <w:r>
        <w:rPr/>
        <w:t>δεν</w:t>
      </w:r>
      <w:r>
        <w:rPr>
          <w:spacing w:val="-9"/>
        </w:rPr>
        <w:t> </w:t>
      </w:r>
      <w:r>
        <w:rPr/>
        <w:t>έχουν</w:t>
      </w:r>
      <w:r>
        <w:rPr>
          <w:spacing w:val="-6"/>
        </w:rPr>
        <w:t> </w:t>
      </w:r>
      <w:r>
        <w:rPr/>
        <w:t>τη</w:t>
      </w:r>
      <w:r>
        <w:rPr>
          <w:spacing w:val="-7"/>
        </w:rPr>
        <w:t> </w:t>
      </w:r>
      <w:r>
        <w:rPr/>
        <w:t>δυνατότητα</w:t>
      </w:r>
      <w:r>
        <w:rPr>
          <w:spacing w:val="-8"/>
        </w:rPr>
        <w:t> </w:t>
      </w:r>
      <w:r>
        <w:rPr/>
        <w:t>να</w:t>
      </w:r>
      <w:r>
        <w:rPr>
          <w:spacing w:val="-8"/>
        </w:rPr>
        <w:t> </w:t>
      </w:r>
      <w:r>
        <w:rPr/>
        <w:t>ανα-πτύσσουν</w:t>
      </w:r>
      <w:r>
        <w:rPr>
          <w:spacing w:val="-2"/>
        </w:rPr>
        <w:t> </w:t>
      </w:r>
      <w:r>
        <w:rPr/>
        <w:t>εσωτερικά</w:t>
      </w:r>
      <w:r>
        <w:rPr>
          <w:spacing w:val="-2"/>
        </w:rPr>
        <w:t> </w:t>
      </w:r>
      <w:r>
        <w:rPr/>
        <w:t>τις</w:t>
      </w:r>
      <w:r>
        <w:rPr>
          <w:spacing w:val="-2"/>
        </w:rPr>
        <w:t> </w:t>
      </w:r>
      <w:r>
        <w:rPr/>
        <w:t>απαραίτητες</w:t>
      </w:r>
      <w:r>
        <w:rPr>
          <w:spacing w:val="-2"/>
        </w:rPr>
        <w:t> </w:t>
      </w:r>
      <w:r>
        <w:rPr/>
        <w:t>καινοτόμες</w:t>
      </w:r>
      <w:r>
        <w:rPr>
          <w:spacing w:val="-2"/>
        </w:rPr>
        <w:t> </w:t>
      </w:r>
      <w:r>
        <w:rPr/>
        <w:t>τεχνολογικές</w:t>
      </w:r>
      <w:r>
        <w:rPr>
          <w:spacing w:val="-2"/>
        </w:rPr>
        <w:t> </w:t>
      </w:r>
      <w:r>
        <w:rPr/>
        <w:t>υποδομές,</w:t>
      </w:r>
      <w:r>
        <w:rPr>
          <w:spacing w:val="-1"/>
        </w:rPr>
        <w:t> </w:t>
      </w:r>
      <w:r>
        <w:rPr/>
        <w:t>ώστε</w:t>
      </w:r>
      <w:r>
        <w:rPr>
          <w:spacing w:val="-1"/>
        </w:rPr>
        <w:t> </w:t>
      </w:r>
      <w:r>
        <w:rPr/>
        <w:t>να διατηρούν το ανταγωνιστικό τους πλεονέκτημα και να εξυπηρετούν αποτελεσματικότερα τους πελάτες τους, στρέφονται στην ανάθεση κρίσιμων λειτουργιών σε τρίτους παρόχους υπηρεσιών Τεχνολογιών Πληροφοριών</w:t>
      </w:r>
      <w:r>
        <w:rPr>
          <w:spacing w:val="-1"/>
        </w:rPr>
        <w:t> </w:t>
      </w:r>
      <w:r>
        <w:rPr/>
        <w:t>και</w:t>
      </w:r>
      <w:r>
        <w:rPr>
          <w:spacing w:val="-2"/>
        </w:rPr>
        <w:t> </w:t>
      </w:r>
      <w:r>
        <w:rPr/>
        <w:t>Επικοινωνιών</w:t>
      </w:r>
      <w:r>
        <w:rPr>
          <w:spacing w:val="-1"/>
        </w:rPr>
        <w:t> </w:t>
      </w:r>
      <w:r>
        <w:rPr/>
        <w:t>(ΤΠΕ),</w:t>
      </w:r>
      <w:r>
        <w:rPr>
          <w:spacing w:val="-2"/>
        </w:rPr>
        <w:t> </w:t>
      </w:r>
      <w:r>
        <w:rPr/>
        <w:t>που</w:t>
      </w:r>
      <w:r>
        <w:rPr>
          <w:spacing w:val="-1"/>
        </w:rPr>
        <w:t> </w:t>
      </w:r>
      <w:r>
        <w:rPr/>
        <w:t>παρέχουν</w:t>
      </w:r>
      <w:r>
        <w:rPr>
          <w:spacing w:val="-1"/>
        </w:rPr>
        <w:t> </w:t>
      </w:r>
      <w:r>
        <w:rPr/>
        <w:t>άμεση</w:t>
      </w:r>
      <w:r>
        <w:rPr>
          <w:spacing w:val="-2"/>
        </w:rPr>
        <w:t> </w:t>
      </w:r>
      <w:r>
        <w:rPr/>
        <w:t>πρόσβαση</w:t>
      </w:r>
      <w:r>
        <w:rPr>
          <w:spacing w:val="-5"/>
        </w:rPr>
        <w:t> </w:t>
      </w:r>
      <w:r>
        <w:rPr/>
        <w:t>σε</w:t>
      </w:r>
      <w:r>
        <w:rPr>
          <w:spacing w:val="-2"/>
        </w:rPr>
        <w:t> </w:t>
      </w:r>
      <w:r>
        <w:rPr/>
        <w:t>τεχνολογίες</w:t>
      </w:r>
      <w:r>
        <w:rPr>
          <w:spacing w:val="-3"/>
        </w:rPr>
        <w:t> </w:t>
      </w:r>
      <w:r>
        <w:rPr/>
        <w:t>αιχμής.</w:t>
      </w:r>
    </w:p>
    <w:p>
      <w:pPr>
        <w:pStyle w:val="BodyText"/>
        <w:spacing w:line="285" w:lineRule="auto" w:before="51"/>
        <w:ind w:left="30" w:right="246"/>
        <w:jc w:val="both"/>
      </w:pPr>
      <w:r>
        <w:rPr/>
        <w:t>Στο πλαίσιο αυτό, το παρόν Ειδικό Θέμα στοχεύει να αναδείξει τόσο τα οφέλη όσο και τους κινδύνους που απορρέουν από τη χρήση τρίτων παρόχων υπηρεσιών ΤΠΕ, να καταγράψει το ισχύον θεσμικό πλαίσιο παγκοσμίως και να παρουσιάσει το πλαίσιο εποπτείας που θεσπίζει ο Κανονισμός DORA για την εποπτεία των κρίσιμων παρόχων υπηρεσιών ΤΠΕ.</w:t>
      </w:r>
    </w:p>
    <w:p>
      <w:pPr>
        <w:pStyle w:val="BodyText"/>
        <w:spacing w:before="163"/>
      </w:pPr>
    </w:p>
    <w:p>
      <w:pPr>
        <w:pStyle w:val="Heading4"/>
        <w:spacing w:line="285" w:lineRule="auto"/>
        <w:ind w:left="30" w:right="255"/>
      </w:pPr>
      <w:r>
        <w:rPr>
          <w:color w:val="1F487C"/>
        </w:rPr>
        <w:t>Υπηρεσίες που παρέχουν ο</w:t>
      </w:r>
      <w:r>
        <w:rPr>
          <w:smallCaps/>
          <w:color w:val="1F487C"/>
        </w:rPr>
        <w:t>ι</w:t>
      </w:r>
      <w:r>
        <w:rPr>
          <w:smallCaps w:val="0"/>
          <w:color w:val="1F487C"/>
        </w:rPr>
        <w:t> τρίτο</w:t>
      </w:r>
      <w:r>
        <w:rPr>
          <w:smallCaps/>
          <w:color w:val="1F487C"/>
        </w:rPr>
        <w:t>ι</w:t>
      </w:r>
      <w:r>
        <w:rPr>
          <w:smallCaps w:val="0"/>
          <w:color w:val="1F487C"/>
        </w:rPr>
        <w:t> πάροχο</w:t>
      </w:r>
      <w:r>
        <w:rPr>
          <w:smallCaps/>
          <w:color w:val="1F487C"/>
        </w:rPr>
        <w:t>ι</w:t>
      </w:r>
      <w:r>
        <w:rPr>
          <w:smallCaps w:val="0"/>
          <w:color w:val="1F487C"/>
        </w:rPr>
        <w:t> υπηρεσ</w:t>
      </w:r>
      <w:r>
        <w:rPr>
          <w:smallCaps/>
          <w:color w:val="1F487C"/>
        </w:rPr>
        <w:t>ι</w:t>
      </w:r>
      <w:r>
        <w:rPr>
          <w:smallCaps w:val="0"/>
          <w:color w:val="1F487C"/>
        </w:rPr>
        <w:t>ών ΤΠΕ στα χρηματοπ</w:t>
      </w:r>
      <w:r>
        <w:rPr>
          <w:smallCaps/>
          <w:color w:val="1F487C"/>
        </w:rPr>
        <w:t>ι</w:t>
      </w:r>
      <w:r>
        <w:rPr>
          <w:smallCaps w:val="0"/>
          <w:color w:val="1F487C"/>
        </w:rPr>
        <w:t>στωτ</w:t>
      </w:r>
      <w:r>
        <w:rPr>
          <w:smallCaps/>
          <w:color w:val="1F487C"/>
        </w:rPr>
        <w:t>ι</w:t>
      </w:r>
      <w:r>
        <w:rPr>
          <w:smallCaps w:val="0"/>
          <w:color w:val="1F487C"/>
        </w:rPr>
        <w:t>κά </w:t>
      </w:r>
      <w:r>
        <w:rPr>
          <w:smallCaps/>
          <w:color w:val="1F487C"/>
        </w:rPr>
        <w:t>ι</w:t>
      </w:r>
      <w:r>
        <w:rPr>
          <w:smallCaps w:val="0"/>
          <w:color w:val="1F487C"/>
        </w:rPr>
        <w:t>δρύ-</w:t>
      </w:r>
      <w:r>
        <w:rPr>
          <w:smallCaps w:val="0"/>
          <w:color w:val="1F487C"/>
          <w:spacing w:val="-4"/>
        </w:rPr>
        <w:t>ματα</w:t>
      </w:r>
    </w:p>
    <w:p>
      <w:pPr>
        <w:pStyle w:val="BodyText"/>
        <w:spacing w:line="285" w:lineRule="auto" w:before="58"/>
        <w:ind w:left="30" w:right="248"/>
        <w:jc w:val="both"/>
      </w:pPr>
      <w:r>
        <w:rPr/>
        <w:t>Η παροχή υπηρεσιών ΤΠΕ από τρίτους παρόχους καλύπτει ένα ευρύ φάσμα λειτουργιών και υ-ποδομών που μπορούν να</w:t>
      </w:r>
      <w:r>
        <w:rPr>
          <w:spacing w:val="-2"/>
        </w:rPr>
        <w:t> </w:t>
      </w:r>
      <w:r>
        <w:rPr/>
        <w:t>υποστηρίξουν κρίσιμες ή</w:t>
      </w:r>
      <w:r>
        <w:rPr>
          <w:spacing w:val="-1"/>
        </w:rPr>
        <w:t> </w:t>
      </w:r>
      <w:r>
        <w:rPr/>
        <w:t>σημαντικές</w:t>
      </w:r>
      <w:r>
        <w:rPr>
          <w:spacing w:val="-2"/>
        </w:rPr>
        <w:t> </w:t>
      </w:r>
      <w:r>
        <w:rPr/>
        <w:t>λειτουργίες των χρηματοπιστω-τικών ιδρυμάτων. Μεταξύ των κυριότερων υπηρεσιών συγκαταλέγονται οι υποδομές υπολογι-στικού νέφους (cloud), οι οποίες καθιστούν δυνατή την ευέλικτη και κλιμακούμενη διαχείριση πόρων</w:t>
      </w:r>
      <w:r>
        <w:rPr>
          <w:spacing w:val="-13"/>
        </w:rPr>
        <w:t> </w:t>
      </w:r>
      <w:r>
        <w:rPr/>
        <w:t>σε</w:t>
      </w:r>
      <w:r>
        <w:rPr>
          <w:spacing w:val="-14"/>
        </w:rPr>
        <w:t> </w:t>
      </w:r>
      <w:r>
        <w:rPr/>
        <w:t>συνδυασμό</w:t>
      </w:r>
      <w:r>
        <w:rPr>
          <w:spacing w:val="-12"/>
        </w:rPr>
        <w:t> </w:t>
      </w:r>
      <w:r>
        <w:rPr/>
        <w:t>με</w:t>
      </w:r>
      <w:r>
        <w:rPr>
          <w:spacing w:val="-11"/>
        </w:rPr>
        <w:t> </w:t>
      </w:r>
      <w:r>
        <w:rPr/>
        <w:t>μειωμένο</w:t>
      </w:r>
      <w:r>
        <w:rPr>
          <w:spacing w:val="-12"/>
        </w:rPr>
        <w:t> </w:t>
      </w:r>
      <w:r>
        <w:rPr/>
        <w:t>κόστος</w:t>
      </w:r>
      <w:r>
        <w:rPr>
          <w:spacing w:val="-13"/>
        </w:rPr>
        <w:t> </w:t>
      </w:r>
      <w:r>
        <w:rPr/>
        <w:t>εγκατάστασης</w:t>
      </w:r>
      <w:r>
        <w:rPr>
          <w:spacing w:val="-13"/>
        </w:rPr>
        <w:t> </w:t>
      </w:r>
      <w:r>
        <w:rPr/>
        <w:t>και</w:t>
      </w:r>
      <w:r>
        <w:rPr>
          <w:spacing w:val="-12"/>
        </w:rPr>
        <w:t> </w:t>
      </w:r>
      <w:r>
        <w:rPr/>
        <w:t>συντήρησης.</w:t>
      </w:r>
      <w:r>
        <w:rPr>
          <w:spacing w:val="-12"/>
        </w:rPr>
        <w:t> </w:t>
      </w:r>
      <w:r>
        <w:rPr/>
        <w:t>Η</w:t>
      </w:r>
      <w:r>
        <w:rPr>
          <w:spacing w:val="-13"/>
        </w:rPr>
        <w:t> </w:t>
      </w:r>
      <w:r>
        <w:rPr/>
        <w:t>μετάβαση</w:t>
      </w:r>
      <w:r>
        <w:rPr>
          <w:spacing w:val="-12"/>
        </w:rPr>
        <w:t> </w:t>
      </w:r>
      <w:r>
        <w:rPr/>
        <w:t>σε</w:t>
      </w:r>
      <w:r>
        <w:rPr>
          <w:spacing w:val="-11"/>
        </w:rPr>
        <w:t> </w:t>
      </w:r>
      <w:r>
        <w:rPr/>
        <w:t>λύσεις υπολογιστικού νέφους αποτελεί τη δεσπόζουσα μορφή εξωτερικής ανάθεσης,</w:t>
      </w:r>
      <w:r>
        <w:rPr>
          <w:spacing w:val="-1"/>
        </w:rPr>
        <w:t> </w:t>
      </w:r>
      <w:r>
        <w:rPr/>
        <w:t>όπως αποτυπώνε-ται</w:t>
      </w:r>
      <w:r>
        <w:rPr>
          <w:spacing w:val="-7"/>
        </w:rPr>
        <w:t> </w:t>
      </w:r>
      <w:r>
        <w:rPr/>
        <w:t>και</w:t>
      </w:r>
      <w:r>
        <w:rPr>
          <w:spacing w:val="-9"/>
        </w:rPr>
        <w:t> </w:t>
      </w:r>
      <w:r>
        <w:rPr/>
        <w:t>στα</w:t>
      </w:r>
      <w:r>
        <w:rPr>
          <w:spacing w:val="-10"/>
        </w:rPr>
        <w:t> </w:t>
      </w:r>
      <w:r>
        <w:rPr/>
        <w:t>στοιχεία</w:t>
      </w:r>
      <w:r>
        <w:rPr>
          <w:spacing w:val="-9"/>
        </w:rPr>
        <w:t> </w:t>
      </w:r>
      <w:r>
        <w:rPr/>
        <w:t>της</w:t>
      </w:r>
      <w:r>
        <w:rPr>
          <w:spacing w:val="-8"/>
        </w:rPr>
        <w:t> </w:t>
      </w:r>
      <w:r>
        <w:rPr/>
        <w:t>ΕΚΤ,</w:t>
      </w:r>
      <w:r>
        <w:rPr>
          <w:spacing w:val="-8"/>
        </w:rPr>
        <w:t> </w:t>
      </w:r>
      <w:r>
        <w:rPr/>
        <w:t>όπου</w:t>
      </w:r>
      <w:r>
        <w:rPr>
          <w:spacing w:val="-8"/>
        </w:rPr>
        <w:t> </w:t>
      </w:r>
      <w:r>
        <w:rPr/>
        <w:t>όμως</w:t>
      </w:r>
      <w:r>
        <w:rPr>
          <w:spacing w:val="-11"/>
        </w:rPr>
        <w:t> </w:t>
      </w:r>
      <w:r>
        <w:rPr/>
        <w:t>παρατηρείται</w:t>
      </w:r>
      <w:r>
        <w:rPr>
          <w:spacing w:val="-9"/>
        </w:rPr>
        <w:t> </w:t>
      </w:r>
      <w:r>
        <w:rPr/>
        <w:t>αυξανόμενη</w:t>
      </w:r>
      <w:r>
        <w:rPr>
          <w:spacing w:val="-10"/>
        </w:rPr>
        <w:t> </w:t>
      </w:r>
      <w:r>
        <w:rPr/>
        <w:t>εξάρτηση</w:t>
      </w:r>
      <w:r>
        <w:rPr>
          <w:spacing w:val="-7"/>
        </w:rPr>
        <w:t> </w:t>
      </w:r>
      <w:r>
        <w:rPr/>
        <w:t>από</w:t>
      </w:r>
      <w:r>
        <w:rPr>
          <w:spacing w:val="-10"/>
        </w:rPr>
        <w:t> </w:t>
      </w:r>
      <w:r>
        <w:rPr/>
        <w:t>περιορισμένο αριθμό μεγάλων παρόχων.</w:t>
      </w:r>
    </w:p>
    <w:p>
      <w:pPr>
        <w:pStyle w:val="BodyText"/>
        <w:spacing w:line="285" w:lineRule="auto" w:before="52"/>
        <w:ind w:left="30" w:right="247"/>
        <w:jc w:val="both"/>
      </w:pPr>
      <w:r>
        <w:rPr/>
        <w:t>Παράλληλα,</w:t>
      </w:r>
      <w:r>
        <w:rPr>
          <w:spacing w:val="-5"/>
        </w:rPr>
        <w:t> </w:t>
      </w:r>
      <w:r>
        <w:rPr/>
        <w:t>οι</w:t>
      </w:r>
      <w:r>
        <w:rPr>
          <w:spacing w:val="-4"/>
        </w:rPr>
        <w:t> </w:t>
      </w:r>
      <w:r>
        <w:rPr/>
        <w:t>υπηρεσίες</w:t>
      </w:r>
      <w:r>
        <w:rPr>
          <w:spacing w:val="-6"/>
        </w:rPr>
        <w:t> </w:t>
      </w:r>
      <w:r>
        <w:rPr/>
        <w:t>διαχείρισης</w:t>
      </w:r>
      <w:r>
        <w:rPr>
          <w:spacing w:val="-6"/>
        </w:rPr>
        <w:t> </w:t>
      </w:r>
      <w:r>
        <w:rPr/>
        <w:t>και</w:t>
      </w:r>
      <w:r>
        <w:rPr>
          <w:spacing w:val="-5"/>
        </w:rPr>
        <w:t> </w:t>
      </w:r>
      <w:r>
        <w:rPr/>
        <w:t>ανάλυσης</w:t>
      </w:r>
      <w:r>
        <w:rPr>
          <w:spacing w:val="-6"/>
        </w:rPr>
        <w:t> </w:t>
      </w:r>
      <w:r>
        <w:rPr/>
        <w:t>μεγάλου</w:t>
      </w:r>
      <w:r>
        <w:rPr>
          <w:spacing w:val="-4"/>
        </w:rPr>
        <w:t> </w:t>
      </w:r>
      <w:r>
        <w:rPr/>
        <w:t>όγκου</w:t>
      </w:r>
      <w:r>
        <w:rPr>
          <w:spacing w:val="-4"/>
        </w:rPr>
        <w:t> </w:t>
      </w:r>
      <w:r>
        <w:rPr/>
        <w:t>δεδομένων</w:t>
      </w:r>
      <w:r>
        <w:rPr>
          <w:spacing w:val="-4"/>
        </w:rPr>
        <w:t> </w:t>
      </w:r>
      <w:r>
        <w:rPr/>
        <w:t>(big</w:t>
      </w:r>
      <w:r>
        <w:rPr>
          <w:spacing w:val="-5"/>
        </w:rPr>
        <w:t> </w:t>
      </w:r>
      <w:r>
        <w:rPr/>
        <w:t>data</w:t>
      </w:r>
      <w:r>
        <w:rPr>
          <w:spacing w:val="-3"/>
        </w:rPr>
        <w:t> </w:t>
      </w:r>
      <w:r>
        <w:rPr/>
        <w:t>analyt-ics) διαδραματίζουν ολοένα σημαντικότερο ρόλο, καθώς επιτρέπουν την επεξεργασία μεγάλου όγκου δεδομένων, την εφαρμογή προηγμένων αναλυτικών μεθόδων και τη χρήση τεχνικών μη-χανικής</w:t>
      </w:r>
      <w:r>
        <w:rPr>
          <w:spacing w:val="-9"/>
        </w:rPr>
        <w:t> </w:t>
      </w:r>
      <w:r>
        <w:rPr/>
        <w:t>μάθησης,</w:t>
      </w:r>
      <w:r>
        <w:rPr>
          <w:spacing w:val="-7"/>
        </w:rPr>
        <w:t> </w:t>
      </w:r>
      <w:r>
        <w:rPr/>
        <w:t>οι</w:t>
      </w:r>
      <w:r>
        <w:rPr>
          <w:spacing w:val="-7"/>
        </w:rPr>
        <w:t> </w:t>
      </w:r>
      <w:r>
        <w:rPr/>
        <w:t>οποίες</w:t>
      </w:r>
      <w:r>
        <w:rPr>
          <w:spacing w:val="-11"/>
        </w:rPr>
        <w:t> </w:t>
      </w:r>
      <w:r>
        <w:rPr/>
        <w:t>υποστηρίζουν</w:t>
      </w:r>
      <w:r>
        <w:rPr>
          <w:spacing w:val="-7"/>
        </w:rPr>
        <w:t> </w:t>
      </w:r>
      <w:r>
        <w:rPr/>
        <w:t>κρίσιμες</w:t>
      </w:r>
      <w:r>
        <w:rPr>
          <w:spacing w:val="-8"/>
        </w:rPr>
        <w:t> </w:t>
      </w:r>
      <w:r>
        <w:rPr/>
        <w:t>λειτουργίες</w:t>
      </w:r>
      <w:r>
        <w:rPr>
          <w:spacing w:val="-8"/>
        </w:rPr>
        <w:t> </w:t>
      </w:r>
      <w:r>
        <w:rPr/>
        <w:t>των</w:t>
      </w:r>
      <w:r>
        <w:rPr>
          <w:spacing w:val="-9"/>
        </w:rPr>
        <w:t> </w:t>
      </w:r>
      <w:r>
        <w:rPr/>
        <w:t>χρηματοπιστωτικών</w:t>
      </w:r>
      <w:r>
        <w:rPr>
          <w:spacing w:val="-7"/>
        </w:rPr>
        <w:t> </w:t>
      </w:r>
      <w:r>
        <w:rPr/>
        <w:t>ιδρυμά-των,</w:t>
      </w:r>
      <w:r>
        <w:rPr>
          <w:spacing w:val="-2"/>
        </w:rPr>
        <w:t> </w:t>
      </w:r>
      <w:r>
        <w:rPr/>
        <w:t>όπως</w:t>
      </w:r>
      <w:r>
        <w:rPr>
          <w:spacing w:val="-3"/>
        </w:rPr>
        <w:t> </w:t>
      </w:r>
      <w:r>
        <w:rPr/>
        <w:t>η</w:t>
      </w:r>
      <w:r>
        <w:rPr>
          <w:spacing w:val="-2"/>
        </w:rPr>
        <w:t> </w:t>
      </w:r>
      <w:r>
        <w:rPr/>
        <w:t>αξιολόγηση</w:t>
      </w:r>
      <w:r>
        <w:rPr>
          <w:spacing w:val="-2"/>
        </w:rPr>
        <w:t> </w:t>
      </w:r>
      <w:r>
        <w:rPr/>
        <w:t>του</w:t>
      </w:r>
      <w:r>
        <w:rPr>
          <w:spacing w:val="-1"/>
        </w:rPr>
        <w:t> </w:t>
      </w:r>
      <w:r>
        <w:rPr/>
        <w:t>πιστωτικού</w:t>
      </w:r>
      <w:r>
        <w:rPr>
          <w:spacing w:val="-1"/>
        </w:rPr>
        <w:t> </w:t>
      </w:r>
      <w:r>
        <w:rPr/>
        <w:t>κινδύνου,</w:t>
      </w:r>
      <w:r>
        <w:rPr>
          <w:spacing w:val="-2"/>
        </w:rPr>
        <w:t> </w:t>
      </w:r>
      <w:r>
        <w:rPr/>
        <w:t>η</w:t>
      </w:r>
      <w:r>
        <w:rPr>
          <w:spacing w:val="-2"/>
        </w:rPr>
        <w:t> </w:t>
      </w:r>
      <w:r>
        <w:rPr/>
        <w:t>ανίχνευση</w:t>
      </w:r>
      <w:r>
        <w:rPr>
          <w:spacing w:val="-2"/>
        </w:rPr>
        <w:t> </w:t>
      </w:r>
      <w:r>
        <w:rPr/>
        <w:t>απάτης</w:t>
      </w:r>
      <w:r>
        <w:rPr>
          <w:spacing w:val="-3"/>
        </w:rPr>
        <w:t> </w:t>
      </w:r>
      <w:r>
        <w:rPr/>
        <w:t>και</w:t>
      </w:r>
      <w:r>
        <w:rPr>
          <w:spacing w:val="-2"/>
        </w:rPr>
        <w:t> </w:t>
      </w:r>
      <w:r>
        <w:rPr/>
        <w:t>η</w:t>
      </w:r>
      <w:r>
        <w:rPr>
          <w:spacing w:val="-2"/>
        </w:rPr>
        <w:t> </w:t>
      </w:r>
      <w:r>
        <w:rPr/>
        <w:t>εξατομίκευση</w:t>
      </w:r>
      <w:r>
        <w:rPr>
          <w:spacing w:val="-2"/>
        </w:rPr>
        <w:t> </w:t>
      </w:r>
      <w:r>
        <w:rPr/>
        <w:t>των προσφερόμενων προϊόντων πελατών.</w:t>
      </w:r>
    </w:p>
    <w:p>
      <w:pPr>
        <w:pStyle w:val="BodyText"/>
        <w:spacing w:line="285" w:lineRule="auto" w:before="54"/>
        <w:ind w:left="30" w:right="246"/>
        <w:jc w:val="both"/>
      </w:pPr>
      <w:r>
        <w:rPr/>
        <w:t>Oι υπηρεσίες κυβερνοασφάλειας αποτελούν επίσης βασικό πεδίο εξωτερικής ανάθεσης σε τρί-τους παρόχους υπηρεσιών ΤΠΕ, δεδομένης της αυξανόμενης πολυπλοκότητας και έντασης των κυβερνοαπειλών. Εξειδικευμένοι πάροχοι αναλαμβάνουν κρίσιμες λειτουργίες όπως τα Κέντρα Επιχειρήσεων</w:t>
      </w:r>
      <w:r>
        <w:rPr>
          <w:spacing w:val="-1"/>
        </w:rPr>
        <w:t> </w:t>
      </w:r>
      <w:r>
        <w:rPr/>
        <w:t>Ασφάλειας</w:t>
      </w:r>
      <w:r>
        <w:rPr>
          <w:spacing w:val="-3"/>
        </w:rPr>
        <w:t> </w:t>
      </w:r>
      <w:r>
        <w:rPr/>
        <w:t>(SOC),</w:t>
      </w:r>
      <w:r>
        <w:rPr>
          <w:spacing w:val="-2"/>
        </w:rPr>
        <w:t> </w:t>
      </w:r>
      <w:r>
        <w:rPr/>
        <w:t>υπηρεσίες</w:t>
      </w:r>
      <w:r>
        <w:rPr>
          <w:spacing w:val="-3"/>
        </w:rPr>
        <w:t> </w:t>
      </w:r>
      <w:r>
        <w:rPr/>
        <w:t>ανίχνευσης</w:t>
      </w:r>
      <w:r>
        <w:rPr>
          <w:spacing w:val="-4"/>
        </w:rPr>
        <w:t> </w:t>
      </w:r>
      <w:r>
        <w:rPr/>
        <w:t>και</w:t>
      </w:r>
      <w:r>
        <w:rPr>
          <w:spacing w:val="-2"/>
        </w:rPr>
        <w:t> </w:t>
      </w:r>
      <w:r>
        <w:rPr/>
        <w:t>απόκρισης</w:t>
      </w:r>
      <w:r>
        <w:rPr>
          <w:spacing w:val="-4"/>
        </w:rPr>
        <w:t> </w:t>
      </w:r>
      <w:r>
        <w:rPr/>
        <w:t>σε</w:t>
      </w:r>
      <w:r>
        <w:rPr>
          <w:spacing w:val="-2"/>
        </w:rPr>
        <w:t> </w:t>
      </w:r>
      <w:r>
        <w:rPr/>
        <w:t>συμβάντα,</w:t>
      </w:r>
      <w:r>
        <w:rPr>
          <w:spacing w:val="-2"/>
        </w:rPr>
        <w:t> </w:t>
      </w:r>
      <w:r>
        <w:rPr/>
        <w:t>καθώς</w:t>
      </w:r>
      <w:r>
        <w:rPr>
          <w:spacing w:val="-3"/>
        </w:rPr>
        <w:t> </w:t>
      </w:r>
      <w:r>
        <w:rPr/>
        <w:t>και τις δοκιμές παρείσδυσης, συμβάλλοντας στην ενίσχυση της ανθεκτικότητας των ιδρυμάτων.</w:t>
      </w:r>
    </w:p>
    <w:p>
      <w:pPr>
        <w:pStyle w:val="BodyText"/>
        <w:spacing w:line="285" w:lineRule="auto" w:before="55"/>
        <w:ind w:left="30" w:right="250"/>
        <w:jc w:val="both"/>
      </w:pPr>
      <w:r>
        <w:rPr/>
        <w:t>Η αυξημένη εξάρτηση από τέτοιες υπηρεσίες αναδεικνύει περαιτέρω τη σημασία της επιχειρη-σιακής</w:t>
      </w:r>
      <w:r>
        <w:rPr>
          <w:spacing w:val="7"/>
        </w:rPr>
        <w:t> </w:t>
      </w:r>
      <w:r>
        <w:rPr/>
        <w:t>ανθεκτικότητας</w:t>
      </w:r>
      <w:r>
        <w:rPr>
          <w:spacing w:val="10"/>
        </w:rPr>
        <w:t> </w:t>
      </w:r>
      <w:r>
        <w:rPr/>
        <w:t>και</w:t>
      </w:r>
      <w:r>
        <w:rPr>
          <w:spacing w:val="11"/>
        </w:rPr>
        <w:t> </w:t>
      </w:r>
      <w:r>
        <w:rPr/>
        <w:t>της</w:t>
      </w:r>
      <w:r>
        <w:rPr>
          <w:spacing w:val="10"/>
        </w:rPr>
        <w:t> </w:t>
      </w:r>
      <w:r>
        <w:rPr/>
        <w:t>αξιοπιστίας</w:t>
      </w:r>
      <w:r>
        <w:rPr>
          <w:spacing w:val="10"/>
        </w:rPr>
        <w:t> </w:t>
      </w:r>
      <w:r>
        <w:rPr/>
        <w:t>των</w:t>
      </w:r>
      <w:r>
        <w:rPr>
          <w:spacing w:val="11"/>
        </w:rPr>
        <w:t> </w:t>
      </w:r>
      <w:r>
        <w:rPr/>
        <w:t>τρίτων</w:t>
      </w:r>
      <w:r>
        <w:rPr>
          <w:spacing w:val="12"/>
        </w:rPr>
        <w:t> </w:t>
      </w:r>
      <w:r>
        <w:rPr/>
        <w:t>παρόχων,</w:t>
      </w:r>
      <w:r>
        <w:rPr>
          <w:spacing w:val="11"/>
        </w:rPr>
        <w:t> </w:t>
      </w:r>
      <w:r>
        <w:rPr/>
        <w:t>καθώς</w:t>
      </w:r>
      <w:r>
        <w:rPr>
          <w:spacing w:val="10"/>
        </w:rPr>
        <w:t> </w:t>
      </w:r>
      <w:r>
        <w:rPr/>
        <w:t>τυχόν</w:t>
      </w:r>
      <w:r>
        <w:rPr>
          <w:spacing w:val="12"/>
        </w:rPr>
        <w:t> </w:t>
      </w:r>
      <w:r>
        <w:rPr/>
        <w:t>διαταραχές</w:t>
      </w:r>
      <w:r>
        <w:rPr>
          <w:spacing w:val="10"/>
        </w:rPr>
        <w:t> </w:t>
      </w:r>
      <w:r>
        <w:rPr>
          <w:spacing w:val="-5"/>
        </w:rPr>
        <w:t>στη</w:t>
      </w:r>
    </w:p>
    <w:p>
      <w:pPr>
        <w:pStyle w:val="BodyText"/>
        <w:spacing w:after="0" w:line="285" w:lineRule="auto"/>
        <w:jc w:val="both"/>
        <w:sectPr>
          <w:pgSz w:w="11910" w:h="16850"/>
          <w:pgMar w:header="0" w:footer="1262" w:top="1080" w:bottom="1500" w:left="1559" w:right="1559"/>
        </w:sectPr>
      </w:pPr>
    </w:p>
    <w:p>
      <w:pPr>
        <w:pStyle w:val="BodyText"/>
        <w:spacing w:line="285" w:lineRule="auto" w:before="74"/>
        <w:ind w:left="30" w:right="253"/>
        <w:jc w:val="both"/>
      </w:pPr>
      <w:r>
        <w:rPr/>
        <w:t>λειτουργία τους</w:t>
      </w:r>
      <w:r>
        <w:rPr>
          <w:spacing w:val="-1"/>
        </w:rPr>
        <w:t> </w:t>
      </w:r>
      <w:r>
        <w:rPr/>
        <w:t>ενδέχεται να έχουν άμεσο και συστημικό αντίκτυπο στη λειτουργία του χρημα-τοπιστωτικού συστήματος.</w:t>
      </w:r>
    </w:p>
    <w:p>
      <w:pPr>
        <w:pStyle w:val="BodyText"/>
        <w:spacing w:before="165"/>
      </w:pPr>
    </w:p>
    <w:p>
      <w:pPr>
        <w:pStyle w:val="Heading4"/>
        <w:ind w:left="30"/>
      </w:pPr>
      <w:r>
        <w:rPr>
          <w:color w:val="1F487C"/>
        </w:rPr>
        <w:t>Οφέλη</w:t>
      </w:r>
      <w:r>
        <w:rPr>
          <w:color w:val="1F487C"/>
          <w:spacing w:val="-5"/>
        </w:rPr>
        <w:t> </w:t>
      </w:r>
      <w:r>
        <w:rPr>
          <w:color w:val="1F487C"/>
        </w:rPr>
        <w:t>από</w:t>
      </w:r>
      <w:r>
        <w:rPr>
          <w:color w:val="1F487C"/>
          <w:spacing w:val="-3"/>
        </w:rPr>
        <w:t> </w:t>
      </w:r>
      <w:r>
        <w:rPr>
          <w:color w:val="1F487C"/>
        </w:rPr>
        <w:t>τη</w:t>
      </w:r>
      <w:r>
        <w:rPr>
          <w:color w:val="1F487C"/>
          <w:spacing w:val="-3"/>
        </w:rPr>
        <w:t> </w:t>
      </w:r>
      <w:r>
        <w:rPr>
          <w:color w:val="1F487C"/>
        </w:rPr>
        <w:t>χρήση</w:t>
      </w:r>
      <w:r>
        <w:rPr>
          <w:color w:val="1F487C"/>
          <w:spacing w:val="-4"/>
        </w:rPr>
        <w:t> </w:t>
      </w:r>
      <w:r>
        <w:rPr>
          <w:color w:val="1F487C"/>
        </w:rPr>
        <w:t>τρίτων</w:t>
      </w:r>
      <w:r>
        <w:rPr>
          <w:color w:val="1F487C"/>
          <w:spacing w:val="-4"/>
        </w:rPr>
        <w:t> </w:t>
      </w:r>
      <w:r>
        <w:rPr>
          <w:color w:val="1F487C"/>
        </w:rPr>
        <w:t>παρόχων</w:t>
      </w:r>
      <w:r>
        <w:rPr>
          <w:color w:val="1F487C"/>
          <w:spacing w:val="-3"/>
        </w:rPr>
        <w:t> </w:t>
      </w:r>
      <w:r>
        <w:rPr>
          <w:color w:val="1F487C"/>
        </w:rPr>
        <w:t>υπηρεσ</w:t>
      </w:r>
      <w:r>
        <w:rPr>
          <w:smallCaps/>
          <w:color w:val="1F487C"/>
        </w:rPr>
        <w:t>ι</w:t>
      </w:r>
      <w:r>
        <w:rPr>
          <w:smallCaps w:val="0"/>
          <w:color w:val="1F487C"/>
        </w:rPr>
        <w:t>ών</w:t>
      </w:r>
      <w:r>
        <w:rPr>
          <w:smallCaps w:val="0"/>
          <w:color w:val="1F487C"/>
          <w:spacing w:val="-5"/>
        </w:rPr>
        <w:t> ΤΠΕ</w:t>
      </w:r>
    </w:p>
    <w:p>
      <w:pPr>
        <w:pStyle w:val="BodyText"/>
        <w:spacing w:line="285" w:lineRule="auto" w:before="107"/>
        <w:ind w:left="30" w:right="246"/>
        <w:jc w:val="both"/>
      </w:pPr>
      <w:r>
        <w:rPr/>
        <w:t>Η χρήση τρίτων παρόχων υπηρεσιών ΤΠΕ προσφέρει σημαντικά οφέλη στα χρηματοπιστωτικά ιδρύματα, με κυριότερο την ενίσχυση της οικονομικής αποδοτικότητας και τη βελτιστοποίηση της</w:t>
      </w:r>
      <w:r>
        <w:rPr>
          <w:spacing w:val="-7"/>
        </w:rPr>
        <w:t> </w:t>
      </w:r>
      <w:r>
        <w:rPr/>
        <w:t>κατανομής</w:t>
      </w:r>
      <w:r>
        <w:rPr>
          <w:spacing w:val="-7"/>
        </w:rPr>
        <w:t> </w:t>
      </w:r>
      <w:r>
        <w:rPr/>
        <w:t>πόρων.</w:t>
      </w:r>
      <w:r>
        <w:rPr>
          <w:spacing w:val="-6"/>
        </w:rPr>
        <w:t> </w:t>
      </w:r>
      <w:r>
        <w:rPr/>
        <w:t>Μέσω</w:t>
      </w:r>
      <w:r>
        <w:rPr>
          <w:spacing w:val="-5"/>
        </w:rPr>
        <w:t> </w:t>
      </w:r>
      <w:r>
        <w:rPr/>
        <w:t>της</w:t>
      </w:r>
      <w:r>
        <w:rPr>
          <w:spacing w:val="-7"/>
        </w:rPr>
        <w:t> </w:t>
      </w:r>
      <w:r>
        <w:rPr/>
        <w:t>χρήσης</w:t>
      </w:r>
      <w:r>
        <w:rPr>
          <w:spacing w:val="-7"/>
        </w:rPr>
        <w:t> </w:t>
      </w:r>
      <w:r>
        <w:rPr/>
        <w:t>τρίτων</w:t>
      </w:r>
      <w:r>
        <w:rPr>
          <w:spacing w:val="-5"/>
        </w:rPr>
        <w:t> </w:t>
      </w:r>
      <w:r>
        <w:rPr/>
        <w:t>παρόχων,</w:t>
      </w:r>
      <w:r>
        <w:rPr>
          <w:spacing w:val="-6"/>
        </w:rPr>
        <w:t> </w:t>
      </w:r>
      <w:r>
        <w:rPr/>
        <w:t>τα</w:t>
      </w:r>
      <w:r>
        <w:rPr>
          <w:spacing w:val="-7"/>
        </w:rPr>
        <w:t> </w:t>
      </w:r>
      <w:r>
        <w:rPr/>
        <w:t>ιδρύματα</w:t>
      </w:r>
      <w:r>
        <w:rPr>
          <w:spacing w:val="-7"/>
        </w:rPr>
        <w:t> </w:t>
      </w:r>
      <w:r>
        <w:rPr/>
        <w:t>μπορούν</w:t>
      </w:r>
      <w:r>
        <w:rPr>
          <w:spacing w:val="-5"/>
        </w:rPr>
        <w:t> </w:t>
      </w:r>
      <w:r>
        <w:rPr/>
        <w:t>να</w:t>
      </w:r>
      <w:r>
        <w:rPr>
          <w:spacing w:val="-7"/>
        </w:rPr>
        <w:t> </w:t>
      </w:r>
      <w:r>
        <w:rPr/>
        <w:t>περιορίσουν τις επενδύσεις για την</w:t>
      </w:r>
      <w:r>
        <w:rPr>
          <w:spacing w:val="-1"/>
        </w:rPr>
        <w:t> </w:t>
      </w:r>
      <w:r>
        <w:rPr/>
        <w:t>εσωτερική ανάπτυξη και τη</w:t>
      </w:r>
      <w:r>
        <w:rPr>
          <w:spacing w:val="-1"/>
        </w:rPr>
        <w:t> </w:t>
      </w:r>
      <w:r>
        <w:rPr/>
        <w:t>συντήρηση</w:t>
      </w:r>
      <w:r>
        <w:rPr>
          <w:spacing w:val="-1"/>
        </w:rPr>
        <w:t> </w:t>
      </w:r>
      <w:r>
        <w:rPr/>
        <w:t>υποδομών, υιοθετώντας</w:t>
      </w:r>
      <w:r>
        <w:rPr>
          <w:spacing w:val="-1"/>
        </w:rPr>
        <w:t> </w:t>
      </w:r>
      <w:r>
        <w:rPr/>
        <w:t>ευέλικτα μοντέλα τιμολόγησης βάσει χρήσης που προσφέρουν οι τρίτοι πάροχοι και μειώνοντας έτσι το λειτουργικό κόστος.</w:t>
      </w:r>
    </w:p>
    <w:p>
      <w:pPr>
        <w:pStyle w:val="BodyText"/>
        <w:spacing w:line="285" w:lineRule="auto" w:before="54"/>
        <w:ind w:left="30" w:right="244"/>
        <w:jc w:val="both"/>
      </w:pPr>
      <w:r>
        <w:rPr/>
        <w:t>Παράλληλα, η συνεργασία με εξειδικευμένους παρόχους επιτρέπει την άμεση πρόσβαση σε τε-χνολογίες αιχμής και σε υψηλού επιπέδου τεχνογνωσία. Οι πάροχοι επενδύουν διαρκώς σε και-νοτομία, προσφέροντας προηγμένες λύσεις σε τομείς όπως η ανάλυση δεδομένων, η αυτοματο-ποίηση διαδικασιών και η κυβερνοασφάλεια. Αυτό δίνει τη δυνατότητα στα χρηματοπιστωτικά ιδρύματα</w:t>
      </w:r>
      <w:r>
        <w:rPr>
          <w:spacing w:val="-7"/>
        </w:rPr>
        <w:t> </w:t>
      </w:r>
      <w:r>
        <w:rPr/>
        <w:t>να</w:t>
      </w:r>
      <w:r>
        <w:rPr>
          <w:spacing w:val="-7"/>
        </w:rPr>
        <w:t> </w:t>
      </w:r>
      <w:r>
        <w:rPr/>
        <w:t>ενισχύουν</w:t>
      </w:r>
      <w:r>
        <w:rPr>
          <w:spacing w:val="-5"/>
        </w:rPr>
        <w:t> </w:t>
      </w:r>
      <w:r>
        <w:rPr/>
        <w:t>την</w:t>
      </w:r>
      <w:r>
        <w:rPr>
          <w:spacing w:val="-8"/>
        </w:rPr>
        <w:t> </w:t>
      </w:r>
      <w:r>
        <w:rPr/>
        <w:t>επιχειρησιακή</w:t>
      </w:r>
      <w:r>
        <w:rPr>
          <w:spacing w:val="-6"/>
        </w:rPr>
        <w:t> </w:t>
      </w:r>
      <w:r>
        <w:rPr/>
        <w:t>τους</w:t>
      </w:r>
      <w:r>
        <w:rPr>
          <w:spacing w:val="-7"/>
        </w:rPr>
        <w:t> </w:t>
      </w:r>
      <w:r>
        <w:rPr/>
        <w:t>αποτελεσματικότητα</w:t>
      </w:r>
      <w:r>
        <w:rPr>
          <w:spacing w:val="-7"/>
        </w:rPr>
        <w:t> </w:t>
      </w:r>
      <w:r>
        <w:rPr/>
        <w:t>και</w:t>
      </w:r>
      <w:r>
        <w:rPr>
          <w:spacing w:val="-6"/>
        </w:rPr>
        <w:t> </w:t>
      </w:r>
      <w:r>
        <w:rPr/>
        <w:t>να</w:t>
      </w:r>
      <w:r>
        <w:rPr>
          <w:spacing w:val="-7"/>
        </w:rPr>
        <w:t> </w:t>
      </w:r>
      <w:r>
        <w:rPr/>
        <w:t>ανταποκρίνονται</w:t>
      </w:r>
      <w:r>
        <w:rPr>
          <w:spacing w:val="-6"/>
        </w:rPr>
        <w:t> </w:t>
      </w:r>
      <w:r>
        <w:rPr/>
        <w:t>τα-χύτερα στις εξελίξεις αλλά και στις προκλήσεις του ψηφιακού περιβάλλοντος.</w:t>
      </w:r>
    </w:p>
    <w:p>
      <w:pPr>
        <w:pStyle w:val="BodyText"/>
        <w:spacing w:line="285" w:lineRule="auto" w:before="54"/>
        <w:ind w:left="30" w:right="246"/>
        <w:jc w:val="both"/>
      </w:pPr>
      <w:r>
        <w:rPr/>
        <w:t>Τέλος, η εξωτερική ανάθεση ενισχύει σημαντικά την ευελιξία και την επεκτασιμότητα των λει-τουργιών των ιδρυμάτων, επιτρέποντας την ταχεία προσαρμογή στις μεταβαλλόμενες συνθήκες της αγοράς και την άμεση ανάπτυξη νέων προϊόντων και υπηρεσιών. Ταυτόχρονα, η ανάθεση λιγότερο κρίσιμων ή τεχνικά απαιτητικών λειτουργιών σε τρίτους παρόχους απελευθερώνει πό-ρους,</w:t>
      </w:r>
      <w:r>
        <w:rPr>
          <w:spacing w:val="-2"/>
        </w:rPr>
        <w:t> </w:t>
      </w:r>
      <w:r>
        <w:rPr/>
        <w:t>επιτρέποντας</w:t>
      </w:r>
      <w:r>
        <w:rPr>
          <w:spacing w:val="-4"/>
        </w:rPr>
        <w:t> </w:t>
      </w:r>
      <w:r>
        <w:rPr/>
        <w:t>στα</w:t>
      </w:r>
      <w:r>
        <w:rPr>
          <w:spacing w:val="-1"/>
        </w:rPr>
        <w:t> </w:t>
      </w:r>
      <w:r>
        <w:rPr/>
        <w:t>ιδρύματα</w:t>
      </w:r>
      <w:r>
        <w:rPr>
          <w:spacing w:val="-1"/>
        </w:rPr>
        <w:t> </w:t>
      </w:r>
      <w:r>
        <w:rPr/>
        <w:t>να</w:t>
      </w:r>
      <w:r>
        <w:rPr>
          <w:spacing w:val="-3"/>
        </w:rPr>
        <w:t> </w:t>
      </w:r>
      <w:r>
        <w:rPr/>
        <w:t>επικεντρωθούν</w:t>
      </w:r>
      <w:r>
        <w:rPr>
          <w:spacing w:val="-1"/>
        </w:rPr>
        <w:t> </w:t>
      </w:r>
      <w:r>
        <w:rPr/>
        <w:t>στον πυρήνα</w:t>
      </w:r>
      <w:r>
        <w:rPr>
          <w:spacing w:val="-2"/>
        </w:rPr>
        <w:t> </w:t>
      </w:r>
      <w:r>
        <w:rPr/>
        <w:t>των δραστηριοτήτων τους</w:t>
      </w:r>
      <w:r>
        <w:rPr>
          <w:spacing w:val="-1"/>
        </w:rPr>
        <w:t> </w:t>
      </w:r>
      <w:r>
        <w:rPr/>
        <w:t>και στη βελτίωση της εμπειρίας των πελατών.</w:t>
      </w:r>
    </w:p>
    <w:p>
      <w:pPr>
        <w:pStyle w:val="BodyText"/>
        <w:spacing w:before="160"/>
      </w:pPr>
    </w:p>
    <w:p>
      <w:pPr>
        <w:pStyle w:val="Heading4"/>
        <w:spacing w:before="1"/>
        <w:ind w:left="30"/>
      </w:pPr>
      <w:r>
        <w:rPr>
          <w:color w:val="1F487C"/>
        </w:rPr>
        <w:t>Κίνδυνο</w:t>
      </w:r>
      <w:r>
        <w:rPr>
          <w:smallCaps/>
          <w:color w:val="1F487C"/>
        </w:rPr>
        <w:t>ι</w:t>
      </w:r>
      <w:r>
        <w:rPr>
          <w:smallCaps w:val="0"/>
          <w:color w:val="1F487C"/>
          <w:spacing w:val="-4"/>
        </w:rPr>
        <w:t> </w:t>
      </w:r>
      <w:r>
        <w:rPr>
          <w:smallCaps w:val="0"/>
          <w:color w:val="1F487C"/>
        </w:rPr>
        <w:t>από</w:t>
      </w:r>
      <w:r>
        <w:rPr>
          <w:smallCaps w:val="0"/>
          <w:color w:val="1F487C"/>
          <w:spacing w:val="-5"/>
        </w:rPr>
        <w:t> </w:t>
      </w:r>
      <w:r>
        <w:rPr>
          <w:smallCaps w:val="0"/>
          <w:color w:val="1F487C"/>
        </w:rPr>
        <w:t>τη</w:t>
      </w:r>
      <w:r>
        <w:rPr>
          <w:smallCaps w:val="0"/>
          <w:color w:val="1F487C"/>
          <w:spacing w:val="-5"/>
        </w:rPr>
        <w:t> </w:t>
      </w:r>
      <w:r>
        <w:rPr>
          <w:smallCaps w:val="0"/>
          <w:color w:val="1F487C"/>
        </w:rPr>
        <w:t>χρήση</w:t>
      </w:r>
      <w:r>
        <w:rPr>
          <w:smallCaps w:val="0"/>
          <w:color w:val="1F487C"/>
          <w:spacing w:val="-4"/>
        </w:rPr>
        <w:t> </w:t>
      </w:r>
      <w:r>
        <w:rPr>
          <w:smallCaps w:val="0"/>
          <w:color w:val="1F487C"/>
        </w:rPr>
        <w:t>τρίτων</w:t>
      </w:r>
      <w:r>
        <w:rPr>
          <w:smallCaps w:val="0"/>
          <w:color w:val="1F487C"/>
          <w:spacing w:val="-6"/>
        </w:rPr>
        <w:t> </w:t>
      </w:r>
      <w:r>
        <w:rPr>
          <w:smallCaps w:val="0"/>
          <w:color w:val="1F487C"/>
        </w:rPr>
        <w:t>παρόχων</w:t>
      </w:r>
      <w:r>
        <w:rPr>
          <w:smallCaps w:val="0"/>
          <w:color w:val="1F487C"/>
          <w:spacing w:val="-4"/>
        </w:rPr>
        <w:t> </w:t>
      </w:r>
      <w:r>
        <w:rPr>
          <w:smallCaps w:val="0"/>
          <w:color w:val="1F487C"/>
        </w:rPr>
        <w:t>υπηρεσ</w:t>
      </w:r>
      <w:r>
        <w:rPr>
          <w:smallCaps/>
          <w:color w:val="1F487C"/>
        </w:rPr>
        <w:t>ι</w:t>
      </w:r>
      <w:r>
        <w:rPr>
          <w:smallCaps w:val="0"/>
          <w:color w:val="1F487C"/>
        </w:rPr>
        <w:t>ών</w:t>
      </w:r>
      <w:r>
        <w:rPr>
          <w:smallCaps w:val="0"/>
          <w:color w:val="1F487C"/>
          <w:spacing w:val="-9"/>
        </w:rPr>
        <w:t> </w:t>
      </w:r>
      <w:r>
        <w:rPr>
          <w:smallCaps w:val="0"/>
          <w:color w:val="1F487C"/>
          <w:spacing w:val="-5"/>
        </w:rPr>
        <w:t>ΤΠΕ</w:t>
      </w:r>
    </w:p>
    <w:p>
      <w:pPr>
        <w:pStyle w:val="BodyText"/>
        <w:spacing w:line="285" w:lineRule="auto" w:before="107"/>
        <w:ind w:left="30" w:right="247"/>
        <w:jc w:val="both"/>
      </w:pPr>
      <w:r>
        <w:rPr/>
        <w:t>Παρά τα σημαντικά</w:t>
      </w:r>
      <w:r>
        <w:rPr>
          <w:spacing w:val="-1"/>
        </w:rPr>
        <w:t> </w:t>
      </w:r>
      <w:r>
        <w:rPr/>
        <w:t>οφέλη, η αυξανόμενη χρήση τρίτων παρόχων υπηρεσιών ΤΠΕ συνεπάγεται και</w:t>
      </w:r>
      <w:r>
        <w:rPr>
          <w:spacing w:val="-9"/>
        </w:rPr>
        <w:t> </w:t>
      </w:r>
      <w:r>
        <w:rPr/>
        <w:t>σημαντικούς</w:t>
      </w:r>
      <w:r>
        <w:rPr>
          <w:spacing w:val="-11"/>
        </w:rPr>
        <w:t> </w:t>
      </w:r>
      <w:r>
        <w:rPr/>
        <w:t>κινδύνους</w:t>
      </w:r>
      <w:r>
        <w:rPr>
          <w:spacing w:val="-11"/>
        </w:rPr>
        <w:t> </w:t>
      </w:r>
      <w:r>
        <w:rPr/>
        <w:t>για</w:t>
      </w:r>
      <w:r>
        <w:rPr>
          <w:spacing w:val="-9"/>
        </w:rPr>
        <w:t> </w:t>
      </w:r>
      <w:r>
        <w:rPr/>
        <w:t>τα</w:t>
      </w:r>
      <w:r>
        <w:rPr>
          <w:spacing w:val="-10"/>
        </w:rPr>
        <w:t> </w:t>
      </w:r>
      <w:r>
        <w:rPr/>
        <w:t>χρηματοπιστωτικά</w:t>
      </w:r>
      <w:r>
        <w:rPr>
          <w:spacing w:val="-10"/>
        </w:rPr>
        <w:t> </w:t>
      </w:r>
      <w:r>
        <w:rPr/>
        <w:t>ιδρύματα.</w:t>
      </w:r>
      <w:r>
        <w:rPr>
          <w:spacing w:val="-10"/>
        </w:rPr>
        <w:t> </w:t>
      </w:r>
      <w:r>
        <w:rPr/>
        <w:t>Η</w:t>
      </w:r>
      <w:r>
        <w:rPr>
          <w:spacing w:val="-11"/>
        </w:rPr>
        <w:t> </w:t>
      </w:r>
      <w:r>
        <w:rPr/>
        <w:t>ολοένα</w:t>
      </w:r>
      <w:r>
        <w:rPr>
          <w:spacing w:val="-10"/>
        </w:rPr>
        <w:t> </w:t>
      </w:r>
      <w:r>
        <w:rPr/>
        <w:t>αυξανόμενη</w:t>
      </w:r>
      <w:r>
        <w:rPr>
          <w:spacing w:val="-10"/>
        </w:rPr>
        <w:t> </w:t>
      </w:r>
      <w:r>
        <w:rPr/>
        <w:t>εξάρτηση των ιδρυμάτων από τεχνολογικές υποδομές, που υποστηρίζουν κρίσιμες ή σημαντικές λειτουρ-γίες,</w:t>
      </w:r>
      <w:r>
        <w:rPr>
          <w:spacing w:val="-14"/>
        </w:rPr>
        <w:t> </w:t>
      </w:r>
      <w:r>
        <w:rPr/>
        <w:t>οι</w:t>
      </w:r>
      <w:r>
        <w:rPr>
          <w:spacing w:val="-14"/>
        </w:rPr>
        <w:t> </w:t>
      </w:r>
      <w:r>
        <w:rPr/>
        <w:t>οποίες</w:t>
      </w:r>
      <w:r>
        <w:rPr>
          <w:spacing w:val="-14"/>
        </w:rPr>
        <w:t> </w:t>
      </w:r>
      <w:r>
        <w:rPr/>
        <w:t>προσφέρονται</w:t>
      </w:r>
      <w:r>
        <w:rPr>
          <w:spacing w:val="-13"/>
        </w:rPr>
        <w:t> </w:t>
      </w:r>
      <w:r>
        <w:rPr/>
        <w:t>από</w:t>
      </w:r>
      <w:r>
        <w:rPr>
          <w:spacing w:val="-14"/>
        </w:rPr>
        <w:t> </w:t>
      </w:r>
      <w:r>
        <w:rPr/>
        <w:t>ένα</w:t>
      </w:r>
      <w:r>
        <w:rPr>
          <w:spacing w:val="-14"/>
        </w:rPr>
        <w:t> </w:t>
      </w:r>
      <w:r>
        <w:rPr/>
        <w:t>μοναδικό</w:t>
      </w:r>
      <w:r>
        <w:rPr>
          <w:spacing w:val="-14"/>
        </w:rPr>
        <w:t> </w:t>
      </w:r>
      <w:r>
        <w:rPr/>
        <w:t>τρίτο</w:t>
      </w:r>
      <w:r>
        <w:rPr>
          <w:spacing w:val="-13"/>
        </w:rPr>
        <w:t> </w:t>
      </w:r>
      <w:r>
        <w:rPr/>
        <w:t>πάροχο,</w:t>
      </w:r>
      <w:r>
        <w:rPr>
          <w:spacing w:val="-14"/>
        </w:rPr>
        <w:t> </w:t>
      </w:r>
      <w:r>
        <w:rPr/>
        <w:t>μπορεί</w:t>
      </w:r>
      <w:r>
        <w:rPr>
          <w:spacing w:val="-14"/>
        </w:rPr>
        <w:t> </w:t>
      </w:r>
      <w:r>
        <w:rPr/>
        <w:t>να</w:t>
      </w:r>
      <w:r>
        <w:rPr>
          <w:spacing w:val="-14"/>
        </w:rPr>
        <w:t> </w:t>
      </w:r>
      <w:r>
        <w:rPr/>
        <w:t>οδηγήσει</w:t>
      </w:r>
      <w:r>
        <w:rPr>
          <w:spacing w:val="-13"/>
        </w:rPr>
        <w:t> </w:t>
      </w:r>
      <w:r>
        <w:rPr/>
        <w:t>στη</w:t>
      </w:r>
      <w:r>
        <w:rPr>
          <w:spacing w:val="-14"/>
        </w:rPr>
        <w:t> </w:t>
      </w:r>
      <w:r>
        <w:rPr/>
        <w:t>δημιουργία μοναδικών</w:t>
      </w:r>
      <w:r>
        <w:rPr>
          <w:spacing w:val="-12"/>
        </w:rPr>
        <w:t> </w:t>
      </w:r>
      <w:r>
        <w:rPr/>
        <w:t>σημείων</w:t>
      </w:r>
      <w:r>
        <w:rPr>
          <w:spacing w:val="-9"/>
        </w:rPr>
        <w:t> </w:t>
      </w:r>
      <w:r>
        <w:rPr/>
        <w:t>αστοχίας</w:t>
      </w:r>
      <w:r>
        <w:rPr>
          <w:spacing w:val="-11"/>
        </w:rPr>
        <w:t> </w:t>
      </w:r>
      <w:r>
        <w:rPr/>
        <w:t>(single</w:t>
      </w:r>
      <w:r>
        <w:rPr>
          <w:spacing w:val="-13"/>
        </w:rPr>
        <w:t> </w:t>
      </w:r>
      <w:r>
        <w:rPr/>
        <w:t>points</w:t>
      </w:r>
      <w:r>
        <w:rPr>
          <w:spacing w:val="-10"/>
        </w:rPr>
        <w:t> </w:t>
      </w:r>
      <w:r>
        <w:rPr/>
        <w:t>of</w:t>
      </w:r>
      <w:r>
        <w:rPr>
          <w:spacing w:val="-10"/>
        </w:rPr>
        <w:t> </w:t>
      </w:r>
      <w:r>
        <w:rPr/>
        <w:t>failure).</w:t>
      </w:r>
      <w:r>
        <w:rPr>
          <w:spacing w:val="-13"/>
        </w:rPr>
        <w:t> </w:t>
      </w:r>
      <w:r>
        <w:rPr/>
        <w:t>Σε</w:t>
      </w:r>
      <w:r>
        <w:rPr>
          <w:spacing w:val="-12"/>
        </w:rPr>
        <w:t> </w:t>
      </w:r>
      <w:r>
        <w:rPr/>
        <w:t>περίπτωση</w:t>
      </w:r>
      <w:r>
        <w:rPr>
          <w:spacing w:val="-11"/>
        </w:rPr>
        <w:t> </w:t>
      </w:r>
      <w:r>
        <w:rPr/>
        <w:t>διακοπής</w:t>
      </w:r>
      <w:r>
        <w:rPr>
          <w:spacing w:val="-12"/>
        </w:rPr>
        <w:t> </w:t>
      </w:r>
      <w:r>
        <w:rPr/>
        <w:t>ή</w:t>
      </w:r>
      <w:r>
        <w:rPr>
          <w:spacing w:val="-11"/>
        </w:rPr>
        <w:t> </w:t>
      </w:r>
      <w:r>
        <w:rPr/>
        <w:t>δυσλειτουργίας των υπηρεσιών ή των τεχνολογικών υποδομών αυτών, οι επιπτώσεις μπορούν να είναι άμεσες και εκτεταμένες, επηρεάζοντας σημαντικά την επιχειρησιακή συνέχεια των ιδρυμάτων.</w:t>
      </w:r>
    </w:p>
    <w:p>
      <w:pPr>
        <w:pStyle w:val="BodyText"/>
        <w:spacing w:line="285" w:lineRule="auto" w:before="53"/>
        <w:ind w:left="30" w:right="249"/>
        <w:jc w:val="both"/>
      </w:pPr>
      <w:r>
        <w:rPr/>
        <w:t>Επιπλέον,</w:t>
      </w:r>
      <w:r>
        <w:rPr>
          <w:spacing w:val="-2"/>
        </w:rPr>
        <w:t> </w:t>
      </w:r>
      <w:r>
        <w:rPr/>
        <w:t>η</w:t>
      </w:r>
      <w:r>
        <w:rPr>
          <w:spacing w:val="-2"/>
        </w:rPr>
        <w:t> </w:t>
      </w:r>
      <w:r>
        <w:rPr/>
        <w:t>ανάθεση</w:t>
      </w:r>
      <w:r>
        <w:rPr>
          <w:spacing w:val="-2"/>
        </w:rPr>
        <w:t> </w:t>
      </w:r>
      <w:r>
        <w:rPr/>
        <w:t>της</w:t>
      </w:r>
      <w:r>
        <w:rPr>
          <w:spacing w:val="-4"/>
        </w:rPr>
        <w:t> </w:t>
      </w:r>
      <w:r>
        <w:rPr/>
        <w:t>αποθήκευσης</w:t>
      </w:r>
      <w:r>
        <w:rPr>
          <w:spacing w:val="-4"/>
        </w:rPr>
        <w:t> </w:t>
      </w:r>
      <w:r>
        <w:rPr/>
        <w:t>και</w:t>
      </w:r>
      <w:r>
        <w:rPr>
          <w:spacing w:val="-2"/>
        </w:rPr>
        <w:t> </w:t>
      </w:r>
      <w:r>
        <w:rPr/>
        <w:t>επεξεργασίας</w:t>
      </w:r>
      <w:r>
        <w:rPr>
          <w:spacing w:val="-3"/>
        </w:rPr>
        <w:t> </w:t>
      </w:r>
      <w:r>
        <w:rPr/>
        <w:t>δεδομένων</w:t>
      </w:r>
      <w:r>
        <w:rPr>
          <w:spacing w:val="-4"/>
        </w:rPr>
        <w:t> </w:t>
      </w:r>
      <w:r>
        <w:rPr/>
        <w:t>σε</w:t>
      </w:r>
      <w:r>
        <w:rPr>
          <w:spacing w:val="-4"/>
        </w:rPr>
        <w:t> </w:t>
      </w:r>
      <w:r>
        <w:rPr/>
        <w:t>τρίτους</w:t>
      </w:r>
      <w:r>
        <w:rPr>
          <w:spacing w:val="-3"/>
        </w:rPr>
        <w:t> </w:t>
      </w:r>
      <w:r>
        <w:rPr/>
        <w:t>παρόχους</w:t>
      </w:r>
      <w:r>
        <w:rPr>
          <w:spacing w:val="-3"/>
        </w:rPr>
        <w:t> </w:t>
      </w:r>
      <w:r>
        <w:rPr/>
        <w:t>αυξά-νει</w:t>
      </w:r>
      <w:r>
        <w:rPr>
          <w:spacing w:val="-3"/>
        </w:rPr>
        <w:t> </w:t>
      </w:r>
      <w:r>
        <w:rPr/>
        <w:t>τους</w:t>
      </w:r>
      <w:r>
        <w:rPr>
          <w:spacing w:val="-2"/>
        </w:rPr>
        <w:t> </w:t>
      </w:r>
      <w:r>
        <w:rPr/>
        <w:t>κινδύνους</w:t>
      </w:r>
      <w:r>
        <w:rPr>
          <w:spacing w:val="-2"/>
        </w:rPr>
        <w:t> </w:t>
      </w:r>
      <w:r>
        <w:rPr/>
        <w:t>που σχετίζονται με την ασφάλεια</w:t>
      </w:r>
      <w:r>
        <w:rPr>
          <w:spacing w:val="-1"/>
        </w:rPr>
        <w:t> </w:t>
      </w:r>
      <w:r>
        <w:rPr/>
        <w:t>και</w:t>
      </w:r>
      <w:r>
        <w:rPr>
          <w:spacing w:val="-1"/>
        </w:rPr>
        <w:t> </w:t>
      </w:r>
      <w:r>
        <w:rPr/>
        <w:t>το απόρρητο</w:t>
      </w:r>
      <w:r>
        <w:rPr>
          <w:spacing w:val="-3"/>
        </w:rPr>
        <w:t> </w:t>
      </w:r>
      <w:r>
        <w:rPr/>
        <w:t>των πληροφοριών.</w:t>
      </w:r>
      <w:r>
        <w:rPr>
          <w:spacing w:val="-1"/>
        </w:rPr>
        <w:t> </w:t>
      </w:r>
      <w:r>
        <w:rPr/>
        <w:t>Οι κυ-βερνοεπιθέσεις,</w:t>
      </w:r>
      <w:r>
        <w:rPr>
          <w:spacing w:val="-14"/>
        </w:rPr>
        <w:t> </w:t>
      </w:r>
      <w:r>
        <w:rPr/>
        <w:t>οι</w:t>
      </w:r>
      <w:r>
        <w:rPr>
          <w:spacing w:val="-14"/>
        </w:rPr>
        <w:t> </w:t>
      </w:r>
      <w:r>
        <w:rPr/>
        <w:t>παραβιάσεις</w:t>
      </w:r>
      <w:r>
        <w:rPr>
          <w:spacing w:val="-14"/>
        </w:rPr>
        <w:t> </w:t>
      </w:r>
      <w:r>
        <w:rPr/>
        <w:t>δεδομένων</w:t>
      </w:r>
      <w:r>
        <w:rPr>
          <w:spacing w:val="-13"/>
        </w:rPr>
        <w:t> </w:t>
      </w:r>
      <w:r>
        <w:rPr/>
        <w:t>ή</w:t>
      </w:r>
      <w:r>
        <w:rPr>
          <w:spacing w:val="-14"/>
        </w:rPr>
        <w:t> </w:t>
      </w:r>
      <w:r>
        <w:rPr/>
        <w:t>η</w:t>
      </w:r>
      <w:r>
        <w:rPr>
          <w:spacing w:val="-14"/>
        </w:rPr>
        <w:t> </w:t>
      </w:r>
      <w:r>
        <w:rPr/>
        <w:t>μη</w:t>
      </w:r>
      <w:r>
        <w:rPr>
          <w:spacing w:val="-14"/>
        </w:rPr>
        <w:t> </w:t>
      </w:r>
      <w:r>
        <w:rPr/>
        <w:t>εξουσιοδοτημένη</w:t>
      </w:r>
      <w:r>
        <w:rPr>
          <w:spacing w:val="-13"/>
        </w:rPr>
        <w:t> </w:t>
      </w:r>
      <w:r>
        <w:rPr/>
        <w:t>πρόσβαση</w:t>
      </w:r>
      <w:r>
        <w:rPr>
          <w:spacing w:val="-14"/>
        </w:rPr>
        <w:t> </w:t>
      </w:r>
      <w:r>
        <w:rPr/>
        <w:t>στα</w:t>
      </w:r>
      <w:r>
        <w:rPr>
          <w:spacing w:val="-14"/>
        </w:rPr>
        <w:t> </w:t>
      </w:r>
      <w:r>
        <w:rPr/>
        <w:t>δεδομένα</w:t>
      </w:r>
      <w:r>
        <w:rPr>
          <w:spacing w:val="-14"/>
        </w:rPr>
        <w:t> </w:t>
      </w:r>
      <w:r>
        <w:rPr/>
        <w:t>των ιδρυμάτων</w:t>
      </w:r>
      <w:r>
        <w:rPr>
          <w:spacing w:val="-6"/>
        </w:rPr>
        <w:t> </w:t>
      </w:r>
      <w:r>
        <w:rPr/>
        <w:t>μπορούν</w:t>
      </w:r>
      <w:r>
        <w:rPr>
          <w:spacing w:val="-6"/>
        </w:rPr>
        <w:t> </w:t>
      </w:r>
      <w:r>
        <w:rPr/>
        <w:t>να</w:t>
      </w:r>
      <w:r>
        <w:rPr>
          <w:spacing w:val="-8"/>
        </w:rPr>
        <w:t> </w:t>
      </w:r>
      <w:r>
        <w:rPr/>
        <w:t>έχουν</w:t>
      </w:r>
      <w:r>
        <w:rPr>
          <w:spacing w:val="-6"/>
        </w:rPr>
        <w:t> </w:t>
      </w:r>
      <w:r>
        <w:rPr/>
        <w:t>σοβαρές</w:t>
      </w:r>
      <w:r>
        <w:rPr>
          <w:spacing w:val="-8"/>
        </w:rPr>
        <w:t> </w:t>
      </w:r>
      <w:r>
        <w:rPr/>
        <w:t>συνέπειες,</w:t>
      </w:r>
      <w:r>
        <w:rPr>
          <w:spacing w:val="-7"/>
        </w:rPr>
        <w:t> </w:t>
      </w:r>
      <w:r>
        <w:rPr/>
        <w:t>τόσο</w:t>
      </w:r>
      <w:r>
        <w:rPr>
          <w:spacing w:val="-10"/>
        </w:rPr>
        <w:t> </w:t>
      </w:r>
      <w:r>
        <w:rPr/>
        <w:t>σε</w:t>
      </w:r>
      <w:r>
        <w:rPr>
          <w:spacing w:val="-6"/>
        </w:rPr>
        <w:t> </w:t>
      </w:r>
      <w:r>
        <w:rPr/>
        <w:t>επίπεδο</w:t>
      </w:r>
      <w:r>
        <w:rPr>
          <w:spacing w:val="-8"/>
        </w:rPr>
        <w:t> </w:t>
      </w:r>
      <w:r>
        <w:rPr/>
        <w:t>μεμονωμένων</w:t>
      </w:r>
      <w:r>
        <w:rPr>
          <w:spacing w:val="-6"/>
        </w:rPr>
        <w:t> </w:t>
      </w:r>
      <w:r>
        <w:rPr/>
        <w:t>ιδρυμάτων</w:t>
      </w:r>
      <w:r>
        <w:rPr>
          <w:spacing w:val="-6"/>
        </w:rPr>
        <w:t> </w:t>
      </w:r>
      <w:r>
        <w:rPr/>
        <w:t>όσο και για την εμπιστοσύνη στο χρηματοπιστωτικό σύστημα συνολικά.</w:t>
      </w:r>
    </w:p>
    <w:p>
      <w:pPr>
        <w:pStyle w:val="BodyText"/>
        <w:spacing w:line="285" w:lineRule="auto" w:before="55"/>
        <w:ind w:left="30" w:right="248"/>
        <w:jc w:val="both"/>
      </w:pPr>
      <w:r>
        <w:rPr/>
        <w:t>Ιδιαίτερη σημασία έχει και το φαινόμενο του εγκλωβισμού σε συγκεκριμένο πάροχο (vendor lock-in),</w:t>
      </w:r>
      <w:r>
        <w:rPr>
          <w:spacing w:val="-7"/>
        </w:rPr>
        <w:t> </w:t>
      </w:r>
      <w:r>
        <w:rPr/>
        <w:t>το</w:t>
      </w:r>
      <w:r>
        <w:rPr>
          <w:spacing w:val="-7"/>
        </w:rPr>
        <w:t> </w:t>
      </w:r>
      <w:r>
        <w:rPr/>
        <w:t>οποίο</w:t>
      </w:r>
      <w:r>
        <w:rPr>
          <w:spacing w:val="-5"/>
        </w:rPr>
        <w:t> </w:t>
      </w:r>
      <w:r>
        <w:rPr/>
        <w:t>περιορίζει</w:t>
      </w:r>
      <w:r>
        <w:rPr>
          <w:spacing w:val="-5"/>
        </w:rPr>
        <w:t> </w:t>
      </w:r>
      <w:r>
        <w:rPr/>
        <w:t>τη</w:t>
      </w:r>
      <w:r>
        <w:rPr>
          <w:spacing w:val="-7"/>
        </w:rPr>
        <w:t> </w:t>
      </w:r>
      <w:r>
        <w:rPr/>
        <w:t>δυνατότητα</w:t>
      </w:r>
      <w:r>
        <w:rPr>
          <w:spacing w:val="-8"/>
        </w:rPr>
        <w:t> </w:t>
      </w:r>
      <w:r>
        <w:rPr/>
        <w:t>των</w:t>
      </w:r>
      <w:r>
        <w:rPr>
          <w:spacing w:val="-7"/>
        </w:rPr>
        <w:t> </w:t>
      </w:r>
      <w:r>
        <w:rPr/>
        <w:t>ιδρυμάτων</w:t>
      </w:r>
      <w:r>
        <w:rPr>
          <w:spacing w:val="-7"/>
        </w:rPr>
        <w:t> </w:t>
      </w:r>
      <w:r>
        <w:rPr/>
        <w:t>να</w:t>
      </w:r>
      <w:r>
        <w:rPr>
          <w:spacing w:val="-8"/>
        </w:rPr>
        <w:t> </w:t>
      </w:r>
      <w:r>
        <w:rPr/>
        <w:t>μεταβούν</w:t>
      </w:r>
      <w:r>
        <w:rPr>
          <w:spacing w:val="-7"/>
        </w:rPr>
        <w:t> </w:t>
      </w:r>
      <w:r>
        <w:rPr/>
        <w:t>σε</w:t>
      </w:r>
      <w:r>
        <w:rPr>
          <w:spacing w:val="-7"/>
        </w:rPr>
        <w:t> </w:t>
      </w:r>
      <w:r>
        <w:rPr/>
        <w:t>εναλλακτικές</w:t>
      </w:r>
      <w:r>
        <w:rPr>
          <w:spacing w:val="-6"/>
        </w:rPr>
        <w:t> </w:t>
      </w:r>
      <w:r>
        <w:rPr/>
        <w:t>λύσεις ή</w:t>
      </w:r>
      <w:r>
        <w:rPr>
          <w:spacing w:val="-2"/>
        </w:rPr>
        <w:t> </w:t>
      </w:r>
      <w:r>
        <w:rPr/>
        <w:t>παρόχους.</w:t>
      </w:r>
      <w:r>
        <w:rPr>
          <w:spacing w:val="-2"/>
        </w:rPr>
        <w:t> </w:t>
      </w:r>
      <w:r>
        <w:rPr/>
        <w:t>Η</w:t>
      </w:r>
      <w:r>
        <w:rPr>
          <w:spacing w:val="-3"/>
        </w:rPr>
        <w:t> </w:t>
      </w:r>
      <w:r>
        <w:rPr/>
        <w:t>τεχνική</w:t>
      </w:r>
      <w:r>
        <w:rPr>
          <w:spacing w:val="-2"/>
        </w:rPr>
        <w:t> </w:t>
      </w:r>
      <w:r>
        <w:rPr/>
        <w:t>πολυπλοκότητα,</w:t>
      </w:r>
      <w:r>
        <w:rPr>
          <w:spacing w:val="-2"/>
        </w:rPr>
        <w:t> </w:t>
      </w:r>
      <w:r>
        <w:rPr/>
        <w:t>η</w:t>
      </w:r>
      <w:r>
        <w:rPr>
          <w:spacing w:val="-2"/>
        </w:rPr>
        <w:t> </w:t>
      </w:r>
      <w:r>
        <w:rPr/>
        <w:t>ασυμβατότητα</w:t>
      </w:r>
      <w:r>
        <w:rPr>
          <w:spacing w:val="-2"/>
        </w:rPr>
        <w:t> </w:t>
      </w:r>
      <w:r>
        <w:rPr/>
        <w:t>των</w:t>
      </w:r>
      <w:r>
        <w:rPr>
          <w:spacing w:val="-1"/>
        </w:rPr>
        <w:t> </w:t>
      </w:r>
      <w:r>
        <w:rPr/>
        <w:t>συστημάτων</w:t>
      </w:r>
      <w:r>
        <w:rPr>
          <w:spacing w:val="-1"/>
        </w:rPr>
        <w:t> </w:t>
      </w:r>
      <w:r>
        <w:rPr/>
        <w:t>και</w:t>
      </w:r>
      <w:r>
        <w:rPr>
          <w:spacing w:val="-2"/>
        </w:rPr>
        <w:t> </w:t>
      </w:r>
      <w:r>
        <w:rPr/>
        <w:t>το</w:t>
      </w:r>
      <w:r>
        <w:rPr>
          <w:spacing w:val="-2"/>
        </w:rPr>
        <w:t> </w:t>
      </w:r>
      <w:r>
        <w:rPr/>
        <w:t>υψηλό</w:t>
      </w:r>
      <w:r>
        <w:rPr>
          <w:spacing w:val="-2"/>
        </w:rPr>
        <w:t> </w:t>
      </w:r>
      <w:r>
        <w:rPr/>
        <w:t>κόστος μετάβασης καθιστούν συχνά δύσκολη ή ακόμη και ανέφικτη την αλλαγή παρόχου, ενισχύοντας την εξάρτηση και μειώνοντας τη διαπραγματευτική ισχύ των ιδρυμάτων.</w:t>
      </w:r>
    </w:p>
    <w:p>
      <w:pPr>
        <w:pStyle w:val="BodyText"/>
        <w:spacing w:line="285" w:lineRule="auto" w:before="55"/>
        <w:ind w:left="30" w:right="246"/>
        <w:jc w:val="both"/>
      </w:pPr>
      <w:r>
        <w:rPr/>
        <w:t>Τέλος,</w:t>
      </w:r>
      <w:r>
        <w:rPr>
          <w:spacing w:val="-10"/>
        </w:rPr>
        <w:t> </w:t>
      </w:r>
      <w:r>
        <w:rPr/>
        <w:t>η</w:t>
      </w:r>
      <w:r>
        <w:rPr>
          <w:spacing w:val="-12"/>
        </w:rPr>
        <w:t> </w:t>
      </w:r>
      <w:r>
        <w:rPr/>
        <w:t>συγκέντρωση</w:t>
      </w:r>
      <w:r>
        <w:rPr>
          <w:spacing w:val="-10"/>
        </w:rPr>
        <w:t> </w:t>
      </w:r>
      <w:r>
        <w:rPr/>
        <w:t>κρίσιμων</w:t>
      </w:r>
      <w:r>
        <w:rPr>
          <w:spacing w:val="-11"/>
        </w:rPr>
        <w:t> </w:t>
      </w:r>
      <w:r>
        <w:rPr/>
        <w:t>υπηρεσιών</w:t>
      </w:r>
      <w:r>
        <w:rPr>
          <w:spacing w:val="-9"/>
        </w:rPr>
        <w:t> </w:t>
      </w:r>
      <w:r>
        <w:rPr/>
        <w:t>σε</w:t>
      </w:r>
      <w:r>
        <w:rPr>
          <w:spacing w:val="-9"/>
        </w:rPr>
        <w:t> </w:t>
      </w:r>
      <w:r>
        <w:rPr/>
        <w:t>λίγους</w:t>
      </w:r>
      <w:r>
        <w:rPr>
          <w:spacing w:val="-11"/>
        </w:rPr>
        <w:t> </w:t>
      </w:r>
      <w:r>
        <w:rPr/>
        <w:t>μεγάλους</w:t>
      </w:r>
      <w:r>
        <w:rPr>
          <w:spacing w:val="-11"/>
        </w:rPr>
        <w:t> </w:t>
      </w:r>
      <w:r>
        <w:rPr/>
        <w:t>παρόχους</w:t>
      </w:r>
      <w:r>
        <w:rPr>
          <w:spacing w:val="-11"/>
        </w:rPr>
        <w:t> </w:t>
      </w:r>
      <w:r>
        <w:rPr/>
        <w:t>αυξάνει</w:t>
      </w:r>
      <w:r>
        <w:rPr>
          <w:spacing w:val="-9"/>
        </w:rPr>
        <w:t> </w:t>
      </w:r>
      <w:r>
        <w:rPr/>
        <w:t>σημαντικά</w:t>
      </w:r>
      <w:r>
        <w:rPr>
          <w:spacing w:val="-10"/>
        </w:rPr>
        <w:t> </w:t>
      </w:r>
      <w:r>
        <w:rPr/>
        <w:t>το συστημικό κίνδυνο. Η ταυτόχρονη εξυπηρέτηση πολλών χρηματοπιστωτικών ιδρυμάτων από τους ίδιους παρόχους σημαίνει ότι ένα μεμονωμένο περιστατικό μπορεί να έχει ευρεία διάχυση σε</w:t>
      </w:r>
      <w:r>
        <w:rPr>
          <w:spacing w:val="-3"/>
        </w:rPr>
        <w:t> </w:t>
      </w:r>
      <w:r>
        <w:rPr/>
        <w:t>ολόκληρο</w:t>
      </w:r>
      <w:r>
        <w:rPr>
          <w:spacing w:val="-4"/>
        </w:rPr>
        <w:t> </w:t>
      </w:r>
      <w:r>
        <w:rPr/>
        <w:t>το</w:t>
      </w:r>
      <w:r>
        <w:rPr>
          <w:spacing w:val="-4"/>
        </w:rPr>
        <w:t> </w:t>
      </w:r>
      <w:r>
        <w:rPr/>
        <w:t>σύστημα.</w:t>
      </w:r>
      <w:r>
        <w:rPr>
          <w:spacing w:val="-5"/>
        </w:rPr>
        <w:t> </w:t>
      </w:r>
      <w:r>
        <w:rPr/>
        <w:t>Αυτό,</w:t>
      </w:r>
      <w:r>
        <w:rPr>
          <w:spacing w:val="-3"/>
        </w:rPr>
        <w:t> </w:t>
      </w:r>
      <w:r>
        <w:rPr/>
        <w:t>σε</w:t>
      </w:r>
      <w:r>
        <w:rPr>
          <w:spacing w:val="-3"/>
        </w:rPr>
        <w:t> </w:t>
      </w:r>
      <w:r>
        <w:rPr/>
        <w:t>συνδυασμό</w:t>
      </w:r>
      <w:r>
        <w:rPr>
          <w:spacing w:val="-4"/>
        </w:rPr>
        <w:t> </w:t>
      </w:r>
      <w:r>
        <w:rPr/>
        <w:t>με</w:t>
      </w:r>
      <w:r>
        <w:rPr>
          <w:spacing w:val="-2"/>
        </w:rPr>
        <w:t> </w:t>
      </w:r>
      <w:r>
        <w:rPr/>
        <w:t>το</w:t>
      </w:r>
      <w:r>
        <w:rPr>
          <w:spacing w:val="-4"/>
        </w:rPr>
        <w:t> </w:t>
      </w:r>
      <w:r>
        <w:rPr/>
        <w:t>γεγονός</w:t>
      </w:r>
      <w:r>
        <w:rPr>
          <w:spacing w:val="-5"/>
        </w:rPr>
        <w:t> </w:t>
      </w:r>
      <w:r>
        <w:rPr/>
        <w:t>ότι</w:t>
      </w:r>
      <w:r>
        <w:rPr>
          <w:spacing w:val="-3"/>
        </w:rPr>
        <w:t> </w:t>
      </w:r>
      <w:r>
        <w:rPr/>
        <w:t>τα</w:t>
      </w:r>
      <w:r>
        <w:rPr>
          <w:spacing w:val="-1"/>
        </w:rPr>
        <w:t> </w:t>
      </w:r>
      <w:r>
        <w:rPr/>
        <w:t>ιδρύματα</w:t>
      </w:r>
      <w:r>
        <w:rPr>
          <w:spacing w:val="-2"/>
        </w:rPr>
        <w:t> </w:t>
      </w:r>
      <w:r>
        <w:rPr/>
        <w:t>δεν γνωρίζουν τις</w:t>
      </w:r>
    </w:p>
    <w:p>
      <w:pPr>
        <w:pStyle w:val="BodyText"/>
        <w:spacing w:after="0" w:line="285" w:lineRule="auto"/>
        <w:jc w:val="both"/>
        <w:sectPr>
          <w:pgSz w:w="11910" w:h="16850"/>
          <w:pgMar w:header="0" w:footer="1262" w:top="1100" w:bottom="1460" w:left="1559" w:right="1559"/>
        </w:sectPr>
      </w:pPr>
    </w:p>
    <w:p>
      <w:pPr>
        <w:pStyle w:val="BodyText"/>
        <w:spacing w:line="285" w:lineRule="auto" w:before="74"/>
        <w:ind w:left="30" w:right="249"/>
        <w:jc w:val="both"/>
      </w:pPr>
      <w:r>
        <w:rPr/>
        <w:t>εσωτερικές</w:t>
      </w:r>
      <w:r>
        <w:rPr>
          <w:spacing w:val="-6"/>
        </w:rPr>
        <w:t> </w:t>
      </w:r>
      <w:r>
        <w:rPr/>
        <w:t>λειτουργίες</w:t>
      </w:r>
      <w:r>
        <w:rPr>
          <w:spacing w:val="-3"/>
        </w:rPr>
        <w:t> </w:t>
      </w:r>
      <w:r>
        <w:rPr/>
        <w:t>των</w:t>
      </w:r>
      <w:r>
        <w:rPr>
          <w:spacing w:val="-5"/>
        </w:rPr>
        <w:t> </w:t>
      </w:r>
      <w:r>
        <w:rPr/>
        <w:t>παρόχων</w:t>
      </w:r>
      <w:r>
        <w:rPr>
          <w:spacing w:val="-2"/>
        </w:rPr>
        <w:t> </w:t>
      </w:r>
      <w:r>
        <w:rPr/>
        <w:t>και</w:t>
      </w:r>
      <w:r>
        <w:rPr>
          <w:spacing w:val="-5"/>
        </w:rPr>
        <w:t> </w:t>
      </w:r>
      <w:r>
        <w:rPr/>
        <w:t>τις</w:t>
      </w:r>
      <w:r>
        <w:rPr>
          <w:spacing w:val="-4"/>
        </w:rPr>
        <w:t> </w:t>
      </w:r>
      <w:r>
        <w:rPr/>
        <w:t>αλλαγές</w:t>
      </w:r>
      <w:r>
        <w:rPr>
          <w:spacing w:val="-4"/>
        </w:rPr>
        <w:t> </w:t>
      </w:r>
      <w:r>
        <w:rPr/>
        <w:t>τόσο</w:t>
      </w:r>
      <w:r>
        <w:rPr>
          <w:spacing w:val="-3"/>
        </w:rPr>
        <w:t> </w:t>
      </w:r>
      <w:r>
        <w:rPr/>
        <w:t>των</w:t>
      </w:r>
      <w:r>
        <w:rPr>
          <w:spacing w:val="-2"/>
        </w:rPr>
        <w:t> </w:t>
      </w:r>
      <w:r>
        <w:rPr/>
        <w:t>παρόχων</w:t>
      </w:r>
      <w:r>
        <w:rPr>
          <w:spacing w:val="-2"/>
        </w:rPr>
        <w:t> </w:t>
      </w:r>
      <w:r>
        <w:rPr/>
        <w:t>όσο</w:t>
      </w:r>
      <w:r>
        <w:rPr>
          <w:spacing w:val="-3"/>
        </w:rPr>
        <w:t> </w:t>
      </w:r>
      <w:r>
        <w:rPr/>
        <w:t>και</w:t>
      </w:r>
      <w:r>
        <w:rPr>
          <w:spacing w:val="-5"/>
        </w:rPr>
        <w:t> </w:t>
      </w:r>
      <w:r>
        <w:rPr/>
        <w:t>των</w:t>
      </w:r>
      <w:r>
        <w:rPr>
          <w:spacing w:val="-5"/>
        </w:rPr>
        <w:t> </w:t>
      </w:r>
      <w:r>
        <w:rPr/>
        <w:t>υπεργολά-βων</w:t>
      </w:r>
      <w:r>
        <w:rPr>
          <w:spacing w:val="-13"/>
        </w:rPr>
        <w:t> </w:t>
      </w:r>
      <w:r>
        <w:rPr/>
        <w:t>τους,</w:t>
      </w:r>
      <w:r>
        <w:rPr>
          <w:spacing w:val="-11"/>
        </w:rPr>
        <w:t> </w:t>
      </w:r>
      <w:r>
        <w:rPr/>
        <w:t>εντείνει</w:t>
      </w:r>
      <w:r>
        <w:rPr>
          <w:spacing w:val="-11"/>
        </w:rPr>
        <w:t> </w:t>
      </w:r>
      <w:r>
        <w:rPr/>
        <w:t>περαιτέρω</w:t>
      </w:r>
      <w:r>
        <w:rPr>
          <w:spacing w:val="-11"/>
        </w:rPr>
        <w:t> </w:t>
      </w:r>
      <w:r>
        <w:rPr/>
        <w:t>την</w:t>
      </w:r>
      <w:r>
        <w:rPr>
          <w:spacing w:val="-11"/>
        </w:rPr>
        <w:t> </w:t>
      </w:r>
      <w:r>
        <w:rPr/>
        <w:t>αβεβαιότητα</w:t>
      </w:r>
      <w:r>
        <w:rPr>
          <w:spacing w:val="-12"/>
        </w:rPr>
        <w:t> </w:t>
      </w:r>
      <w:r>
        <w:rPr/>
        <w:t>και</w:t>
      </w:r>
      <w:r>
        <w:rPr>
          <w:spacing w:val="-12"/>
        </w:rPr>
        <w:t> </w:t>
      </w:r>
      <w:r>
        <w:rPr/>
        <w:t>την</w:t>
      </w:r>
      <w:r>
        <w:rPr>
          <w:spacing w:val="-14"/>
        </w:rPr>
        <w:t> </w:t>
      </w:r>
      <w:r>
        <w:rPr/>
        <w:t>πολυπλοκότητα</w:t>
      </w:r>
      <w:r>
        <w:rPr>
          <w:spacing w:val="-12"/>
        </w:rPr>
        <w:t> </w:t>
      </w:r>
      <w:r>
        <w:rPr/>
        <w:t>διαχείρισης</w:t>
      </w:r>
      <w:r>
        <w:rPr>
          <w:spacing w:val="-14"/>
        </w:rPr>
        <w:t> </w:t>
      </w:r>
      <w:r>
        <w:rPr/>
        <w:t>των</w:t>
      </w:r>
      <w:r>
        <w:rPr>
          <w:spacing w:val="-11"/>
        </w:rPr>
        <w:t> </w:t>
      </w:r>
      <w:r>
        <w:rPr/>
        <w:t>κινδύνων που προέρχονται από τη χρήση τρίτων παρόχων υπηρεσιών ΤΠΕ.</w:t>
      </w:r>
    </w:p>
    <w:p>
      <w:pPr>
        <w:pStyle w:val="BodyText"/>
        <w:spacing w:before="164"/>
      </w:pPr>
    </w:p>
    <w:p>
      <w:pPr>
        <w:pStyle w:val="Heading4"/>
        <w:spacing w:line="285" w:lineRule="auto"/>
        <w:ind w:left="30" w:right="252"/>
      </w:pPr>
      <w:r>
        <w:rPr>
          <w:color w:val="1F487C"/>
        </w:rPr>
        <w:t>Στο</w:t>
      </w:r>
      <w:r>
        <w:rPr>
          <w:smallCaps/>
          <w:color w:val="1F487C"/>
        </w:rPr>
        <w:t>ι</w:t>
      </w:r>
      <w:r>
        <w:rPr>
          <w:smallCaps w:val="0"/>
          <w:color w:val="1F487C"/>
        </w:rPr>
        <w:t>χεία αύξησης της χρήσης τρίτων παρόχων υπηρεσ</w:t>
      </w:r>
      <w:r>
        <w:rPr>
          <w:smallCaps/>
          <w:color w:val="1F487C"/>
        </w:rPr>
        <w:t>ι</w:t>
      </w:r>
      <w:r>
        <w:rPr>
          <w:smallCaps w:val="0"/>
          <w:color w:val="1F487C"/>
        </w:rPr>
        <w:t>ών ΤΠΕ στον χρηματοο</w:t>
      </w:r>
      <w:r>
        <w:rPr>
          <w:smallCaps/>
          <w:color w:val="1F487C"/>
        </w:rPr>
        <w:t>ι</w:t>
      </w:r>
      <w:r>
        <w:rPr>
          <w:smallCaps w:val="0"/>
          <w:color w:val="1F487C"/>
        </w:rPr>
        <w:t>κονομ</w:t>
      </w:r>
      <w:r>
        <w:rPr>
          <w:smallCaps/>
          <w:color w:val="1F487C"/>
        </w:rPr>
        <w:t>ι</w:t>
      </w:r>
      <w:r>
        <w:rPr>
          <w:smallCaps w:val="0"/>
          <w:color w:val="1F487C"/>
        </w:rPr>
        <w:t>κό </w:t>
      </w:r>
      <w:r>
        <w:rPr>
          <w:smallCaps w:val="0"/>
          <w:color w:val="1F487C"/>
          <w:spacing w:val="-2"/>
        </w:rPr>
        <w:t>τομέα</w:t>
      </w:r>
    </w:p>
    <w:p>
      <w:pPr>
        <w:pStyle w:val="BodyText"/>
        <w:spacing w:line="285" w:lineRule="auto" w:before="58"/>
        <w:ind w:left="30" w:right="250"/>
        <w:jc w:val="both"/>
      </w:pPr>
      <w:r>
        <w:rPr/>
        <w:t>Τα διαθέσιμα στοιχεία καταδεικνύουν σαφή και διαρκή αύξηση της χρήσης τρίτων παρόχων υ-πηρεσιών</w:t>
      </w:r>
      <w:r>
        <w:rPr>
          <w:spacing w:val="-14"/>
        </w:rPr>
        <w:t> </w:t>
      </w:r>
      <w:r>
        <w:rPr/>
        <w:t>ΤΠΕ</w:t>
      </w:r>
      <w:r>
        <w:rPr>
          <w:spacing w:val="-14"/>
        </w:rPr>
        <w:t> </w:t>
      </w:r>
      <w:r>
        <w:rPr/>
        <w:t>στον</w:t>
      </w:r>
      <w:r>
        <w:rPr>
          <w:spacing w:val="-14"/>
        </w:rPr>
        <w:t> </w:t>
      </w:r>
      <w:r>
        <w:rPr/>
        <w:t>ευρωπαϊκό</w:t>
      </w:r>
      <w:r>
        <w:rPr>
          <w:spacing w:val="-13"/>
        </w:rPr>
        <w:t> </w:t>
      </w:r>
      <w:r>
        <w:rPr/>
        <w:t>χρηματοπιστωτικό</w:t>
      </w:r>
      <w:r>
        <w:rPr>
          <w:spacing w:val="-14"/>
        </w:rPr>
        <w:t> </w:t>
      </w:r>
      <w:r>
        <w:rPr/>
        <w:t>τομέα.</w:t>
      </w:r>
      <w:r>
        <w:rPr>
          <w:spacing w:val="-14"/>
        </w:rPr>
        <w:t> </w:t>
      </w:r>
      <w:r>
        <w:rPr/>
        <w:t>Σύμφωνα</w:t>
      </w:r>
      <w:r>
        <w:rPr>
          <w:spacing w:val="-14"/>
        </w:rPr>
        <w:t> </w:t>
      </w:r>
      <w:r>
        <w:rPr/>
        <w:t>με</w:t>
      </w:r>
      <w:r>
        <w:rPr>
          <w:spacing w:val="-13"/>
        </w:rPr>
        <w:t> </w:t>
      </w:r>
      <w:r>
        <w:rPr/>
        <w:t>στοιχεία</w:t>
      </w:r>
      <w:r>
        <w:rPr>
          <w:spacing w:val="-14"/>
        </w:rPr>
        <w:t> </w:t>
      </w:r>
      <w:r>
        <w:rPr/>
        <w:t>της</w:t>
      </w:r>
      <w:r>
        <w:rPr>
          <w:spacing w:val="-14"/>
        </w:rPr>
        <w:t> </w:t>
      </w:r>
      <w:r>
        <w:rPr/>
        <w:t>Ευρωπαϊκής Κεντρικής</w:t>
      </w:r>
      <w:r>
        <w:rPr>
          <w:spacing w:val="-3"/>
        </w:rPr>
        <w:t> </w:t>
      </w:r>
      <w:r>
        <w:rPr/>
        <w:t>Τράπεζας</w:t>
      </w:r>
      <w:hyperlink w:history="true" w:anchor="_bookmark198">
        <w:r>
          <w:rPr/>
          <w:t>,</w:t>
        </w:r>
        <w:r>
          <w:rPr>
            <w:position w:val="6"/>
            <w:sz w:val="10"/>
          </w:rPr>
          <w:t>135</w:t>
        </w:r>
      </w:hyperlink>
      <w:r>
        <w:rPr>
          <w:spacing w:val="29"/>
          <w:position w:val="6"/>
          <w:sz w:val="10"/>
        </w:rPr>
        <w:t> </w:t>
      </w:r>
      <w:r>
        <w:rPr/>
        <w:t>η</w:t>
      </w:r>
      <w:r>
        <w:rPr>
          <w:spacing w:val="-1"/>
        </w:rPr>
        <w:t> </w:t>
      </w:r>
      <w:r>
        <w:rPr/>
        <w:t>δαπάνη</w:t>
      </w:r>
      <w:r>
        <w:rPr>
          <w:spacing w:val="-1"/>
        </w:rPr>
        <w:t> </w:t>
      </w:r>
      <w:r>
        <w:rPr/>
        <w:t>εξωτερικών αναθέσεων (outsourcing) ως</w:t>
      </w:r>
      <w:r>
        <w:rPr>
          <w:spacing w:val="-2"/>
        </w:rPr>
        <w:t> </w:t>
      </w:r>
      <w:r>
        <w:rPr/>
        <w:t>ποσοστό</w:t>
      </w:r>
      <w:r>
        <w:rPr>
          <w:spacing w:val="-1"/>
        </w:rPr>
        <w:t> </w:t>
      </w:r>
      <w:r>
        <w:rPr/>
        <w:t>των διοικη-τικών</w:t>
      </w:r>
      <w:r>
        <w:rPr>
          <w:spacing w:val="-16"/>
        </w:rPr>
        <w:t> </w:t>
      </w:r>
      <w:r>
        <w:rPr/>
        <w:t>δαπανών</w:t>
      </w:r>
      <w:r>
        <w:rPr>
          <w:spacing w:val="-14"/>
        </w:rPr>
        <w:t> </w:t>
      </w:r>
      <w:r>
        <w:rPr/>
        <w:t>αυξήθηκε</w:t>
      </w:r>
      <w:r>
        <w:rPr>
          <w:spacing w:val="-14"/>
        </w:rPr>
        <w:t> </w:t>
      </w:r>
      <w:r>
        <w:rPr/>
        <w:t>σε</w:t>
      </w:r>
      <w:r>
        <w:rPr>
          <w:spacing w:val="-13"/>
        </w:rPr>
        <w:t> </w:t>
      </w:r>
      <w:r>
        <w:rPr/>
        <w:t>7,2%</w:t>
      </w:r>
      <w:r>
        <w:rPr>
          <w:spacing w:val="-14"/>
        </w:rPr>
        <w:t> </w:t>
      </w:r>
      <w:r>
        <w:rPr/>
        <w:t>το</w:t>
      </w:r>
      <w:r>
        <w:rPr>
          <w:spacing w:val="-14"/>
        </w:rPr>
        <w:t> </w:t>
      </w:r>
      <w:r>
        <w:rPr/>
        <w:t>2023</w:t>
      </w:r>
      <w:r>
        <w:rPr>
          <w:spacing w:val="-14"/>
        </w:rPr>
        <w:t> </w:t>
      </w:r>
      <w:r>
        <w:rPr/>
        <w:t>(από</w:t>
      </w:r>
      <w:r>
        <w:rPr>
          <w:spacing w:val="-13"/>
        </w:rPr>
        <w:t> </w:t>
      </w:r>
      <w:r>
        <w:rPr/>
        <w:t>6,8%</w:t>
      </w:r>
      <w:r>
        <w:rPr>
          <w:spacing w:val="-14"/>
        </w:rPr>
        <w:t> </w:t>
      </w:r>
      <w:r>
        <w:rPr/>
        <w:t>το</w:t>
      </w:r>
      <w:r>
        <w:rPr>
          <w:spacing w:val="-14"/>
        </w:rPr>
        <w:t> </w:t>
      </w:r>
      <w:r>
        <w:rPr/>
        <w:t>2022),</w:t>
      </w:r>
      <w:r>
        <w:rPr>
          <w:spacing w:val="-14"/>
        </w:rPr>
        <w:t> </w:t>
      </w:r>
      <w:r>
        <w:rPr/>
        <w:t>ενώ</w:t>
      </w:r>
      <w:r>
        <w:rPr>
          <w:spacing w:val="-13"/>
        </w:rPr>
        <w:t> </w:t>
      </w:r>
      <w:r>
        <w:rPr/>
        <w:t>η</w:t>
      </w:r>
      <w:r>
        <w:rPr>
          <w:spacing w:val="-14"/>
        </w:rPr>
        <w:t> </w:t>
      </w:r>
      <w:r>
        <w:rPr/>
        <w:t>μέση</w:t>
      </w:r>
      <w:r>
        <w:rPr>
          <w:spacing w:val="-14"/>
        </w:rPr>
        <w:t> </w:t>
      </w:r>
      <w:r>
        <w:rPr/>
        <w:t>δαπάνη</w:t>
      </w:r>
      <w:r>
        <w:rPr>
          <w:spacing w:val="-14"/>
        </w:rPr>
        <w:t> </w:t>
      </w:r>
      <w:r>
        <w:rPr/>
        <w:t>για</w:t>
      </w:r>
      <w:r>
        <w:rPr>
          <w:spacing w:val="-13"/>
        </w:rPr>
        <w:t> </w:t>
      </w:r>
      <w:r>
        <w:rPr/>
        <w:t>υπηρεσίες υπολογιστικού</w:t>
      </w:r>
      <w:r>
        <w:rPr>
          <w:spacing w:val="-9"/>
        </w:rPr>
        <w:t> </w:t>
      </w:r>
      <w:r>
        <w:rPr/>
        <w:t>νέφους</w:t>
      </w:r>
      <w:r>
        <w:rPr>
          <w:spacing w:val="-8"/>
        </w:rPr>
        <w:t> </w:t>
      </w:r>
      <w:r>
        <w:rPr/>
        <w:t>ανά</w:t>
      </w:r>
      <w:r>
        <w:rPr>
          <w:spacing w:val="-12"/>
        </w:rPr>
        <w:t> </w:t>
      </w:r>
      <w:r>
        <w:rPr/>
        <w:t>ίδρυμα</w:t>
      </w:r>
      <w:r>
        <w:rPr>
          <w:spacing w:val="-8"/>
        </w:rPr>
        <w:t> </w:t>
      </w:r>
      <w:r>
        <w:rPr/>
        <w:t>αυξήθηκε</w:t>
      </w:r>
      <w:r>
        <w:rPr>
          <w:spacing w:val="-9"/>
        </w:rPr>
        <w:t> </w:t>
      </w:r>
      <w:r>
        <w:rPr/>
        <w:t>κατά</w:t>
      </w:r>
      <w:r>
        <w:rPr>
          <w:spacing w:val="-8"/>
        </w:rPr>
        <w:t> </w:t>
      </w:r>
      <w:r>
        <w:rPr/>
        <w:t>13,5%.</w:t>
      </w:r>
      <w:r>
        <w:rPr>
          <w:spacing w:val="-7"/>
        </w:rPr>
        <w:t> </w:t>
      </w:r>
      <w:r>
        <w:rPr/>
        <w:t>Η</w:t>
      </w:r>
      <w:r>
        <w:rPr>
          <w:spacing w:val="-11"/>
        </w:rPr>
        <w:t> </w:t>
      </w:r>
      <w:r>
        <w:rPr/>
        <w:t>εξέλιξη</w:t>
      </w:r>
      <w:r>
        <w:rPr>
          <w:spacing w:val="-9"/>
        </w:rPr>
        <w:t> </w:t>
      </w:r>
      <w:r>
        <w:rPr/>
        <w:t>αυτή</w:t>
      </w:r>
      <w:r>
        <w:rPr>
          <w:spacing w:val="-9"/>
        </w:rPr>
        <w:t> </w:t>
      </w:r>
      <w:r>
        <w:rPr/>
        <w:t>αντανακλά</w:t>
      </w:r>
      <w:r>
        <w:rPr>
          <w:spacing w:val="-8"/>
        </w:rPr>
        <w:t> </w:t>
      </w:r>
      <w:r>
        <w:rPr/>
        <w:t>τη</w:t>
      </w:r>
      <w:r>
        <w:rPr>
          <w:spacing w:val="-10"/>
        </w:rPr>
        <w:t> </w:t>
      </w:r>
      <w:r>
        <w:rPr/>
        <w:t>στρατη-</w:t>
      </w:r>
      <w:r>
        <w:rPr>
          <w:spacing w:val="-2"/>
        </w:rPr>
        <w:t>γική</w:t>
      </w:r>
      <w:r>
        <w:rPr>
          <w:spacing w:val="-3"/>
        </w:rPr>
        <w:t> </w:t>
      </w:r>
      <w:r>
        <w:rPr>
          <w:spacing w:val="-2"/>
        </w:rPr>
        <w:t>στροφή των</w:t>
      </w:r>
      <w:r>
        <w:rPr/>
        <w:t> </w:t>
      </w:r>
      <w:r>
        <w:rPr>
          <w:spacing w:val="-2"/>
        </w:rPr>
        <w:t>ιδρυμάτων</w:t>
      </w:r>
      <w:r>
        <w:rPr>
          <w:spacing w:val="1"/>
        </w:rPr>
        <w:t> </w:t>
      </w:r>
      <w:r>
        <w:rPr>
          <w:spacing w:val="-2"/>
        </w:rPr>
        <w:t>προς</w:t>
      </w:r>
      <w:r>
        <w:rPr>
          <w:spacing w:val="-1"/>
        </w:rPr>
        <w:t> </w:t>
      </w:r>
      <w:r>
        <w:rPr>
          <w:spacing w:val="-2"/>
        </w:rPr>
        <w:t>λύσεις</w:t>
      </w:r>
      <w:r>
        <w:rPr>
          <w:spacing w:val="-4"/>
        </w:rPr>
        <w:t> </w:t>
      </w:r>
      <w:r>
        <w:rPr>
          <w:spacing w:val="-2"/>
        </w:rPr>
        <w:t>εξωτερικής</w:t>
      </w:r>
      <w:r>
        <w:rPr>
          <w:spacing w:val="-1"/>
        </w:rPr>
        <w:t> </w:t>
      </w:r>
      <w:r>
        <w:rPr>
          <w:spacing w:val="-2"/>
        </w:rPr>
        <w:t>ανάθεσης υποδομών</w:t>
      </w:r>
      <w:r>
        <w:rPr>
          <w:spacing w:val="-1"/>
        </w:rPr>
        <w:t> </w:t>
      </w:r>
      <w:r>
        <w:rPr>
          <w:spacing w:val="-2"/>
        </w:rPr>
        <w:t>υπολογιστικού</w:t>
      </w:r>
      <w:r>
        <w:rPr>
          <w:spacing w:val="1"/>
        </w:rPr>
        <w:t> </w:t>
      </w:r>
      <w:r>
        <w:rPr>
          <w:spacing w:val="-2"/>
        </w:rPr>
        <w:t>νέφους.</w:t>
      </w:r>
    </w:p>
    <w:p>
      <w:pPr>
        <w:pStyle w:val="BodyText"/>
        <w:spacing w:line="285" w:lineRule="auto" w:before="53"/>
        <w:ind w:left="30" w:right="246"/>
        <w:jc w:val="both"/>
      </w:pPr>
      <w:r>
        <w:rPr/>
        <w:t>Παράλληλα,</w:t>
      </w:r>
      <w:r>
        <w:rPr>
          <w:spacing w:val="-2"/>
        </w:rPr>
        <w:t> </w:t>
      </w:r>
      <w:r>
        <w:rPr/>
        <w:t>παρατηρείται</w:t>
      </w:r>
      <w:r>
        <w:rPr>
          <w:spacing w:val="-3"/>
        </w:rPr>
        <w:t> </w:t>
      </w:r>
      <w:r>
        <w:rPr/>
        <w:t>σημαντική</w:t>
      </w:r>
      <w:r>
        <w:rPr>
          <w:spacing w:val="-2"/>
        </w:rPr>
        <w:t> </w:t>
      </w:r>
      <w:r>
        <w:rPr/>
        <w:t>αύξηση</w:t>
      </w:r>
      <w:r>
        <w:rPr>
          <w:spacing w:val="-4"/>
        </w:rPr>
        <w:t> </w:t>
      </w:r>
      <w:r>
        <w:rPr/>
        <w:t>της</w:t>
      </w:r>
      <w:r>
        <w:rPr>
          <w:spacing w:val="-2"/>
        </w:rPr>
        <w:t> </w:t>
      </w:r>
      <w:r>
        <w:rPr/>
        <w:t>πολυπλοκότητας</w:t>
      </w:r>
      <w:r>
        <w:rPr>
          <w:spacing w:val="-4"/>
        </w:rPr>
        <w:t> </w:t>
      </w:r>
      <w:r>
        <w:rPr/>
        <w:t>των</w:t>
      </w:r>
      <w:r>
        <w:rPr>
          <w:spacing w:val="-2"/>
        </w:rPr>
        <w:t> </w:t>
      </w:r>
      <w:r>
        <w:rPr/>
        <w:t>σχέσεων</w:t>
      </w:r>
      <w:r>
        <w:rPr>
          <w:spacing w:val="-2"/>
        </w:rPr>
        <w:t> </w:t>
      </w:r>
      <w:r>
        <w:rPr/>
        <w:t>του πλέγματος εξωτερικών</w:t>
      </w:r>
      <w:r>
        <w:rPr>
          <w:spacing w:val="-4"/>
        </w:rPr>
        <w:t> </w:t>
      </w:r>
      <w:r>
        <w:rPr/>
        <w:t>αναθέσεων</w:t>
      </w:r>
      <w:r>
        <w:rPr>
          <w:spacing w:val="-4"/>
        </w:rPr>
        <w:t> </w:t>
      </w:r>
      <w:r>
        <w:rPr/>
        <w:t>σε</w:t>
      </w:r>
      <w:r>
        <w:rPr>
          <w:spacing w:val="-6"/>
        </w:rPr>
        <w:t> </w:t>
      </w:r>
      <w:r>
        <w:rPr/>
        <w:t>τρίτους</w:t>
      </w:r>
      <w:r>
        <w:rPr>
          <w:spacing w:val="-6"/>
        </w:rPr>
        <w:t> </w:t>
      </w:r>
      <w:r>
        <w:rPr/>
        <w:t>παρόχους.</w:t>
      </w:r>
      <w:r>
        <w:rPr>
          <w:spacing w:val="-5"/>
        </w:rPr>
        <w:t> </w:t>
      </w:r>
      <w:r>
        <w:rPr/>
        <w:t>Κατά</w:t>
      </w:r>
      <w:r>
        <w:rPr>
          <w:spacing w:val="-6"/>
        </w:rPr>
        <w:t> </w:t>
      </w:r>
      <w:r>
        <w:rPr/>
        <w:t>μέσο</w:t>
      </w:r>
      <w:r>
        <w:rPr>
          <w:spacing w:val="-5"/>
        </w:rPr>
        <w:t> </w:t>
      </w:r>
      <w:r>
        <w:rPr/>
        <w:t>όρο,</w:t>
      </w:r>
      <w:r>
        <w:rPr>
          <w:spacing w:val="-4"/>
        </w:rPr>
        <w:t> </w:t>
      </w:r>
      <w:r>
        <w:rPr/>
        <w:t>κάθε</w:t>
      </w:r>
      <w:r>
        <w:rPr>
          <w:spacing w:val="-4"/>
        </w:rPr>
        <w:t> </w:t>
      </w:r>
      <w:r>
        <w:rPr/>
        <w:t>σύμβαση</w:t>
      </w:r>
      <w:r>
        <w:rPr>
          <w:spacing w:val="-5"/>
        </w:rPr>
        <w:t> </w:t>
      </w:r>
      <w:r>
        <w:rPr/>
        <w:t>περιλαμβάνει</w:t>
      </w:r>
      <w:r>
        <w:rPr>
          <w:spacing w:val="-4"/>
        </w:rPr>
        <w:t> </w:t>
      </w:r>
      <w:r>
        <w:rPr/>
        <w:t>πολ-λαπλά επίπεδα υπεργολαβίας, με περίπου τέσσερις υπεργολάβους ανά</w:t>
      </w:r>
      <w:r>
        <w:rPr>
          <w:spacing w:val="-1"/>
        </w:rPr>
        <w:t> </w:t>
      </w:r>
      <w:r>
        <w:rPr/>
        <w:t>σύμβαση</w:t>
      </w:r>
      <w:r>
        <w:rPr>
          <w:spacing w:val="-1"/>
        </w:rPr>
        <w:t> </w:t>
      </w:r>
      <w:r>
        <w:rPr/>
        <w:t>και το 67% αυ-τών να</w:t>
      </w:r>
      <w:r>
        <w:rPr>
          <w:spacing w:val="-1"/>
        </w:rPr>
        <w:t> </w:t>
      </w:r>
      <w:r>
        <w:rPr/>
        <w:t>περιλαμβάνει εξωτερικούς</w:t>
      </w:r>
      <w:r>
        <w:rPr>
          <w:spacing w:val="-1"/>
        </w:rPr>
        <w:t> </w:t>
      </w:r>
      <w:r>
        <w:rPr/>
        <w:t>συνεργάτες. Ταυτόχρονα,</w:t>
      </w:r>
      <w:r>
        <w:rPr>
          <w:spacing w:val="-1"/>
        </w:rPr>
        <w:t> </w:t>
      </w:r>
      <w:r>
        <w:rPr/>
        <w:t>το ποσοστό των κρίσιμων λειτουρ-γιών που είναι δύσκολο έως αδύνατο να επανενσωματωθούν εσωτερικά ανέρχεται σε ιδιαίτερα υψηλό</w:t>
      </w:r>
      <w:r>
        <w:rPr>
          <w:spacing w:val="-6"/>
        </w:rPr>
        <w:t> </w:t>
      </w:r>
      <w:r>
        <w:rPr/>
        <w:t>επίπεδο,</w:t>
      </w:r>
      <w:r>
        <w:rPr>
          <w:spacing w:val="-6"/>
        </w:rPr>
        <w:t> </w:t>
      </w:r>
      <w:r>
        <w:rPr/>
        <w:t>προσεγγίζοντας</w:t>
      </w:r>
      <w:r>
        <w:rPr>
          <w:spacing w:val="-5"/>
        </w:rPr>
        <w:t> </w:t>
      </w:r>
      <w:r>
        <w:rPr/>
        <w:t>το</w:t>
      </w:r>
      <w:r>
        <w:rPr>
          <w:spacing w:val="-6"/>
        </w:rPr>
        <w:t> </w:t>
      </w:r>
      <w:r>
        <w:rPr/>
        <w:t>95%,</w:t>
      </w:r>
      <w:r>
        <w:rPr>
          <w:spacing w:val="-6"/>
        </w:rPr>
        <w:t> </w:t>
      </w:r>
      <w:r>
        <w:rPr/>
        <w:t>γεγονός</w:t>
      </w:r>
      <w:r>
        <w:rPr>
          <w:spacing w:val="-4"/>
        </w:rPr>
        <w:t> </w:t>
      </w:r>
      <w:r>
        <w:rPr/>
        <w:t>που</w:t>
      </w:r>
      <w:r>
        <w:rPr>
          <w:spacing w:val="-5"/>
        </w:rPr>
        <w:t> </w:t>
      </w:r>
      <w:r>
        <w:rPr/>
        <w:t>καταδεικνύει</w:t>
      </w:r>
      <w:r>
        <w:rPr>
          <w:spacing w:val="-3"/>
        </w:rPr>
        <w:t> </w:t>
      </w:r>
      <w:r>
        <w:rPr/>
        <w:t>τον</w:t>
      </w:r>
      <w:r>
        <w:rPr>
          <w:spacing w:val="-5"/>
        </w:rPr>
        <w:t> </w:t>
      </w:r>
      <w:r>
        <w:rPr/>
        <w:t>υψηλό</w:t>
      </w:r>
      <w:r>
        <w:rPr>
          <w:spacing w:val="-3"/>
        </w:rPr>
        <w:t> </w:t>
      </w:r>
      <w:r>
        <w:rPr/>
        <w:t>βαθμό εξάρτησης από</w:t>
      </w:r>
      <w:r>
        <w:rPr>
          <w:spacing w:val="-1"/>
        </w:rPr>
        <w:t> </w:t>
      </w:r>
      <w:r>
        <w:rPr/>
        <w:t>τρίτους</w:t>
      </w:r>
      <w:r>
        <w:rPr>
          <w:spacing w:val="-1"/>
        </w:rPr>
        <w:t> </w:t>
      </w:r>
      <w:r>
        <w:rPr/>
        <w:t>παρόχους.</w:t>
      </w:r>
      <w:r>
        <w:rPr>
          <w:spacing w:val="-1"/>
        </w:rPr>
        <w:t> </w:t>
      </w:r>
      <w:r>
        <w:rPr/>
        <w:t>Οι τάσεις</w:t>
      </w:r>
      <w:r>
        <w:rPr>
          <w:spacing w:val="-1"/>
        </w:rPr>
        <w:t> </w:t>
      </w:r>
      <w:r>
        <w:rPr/>
        <w:t>αυτές</w:t>
      </w:r>
      <w:r>
        <w:rPr>
          <w:spacing w:val="-1"/>
        </w:rPr>
        <w:t> </w:t>
      </w:r>
      <w:r>
        <w:rPr/>
        <w:t>επιβεβαιώνουν</w:t>
      </w:r>
      <w:r>
        <w:rPr>
          <w:spacing w:val="-1"/>
        </w:rPr>
        <w:t> </w:t>
      </w:r>
      <w:r>
        <w:rPr/>
        <w:t>ότι η</w:t>
      </w:r>
      <w:r>
        <w:rPr>
          <w:spacing w:val="-2"/>
        </w:rPr>
        <w:t> </w:t>
      </w:r>
      <w:r>
        <w:rPr/>
        <w:t>εξωτερική</w:t>
      </w:r>
      <w:r>
        <w:rPr>
          <w:spacing w:val="-1"/>
        </w:rPr>
        <w:t> </w:t>
      </w:r>
      <w:r>
        <w:rPr/>
        <w:t>ανάθεση</w:t>
      </w:r>
      <w:r>
        <w:rPr>
          <w:spacing w:val="-1"/>
        </w:rPr>
        <w:t> </w:t>
      </w:r>
      <w:r>
        <w:rPr/>
        <w:t>αποτελεί πλέον διαρθρωτικό χαρακτηριστικό του χρηματοπιστωτικού συστήματος.</w:t>
      </w:r>
    </w:p>
    <w:p>
      <w:pPr>
        <w:pStyle w:val="BodyText"/>
        <w:spacing w:before="160"/>
      </w:pPr>
    </w:p>
    <w:p>
      <w:pPr>
        <w:pStyle w:val="Heading4"/>
        <w:ind w:left="30"/>
      </w:pPr>
      <w:r>
        <w:rPr>
          <w:color w:val="1F487C"/>
        </w:rPr>
        <w:t>Εποπτ</w:t>
      </w:r>
      <w:r>
        <w:rPr>
          <w:smallCaps/>
          <w:color w:val="1F487C"/>
        </w:rPr>
        <w:t>ι</w:t>
      </w:r>
      <w:r>
        <w:rPr>
          <w:smallCaps w:val="0"/>
          <w:color w:val="1F487C"/>
        </w:rPr>
        <w:t>κές</w:t>
      </w:r>
      <w:r>
        <w:rPr>
          <w:smallCaps w:val="0"/>
          <w:color w:val="1F487C"/>
          <w:spacing w:val="-12"/>
        </w:rPr>
        <w:t> </w:t>
      </w:r>
      <w:r>
        <w:rPr>
          <w:smallCaps w:val="0"/>
          <w:color w:val="1F487C"/>
        </w:rPr>
        <w:t>προκλήσε</w:t>
      </w:r>
      <w:r>
        <w:rPr>
          <w:smallCaps/>
          <w:color w:val="1F487C"/>
        </w:rPr>
        <w:t>ι</w:t>
      </w:r>
      <w:r>
        <w:rPr>
          <w:smallCaps w:val="0"/>
          <w:color w:val="1F487C"/>
        </w:rPr>
        <w:t>ς</w:t>
      </w:r>
      <w:r>
        <w:rPr>
          <w:smallCaps w:val="0"/>
          <w:color w:val="1F487C"/>
          <w:spacing w:val="-9"/>
        </w:rPr>
        <w:t> </w:t>
      </w:r>
      <w:r>
        <w:rPr>
          <w:smallCaps w:val="0"/>
          <w:color w:val="1F487C"/>
        </w:rPr>
        <w:t>όσον</w:t>
      </w:r>
      <w:r>
        <w:rPr>
          <w:smallCaps w:val="0"/>
          <w:color w:val="1F487C"/>
          <w:spacing w:val="-9"/>
        </w:rPr>
        <w:t> </w:t>
      </w:r>
      <w:r>
        <w:rPr>
          <w:smallCaps w:val="0"/>
          <w:color w:val="1F487C"/>
        </w:rPr>
        <w:t>αφορά</w:t>
      </w:r>
      <w:r>
        <w:rPr>
          <w:smallCaps w:val="0"/>
          <w:color w:val="1F487C"/>
          <w:spacing w:val="-10"/>
        </w:rPr>
        <w:t> </w:t>
      </w:r>
      <w:r>
        <w:rPr>
          <w:smallCaps w:val="0"/>
          <w:color w:val="1F487C"/>
        </w:rPr>
        <w:t>τη</w:t>
      </w:r>
      <w:r>
        <w:rPr>
          <w:smallCaps w:val="0"/>
          <w:color w:val="1F487C"/>
          <w:spacing w:val="-10"/>
        </w:rPr>
        <w:t> </w:t>
      </w:r>
      <w:r>
        <w:rPr>
          <w:smallCaps w:val="0"/>
          <w:color w:val="1F487C"/>
        </w:rPr>
        <w:t>δ</w:t>
      </w:r>
      <w:r>
        <w:rPr>
          <w:smallCaps/>
          <w:color w:val="1F487C"/>
        </w:rPr>
        <w:t>ι</w:t>
      </w:r>
      <w:r>
        <w:rPr>
          <w:smallCaps w:val="0"/>
          <w:color w:val="1F487C"/>
        </w:rPr>
        <w:t>αχείρ</w:t>
      </w:r>
      <w:r>
        <w:rPr>
          <w:smallCaps/>
          <w:color w:val="1F487C"/>
        </w:rPr>
        <w:t>ι</w:t>
      </w:r>
      <w:r>
        <w:rPr>
          <w:smallCaps w:val="0"/>
          <w:color w:val="1F487C"/>
        </w:rPr>
        <w:t>ση</w:t>
      </w:r>
      <w:r>
        <w:rPr>
          <w:smallCaps w:val="0"/>
          <w:color w:val="1F487C"/>
          <w:spacing w:val="-9"/>
        </w:rPr>
        <w:t> </w:t>
      </w:r>
      <w:r>
        <w:rPr>
          <w:smallCaps w:val="0"/>
          <w:color w:val="1F487C"/>
        </w:rPr>
        <w:t>κ</w:t>
      </w:r>
      <w:r>
        <w:rPr>
          <w:smallCaps/>
          <w:color w:val="1F487C"/>
        </w:rPr>
        <w:t>ιν</w:t>
      </w:r>
      <w:r>
        <w:rPr>
          <w:smallCaps w:val="0"/>
          <w:color w:val="1F487C"/>
        </w:rPr>
        <w:t>δύνου</w:t>
      </w:r>
      <w:r>
        <w:rPr>
          <w:smallCaps w:val="0"/>
          <w:color w:val="1F487C"/>
          <w:spacing w:val="-10"/>
        </w:rPr>
        <w:t> </w:t>
      </w:r>
      <w:r>
        <w:rPr>
          <w:smallCaps w:val="0"/>
          <w:color w:val="1F487C"/>
        </w:rPr>
        <w:t>από</w:t>
      </w:r>
      <w:r>
        <w:rPr>
          <w:smallCaps w:val="0"/>
          <w:color w:val="1F487C"/>
          <w:spacing w:val="-9"/>
        </w:rPr>
        <w:t> </w:t>
      </w:r>
      <w:r>
        <w:rPr>
          <w:smallCaps w:val="0"/>
          <w:color w:val="1F487C"/>
        </w:rPr>
        <w:t>τρίτους</w:t>
      </w:r>
      <w:r>
        <w:rPr>
          <w:smallCaps w:val="0"/>
          <w:color w:val="1F487C"/>
          <w:spacing w:val="-9"/>
        </w:rPr>
        <w:t> </w:t>
      </w:r>
      <w:r>
        <w:rPr>
          <w:smallCaps w:val="0"/>
          <w:color w:val="1F487C"/>
          <w:spacing w:val="-2"/>
        </w:rPr>
        <w:t>παρόχους</w:t>
      </w:r>
    </w:p>
    <w:p>
      <w:pPr>
        <w:pStyle w:val="BodyText"/>
        <w:spacing w:line="285" w:lineRule="auto" w:before="107"/>
        <w:ind w:left="30" w:right="243"/>
        <w:jc w:val="both"/>
      </w:pPr>
      <w:r>
        <w:rPr/>
        <w:t>Όπως προκύπτει και από τα παραπάνω στοιχεία της ΕΚΤ, η συμμετοχή των τρίτων παρόχων υπηρεσιών ΤΠΕ στις λειτουργίες των χρηματοπιστωτικών ιδρυμάτων είναι σημαντική, με απο-τέλεσμα</w:t>
      </w:r>
      <w:r>
        <w:rPr>
          <w:spacing w:val="-2"/>
        </w:rPr>
        <w:t> </w:t>
      </w:r>
      <w:r>
        <w:rPr/>
        <w:t>να διαμορφώνεται</w:t>
      </w:r>
      <w:r>
        <w:rPr>
          <w:spacing w:val="-2"/>
        </w:rPr>
        <w:t> </w:t>
      </w:r>
      <w:r>
        <w:rPr/>
        <w:t>ένα</w:t>
      </w:r>
      <w:r>
        <w:rPr>
          <w:spacing w:val="-1"/>
        </w:rPr>
        <w:t> </w:t>
      </w:r>
      <w:r>
        <w:rPr/>
        <w:t>διαφορετικό τοπίο</w:t>
      </w:r>
      <w:r>
        <w:rPr>
          <w:spacing w:val="-2"/>
        </w:rPr>
        <w:t> </w:t>
      </w:r>
      <w:r>
        <w:rPr/>
        <w:t>στην εποπτεία των χρηματοπιστωτικών</w:t>
      </w:r>
      <w:r>
        <w:rPr>
          <w:spacing w:val="-1"/>
        </w:rPr>
        <w:t> </w:t>
      </w:r>
      <w:r>
        <w:rPr/>
        <w:t>ιδρυ-μάτων. Μία από τις βασικές προκλήσεις είναι ότι ο διεθνής χαρακτήρας των τρίτων παρόχων υπηρεσιών ΤΠΕ καθιστά αναγκαία την ενίσχυση της διασυνοριακής συνεργασίας και του επο-πτικού συντονισμού μεταξύ των αρμόδιων αρχών. Καθώς οι ίδιοι τρίτοι πάροχοι εξυπηρετούν πολλαπλά ιδρύματα σε διαφορετικές χώρες, αυξάνεται η ανάγκη υιοθέτησης κοινών προτύπων, ανταλλαγής πληροφοριών και συντονισμένων ενεργειών μεταξύ των εποπτικών αρχών τόσο σε ευρωπαϊκό όσο και σε διεθνές επίπεδο.</w:t>
      </w:r>
    </w:p>
    <w:p>
      <w:pPr>
        <w:pStyle w:val="BodyText"/>
        <w:spacing w:line="285" w:lineRule="auto" w:before="51"/>
        <w:ind w:left="30" w:right="245"/>
        <w:jc w:val="both"/>
      </w:pPr>
      <w:r>
        <w:rPr/>
        <w:t>Μια επιπλέον πρόκληση σχετίζεται με το διαφορετικό εποπτικό καθεστώς των τρίτων παρόχων υπηρεσιών ΤΠΕ σε σχέση με αυτό των χρηματοπιστωτικών ιδρυμάτων. Τα τελευταία λειτουρ-γούν επί δεκαετίες υπό καθεστώς στενής και συστηματικής εποπτείας, με σαφώς καθορισμένες απαιτήσεις διακυβέρνησης, διαχείρισης κινδύνων και κανονιστικής συμμόρφωσης, σε αντίθεση με πολλές</w:t>
      </w:r>
      <w:r>
        <w:rPr>
          <w:spacing w:val="-1"/>
        </w:rPr>
        <w:t> </w:t>
      </w:r>
      <w:r>
        <w:rPr/>
        <w:t>εταιρείες τεχνολογίας που δεν έχουν ιστορικά αναπτυχθεί σε περιβάλλον αντίστοιχης έντασης εποπτικού ελέγχου. Η ασυμμετρία αυτή δημιουργεί δυσκολίες τόσο για τα ίδια τα χρη-ματοπιστωτικά</w:t>
      </w:r>
      <w:r>
        <w:rPr>
          <w:spacing w:val="-10"/>
        </w:rPr>
        <w:t> </w:t>
      </w:r>
      <w:r>
        <w:rPr/>
        <w:t>ιδρύματα,</w:t>
      </w:r>
      <w:r>
        <w:rPr>
          <w:spacing w:val="-10"/>
        </w:rPr>
        <w:t> </w:t>
      </w:r>
      <w:r>
        <w:rPr/>
        <w:t>τα</w:t>
      </w:r>
      <w:r>
        <w:rPr>
          <w:spacing w:val="-8"/>
        </w:rPr>
        <w:t> </w:t>
      </w:r>
      <w:r>
        <w:rPr/>
        <w:t>οποία</w:t>
      </w:r>
      <w:r>
        <w:rPr>
          <w:spacing w:val="-7"/>
        </w:rPr>
        <w:t> </w:t>
      </w:r>
      <w:r>
        <w:rPr/>
        <w:t>καλούνται</w:t>
      </w:r>
      <w:r>
        <w:rPr>
          <w:spacing w:val="-9"/>
        </w:rPr>
        <w:t> </w:t>
      </w:r>
      <w:r>
        <w:rPr/>
        <w:t>να</w:t>
      </w:r>
      <w:r>
        <w:rPr>
          <w:spacing w:val="-10"/>
        </w:rPr>
        <w:t> </w:t>
      </w:r>
      <w:r>
        <w:rPr/>
        <w:t>διασφαλίσουν</w:t>
      </w:r>
      <w:r>
        <w:rPr>
          <w:spacing w:val="-9"/>
        </w:rPr>
        <w:t> </w:t>
      </w:r>
      <w:r>
        <w:rPr/>
        <w:t>ότι</w:t>
      </w:r>
      <w:r>
        <w:rPr>
          <w:spacing w:val="-9"/>
        </w:rPr>
        <w:t> </w:t>
      </w:r>
      <w:r>
        <w:rPr/>
        <w:t>οι</w:t>
      </w:r>
      <w:r>
        <w:rPr>
          <w:spacing w:val="-9"/>
        </w:rPr>
        <w:t> </w:t>
      </w:r>
      <w:r>
        <w:rPr/>
        <w:t>τρίτοι</w:t>
      </w:r>
      <w:r>
        <w:rPr>
          <w:spacing w:val="-6"/>
        </w:rPr>
        <w:t> </w:t>
      </w:r>
      <w:r>
        <w:rPr/>
        <w:t>πάροχοι</w:t>
      </w:r>
      <w:r>
        <w:rPr>
          <w:spacing w:val="-9"/>
        </w:rPr>
        <w:t> </w:t>
      </w:r>
      <w:r>
        <w:rPr/>
        <w:t>συμμορφώ-νονται</w:t>
      </w:r>
      <w:r>
        <w:rPr>
          <w:spacing w:val="-3"/>
        </w:rPr>
        <w:t> </w:t>
      </w:r>
      <w:r>
        <w:rPr/>
        <w:t>με</w:t>
      </w:r>
      <w:r>
        <w:rPr>
          <w:spacing w:val="-5"/>
        </w:rPr>
        <w:t> </w:t>
      </w:r>
      <w:r>
        <w:rPr/>
        <w:t>τα</w:t>
      </w:r>
      <w:r>
        <w:rPr>
          <w:spacing w:val="-3"/>
        </w:rPr>
        <w:t> </w:t>
      </w:r>
      <w:r>
        <w:rPr/>
        <w:t>αυστηρά</w:t>
      </w:r>
      <w:r>
        <w:rPr>
          <w:spacing w:val="-3"/>
        </w:rPr>
        <w:t> </w:t>
      </w:r>
      <w:r>
        <w:rPr/>
        <w:t>κανονιστικά</w:t>
      </w:r>
      <w:r>
        <w:rPr>
          <w:spacing w:val="-4"/>
        </w:rPr>
        <w:t> </w:t>
      </w:r>
      <w:r>
        <w:rPr/>
        <w:t>πρότυπα,</w:t>
      </w:r>
      <w:r>
        <w:rPr>
          <w:spacing w:val="-3"/>
        </w:rPr>
        <w:t> </w:t>
      </w:r>
      <w:r>
        <w:rPr/>
        <w:t>όπως</w:t>
      </w:r>
      <w:r>
        <w:rPr>
          <w:spacing w:val="-4"/>
        </w:rPr>
        <w:t> </w:t>
      </w:r>
      <w:r>
        <w:rPr/>
        <w:t>ο</w:t>
      </w:r>
      <w:r>
        <w:rPr>
          <w:spacing w:val="-3"/>
        </w:rPr>
        <w:t> </w:t>
      </w:r>
      <w:r>
        <w:rPr/>
        <w:t>Κανονισμός</w:t>
      </w:r>
      <w:r>
        <w:rPr>
          <w:spacing w:val="-2"/>
        </w:rPr>
        <w:t> </w:t>
      </w:r>
      <w:r>
        <w:rPr/>
        <w:t>DORA,</w:t>
      </w:r>
      <w:r>
        <w:rPr>
          <w:spacing w:val="-3"/>
        </w:rPr>
        <w:t> </w:t>
      </w:r>
      <w:r>
        <w:rPr/>
        <w:t>όσο</w:t>
      </w:r>
      <w:r>
        <w:rPr>
          <w:spacing w:val="-3"/>
        </w:rPr>
        <w:t> </w:t>
      </w:r>
      <w:r>
        <w:rPr/>
        <w:t>και</w:t>
      </w:r>
      <w:r>
        <w:rPr>
          <w:spacing w:val="-8"/>
        </w:rPr>
        <w:t> </w:t>
      </w:r>
      <w:r>
        <w:rPr/>
        <w:t>για</w:t>
      </w:r>
      <w:r>
        <w:rPr>
          <w:spacing w:val="-3"/>
        </w:rPr>
        <w:t> </w:t>
      </w:r>
      <w:r>
        <w:rPr/>
        <w:t>τις</w:t>
      </w:r>
      <w:r>
        <w:rPr>
          <w:spacing w:val="-3"/>
        </w:rPr>
        <w:t> </w:t>
      </w:r>
      <w:r>
        <w:rPr/>
        <w:t>εποπτι-κές αρχές, οι οποίες έρχονται αντιμέτωπες με οντότητες που δεν είναι εξοικειωμένες με τις πα-ραδοσιακές εποπτικές πρακτικές.</w:t>
      </w:r>
    </w:p>
    <w:p>
      <w:pPr>
        <w:pStyle w:val="BodyText"/>
        <w:rPr>
          <w:sz w:val="20"/>
        </w:rPr>
      </w:pPr>
    </w:p>
    <w:p>
      <w:pPr>
        <w:pStyle w:val="BodyText"/>
        <w:rPr>
          <w:sz w:val="20"/>
        </w:rPr>
      </w:pPr>
    </w:p>
    <w:p>
      <w:pPr>
        <w:pStyle w:val="BodyText"/>
        <w:rPr>
          <w:sz w:val="20"/>
        </w:rPr>
      </w:pPr>
    </w:p>
    <w:p>
      <w:pPr>
        <w:pStyle w:val="BodyText"/>
        <w:spacing w:before="24"/>
        <w:rPr>
          <w:sz w:val="20"/>
        </w:rPr>
      </w:pPr>
      <w:r>
        <w:rPr>
          <w:sz w:val="20"/>
        </w:rPr>
        <mc:AlternateContent>
          <mc:Choice Requires="wps">
            <w:drawing>
              <wp:anchor distT="0" distB="0" distL="0" distR="0" allowOverlap="1" layoutInCell="1" locked="0" behindDoc="1" simplePos="0" relativeHeight="487685632">
                <wp:simplePos x="0" y="0"/>
                <wp:positionH relativeFrom="page">
                  <wp:posOffset>1009192</wp:posOffset>
                </wp:positionH>
                <wp:positionV relativeFrom="paragraph">
                  <wp:posOffset>176755</wp:posOffset>
                </wp:positionV>
                <wp:extent cx="1829435" cy="7620"/>
                <wp:effectExtent l="0" t="0" r="0" b="0"/>
                <wp:wrapTopAndBottom/>
                <wp:docPr id="810" name="Graphic 810"/>
                <wp:cNvGraphicFramePr>
                  <a:graphicFrameLocks/>
                </wp:cNvGraphicFramePr>
                <a:graphic>
                  <a:graphicData uri="http://schemas.microsoft.com/office/word/2010/wordprocessingShape">
                    <wps:wsp>
                      <wps:cNvPr id="810" name="Graphic 81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3.917748pt;width:144.020pt;height:.599980pt;mso-position-horizontal-relative:page;mso-position-vertical-relative:paragraph;z-index:-15630848;mso-wrap-distance-left:0;mso-wrap-distance-right:0" id="docshape757" filled="true" fillcolor="#000000" stroked="false">
                <v:fill type="solid"/>
                <w10:wrap type="topAndBottom"/>
              </v:rect>
            </w:pict>
          </mc:Fallback>
        </mc:AlternateContent>
      </w:r>
    </w:p>
    <w:p>
      <w:pPr>
        <w:spacing w:before="167"/>
        <w:ind w:left="30" w:right="0" w:firstLine="0"/>
        <w:jc w:val="left"/>
        <w:rPr>
          <w:sz w:val="16"/>
        </w:rPr>
      </w:pPr>
      <w:bookmarkStart w:name="_bookmark198" w:id="199"/>
      <w:bookmarkEnd w:id="199"/>
      <w:r>
        <w:rPr/>
      </w:r>
      <w:r>
        <w:rPr>
          <w:sz w:val="16"/>
          <w:vertAlign w:val="superscript"/>
        </w:rPr>
        <w:t>135</w:t>
      </w:r>
      <w:r>
        <w:rPr>
          <w:spacing w:val="-5"/>
          <w:sz w:val="16"/>
          <w:vertAlign w:val="baseline"/>
        </w:rPr>
        <w:t> </w:t>
      </w:r>
      <w:r>
        <w:rPr>
          <w:sz w:val="16"/>
          <w:vertAlign w:val="baseline"/>
        </w:rPr>
        <w:t>ECB</w:t>
      </w:r>
      <w:r>
        <w:rPr>
          <w:spacing w:val="-4"/>
          <w:sz w:val="16"/>
          <w:vertAlign w:val="baseline"/>
        </w:rPr>
        <w:t> </w:t>
      </w:r>
      <w:r>
        <w:rPr>
          <w:sz w:val="16"/>
          <w:vertAlign w:val="baseline"/>
        </w:rPr>
        <w:t>Supervision</w:t>
      </w:r>
      <w:r>
        <w:rPr>
          <w:spacing w:val="-5"/>
          <w:sz w:val="16"/>
          <w:vertAlign w:val="baseline"/>
        </w:rPr>
        <w:t> </w:t>
      </w:r>
      <w:r>
        <w:rPr>
          <w:sz w:val="16"/>
          <w:vertAlign w:val="baseline"/>
        </w:rPr>
        <w:t>Newsletter,</w:t>
      </w:r>
      <w:r>
        <w:rPr>
          <w:spacing w:val="-6"/>
          <w:sz w:val="16"/>
          <w:vertAlign w:val="baseline"/>
        </w:rPr>
        <w:t> </w:t>
      </w:r>
      <w:hyperlink r:id="rId175">
        <w:r>
          <w:rPr>
            <w:color w:val="0000FF"/>
            <w:sz w:val="16"/>
            <w:u w:val="single" w:color="0000FF"/>
            <w:vertAlign w:val="baseline"/>
          </w:rPr>
          <w:t>Outsourcing</w:t>
        </w:r>
        <w:r>
          <w:rPr>
            <w:color w:val="0000FF"/>
            <w:spacing w:val="-5"/>
            <w:sz w:val="16"/>
            <w:u w:val="single" w:color="0000FF"/>
            <w:vertAlign w:val="baseline"/>
          </w:rPr>
          <w:t> </w:t>
        </w:r>
        <w:r>
          <w:rPr>
            <w:color w:val="0000FF"/>
            <w:sz w:val="16"/>
            <w:u w:val="single" w:color="0000FF"/>
            <w:vertAlign w:val="baseline"/>
          </w:rPr>
          <w:t>trends</w:t>
        </w:r>
        <w:r>
          <w:rPr>
            <w:color w:val="0000FF"/>
            <w:spacing w:val="-6"/>
            <w:sz w:val="16"/>
            <w:u w:val="single" w:color="0000FF"/>
            <w:vertAlign w:val="baseline"/>
          </w:rPr>
          <w:t> </w:t>
        </w:r>
        <w:r>
          <w:rPr>
            <w:color w:val="0000FF"/>
            <w:sz w:val="16"/>
            <w:u w:val="single" w:color="0000FF"/>
            <w:vertAlign w:val="baseline"/>
          </w:rPr>
          <w:t>in</w:t>
        </w:r>
        <w:r>
          <w:rPr>
            <w:color w:val="0000FF"/>
            <w:spacing w:val="-6"/>
            <w:sz w:val="16"/>
            <w:u w:val="single" w:color="0000FF"/>
            <w:vertAlign w:val="baseline"/>
          </w:rPr>
          <w:t> </w:t>
        </w:r>
        <w:r>
          <w:rPr>
            <w:color w:val="0000FF"/>
            <w:sz w:val="16"/>
            <w:u w:val="single" w:color="0000FF"/>
            <w:vertAlign w:val="baseline"/>
          </w:rPr>
          <w:t>the</w:t>
        </w:r>
        <w:r>
          <w:rPr>
            <w:color w:val="0000FF"/>
            <w:spacing w:val="-6"/>
            <w:sz w:val="16"/>
            <w:u w:val="single" w:color="0000FF"/>
            <w:vertAlign w:val="baseline"/>
          </w:rPr>
          <w:t> </w:t>
        </w:r>
        <w:r>
          <w:rPr>
            <w:color w:val="0000FF"/>
            <w:sz w:val="16"/>
            <w:u w:val="single" w:color="0000FF"/>
            <w:vertAlign w:val="baseline"/>
          </w:rPr>
          <w:t>banking</w:t>
        </w:r>
        <w:r>
          <w:rPr>
            <w:color w:val="0000FF"/>
            <w:spacing w:val="-6"/>
            <w:sz w:val="16"/>
            <w:u w:val="single" w:color="0000FF"/>
            <w:vertAlign w:val="baseline"/>
          </w:rPr>
          <w:t> </w:t>
        </w:r>
        <w:r>
          <w:rPr>
            <w:color w:val="0000FF"/>
            <w:sz w:val="16"/>
            <w:u w:val="single" w:color="0000FF"/>
            <w:vertAlign w:val="baseline"/>
          </w:rPr>
          <w:t>sector</w:t>
        </w:r>
        <w:r>
          <w:rPr>
            <w:sz w:val="16"/>
            <w:vertAlign w:val="baseline"/>
          </w:rPr>
          <w:t>,</w:t>
        </w:r>
      </w:hyperlink>
      <w:r>
        <w:rPr>
          <w:spacing w:val="-6"/>
          <w:sz w:val="16"/>
          <w:vertAlign w:val="baseline"/>
        </w:rPr>
        <w:t> </w:t>
      </w:r>
      <w:r>
        <w:rPr>
          <w:spacing w:val="-2"/>
          <w:sz w:val="16"/>
          <w:vertAlign w:val="baseline"/>
        </w:rPr>
        <w:t>19.2.2025.</w:t>
      </w:r>
    </w:p>
    <w:p>
      <w:pPr>
        <w:spacing w:after="0"/>
        <w:jc w:val="left"/>
        <w:rPr>
          <w:sz w:val="16"/>
        </w:rPr>
        <w:sectPr>
          <w:pgSz w:w="11910" w:h="16850"/>
          <w:pgMar w:header="0" w:footer="1262" w:top="1100" w:bottom="1460" w:left="1559" w:right="1559"/>
        </w:sectPr>
      </w:pPr>
    </w:p>
    <w:p>
      <w:pPr>
        <w:pStyle w:val="BodyText"/>
        <w:spacing w:line="285" w:lineRule="auto" w:before="74"/>
        <w:ind w:left="30" w:right="250"/>
        <w:jc w:val="both"/>
      </w:pPr>
      <w:r>
        <w:rPr/>
        <w:t>Τέλος,</w:t>
      </w:r>
      <w:r>
        <w:rPr>
          <w:spacing w:val="-12"/>
        </w:rPr>
        <w:t> </w:t>
      </w:r>
      <w:r>
        <w:rPr/>
        <w:t>η</w:t>
      </w:r>
      <w:r>
        <w:rPr>
          <w:spacing w:val="-12"/>
        </w:rPr>
        <w:t> </w:t>
      </w:r>
      <w:r>
        <w:rPr/>
        <w:t>χρήση</w:t>
      </w:r>
      <w:r>
        <w:rPr>
          <w:spacing w:val="-12"/>
        </w:rPr>
        <w:t> </w:t>
      </w:r>
      <w:r>
        <w:rPr/>
        <w:t>παρόχων</w:t>
      </w:r>
      <w:r>
        <w:rPr>
          <w:spacing w:val="-13"/>
        </w:rPr>
        <w:t> </w:t>
      </w:r>
      <w:r>
        <w:rPr/>
        <w:t>σε</w:t>
      </w:r>
      <w:r>
        <w:rPr>
          <w:spacing w:val="-13"/>
        </w:rPr>
        <w:t> </w:t>
      </w:r>
      <w:r>
        <w:rPr/>
        <w:t>διάφορα</w:t>
      </w:r>
      <w:r>
        <w:rPr>
          <w:spacing w:val="-12"/>
        </w:rPr>
        <w:t> </w:t>
      </w:r>
      <w:r>
        <w:rPr/>
        <w:t>επίπεδα</w:t>
      </w:r>
      <w:r>
        <w:rPr>
          <w:spacing w:val="-13"/>
        </w:rPr>
        <w:t> </w:t>
      </w:r>
      <w:r>
        <w:rPr/>
        <w:t>δυσχεραίνει</w:t>
      </w:r>
      <w:r>
        <w:rPr>
          <w:spacing w:val="-11"/>
        </w:rPr>
        <w:t> </w:t>
      </w:r>
      <w:r>
        <w:rPr/>
        <w:t>τη</w:t>
      </w:r>
      <w:r>
        <w:rPr>
          <w:spacing w:val="-14"/>
        </w:rPr>
        <w:t> </w:t>
      </w:r>
      <w:r>
        <w:rPr/>
        <w:t>χαρτογράφηση</w:t>
      </w:r>
      <w:r>
        <w:rPr>
          <w:spacing w:val="-12"/>
        </w:rPr>
        <w:t> </w:t>
      </w:r>
      <w:r>
        <w:rPr/>
        <w:t>των</w:t>
      </w:r>
      <w:r>
        <w:rPr>
          <w:spacing w:val="-11"/>
        </w:rPr>
        <w:t> </w:t>
      </w:r>
      <w:r>
        <w:rPr/>
        <w:t>εξαρτήσεων</w:t>
      </w:r>
      <w:r>
        <w:rPr>
          <w:spacing w:val="-11"/>
        </w:rPr>
        <w:t> </w:t>
      </w:r>
      <w:r>
        <w:rPr/>
        <w:t>και την εκτίμηση των επιπτώσεων από ενδεχόμενες διαταραχές, ενώ παράλληλα καθιστά πιο απαι-τητικό τον έλεγχο της συμμόρφωσης και της ασφάλειας σε όλο το μήκος της αλυσίδας.</w:t>
      </w:r>
    </w:p>
    <w:p>
      <w:pPr>
        <w:pStyle w:val="BodyText"/>
        <w:spacing w:line="285" w:lineRule="auto" w:before="57"/>
        <w:ind w:left="30" w:right="253"/>
        <w:jc w:val="both"/>
      </w:pPr>
      <w:r>
        <w:rPr/>
        <w:t>Από</w:t>
      </w:r>
      <w:r>
        <w:rPr>
          <w:spacing w:val="-7"/>
        </w:rPr>
        <w:t> </w:t>
      </w:r>
      <w:r>
        <w:rPr/>
        <w:t>τα</w:t>
      </w:r>
      <w:r>
        <w:rPr>
          <w:spacing w:val="-8"/>
        </w:rPr>
        <w:t> </w:t>
      </w:r>
      <w:r>
        <w:rPr/>
        <w:t>παραπάνω</w:t>
      </w:r>
      <w:r>
        <w:rPr>
          <w:spacing w:val="-6"/>
        </w:rPr>
        <w:t> </w:t>
      </w:r>
      <w:r>
        <w:rPr/>
        <w:t>προκύπτει</w:t>
      </w:r>
      <w:r>
        <w:rPr>
          <w:spacing w:val="-6"/>
        </w:rPr>
        <w:t> </w:t>
      </w:r>
      <w:r>
        <w:rPr/>
        <w:t>ότι</w:t>
      </w:r>
      <w:r>
        <w:rPr>
          <w:spacing w:val="-6"/>
        </w:rPr>
        <w:t> </w:t>
      </w:r>
      <w:r>
        <w:rPr/>
        <w:t>είναι</w:t>
      </w:r>
      <w:r>
        <w:rPr>
          <w:spacing w:val="-7"/>
        </w:rPr>
        <w:t> </w:t>
      </w:r>
      <w:r>
        <w:rPr/>
        <w:t>αναγκαία</w:t>
      </w:r>
      <w:r>
        <w:rPr>
          <w:spacing w:val="-7"/>
        </w:rPr>
        <w:t> </w:t>
      </w:r>
      <w:r>
        <w:rPr/>
        <w:t>η</w:t>
      </w:r>
      <w:r>
        <w:rPr>
          <w:spacing w:val="-7"/>
        </w:rPr>
        <w:t> </w:t>
      </w:r>
      <w:r>
        <w:rPr/>
        <w:t>ανάπτυξη</w:t>
      </w:r>
      <w:r>
        <w:rPr>
          <w:spacing w:val="-7"/>
        </w:rPr>
        <w:t> </w:t>
      </w:r>
      <w:r>
        <w:rPr/>
        <w:t>νέων</w:t>
      </w:r>
      <w:r>
        <w:rPr>
          <w:spacing w:val="-6"/>
        </w:rPr>
        <w:t> </w:t>
      </w:r>
      <w:r>
        <w:rPr/>
        <w:t>προσεγγίσεων</w:t>
      </w:r>
      <w:r>
        <w:rPr>
          <w:spacing w:val="-6"/>
        </w:rPr>
        <w:t> </w:t>
      </w:r>
      <w:r>
        <w:rPr/>
        <w:t>εποπτείας</w:t>
      </w:r>
      <w:r>
        <w:rPr>
          <w:spacing w:val="-8"/>
        </w:rPr>
        <w:t> </w:t>
      </w:r>
      <w:r>
        <w:rPr/>
        <w:t>και</w:t>
      </w:r>
      <w:r>
        <w:rPr>
          <w:spacing w:val="-7"/>
        </w:rPr>
        <w:t> </w:t>
      </w:r>
      <w:r>
        <w:rPr/>
        <w:t>η ενίσχυση</w:t>
      </w:r>
      <w:r>
        <w:rPr>
          <w:spacing w:val="-11"/>
        </w:rPr>
        <w:t> </w:t>
      </w:r>
      <w:r>
        <w:rPr/>
        <w:t>της</w:t>
      </w:r>
      <w:r>
        <w:rPr>
          <w:spacing w:val="-12"/>
        </w:rPr>
        <w:t> </w:t>
      </w:r>
      <w:r>
        <w:rPr/>
        <w:t>κατανόησης</w:t>
      </w:r>
      <w:r>
        <w:rPr>
          <w:spacing w:val="-12"/>
        </w:rPr>
        <w:t> </w:t>
      </w:r>
      <w:r>
        <w:rPr/>
        <w:t>των</w:t>
      </w:r>
      <w:r>
        <w:rPr>
          <w:spacing w:val="-10"/>
        </w:rPr>
        <w:t> </w:t>
      </w:r>
      <w:r>
        <w:rPr/>
        <w:t>κανονιστικών</w:t>
      </w:r>
      <w:r>
        <w:rPr>
          <w:spacing w:val="-10"/>
        </w:rPr>
        <w:t> </w:t>
      </w:r>
      <w:r>
        <w:rPr/>
        <w:t>προσδοκιών</w:t>
      </w:r>
      <w:r>
        <w:rPr>
          <w:spacing w:val="-12"/>
        </w:rPr>
        <w:t> </w:t>
      </w:r>
      <w:r>
        <w:rPr/>
        <w:t>εκ</w:t>
      </w:r>
      <w:r>
        <w:rPr>
          <w:spacing w:val="-11"/>
        </w:rPr>
        <w:t> </w:t>
      </w:r>
      <w:r>
        <w:rPr/>
        <w:t>μέρους</w:t>
      </w:r>
      <w:r>
        <w:rPr>
          <w:spacing w:val="-12"/>
        </w:rPr>
        <w:t> </w:t>
      </w:r>
      <w:r>
        <w:rPr/>
        <w:t>των</w:t>
      </w:r>
      <w:r>
        <w:rPr>
          <w:spacing w:val="-10"/>
        </w:rPr>
        <w:t> </w:t>
      </w:r>
      <w:r>
        <w:rPr/>
        <w:t>τεχνολογικών</w:t>
      </w:r>
      <w:r>
        <w:rPr>
          <w:spacing w:val="-10"/>
        </w:rPr>
        <w:t> </w:t>
      </w:r>
      <w:r>
        <w:rPr/>
        <w:t>παρόχων, προκειμένου να διασφαλιστεί η αποτελεσματική διαχείριση των σχετικών κινδύνων.</w:t>
      </w:r>
    </w:p>
    <w:p>
      <w:pPr>
        <w:pStyle w:val="BodyText"/>
        <w:spacing w:before="163"/>
      </w:pPr>
    </w:p>
    <w:p>
      <w:pPr>
        <w:pStyle w:val="Heading4"/>
        <w:spacing w:before="1"/>
        <w:ind w:left="30"/>
      </w:pPr>
      <w:r>
        <w:rPr>
          <w:color w:val="1F487C"/>
        </w:rPr>
        <w:t>Δ</w:t>
      </w:r>
      <w:r>
        <w:rPr>
          <w:smallCaps/>
          <w:color w:val="1F487C"/>
        </w:rPr>
        <w:t>ι</w:t>
      </w:r>
      <w:r>
        <w:rPr>
          <w:smallCaps w:val="0"/>
          <w:color w:val="1F487C"/>
        </w:rPr>
        <w:t>αμόρφωση</w:t>
      </w:r>
      <w:r>
        <w:rPr>
          <w:smallCaps w:val="0"/>
          <w:color w:val="1F487C"/>
          <w:spacing w:val="-10"/>
        </w:rPr>
        <w:t> </w:t>
      </w:r>
      <w:r>
        <w:rPr>
          <w:smallCaps w:val="0"/>
          <w:color w:val="1F487C"/>
        </w:rPr>
        <w:t>θεσμ</w:t>
      </w:r>
      <w:r>
        <w:rPr>
          <w:smallCaps/>
          <w:color w:val="1F487C"/>
        </w:rPr>
        <w:t>ι</w:t>
      </w:r>
      <w:r>
        <w:rPr>
          <w:smallCaps w:val="0"/>
          <w:color w:val="1F487C"/>
        </w:rPr>
        <w:t>κού</w:t>
      </w:r>
      <w:r>
        <w:rPr>
          <w:smallCaps w:val="0"/>
          <w:color w:val="1F487C"/>
          <w:spacing w:val="-10"/>
        </w:rPr>
        <w:t> </w:t>
      </w:r>
      <w:r>
        <w:rPr>
          <w:smallCaps w:val="0"/>
          <w:color w:val="1F487C"/>
        </w:rPr>
        <w:t>πλα</w:t>
      </w:r>
      <w:r>
        <w:rPr>
          <w:smallCaps/>
          <w:color w:val="1F487C"/>
        </w:rPr>
        <w:t>ι</w:t>
      </w:r>
      <w:r>
        <w:rPr>
          <w:smallCaps w:val="0"/>
          <w:color w:val="1F487C"/>
        </w:rPr>
        <w:t>σίου</w:t>
      </w:r>
      <w:r>
        <w:rPr>
          <w:smallCaps w:val="0"/>
          <w:color w:val="1F487C"/>
          <w:spacing w:val="-10"/>
        </w:rPr>
        <w:t> </w:t>
      </w:r>
      <w:r>
        <w:rPr>
          <w:smallCaps w:val="0"/>
          <w:color w:val="1F487C"/>
        </w:rPr>
        <w:t>γ</w:t>
      </w:r>
      <w:r>
        <w:rPr>
          <w:smallCaps/>
          <w:color w:val="1F487C"/>
        </w:rPr>
        <w:t>ι</w:t>
      </w:r>
      <w:r>
        <w:rPr>
          <w:smallCaps w:val="0"/>
          <w:color w:val="1F487C"/>
        </w:rPr>
        <w:t>α</w:t>
      </w:r>
      <w:r>
        <w:rPr>
          <w:smallCaps w:val="0"/>
          <w:color w:val="1F487C"/>
          <w:spacing w:val="-10"/>
        </w:rPr>
        <w:t> </w:t>
      </w:r>
      <w:r>
        <w:rPr>
          <w:smallCaps w:val="0"/>
          <w:color w:val="1F487C"/>
        </w:rPr>
        <w:t>τη</w:t>
      </w:r>
      <w:r>
        <w:rPr>
          <w:smallCaps w:val="0"/>
          <w:color w:val="1F487C"/>
          <w:spacing w:val="-11"/>
        </w:rPr>
        <w:t> </w:t>
      </w:r>
      <w:r>
        <w:rPr>
          <w:smallCaps w:val="0"/>
          <w:color w:val="1F487C"/>
        </w:rPr>
        <w:t>δ</w:t>
      </w:r>
      <w:r>
        <w:rPr>
          <w:smallCaps/>
          <w:color w:val="1F487C"/>
        </w:rPr>
        <w:t>ι</w:t>
      </w:r>
      <w:r>
        <w:rPr>
          <w:smallCaps w:val="0"/>
          <w:color w:val="1F487C"/>
        </w:rPr>
        <w:t>αχείρ</w:t>
      </w:r>
      <w:r>
        <w:rPr>
          <w:smallCaps/>
          <w:color w:val="1F487C"/>
        </w:rPr>
        <w:t>ι</w:t>
      </w:r>
      <w:r>
        <w:rPr>
          <w:smallCaps w:val="0"/>
          <w:color w:val="1F487C"/>
        </w:rPr>
        <w:t>ση</w:t>
      </w:r>
      <w:r>
        <w:rPr>
          <w:smallCaps w:val="0"/>
          <w:color w:val="1F487C"/>
          <w:spacing w:val="-12"/>
        </w:rPr>
        <w:t> </w:t>
      </w:r>
      <w:r>
        <w:rPr>
          <w:smallCaps w:val="0"/>
          <w:color w:val="1F487C"/>
        </w:rPr>
        <w:t>κ</w:t>
      </w:r>
      <w:r>
        <w:rPr>
          <w:smallCaps/>
          <w:color w:val="1F487C"/>
        </w:rPr>
        <w:t>ιν</w:t>
      </w:r>
      <w:r>
        <w:rPr>
          <w:smallCaps w:val="0"/>
          <w:color w:val="1F487C"/>
        </w:rPr>
        <w:t>δύνου</w:t>
      </w:r>
      <w:r>
        <w:rPr>
          <w:smallCaps w:val="0"/>
          <w:color w:val="1F487C"/>
          <w:spacing w:val="-9"/>
        </w:rPr>
        <w:t> </w:t>
      </w:r>
      <w:r>
        <w:rPr>
          <w:smallCaps w:val="0"/>
          <w:color w:val="1F487C"/>
        </w:rPr>
        <w:t>από</w:t>
      </w:r>
      <w:r>
        <w:rPr>
          <w:smallCaps w:val="0"/>
          <w:color w:val="1F487C"/>
          <w:spacing w:val="-9"/>
        </w:rPr>
        <w:t> </w:t>
      </w:r>
      <w:r>
        <w:rPr>
          <w:smallCaps w:val="0"/>
          <w:color w:val="1F487C"/>
        </w:rPr>
        <w:t>τρίτους</w:t>
      </w:r>
      <w:r>
        <w:rPr>
          <w:smallCaps w:val="0"/>
          <w:color w:val="1F487C"/>
          <w:spacing w:val="-9"/>
        </w:rPr>
        <w:t> </w:t>
      </w:r>
      <w:r>
        <w:rPr>
          <w:smallCaps w:val="0"/>
          <w:color w:val="1F487C"/>
          <w:spacing w:val="-2"/>
        </w:rPr>
        <w:t>παρόχους</w:t>
      </w:r>
    </w:p>
    <w:p>
      <w:pPr>
        <w:pStyle w:val="BodyText"/>
        <w:spacing w:line="285" w:lineRule="auto" w:before="107"/>
        <w:ind w:left="30" w:right="247"/>
        <w:jc w:val="both"/>
      </w:pPr>
      <w:r>
        <w:rPr/>
        <w:t>Οι</w:t>
      </w:r>
      <w:r>
        <w:rPr>
          <w:spacing w:val="-5"/>
        </w:rPr>
        <w:t> </w:t>
      </w:r>
      <w:r>
        <w:rPr/>
        <w:t>παραπάνω</w:t>
      </w:r>
      <w:r>
        <w:rPr>
          <w:spacing w:val="-7"/>
        </w:rPr>
        <w:t> </w:t>
      </w:r>
      <w:r>
        <w:rPr/>
        <w:t>εποπτικές</w:t>
      </w:r>
      <w:r>
        <w:rPr>
          <w:spacing w:val="-6"/>
        </w:rPr>
        <w:t> </w:t>
      </w:r>
      <w:r>
        <w:rPr/>
        <w:t>προκλήσεις</w:t>
      </w:r>
      <w:r>
        <w:rPr>
          <w:spacing w:val="-6"/>
        </w:rPr>
        <w:t> </w:t>
      </w:r>
      <w:r>
        <w:rPr/>
        <w:t>αναγνωρίστηκαν</w:t>
      </w:r>
      <w:r>
        <w:rPr>
          <w:spacing w:val="-7"/>
        </w:rPr>
        <w:t> </w:t>
      </w:r>
      <w:r>
        <w:rPr/>
        <w:t>εγκαίρως</w:t>
      </w:r>
      <w:r>
        <w:rPr>
          <w:spacing w:val="-7"/>
        </w:rPr>
        <w:t> </w:t>
      </w:r>
      <w:r>
        <w:rPr/>
        <w:t>από</w:t>
      </w:r>
      <w:r>
        <w:rPr>
          <w:spacing w:val="-6"/>
        </w:rPr>
        <w:t> </w:t>
      </w:r>
      <w:r>
        <w:rPr/>
        <w:t>τις</w:t>
      </w:r>
      <w:r>
        <w:rPr>
          <w:spacing w:val="-6"/>
        </w:rPr>
        <w:t> </w:t>
      </w:r>
      <w:r>
        <w:rPr/>
        <w:t>κανονιστικές</w:t>
      </w:r>
      <w:r>
        <w:rPr>
          <w:spacing w:val="-7"/>
        </w:rPr>
        <w:t> </w:t>
      </w:r>
      <w:r>
        <w:rPr/>
        <w:t>και</w:t>
      </w:r>
      <w:r>
        <w:rPr>
          <w:spacing w:val="-6"/>
        </w:rPr>
        <w:t> </w:t>
      </w:r>
      <w:r>
        <w:rPr/>
        <w:t>εποπτι-κές</w:t>
      </w:r>
      <w:r>
        <w:rPr>
          <w:spacing w:val="-6"/>
        </w:rPr>
        <w:t> </w:t>
      </w:r>
      <w:r>
        <w:rPr/>
        <w:t>αρχές</w:t>
      </w:r>
      <w:r>
        <w:rPr>
          <w:spacing w:val="-6"/>
        </w:rPr>
        <w:t> </w:t>
      </w:r>
      <w:r>
        <w:rPr/>
        <w:t>με</w:t>
      </w:r>
      <w:r>
        <w:rPr>
          <w:spacing w:val="-4"/>
        </w:rPr>
        <w:t> </w:t>
      </w:r>
      <w:r>
        <w:rPr/>
        <w:t>αποτέλεσμα</w:t>
      </w:r>
      <w:r>
        <w:rPr>
          <w:spacing w:val="-5"/>
        </w:rPr>
        <w:t> </w:t>
      </w:r>
      <w:r>
        <w:rPr/>
        <w:t>τη</w:t>
      </w:r>
      <w:r>
        <w:rPr>
          <w:spacing w:val="-5"/>
        </w:rPr>
        <w:t> </w:t>
      </w:r>
      <w:r>
        <w:rPr/>
        <w:t>σταδιακή</w:t>
      </w:r>
      <w:r>
        <w:rPr>
          <w:spacing w:val="-5"/>
        </w:rPr>
        <w:t> </w:t>
      </w:r>
      <w:r>
        <w:rPr/>
        <w:t>διαμόρφωση</w:t>
      </w:r>
      <w:r>
        <w:rPr>
          <w:spacing w:val="-5"/>
        </w:rPr>
        <w:t> </w:t>
      </w:r>
      <w:r>
        <w:rPr/>
        <w:t>ενός</w:t>
      </w:r>
      <w:r>
        <w:rPr>
          <w:spacing w:val="-6"/>
        </w:rPr>
        <w:t> </w:t>
      </w:r>
      <w:r>
        <w:rPr/>
        <w:t>ολοένα</w:t>
      </w:r>
      <w:r>
        <w:rPr>
          <w:spacing w:val="-5"/>
        </w:rPr>
        <w:t> </w:t>
      </w:r>
      <w:r>
        <w:rPr/>
        <w:t>πιο</w:t>
      </w:r>
      <w:r>
        <w:rPr>
          <w:spacing w:val="-4"/>
        </w:rPr>
        <w:t> </w:t>
      </w:r>
      <w:r>
        <w:rPr/>
        <w:t>συνεκτικού</w:t>
      </w:r>
      <w:r>
        <w:rPr>
          <w:spacing w:val="-4"/>
        </w:rPr>
        <w:t> </w:t>
      </w:r>
      <w:r>
        <w:rPr/>
        <w:t>διεθνούς</w:t>
      </w:r>
      <w:r>
        <w:rPr>
          <w:spacing w:val="-6"/>
        </w:rPr>
        <w:t> </w:t>
      </w:r>
      <w:r>
        <w:rPr/>
        <w:t>θεσμι-κού πλαισίου για τη διαχείριση των κινδύνων που προκύπτουν από τη χρήση τρίτων παρόχων υπηρεσιών ΤΠΕ.</w:t>
      </w:r>
    </w:p>
    <w:p>
      <w:pPr>
        <w:pStyle w:val="BodyText"/>
        <w:spacing w:line="285" w:lineRule="auto" w:before="56"/>
        <w:ind w:left="30" w:right="249"/>
        <w:jc w:val="both"/>
      </w:pPr>
      <w:r>
        <w:rPr/>
        <w:t>Έτσι, η Ευρωπαϊκή Ένωση προχώρησε τον Δεκέμβριο του 2022 στην έκδοση του Κανονισμού DORA</w:t>
      </w:r>
      <w:hyperlink w:history="true" w:anchor="_bookmark199">
        <w:r>
          <w:rPr/>
          <w:t>,</w:t>
        </w:r>
        <w:r>
          <w:rPr>
            <w:position w:val="6"/>
            <w:sz w:val="10"/>
          </w:rPr>
          <w:t>136</w:t>
        </w:r>
      </w:hyperlink>
      <w:r>
        <w:rPr>
          <w:spacing w:val="30"/>
          <w:position w:val="6"/>
          <w:sz w:val="10"/>
        </w:rPr>
        <w:t> </w:t>
      </w:r>
      <w:r>
        <w:rPr/>
        <w:t>ο οποίος</w:t>
      </w:r>
      <w:r>
        <w:rPr>
          <w:spacing w:val="-1"/>
        </w:rPr>
        <w:t> </w:t>
      </w:r>
      <w:r>
        <w:rPr/>
        <w:t>εισήγαγε,</w:t>
      </w:r>
      <w:r>
        <w:rPr>
          <w:spacing w:val="-1"/>
        </w:rPr>
        <w:t> </w:t>
      </w:r>
      <w:r>
        <w:rPr/>
        <w:t>μεταξύ άλλων,</w:t>
      </w:r>
      <w:r>
        <w:rPr>
          <w:spacing w:val="-1"/>
        </w:rPr>
        <w:t> </w:t>
      </w:r>
      <w:r>
        <w:rPr/>
        <w:t>ένα ενιαίο και δεσμευτικό πλαίσιο για την παρακο-λούθηση</w:t>
      </w:r>
      <w:r>
        <w:rPr>
          <w:spacing w:val="-14"/>
        </w:rPr>
        <w:t> </w:t>
      </w:r>
      <w:r>
        <w:rPr/>
        <w:t>και</w:t>
      </w:r>
      <w:r>
        <w:rPr>
          <w:spacing w:val="-14"/>
        </w:rPr>
        <w:t> </w:t>
      </w:r>
      <w:r>
        <w:rPr/>
        <w:t>τον</w:t>
      </w:r>
      <w:r>
        <w:rPr>
          <w:spacing w:val="-14"/>
        </w:rPr>
        <w:t> </w:t>
      </w:r>
      <w:r>
        <w:rPr/>
        <w:t>έλεγχο</w:t>
      </w:r>
      <w:r>
        <w:rPr>
          <w:spacing w:val="-13"/>
        </w:rPr>
        <w:t> </w:t>
      </w:r>
      <w:r>
        <w:rPr/>
        <w:t>των</w:t>
      </w:r>
      <w:r>
        <w:rPr>
          <w:spacing w:val="-14"/>
        </w:rPr>
        <w:t> </w:t>
      </w:r>
      <w:r>
        <w:rPr/>
        <w:t>κινδύνων</w:t>
      </w:r>
      <w:r>
        <w:rPr>
          <w:spacing w:val="-14"/>
        </w:rPr>
        <w:t> </w:t>
      </w:r>
      <w:r>
        <w:rPr/>
        <w:t>που</w:t>
      </w:r>
      <w:r>
        <w:rPr>
          <w:spacing w:val="-14"/>
        </w:rPr>
        <w:t> </w:t>
      </w:r>
      <w:r>
        <w:rPr/>
        <w:t>προκύπτουν</w:t>
      </w:r>
      <w:r>
        <w:rPr>
          <w:spacing w:val="-13"/>
        </w:rPr>
        <w:t> </w:t>
      </w:r>
      <w:r>
        <w:rPr/>
        <w:t>από</w:t>
      </w:r>
      <w:r>
        <w:rPr>
          <w:spacing w:val="-14"/>
        </w:rPr>
        <w:t> </w:t>
      </w:r>
      <w:r>
        <w:rPr/>
        <w:t>τη</w:t>
      </w:r>
      <w:r>
        <w:rPr>
          <w:spacing w:val="-14"/>
        </w:rPr>
        <w:t> </w:t>
      </w:r>
      <w:r>
        <w:rPr/>
        <w:t>χρήση</w:t>
      </w:r>
      <w:r>
        <w:rPr>
          <w:spacing w:val="-14"/>
        </w:rPr>
        <w:t> </w:t>
      </w:r>
      <w:r>
        <w:rPr/>
        <w:t>τρίτων</w:t>
      </w:r>
      <w:r>
        <w:rPr>
          <w:spacing w:val="-13"/>
        </w:rPr>
        <w:t> </w:t>
      </w:r>
      <w:r>
        <w:rPr/>
        <w:t>παρόχων</w:t>
      </w:r>
      <w:r>
        <w:rPr>
          <w:spacing w:val="-14"/>
        </w:rPr>
        <w:t> </w:t>
      </w:r>
      <w:r>
        <w:rPr/>
        <w:t>υπηρεσιών ΤΠΕ, σε συνδυασμό με την καθιέρωση, για πρώτη φορά, άμεσης εποπτείας για τους κρίσιμους τρίτους παρόχους, στοχεύοντας στη διασφάλιση της συνολικής ανθεκτικότητας του χρηματοπι-στωτικού συστήματος.</w:t>
      </w:r>
    </w:p>
    <w:p>
      <w:pPr>
        <w:pStyle w:val="BodyText"/>
        <w:spacing w:line="285" w:lineRule="auto" w:before="54"/>
        <w:ind w:left="30" w:right="245"/>
        <w:jc w:val="both"/>
      </w:pPr>
      <w:r>
        <w:rPr/>
        <w:t>Στη συνέχεια, στις Ηνωμένες Πολιτείες οι εποπτικές αρχές εξέδωσαν το 2023 ενιαίες κατευθυ-ντήριες γραμμές για τη διαχείριση κινδύνων τρίτων παρόχων</w:t>
      </w:r>
      <w:hyperlink w:history="true" w:anchor="_bookmark200">
        <w:r>
          <w:rPr/>
          <w:t>,</w:t>
        </w:r>
        <w:r>
          <w:rPr>
            <w:position w:val="6"/>
            <w:sz w:val="10"/>
          </w:rPr>
          <w:t>137</w:t>
        </w:r>
      </w:hyperlink>
      <w:r>
        <w:rPr>
          <w:spacing w:val="35"/>
          <w:position w:val="6"/>
          <w:sz w:val="10"/>
        </w:rPr>
        <w:t> </w:t>
      </w:r>
      <w:r>
        <w:rPr/>
        <w:t>οι οποίες καλύπτουν το σύνολο του κύκλου ζωής των σχέσεων με τρίτους παρόχους, εστιάζοντας στην ενίσχυση της επιχειρη-σιακής ανθεκτικότητας και στη θωράκιση έναντι απειλών για την ασφάλεια των δεδομένων, με στόχο πάντα την ευρωστία των χρηματοπιστωτικών ιδρυμάτων.</w:t>
      </w:r>
    </w:p>
    <w:p>
      <w:pPr>
        <w:pStyle w:val="BodyText"/>
        <w:spacing w:line="285" w:lineRule="auto" w:before="55"/>
        <w:ind w:left="30" w:right="246"/>
        <w:jc w:val="both"/>
      </w:pPr>
      <w:r>
        <w:rPr/>
        <w:t>Αντίστοιχα με τον Κανονισμό DORA, το Ηνωμένο Βασίλειο προχώρησε και αυτό στη θέσπιση ενός</w:t>
      </w:r>
      <w:r>
        <w:rPr>
          <w:spacing w:val="-8"/>
        </w:rPr>
        <w:t> </w:t>
      </w:r>
      <w:r>
        <w:rPr/>
        <w:t>ολοκληρωμένου</w:t>
      </w:r>
      <w:r>
        <w:rPr>
          <w:spacing w:val="-6"/>
        </w:rPr>
        <w:t> </w:t>
      </w:r>
      <w:r>
        <w:rPr/>
        <w:t>πλαισίου</w:t>
      </w:r>
      <w:r>
        <w:rPr>
          <w:spacing w:val="-6"/>
        </w:rPr>
        <w:t> </w:t>
      </w:r>
      <w:r>
        <w:rPr/>
        <w:t>εποπτείας</w:t>
      </w:r>
      <w:r>
        <w:rPr>
          <w:spacing w:val="-8"/>
        </w:rPr>
        <w:t> </w:t>
      </w:r>
      <w:r>
        <w:rPr/>
        <w:t>για</w:t>
      </w:r>
      <w:r>
        <w:rPr>
          <w:spacing w:val="-7"/>
        </w:rPr>
        <w:t> </w:t>
      </w:r>
      <w:r>
        <w:rPr/>
        <w:t>τους</w:t>
      </w:r>
      <w:r>
        <w:rPr>
          <w:spacing w:val="-8"/>
        </w:rPr>
        <w:t> </w:t>
      </w:r>
      <w:r>
        <w:rPr/>
        <w:t>κρίσιμους</w:t>
      </w:r>
      <w:r>
        <w:rPr>
          <w:spacing w:val="-8"/>
        </w:rPr>
        <w:t> </w:t>
      </w:r>
      <w:r>
        <w:rPr/>
        <w:t>τρίτους</w:t>
      </w:r>
      <w:r>
        <w:rPr>
          <w:spacing w:val="-8"/>
        </w:rPr>
        <w:t> </w:t>
      </w:r>
      <w:r>
        <w:rPr/>
        <w:t>παρόχους</w:t>
      </w:r>
      <w:hyperlink w:history="true" w:anchor="_bookmark201">
        <w:r>
          <w:rPr/>
          <w:t>,</w:t>
        </w:r>
        <w:r>
          <w:rPr>
            <w:position w:val="6"/>
            <w:sz w:val="10"/>
          </w:rPr>
          <w:t>138</w:t>
        </w:r>
      </w:hyperlink>
      <w:r>
        <w:rPr>
          <w:spacing w:val="23"/>
          <w:position w:val="6"/>
          <w:sz w:val="10"/>
        </w:rPr>
        <w:t> </w:t>
      </w:r>
      <w:r>
        <w:rPr/>
        <w:t>το</w:t>
      </w:r>
      <w:r>
        <w:rPr>
          <w:spacing w:val="-7"/>
        </w:rPr>
        <w:t> </w:t>
      </w:r>
      <w:r>
        <w:rPr/>
        <w:t>οποίο</w:t>
      </w:r>
      <w:r>
        <w:rPr>
          <w:spacing w:val="-6"/>
        </w:rPr>
        <w:t> </w:t>
      </w:r>
      <w:r>
        <w:rPr/>
        <w:t>παρέ-χει στις αρμόδιες αρχές τη δυνατότητα άμεσης εποπτικής παρέμβασης. Οι βρετανικές εποπτικές αρχές</w:t>
      </w:r>
      <w:r>
        <w:rPr>
          <w:spacing w:val="-14"/>
        </w:rPr>
        <w:t> </w:t>
      </w:r>
      <w:r>
        <w:rPr/>
        <w:t>μέσω</w:t>
      </w:r>
      <w:r>
        <w:rPr>
          <w:spacing w:val="-13"/>
        </w:rPr>
        <w:t> </w:t>
      </w:r>
      <w:r>
        <w:rPr/>
        <w:t>του</w:t>
      </w:r>
      <w:r>
        <w:rPr>
          <w:spacing w:val="-11"/>
        </w:rPr>
        <w:t> </w:t>
      </w:r>
      <w:r>
        <w:rPr/>
        <w:t>κανονισμού</w:t>
      </w:r>
      <w:r>
        <w:rPr>
          <w:spacing w:val="-11"/>
        </w:rPr>
        <w:t> </w:t>
      </w:r>
      <w:r>
        <w:rPr/>
        <w:t>αυτού</w:t>
      </w:r>
      <w:r>
        <w:rPr>
          <w:spacing w:val="-12"/>
        </w:rPr>
        <w:t> </w:t>
      </w:r>
      <w:r>
        <w:rPr/>
        <w:t>εξειδίκευσαν</w:t>
      </w:r>
      <w:r>
        <w:rPr>
          <w:spacing w:val="-13"/>
        </w:rPr>
        <w:t> </w:t>
      </w:r>
      <w:r>
        <w:rPr/>
        <w:t>τους</w:t>
      </w:r>
      <w:r>
        <w:rPr>
          <w:spacing w:val="-13"/>
        </w:rPr>
        <w:t> </w:t>
      </w:r>
      <w:r>
        <w:rPr/>
        <w:t>κανόνες</w:t>
      </w:r>
      <w:r>
        <w:rPr>
          <w:spacing w:val="-13"/>
        </w:rPr>
        <w:t> </w:t>
      </w:r>
      <w:r>
        <w:rPr/>
        <w:t>για</w:t>
      </w:r>
      <w:r>
        <w:rPr>
          <w:spacing w:val="-14"/>
        </w:rPr>
        <w:t> </w:t>
      </w:r>
      <w:r>
        <w:rPr/>
        <w:t>τη</w:t>
      </w:r>
      <w:r>
        <w:rPr>
          <w:spacing w:val="-14"/>
        </w:rPr>
        <w:t> </w:t>
      </w:r>
      <w:r>
        <w:rPr/>
        <w:t>λειτουργική</w:t>
      </w:r>
      <w:r>
        <w:rPr>
          <w:spacing w:val="-14"/>
        </w:rPr>
        <w:t> </w:t>
      </w:r>
      <w:r>
        <w:rPr/>
        <w:t>ανθεκτικότητα, εστιάζοντας στον εντοπισμό και τη διαχείριση κινδύνων που θα μπορούσαν να απειλήσουν τη σταθερότητα του χρηματοπιστωτικού συστήματος της χώρας.</w:t>
      </w:r>
    </w:p>
    <w:p>
      <w:pPr>
        <w:pStyle w:val="BodyText"/>
        <w:spacing w:line="285" w:lineRule="auto" w:before="54"/>
        <w:ind w:left="30" w:right="247"/>
        <w:jc w:val="both"/>
      </w:pPr>
      <w:r>
        <w:rPr/>
        <w:t>Στη</w:t>
      </w:r>
      <w:r>
        <w:rPr>
          <w:spacing w:val="-2"/>
        </w:rPr>
        <w:t> </w:t>
      </w:r>
      <w:r>
        <w:rPr/>
        <w:t>συνέχεια,</w:t>
      </w:r>
      <w:r>
        <w:rPr>
          <w:spacing w:val="-2"/>
        </w:rPr>
        <w:t> </w:t>
      </w:r>
      <w:r>
        <w:rPr/>
        <w:t>η</w:t>
      </w:r>
      <w:r>
        <w:rPr>
          <w:spacing w:val="-2"/>
        </w:rPr>
        <w:t> </w:t>
      </w:r>
      <w:r>
        <w:rPr/>
        <w:t>Ευρωπαϊκή</w:t>
      </w:r>
      <w:r>
        <w:rPr>
          <w:spacing w:val="-2"/>
        </w:rPr>
        <w:t> </w:t>
      </w:r>
      <w:r>
        <w:rPr/>
        <w:t>Αρχή</w:t>
      </w:r>
      <w:r>
        <w:rPr>
          <w:spacing w:val="-2"/>
        </w:rPr>
        <w:t> </w:t>
      </w:r>
      <w:r>
        <w:rPr/>
        <w:t>Τραπεζών</w:t>
      </w:r>
      <w:r>
        <w:rPr>
          <w:spacing w:val="-1"/>
        </w:rPr>
        <w:t> </w:t>
      </w:r>
      <w:r>
        <w:rPr/>
        <w:t>προχώρησε</w:t>
      </w:r>
      <w:r>
        <w:rPr>
          <w:spacing w:val="-2"/>
        </w:rPr>
        <w:t> </w:t>
      </w:r>
      <w:r>
        <w:rPr/>
        <w:t>το</w:t>
      </w:r>
      <w:r>
        <w:rPr>
          <w:spacing w:val="-2"/>
        </w:rPr>
        <w:t> </w:t>
      </w:r>
      <w:r>
        <w:rPr/>
        <w:t>2025</w:t>
      </w:r>
      <w:r>
        <w:rPr>
          <w:spacing w:val="-2"/>
        </w:rPr>
        <w:t> </w:t>
      </w:r>
      <w:r>
        <w:rPr/>
        <w:t>σε</w:t>
      </w:r>
      <w:r>
        <w:rPr>
          <w:spacing w:val="-2"/>
        </w:rPr>
        <w:t> </w:t>
      </w:r>
      <w:r>
        <w:rPr/>
        <w:t>δημόσια</w:t>
      </w:r>
      <w:r>
        <w:rPr>
          <w:spacing w:val="-2"/>
        </w:rPr>
        <w:t> </w:t>
      </w:r>
      <w:r>
        <w:rPr/>
        <w:t>διαβούλευση</w:t>
      </w:r>
      <w:hyperlink w:history="true" w:anchor="_bookmark202">
        <w:r>
          <w:rPr>
            <w:position w:val="6"/>
            <w:sz w:val="10"/>
          </w:rPr>
          <w:t>139</w:t>
        </w:r>
      </w:hyperlink>
      <w:r>
        <w:rPr>
          <w:spacing w:val="28"/>
          <w:position w:val="6"/>
          <w:sz w:val="10"/>
        </w:rPr>
        <w:t> </w:t>
      </w:r>
      <w:r>
        <w:rPr/>
        <w:t>επί σχεδίου κατευθυντήριων γραμμών που επεκτείνουν το πεδίο εφαρμογής της διαχείρισης κινδύ-νων</w:t>
      </w:r>
      <w:r>
        <w:rPr>
          <w:spacing w:val="-6"/>
        </w:rPr>
        <w:t> </w:t>
      </w:r>
      <w:r>
        <w:rPr/>
        <w:t>τρίτων</w:t>
      </w:r>
      <w:r>
        <w:rPr>
          <w:spacing w:val="-7"/>
        </w:rPr>
        <w:t> </w:t>
      </w:r>
      <w:r>
        <w:rPr/>
        <w:t>σε</w:t>
      </w:r>
      <w:r>
        <w:rPr>
          <w:spacing w:val="-9"/>
        </w:rPr>
        <w:t> </w:t>
      </w:r>
      <w:r>
        <w:rPr/>
        <w:t>σχέσεις</w:t>
      </w:r>
      <w:r>
        <w:rPr>
          <w:spacing w:val="-8"/>
        </w:rPr>
        <w:t> </w:t>
      </w:r>
      <w:r>
        <w:rPr/>
        <w:t>πέραν</w:t>
      </w:r>
      <w:r>
        <w:rPr>
          <w:spacing w:val="-6"/>
        </w:rPr>
        <w:t> </w:t>
      </w:r>
      <w:r>
        <w:rPr/>
        <w:t>των</w:t>
      </w:r>
      <w:r>
        <w:rPr>
          <w:spacing w:val="-7"/>
        </w:rPr>
        <w:t> </w:t>
      </w:r>
      <w:r>
        <w:rPr/>
        <w:t>εξωτερικών</w:t>
      </w:r>
      <w:r>
        <w:rPr>
          <w:spacing w:val="-6"/>
        </w:rPr>
        <w:t> </w:t>
      </w:r>
      <w:r>
        <w:rPr/>
        <w:t>αναθέσεων,</w:t>
      </w:r>
      <w:r>
        <w:rPr>
          <w:spacing w:val="-10"/>
        </w:rPr>
        <w:t> </w:t>
      </w:r>
      <w:r>
        <w:rPr/>
        <w:t>συμπληρώνοντας</w:t>
      </w:r>
      <w:r>
        <w:rPr>
          <w:spacing w:val="-9"/>
        </w:rPr>
        <w:t> </w:t>
      </w:r>
      <w:r>
        <w:rPr/>
        <w:t>ουσιαστικά</w:t>
      </w:r>
      <w:r>
        <w:rPr>
          <w:spacing w:val="-8"/>
        </w:rPr>
        <w:t> </w:t>
      </w:r>
      <w:r>
        <w:rPr/>
        <w:t>το</w:t>
      </w:r>
      <w:r>
        <w:rPr>
          <w:spacing w:val="-7"/>
        </w:rPr>
        <w:t> </w:t>
      </w:r>
      <w:r>
        <w:rPr/>
        <w:t>πλαί-σιο του Κανονισμού DORA. Οι κατευθυντήριες γραμμές απαιτούν, μεταξύ άλλων, την τήρηση ολοκληρωμένων</w:t>
      </w:r>
      <w:r>
        <w:rPr>
          <w:spacing w:val="-6"/>
        </w:rPr>
        <w:t> </w:t>
      </w:r>
      <w:r>
        <w:rPr/>
        <w:t>μητρώων</w:t>
      </w:r>
      <w:r>
        <w:rPr>
          <w:spacing w:val="-6"/>
        </w:rPr>
        <w:t> </w:t>
      </w:r>
      <w:r>
        <w:rPr/>
        <w:t>τρίτων</w:t>
      </w:r>
      <w:r>
        <w:rPr>
          <w:spacing w:val="-6"/>
        </w:rPr>
        <w:t> </w:t>
      </w:r>
      <w:r>
        <w:rPr/>
        <w:t>παρόχων</w:t>
      </w:r>
      <w:r>
        <w:rPr>
          <w:spacing w:val="-6"/>
        </w:rPr>
        <w:t> </w:t>
      </w:r>
      <w:r>
        <w:rPr/>
        <w:t>και</w:t>
      </w:r>
      <w:r>
        <w:rPr>
          <w:spacing w:val="-5"/>
        </w:rPr>
        <w:t> </w:t>
      </w:r>
      <w:r>
        <w:rPr/>
        <w:t>την</w:t>
      </w:r>
      <w:r>
        <w:rPr>
          <w:spacing w:val="-5"/>
        </w:rPr>
        <w:t> </w:t>
      </w:r>
      <w:r>
        <w:rPr/>
        <w:t>αξιολόγηση</w:t>
      </w:r>
      <w:r>
        <w:rPr>
          <w:spacing w:val="-7"/>
        </w:rPr>
        <w:t> </w:t>
      </w:r>
      <w:r>
        <w:rPr/>
        <w:t>της</w:t>
      </w:r>
      <w:r>
        <w:rPr>
          <w:spacing w:val="-6"/>
        </w:rPr>
        <w:t> </w:t>
      </w:r>
      <w:r>
        <w:rPr/>
        <w:t>εξάρτησής</w:t>
      </w:r>
      <w:r>
        <w:rPr>
          <w:spacing w:val="-8"/>
        </w:rPr>
        <w:t> </w:t>
      </w:r>
      <w:r>
        <w:rPr/>
        <w:t>τους</w:t>
      </w:r>
      <w:r>
        <w:rPr>
          <w:spacing w:val="-6"/>
        </w:rPr>
        <w:t> </w:t>
      </w:r>
      <w:r>
        <w:rPr/>
        <w:t>από</w:t>
      </w:r>
      <w:r>
        <w:rPr>
          <w:spacing w:val="-5"/>
        </w:rPr>
        <w:t> </w:t>
      </w:r>
      <w:r>
        <w:rPr/>
        <w:t>αυτούς.</w:t>
      </w:r>
    </w:p>
    <w:p>
      <w:pPr>
        <w:pStyle w:val="BodyText"/>
        <w:spacing w:line="285" w:lineRule="auto" w:before="55"/>
        <w:ind w:left="30" w:right="247"/>
        <w:jc w:val="both"/>
      </w:pPr>
      <w:r>
        <w:rPr/>
        <w:t>Τέλος, σε διεθνές επίπεδο, οι αρχές που εξέδωσε η Τράπεζα Διεθνών Διακανονισμών το 2025</w:t>
      </w:r>
      <w:hyperlink w:history="true" w:anchor="_bookmark203">
        <w:r>
          <w:rPr>
            <w:position w:val="6"/>
            <w:sz w:val="10"/>
          </w:rPr>
          <w:t>140</w:t>
        </w:r>
      </w:hyperlink>
      <w:r>
        <w:rPr>
          <w:spacing w:val="40"/>
          <w:position w:val="6"/>
          <w:sz w:val="10"/>
        </w:rPr>
        <w:t> </w:t>
      </w:r>
      <w:r>
        <w:rPr/>
        <w:t>αποτελούν</w:t>
      </w:r>
      <w:r>
        <w:rPr>
          <w:spacing w:val="-10"/>
        </w:rPr>
        <w:t> </w:t>
      </w:r>
      <w:r>
        <w:rPr/>
        <w:t>σημείο</w:t>
      </w:r>
      <w:r>
        <w:rPr>
          <w:spacing w:val="-7"/>
        </w:rPr>
        <w:t> </w:t>
      </w:r>
      <w:r>
        <w:rPr/>
        <w:t>αναφοράς</w:t>
      </w:r>
      <w:r>
        <w:rPr>
          <w:spacing w:val="-9"/>
        </w:rPr>
        <w:t> </w:t>
      </w:r>
      <w:r>
        <w:rPr/>
        <w:t>για</w:t>
      </w:r>
      <w:r>
        <w:rPr>
          <w:spacing w:val="-8"/>
        </w:rPr>
        <w:t> </w:t>
      </w:r>
      <w:r>
        <w:rPr/>
        <w:t>τη</w:t>
      </w:r>
      <w:r>
        <w:rPr>
          <w:spacing w:val="-8"/>
        </w:rPr>
        <w:t> </w:t>
      </w:r>
      <w:r>
        <w:rPr/>
        <w:t>διαχείριση</w:t>
      </w:r>
      <w:r>
        <w:rPr>
          <w:spacing w:val="-8"/>
        </w:rPr>
        <w:t> </w:t>
      </w:r>
      <w:r>
        <w:rPr/>
        <w:t>κινδύνων</w:t>
      </w:r>
      <w:r>
        <w:rPr>
          <w:spacing w:val="-7"/>
        </w:rPr>
        <w:t> </w:t>
      </w:r>
      <w:r>
        <w:rPr/>
        <w:t>τρίτων</w:t>
      </w:r>
      <w:r>
        <w:rPr>
          <w:spacing w:val="-7"/>
        </w:rPr>
        <w:t> </w:t>
      </w:r>
      <w:r>
        <w:rPr/>
        <w:t>παρόχων,</w:t>
      </w:r>
      <w:r>
        <w:rPr>
          <w:spacing w:val="-8"/>
        </w:rPr>
        <w:t> </w:t>
      </w:r>
      <w:r>
        <w:rPr/>
        <w:t>καθώς</w:t>
      </w:r>
      <w:r>
        <w:rPr>
          <w:spacing w:val="-9"/>
        </w:rPr>
        <w:t> </w:t>
      </w:r>
      <w:r>
        <w:rPr/>
        <w:t>ενσωματώνουν τη</w:t>
      </w:r>
      <w:r>
        <w:rPr>
          <w:spacing w:val="-4"/>
        </w:rPr>
        <w:t> </w:t>
      </w:r>
      <w:r>
        <w:rPr/>
        <w:t>διαχείρισή</w:t>
      </w:r>
      <w:r>
        <w:rPr>
          <w:spacing w:val="-4"/>
        </w:rPr>
        <w:t> </w:t>
      </w:r>
      <w:r>
        <w:rPr/>
        <w:t>τους</w:t>
      </w:r>
      <w:r>
        <w:rPr>
          <w:spacing w:val="-4"/>
        </w:rPr>
        <w:t> </w:t>
      </w:r>
      <w:r>
        <w:rPr/>
        <w:t>στη</w:t>
      </w:r>
      <w:r>
        <w:rPr>
          <w:spacing w:val="-4"/>
        </w:rPr>
        <w:t> </w:t>
      </w:r>
      <w:r>
        <w:rPr/>
        <w:t>συνολική</w:t>
      </w:r>
      <w:r>
        <w:rPr>
          <w:spacing w:val="-4"/>
        </w:rPr>
        <w:t> </w:t>
      </w:r>
      <w:r>
        <w:rPr/>
        <w:t>εταιρική</w:t>
      </w:r>
      <w:r>
        <w:rPr>
          <w:spacing w:val="-2"/>
        </w:rPr>
        <w:t> </w:t>
      </w:r>
      <w:r>
        <w:rPr/>
        <w:t>διακυβέρνηση,</w:t>
      </w:r>
      <w:r>
        <w:rPr>
          <w:spacing w:val="-1"/>
        </w:rPr>
        <w:t> </w:t>
      </w:r>
      <w:r>
        <w:rPr/>
        <w:t>δίνουν</w:t>
      </w:r>
      <w:r>
        <w:rPr>
          <w:spacing w:val="-3"/>
        </w:rPr>
        <w:t> </w:t>
      </w:r>
      <w:r>
        <w:rPr/>
        <w:t>ιδιαίτερη</w:t>
      </w:r>
      <w:r>
        <w:rPr>
          <w:spacing w:val="-3"/>
        </w:rPr>
        <w:t> </w:t>
      </w:r>
      <w:r>
        <w:rPr/>
        <w:t>έμφαση</w:t>
      </w:r>
      <w:r>
        <w:rPr>
          <w:spacing w:val="-2"/>
        </w:rPr>
        <w:t> </w:t>
      </w:r>
      <w:r>
        <w:rPr/>
        <w:t>στους</w:t>
      </w:r>
      <w:r>
        <w:rPr>
          <w:spacing w:val="-2"/>
        </w:rPr>
        <w:t> κινδύ-</w:t>
      </w:r>
    </w:p>
    <w:p>
      <w:pPr>
        <w:pStyle w:val="BodyText"/>
        <w:rPr>
          <w:sz w:val="20"/>
        </w:rPr>
      </w:pPr>
    </w:p>
    <w:p>
      <w:pPr>
        <w:pStyle w:val="BodyText"/>
        <w:rPr>
          <w:sz w:val="20"/>
        </w:rPr>
      </w:pPr>
    </w:p>
    <w:p>
      <w:pPr>
        <w:pStyle w:val="BodyText"/>
        <w:spacing w:before="33"/>
        <w:rPr>
          <w:sz w:val="20"/>
        </w:rPr>
      </w:pPr>
      <w:r>
        <w:rPr>
          <w:sz w:val="20"/>
        </w:rPr>
        <mc:AlternateContent>
          <mc:Choice Requires="wps">
            <w:drawing>
              <wp:anchor distT="0" distB="0" distL="0" distR="0" allowOverlap="1" layoutInCell="1" locked="0" behindDoc="1" simplePos="0" relativeHeight="487686144">
                <wp:simplePos x="0" y="0"/>
                <wp:positionH relativeFrom="page">
                  <wp:posOffset>1009192</wp:posOffset>
                </wp:positionH>
                <wp:positionV relativeFrom="paragraph">
                  <wp:posOffset>182579</wp:posOffset>
                </wp:positionV>
                <wp:extent cx="1829435" cy="7620"/>
                <wp:effectExtent l="0" t="0" r="0" b="0"/>
                <wp:wrapTopAndBottom/>
                <wp:docPr id="813" name="Graphic 813"/>
                <wp:cNvGraphicFramePr>
                  <a:graphicFrameLocks/>
                </wp:cNvGraphicFramePr>
                <a:graphic>
                  <a:graphicData uri="http://schemas.microsoft.com/office/word/2010/wordprocessingShape">
                    <wps:wsp>
                      <wps:cNvPr id="813" name="Graphic 81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4.376303pt;width:144.020pt;height:.60004pt;mso-position-horizontal-relative:page;mso-position-vertical-relative:paragraph;z-index:-15630336;mso-wrap-distance-left:0;mso-wrap-distance-right:0" id="docshape760" filled="true" fillcolor="#000000" stroked="false">
                <v:fill type="solid"/>
                <w10:wrap type="topAndBottom"/>
              </v:rect>
            </w:pict>
          </mc:Fallback>
        </mc:AlternateContent>
      </w:r>
    </w:p>
    <w:p>
      <w:pPr>
        <w:spacing w:before="167"/>
        <w:ind w:left="30" w:right="246" w:firstLine="0"/>
        <w:jc w:val="both"/>
        <w:rPr>
          <w:sz w:val="16"/>
        </w:rPr>
      </w:pPr>
      <w:bookmarkStart w:name="_bookmark199" w:id="200"/>
      <w:bookmarkEnd w:id="200"/>
      <w:r>
        <w:rPr/>
      </w:r>
      <w:r>
        <w:rPr>
          <w:sz w:val="16"/>
          <w:vertAlign w:val="superscript"/>
        </w:rPr>
        <w:t>136</w:t>
      </w:r>
      <w:r>
        <w:rPr>
          <w:sz w:val="16"/>
          <w:vertAlign w:val="baseline"/>
        </w:rPr>
        <w:t> Κανονισμός (ΕΕ)</w:t>
      </w:r>
      <w:r>
        <w:rPr>
          <w:spacing w:val="-2"/>
          <w:sz w:val="16"/>
          <w:vertAlign w:val="baseline"/>
        </w:rPr>
        <w:t> </w:t>
      </w:r>
      <w:r>
        <w:rPr>
          <w:sz w:val="16"/>
          <w:vertAlign w:val="baseline"/>
        </w:rPr>
        <w:t>2022/2554 του</w:t>
      </w:r>
      <w:r>
        <w:rPr>
          <w:spacing w:val="-1"/>
          <w:sz w:val="16"/>
          <w:vertAlign w:val="baseline"/>
        </w:rPr>
        <w:t> </w:t>
      </w:r>
      <w:r>
        <w:rPr>
          <w:sz w:val="16"/>
          <w:vertAlign w:val="baseline"/>
        </w:rPr>
        <w:t>Ευρωπαϊκού</w:t>
      </w:r>
      <w:r>
        <w:rPr>
          <w:spacing w:val="-4"/>
          <w:sz w:val="16"/>
          <w:vertAlign w:val="baseline"/>
        </w:rPr>
        <w:t> </w:t>
      </w:r>
      <w:r>
        <w:rPr>
          <w:sz w:val="16"/>
          <w:vertAlign w:val="baseline"/>
        </w:rPr>
        <w:t>Κοινοβουλίου</w:t>
      </w:r>
      <w:r>
        <w:rPr>
          <w:spacing w:val="-1"/>
          <w:sz w:val="16"/>
          <w:vertAlign w:val="baseline"/>
        </w:rPr>
        <w:t> </w:t>
      </w:r>
      <w:r>
        <w:rPr>
          <w:sz w:val="16"/>
          <w:vertAlign w:val="baseline"/>
        </w:rPr>
        <w:t>και του</w:t>
      </w:r>
      <w:r>
        <w:rPr>
          <w:spacing w:val="-1"/>
          <w:sz w:val="16"/>
          <w:vertAlign w:val="baseline"/>
        </w:rPr>
        <w:t> </w:t>
      </w:r>
      <w:r>
        <w:rPr>
          <w:sz w:val="16"/>
          <w:vertAlign w:val="baseline"/>
        </w:rPr>
        <w:t>Συμβουλίου</w:t>
      </w:r>
      <w:r>
        <w:rPr>
          <w:spacing w:val="-1"/>
          <w:sz w:val="16"/>
          <w:vertAlign w:val="baseline"/>
        </w:rPr>
        <w:t> </w:t>
      </w:r>
      <w:r>
        <w:rPr>
          <w:sz w:val="16"/>
          <w:vertAlign w:val="baseline"/>
        </w:rPr>
        <w:t>της 14ης Δεκεμβρίου</w:t>
      </w:r>
      <w:r>
        <w:rPr>
          <w:spacing w:val="-1"/>
          <w:sz w:val="16"/>
          <w:vertAlign w:val="baseline"/>
        </w:rPr>
        <w:t> </w:t>
      </w:r>
      <w:r>
        <w:rPr>
          <w:sz w:val="16"/>
          <w:vertAlign w:val="baseline"/>
        </w:rPr>
        <w:t>2022 σχετικά με την</w:t>
      </w:r>
      <w:r>
        <w:rPr>
          <w:spacing w:val="-1"/>
          <w:sz w:val="16"/>
          <w:vertAlign w:val="baseline"/>
        </w:rPr>
        <w:t> </w:t>
      </w:r>
      <w:r>
        <w:rPr>
          <w:sz w:val="16"/>
          <w:vertAlign w:val="baseline"/>
        </w:rPr>
        <w:t>ψη-φιακή επιχειρησιακή ανθεκτικότητα του χρηματοοικονομικού τομέα και την τροποποίηση των κανονισμών (ΕΚ) αριθ. 1060/2009,</w:t>
      </w:r>
      <w:r>
        <w:rPr>
          <w:spacing w:val="40"/>
          <w:sz w:val="16"/>
          <w:vertAlign w:val="baseline"/>
        </w:rPr>
        <w:t> </w:t>
      </w:r>
      <w:r>
        <w:rPr>
          <w:sz w:val="16"/>
          <w:vertAlign w:val="baseline"/>
        </w:rPr>
        <w:t>(ΕΕ) αριθ. 648/2012, (ΕΕ) αριθ. 600/2014, (ΕΕ) αριθ. 909/2014 και (ΕΕ) 2016/1011.</w:t>
      </w:r>
    </w:p>
    <w:p>
      <w:pPr>
        <w:spacing w:before="22"/>
        <w:ind w:left="30" w:right="0" w:firstLine="0"/>
        <w:jc w:val="both"/>
        <w:rPr>
          <w:sz w:val="16"/>
        </w:rPr>
      </w:pPr>
      <w:bookmarkStart w:name="_bookmark200" w:id="201"/>
      <w:bookmarkEnd w:id="201"/>
      <w:r>
        <w:rPr/>
      </w:r>
      <w:r>
        <w:rPr>
          <w:sz w:val="16"/>
          <w:vertAlign w:val="superscript"/>
        </w:rPr>
        <w:t>137</w:t>
      </w:r>
      <w:r>
        <w:rPr>
          <w:spacing w:val="-7"/>
          <w:sz w:val="16"/>
          <w:vertAlign w:val="baseline"/>
        </w:rPr>
        <w:t> </w:t>
      </w:r>
      <w:r>
        <w:rPr>
          <w:sz w:val="16"/>
          <w:vertAlign w:val="baseline"/>
        </w:rPr>
        <w:t>Federal</w:t>
      </w:r>
      <w:r>
        <w:rPr>
          <w:spacing w:val="-7"/>
          <w:sz w:val="16"/>
          <w:vertAlign w:val="baseline"/>
        </w:rPr>
        <w:t> </w:t>
      </w:r>
      <w:r>
        <w:rPr>
          <w:sz w:val="16"/>
          <w:vertAlign w:val="baseline"/>
        </w:rPr>
        <w:t>Reserve</w:t>
      </w:r>
      <w:r>
        <w:rPr>
          <w:spacing w:val="-8"/>
          <w:sz w:val="16"/>
          <w:vertAlign w:val="baseline"/>
        </w:rPr>
        <w:t> </w:t>
      </w:r>
      <w:r>
        <w:rPr>
          <w:sz w:val="16"/>
          <w:vertAlign w:val="baseline"/>
        </w:rPr>
        <w:t>Regulatory</w:t>
      </w:r>
      <w:r>
        <w:rPr>
          <w:spacing w:val="-5"/>
          <w:sz w:val="16"/>
          <w:vertAlign w:val="baseline"/>
        </w:rPr>
        <w:t> </w:t>
      </w:r>
      <w:r>
        <w:rPr>
          <w:sz w:val="16"/>
          <w:vertAlign w:val="baseline"/>
        </w:rPr>
        <w:t>Service,</w:t>
      </w:r>
      <w:r>
        <w:rPr>
          <w:spacing w:val="-5"/>
          <w:sz w:val="16"/>
          <w:vertAlign w:val="baseline"/>
        </w:rPr>
        <w:t> </w:t>
      </w:r>
      <w:hyperlink r:id="rId177">
        <w:r>
          <w:rPr>
            <w:color w:val="0000FF"/>
            <w:sz w:val="16"/>
            <w:u w:val="single" w:color="0000FF"/>
            <w:vertAlign w:val="baseline"/>
          </w:rPr>
          <w:t>Interagency</w:t>
        </w:r>
        <w:r>
          <w:rPr>
            <w:color w:val="0000FF"/>
            <w:spacing w:val="-7"/>
            <w:sz w:val="16"/>
            <w:u w:val="single" w:color="0000FF"/>
            <w:vertAlign w:val="baseline"/>
          </w:rPr>
          <w:t> </w:t>
        </w:r>
        <w:r>
          <w:rPr>
            <w:color w:val="0000FF"/>
            <w:sz w:val="16"/>
            <w:u w:val="single" w:color="0000FF"/>
            <w:vertAlign w:val="baseline"/>
          </w:rPr>
          <w:t>Guidance</w:t>
        </w:r>
        <w:r>
          <w:rPr>
            <w:color w:val="0000FF"/>
            <w:spacing w:val="-8"/>
            <w:sz w:val="16"/>
            <w:u w:val="single" w:color="0000FF"/>
            <w:vertAlign w:val="baseline"/>
          </w:rPr>
          <w:t> </w:t>
        </w:r>
        <w:r>
          <w:rPr>
            <w:color w:val="0000FF"/>
            <w:sz w:val="16"/>
            <w:u w:val="single" w:color="0000FF"/>
            <w:vertAlign w:val="baseline"/>
          </w:rPr>
          <w:t>on</w:t>
        </w:r>
        <w:r>
          <w:rPr>
            <w:color w:val="0000FF"/>
            <w:spacing w:val="-7"/>
            <w:sz w:val="16"/>
            <w:u w:val="single" w:color="0000FF"/>
            <w:vertAlign w:val="baseline"/>
          </w:rPr>
          <w:t> </w:t>
        </w:r>
        <w:r>
          <w:rPr>
            <w:color w:val="0000FF"/>
            <w:sz w:val="16"/>
            <w:u w:val="single" w:color="0000FF"/>
            <w:vertAlign w:val="baseline"/>
          </w:rPr>
          <w:t>Third-Party</w:t>
        </w:r>
        <w:r>
          <w:rPr>
            <w:color w:val="0000FF"/>
            <w:spacing w:val="-9"/>
            <w:sz w:val="16"/>
            <w:u w:val="single" w:color="0000FF"/>
            <w:vertAlign w:val="baseline"/>
          </w:rPr>
          <w:t> </w:t>
        </w:r>
        <w:r>
          <w:rPr>
            <w:color w:val="0000FF"/>
            <w:sz w:val="16"/>
            <w:u w:val="single" w:color="0000FF"/>
            <w:vertAlign w:val="baseline"/>
          </w:rPr>
          <w:t>Relationships</w:t>
        </w:r>
        <w:r>
          <w:rPr>
            <w:sz w:val="16"/>
            <w:vertAlign w:val="baseline"/>
          </w:rPr>
          <w:t>,</w:t>
        </w:r>
      </w:hyperlink>
      <w:r>
        <w:rPr>
          <w:spacing w:val="-7"/>
          <w:sz w:val="16"/>
          <w:vertAlign w:val="baseline"/>
        </w:rPr>
        <w:t> </w:t>
      </w:r>
      <w:hyperlink r:id="rId178">
        <w:r>
          <w:rPr>
            <w:color w:val="0000FF"/>
            <w:spacing w:val="-2"/>
            <w:sz w:val="16"/>
            <w:u w:val="single" w:color="0000FF"/>
            <w:vertAlign w:val="baseline"/>
          </w:rPr>
          <w:t>06/2023</w:t>
        </w:r>
        <w:r>
          <w:rPr>
            <w:spacing w:val="-2"/>
            <w:sz w:val="16"/>
            <w:vertAlign w:val="baseline"/>
          </w:rPr>
          <w:t>.</w:t>
        </w:r>
      </w:hyperlink>
    </w:p>
    <w:p>
      <w:pPr>
        <w:spacing w:before="20"/>
        <w:ind w:left="30" w:right="0" w:firstLine="0"/>
        <w:jc w:val="both"/>
        <w:rPr>
          <w:sz w:val="16"/>
        </w:rPr>
      </w:pPr>
      <w:bookmarkStart w:name="_bookmark201" w:id="202"/>
      <w:bookmarkEnd w:id="202"/>
      <w:r>
        <w:rPr/>
      </w:r>
      <w:r>
        <w:rPr>
          <w:sz w:val="16"/>
          <w:vertAlign w:val="superscript"/>
        </w:rPr>
        <w:t>138</w:t>
      </w:r>
      <w:r>
        <w:rPr>
          <w:spacing w:val="-5"/>
          <w:sz w:val="16"/>
          <w:vertAlign w:val="baseline"/>
        </w:rPr>
        <w:t> </w:t>
      </w:r>
      <w:r>
        <w:rPr>
          <w:sz w:val="16"/>
          <w:vertAlign w:val="baseline"/>
        </w:rPr>
        <w:t>UK</w:t>
      </w:r>
      <w:r>
        <w:rPr>
          <w:spacing w:val="-4"/>
          <w:sz w:val="16"/>
          <w:vertAlign w:val="baseline"/>
        </w:rPr>
        <w:t> </w:t>
      </w:r>
      <w:r>
        <w:rPr>
          <w:sz w:val="16"/>
          <w:vertAlign w:val="baseline"/>
        </w:rPr>
        <w:t>FCA/PRA,</w:t>
      </w:r>
      <w:r>
        <w:rPr>
          <w:spacing w:val="-4"/>
          <w:sz w:val="16"/>
          <w:vertAlign w:val="baseline"/>
        </w:rPr>
        <w:t> </w:t>
      </w:r>
      <w:hyperlink r:id="rId179">
        <w:r>
          <w:rPr>
            <w:color w:val="0000FF"/>
            <w:sz w:val="16"/>
            <w:u w:val="single" w:color="0000FF"/>
            <w:vertAlign w:val="baseline"/>
          </w:rPr>
          <w:t>Operational</w:t>
        </w:r>
        <w:r>
          <w:rPr>
            <w:color w:val="0000FF"/>
            <w:spacing w:val="-5"/>
            <w:sz w:val="16"/>
            <w:u w:val="single" w:color="0000FF"/>
            <w:vertAlign w:val="baseline"/>
          </w:rPr>
          <w:t> </w:t>
        </w:r>
        <w:r>
          <w:rPr>
            <w:color w:val="0000FF"/>
            <w:sz w:val="16"/>
            <w:u w:val="single" w:color="0000FF"/>
            <w:vertAlign w:val="baseline"/>
          </w:rPr>
          <w:t>resilience:</w:t>
        </w:r>
        <w:r>
          <w:rPr>
            <w:color w:val="0000FF"/>
            <w:spacing w:val="-6"/>
            <w:sz w:val="16"/>
            <w:u w:val="single" w:color="0000FF"/>
            <w:vertAlign w:val="baseline"/>
          </w:rPr>
          <w:t> </w:t>
        </w:r>
        <w:r>
          <w:rPr>
            <w:color w:val="0000FF"/>
            <w:sz w:val="16"/>
            <w:u w:val="single" w:color="0000FF"/>
            <w:vertAlign w:val="baseline"/>
          </w:rPr>
          <w:t>Critical</w:t>
        </w:r>
        <w:r>
          <w:rPr>
            <w:color w:val="0000FF"/>
            <w:spacing w:val="-6"/>
            <w:sz w:val="16"/>
            <w:u w:val="single" w:color="0000FF"/>
            <w:vertAlign w:val="baseline"/>
          </w:rPr>
          <w:t> </w:t>
        </w:r>
        <w:r>
          <w:rPr>
            <w:color w:val="0000FF"/>
            <w:sz w:val="16"/>
            <w:u w:val="single" w:color="0000FF"/>
            <w:vertAlign w:val="baseline"/>
          </w:rPr>
          <w:t>third</w:t>
        </w:r>
        <w:r>
          <w:rPr>
            <w:color w:val="0000FF"/>
            <w:spacing w:val="-5"/>
            <w:sz w:val="16"/>
            <w:u w:val="single" w:color="0000FF"/>
            <w:vertAlign w:val="baseline"/>
          </w:rPr>
          <w:t> </w:t>
        </w:r>
        <w:r>
          <w:rPr>
            <w:color w:val="0000FF"/>
            <w:sz w:val="16"/>
            <w:u w:val="single" w:color="0000FF"/>
            <w:vertAlign w:val="baseline"/>
          </w:rPr>
          <w:t>parties</w:t>
        </w:r>
        <w:r>
          <w:rPr>
            <w:color w:val="0000FF"/>
            <w:spacing w:val="-7"/>
            <w:sz w:val="16"/>
            <w:u w:val="single" w:color="0000FF"/>
            <w:vertAlign w:val="baseline"/>
          </w:rPr>
          <w:t> </w:t>
        </w:r>
        <w:r>
          <w:rPr>
            <w:color w:val="0000FF"/>
            <w:sz w:val="16"/>
            <w:u w:val="single" w:color="0000FF"/>
            <w:vertAlign w:val="baseline"/>
          </w:rPr>
          <w:t>to</w:t>
        </w:r>
        <w:r>
          <w:rPr>
            <w:color w:val="0000FF"/>
            <w:spacing w:val="-5"/>
            <w:sz w:val="16"/>
            <w:u w:val="single" w:color="0000FF"/>
            <w:vertAlign w:val="baseline"/>
          </w:rPr>
          <w:t> </w:t>
        </w:r>
        <w:r>
          <w:rPr>
            <w:color w:val="0000FF"/>
            <w:sz w:val="16"/>
            <w:u w:val="single" w:color="0000FF"/>
            <w:vertAlign w:val="baseline"/>
          </w:rPr>
          <w:t>the</w:t>
        </w:r>
        <w:r>
          <w:rPr>
            <w:color w:val="0000FF"/>
            <w:spacing w:val="-4"/>
            <w:sz w:val="16"/>
            <w:u w:val="single" w:color="0000FF"/>
            <w:vertAlign w:val="baseline"/>
          </w:rPr>
          <w:t> </w:t>
        </w:r>
        <w:r>
          <w:rPr>
            <w:color w:val="0000FF"/>
            <w:sz w:val="16"/>
            <w:u w:val="single" w:color="0000FF"/>
            <w:vertAlign w:val="baseline"/>
          </w:rPr>
          <w:t>UK</w:t>
        </w:r>
        <w:r>
          <w:rPr>
            <w:color w:val="0000FF"/>
            <w:spacing w:val="-4"/>
            <w:sz w:val="16"/>
            <w:u w:val="single" w:color="0000FF"/>
            <w:vertAlign w:val="baseline"/>
          </w:rPr>
          <w:t> </w:t>
        </w:r>
        <w:r>
          <w:rPr>
            <w:color w:val="0000FF"/>
            <w:sz w:val="16"/>
            <w:u w:val="single" w:color="0000FF"/>
            <w:vertAlign w:val="baseline"/>
          </w:rPr>
          <w:t>financial</w:t>
        </w:r>
        <w:r>
          <w:rPr>
            <w:color w:val="0000FF"/>
            <w:spacing w:val="-6"/>
            <w:sz w:val="16"/>
            <w:u w:val="single" w:color="0000FF"/>
            <w:vertAlign w:val="baseline"/>
          </w:rPr>
          <w:t> </w:t>
        </w:r>
        <w:r>
          <w:rPr>
            <w:color w:val="0000FF"/>
            <w:sz w:val="16"/>
            <w:u w:val="single" w:color="0000FF"/>
            <w:vertAlign w:val="baseline"/>
          </w:rPr>
          <w:t>sector</w:t>
        </w:r>
        <w:r>
          <w:rPr>
            <w:sz w:val="16"/>
            <w:vertAlign w:val="baseline"/>
          </w:rPr>
          <w:t>,</w:t>
        </w:r>
      </w:hyperlink>
      <w:r>
        <w:rPr>
          <w:spacing w:val="-5"/>
          <w:sz w:val="16"/>
          <w:vertAlign w:val="baseline"/>
        </w:rPr>
        <w:t> </w:t>
      </w:r>
      <w:r>
        <w:rPr>
          <w:sz w:val="16"/>
          <w:vertAlign w:val="baseline"/>
        </w:rPr>
        <w:t>11/2024,</w:t>
      </w:r>
      <w:r>
        <w:rPr>
          <w:spacing w:val="-4"/>
          <w:sz w:val="16"/>
          <w:vertAlign w:val="baseline"/>
        </w:rPr>
        <w:t> </w:t>
      </w:r>
      <w:r>
        <w:rPr>
          <w:spacing w:val="-2"/>
          <w:sz w:val="16"/>
          <w:vertAlign w:val="baseline"/>
        </w:rPr>
        <w:t>PS16/24.</w:t>
      </w:r>
    </w:p>
    <w:p>
      <w:pPr>
        <w:spacing w:before="17"/>
        <w:ind w:left="30" w:right="245" w:firstLine="0"/>
        <w:jc w:val="both"/>
        <w:rPr>
          <w:sz w:val="16"/>
        </w:rPr>
      </w:pPr>
      <w:bookmarkStart w:name="_bookmark202" w:id="203"/>
      <w:bookmarkEnd w:id="203"/>
      <w:r>
        <w:rPr/>
      </w:r>
      <w:r>
        <w:rPr>
          <w:sz w:val="16"/>
          <w:vertAlign w:val="superscript"/>
        </w:rPr>
        <w:t>139</w:t>
      </w:r>
      <w:r>
        <w:rPr>
          <w:spacing w:val="-6"/>
          <w:sz w:val="16"/>
          <w:vertAlign w:val="baseline"/>
        </w:rPr>
        <w:t> </w:t>
      </w:r>
      <w:r>
        <w:rPr>
          <w:sz w:val="16"/>
          <w:vertAlign w:val="baseline"/>
        </w:rPr>
        <w:t>European</w:t>
      </w:r>
      <w:r>
        <w:rPr>
          <w:spacing w:val="-5"/>
          <w:sz w:val="16"/>
          <w:vertAlign w:val="baseline"/>
        </w:rPr>
        <w:t> </w:t>
      </w:r>
      <w:r>
        <w:rPr>
          <w:sz w:val="16"/>
          <w:vertAlign w:val="baseline"/>
        </w:rPr>
        <w:t>Banking</w:t>
      </w:r>
      <w:r>
        <w:rPr>
          <w:spacing w:val="-5"/>
          <w:sz w:val="16"/>
          <w:vertAlign w:val="baseline"/>
        </w:rPr>
        <w:t> </w:t>
      </w:r>
      <w:r>
        <w:rPr>
          <w:sz w:val="16"/>
          <w:vertAlign w:val="baseline"/>
        </w:rPr>
        <w:t>Authority,</w:t>
      </w:r>
      <w:r>
        <w:rPr>
          <w:spacing w:val="-6"/>
          <w:sz w:val="16"/>
          <w:vertAlign w:val="baseline"/>
        </w:rPr>
        <w:t> </w:t>
      </w:r>
      <w:hyperlink r:id="rId180">
        <w:r>
          <w:rPr>
            <w:color w:val="0000FF"/>
            <w:sz w:val="16"/>
            <w:u w:val="single" w:color="0000FF"/>
            <w:vertAlign w:val="baseline"/>
          </w:rPr>
          <w:t>Consultation</w:t>
        </w:r>
        <w:r>
          <w:rPr>
            <w:color w:val="0000FF"/>
            <w:spacing w:val="-6"/>
            <w:sz w:val="16"/>
            <w:u w:val="single" w:color="0000FF"/>
            <w:vertAlign w:val="baseline"/>
          </w:rPr>
          <w:t> </w:t>
        </w:r>
        <w:r>
          <w:rPr>
            <w:color w:val="0000FF"/>
            <w:sz w:val="16"/>
            <w:u w:val="single" w:color="0000FF"/>
            <w:vertAlign w:val="baseline"/>
          </w:rPr>
          <w:t>Paper</w:t>
        </w:r>
        <w:r>
          <w:rPr>
            <w:color w:val="0000FF"/>
            <w:spacing w:val="-7"/>
            <w:sz w:val="16"/>
            <w:u w:val="single" w:color="0000FF"/>
            <w:vertAlign w:val="baseline"/>
          </w:rPr>
          <w:t> </w:t>
        </w:r>
        <w:r>
          <w:rPr>
            <w:color w:val="0000FF"/>
            <w:sz w:val="16"/>
            <w:u w:val="single" w:color="0000FF"/>
            <w:vertAlign w:val="baseline"/>
          </w:rPr>
          <w:t>on</w:t>
        </w:r>
        <w:r>
          <w:rPr>
            <w:color w:val="0000FF"/>
            <w:spacing w:val="-6"/>
            <w:sz w:val="16"/>
            <w:u w:val="single" w:color="0000FF"/>
            <w:vertAlign w:val="baseline"/>
          </w:rPr>
          <w:t> </w:t>
        </w:r>
        <w:r>
          <w:rPr>
            <w:color w:val="0000FF"/>
            <w:sz w:val="16"/>
            <w:u w:val="single" w:color="0000FF"/>
            <w:vertAlign w:val="baseline"/>
          </w:rPr>
          <w:t>EBA</w:t>
        </w:r>
        <w:r>
          <w:rPr>
            <w:color w:val="0000FF"/>
            <w:spacing w:val="-7"/>
            <w:sz w:val="16"/>
            <w:u w:val="single" w:color="0000FF"/>
            <w:vertAlign w:val="baseline"/>
          </w:rPr>
          <w:t> </w:t>
        </w:r>
        <w:r>
          <w:rPr>
            <w:color w:val="0000FF"/>
            <w:sz w:val="16"/>
            <w:u w:val="single" w:color="0000FF"/>
            <w:vertAlign w:val="baseline"/>
          </w:rPr>
          <w:t>Draft</w:t>
        </w:r>
        <w:r>
          <w:rPr>
            <w:color w:val="0000FF"/>
            <w:spacing w:val="-6"/>
            <w:sz w:val="16"/>
            <w:u w:val="single" w:color="0000FF"/>
            <w:vertAlign w:val="baseline"/>
          </w:rPr>
          <w:t> </w:t>
        </w:r>
        <w:r>
          <w:rPr>
            <w:color w:val="0000FF"/>
            <w:sz w:val="16"/>
            <w:u w:val="single" w:color="0000FF"/>
            <w:vertAlign w:val="baseline"/>
          </w:rPr>
          <w:t>Guidelines</w:t>
        </w:r>
        <w:r>
          <w:rPr>
            <w:color w:val="0000FF"/>
            <w:spacing w:val="-8"/>
            <w:sz w:val="16"/>
            <w:u w:val="single" w:color="0000FF"/>
            <w:vertAlign w:val="baseline"/>
          </w:rPr>
          <w:t> </w:t>
        </w:r>
        <w:r>
          <w:rPr>
            <w:color w:val="0000FF"/>
            <w:sz w:val="16"/>
            <w:u w:val="single" w:color="0000FF"/>
            <w:vertAlign w:val="baseline"/>
          </w:rPr>
          <w:t>on</w:t>
        </w:r>
        <w:r>
          <w:rPr>
            <w:color w:val="0000FF"/>
            <w:spacing w:val="-8"/>
            <w:sz w:val="16"/>
            <w:u w:val="single" w:color="0000FF"/>
            <w:vertAlign w:val="baseline"/>
          </w:rPr>
          <w:t> </w:t>
        </w:r>
        <w:r>
          <w:rPr>
            <w:color w:val="0000FF"/>
            <w:sz w:val="16"/>
            <w:u w:val="single" w:color="0000FF"/>
            <w:vertAlign w:val="baseline"/>
          </w:rPr>
          <w:t>the</w:t>
        </w:r>
        <w:r>
          <w:rPr>
            <w:color w:val="0000FF"/>
            <w:spacing w:val="-6"/>
            <w:sz w:val="16"/>
            <w:u w:val="single" w:color="0000FF"/>
            <w:vertAlign w:val="baseline"/>
          </w:rPr>
          <w:t> </w:t>
        </w:r>
        <w:r>
          <w:rPr>
            <w:color w:val="0000FF"/>
            <w:sz w:val="16"/>
            <w:u w:val="single" w:color="0000FF"/>
            <w:vertAlign w:val="baseline"/>
          </w:rPr>
          <w:t>sound</w:t>
        </w:r>
        <w:r>
          <w:rPr>
            <w:color w:val="0000FF"/>
            <w:spacing w:val="-6"/>
            <w:sz w:val="16"/>
            <w:u w:val="single" w:color="0000FF"/>
            <w:vertAlign w:val="baseline"/>
          </w:rPr>
          <w:t> </w:t>
        </w:r>
        <w:r>
          <w:rPr>
            <w:color w:val="0000FF"/>
            <w:sz w:val="16"/>
            <w:u w:val="single" w:color="0000FF"/>
            <w:vertAlign w:val="baseline"/>
          </w:rPr>
          <w:t>management</w:t>
        </w:r>
        <w:r>
          <w:rPr>
            <w:color w:val="0000FF"/>
            <w:spacing w:val="-8"/>
            <w:sz w:val="16"/>
            <w:u w:val="single" w:color="0000FF"/>
            <w:vertAlign w:val="baseline"/>
          </w:rPr>
          <w:t> </w:t>
        </w:r>
        <w:r>
          <w:rPr>
            <w:color w:val="0000FF"/>
            <w:sz w:val="16"/>
            <w:u w:val="single" w:color="0000FF"/>
            <w:vertAlign w:val="baseline"/>
          </w:rPr>
          <w:t>of</w:t>
        </w:r>
        <w:r>
          <w:rPr>
            <w:color w:val="0000FF"/>
            <w:spacing w:val="-7"/>
            <w:sz w:val="16"/>
            <w:u w:val="single" w:color="0000FF"/>
            <w:vertAlign w:val="baseline"/>
          </w:rPr>
          <w:t> </w:t>
        </w:r>
        <w:r>
          <w:rPr>
            <w:color w:val="0000FF"/>
            <w:sz w:val="16"/>
            <w:u w:val="single" w:color="0000FF"/>
            <w:vertAlign w:val="baseline"/>
          </w:rPr>
          <w:t>third-party</w:t>
        </w:r>
        <w:r>
          <w:rPr>
            <w:color w:val="0000FF"/>
            <w:spacing w:val="-8"/>
            <w:sz w:val="16"/>
            <w:u w:val="single" w:color="0000FF"/>
            <w:vertAlign w:val="baseline"/>
          </w:rPr>
          <w:t> </w:t>
        </w:r>
        <w:r>
          <w:rPr>
            <w:color w:val="0000FF"/>
            <w:sz w:val="16"/>
            <w:u w:val="single" w:color="0000FF"/>
            <w:vertAlign w:val="baseline"/>
          </w:rPr>
          <w:t>Risk</w:t>
        </w:r>
        <w:r>
          <w:rPr>
            <w:color w:val="0000FF"/>
            <w:spacing w:val="-8"/>
            <w:sz w:val="16"/>
            <w:u w:val="single" w:color="0000FF"/>
            <w:vertAlign w:val="baseline"/>
          </w:rPr>
          <w:t> </w:t>
        </w:r>
        <w:r>
          <w:rPr>
            <w:color w:val="0000FF"/>
            <w:sz w:val="16"/>
            <w:u w:val="single" w:color="0000FF"/>
            <w:vertAlign w:val="baseline"/>
          </w:rPr>
          <w:t>Manage-</w:t>
        </w:r>
      </w:hyperlink>
      <w:hyperlink r:id="rId180">
        <w:r>
          <w:rPr>
            <w:color w:val="0000FF"/>
            <w:sz w:val="16"/>
            <w:u w:val="single" w:color="0000FF"/>
            <w:vertAlign w:val="baseline"/>
          </w:rPr>
          <w:t>ment</w:t>
        </w:r>
        <w:r>
          <w:rPr>
            <w:sz w:val="16"/>
            <w:vertAlign w:val="baseline"/>
          </w:rPr>
          <w:t>,</w:t>
        </w:r>
      </w:hyperlink>
      <w:r>
        <w:rPr>
          <w:spacing w:val="-3"/>
          <w:sz w:val="16"/>
          <w:vertAlign w:val="baseline"/>
        </w:rPr>
        <w:t> </w:t>
      </w:r>
      <w:r>
        <w:rPr>
          <w:sz w:val="16"/>
          <w:vertAlign w:val="baseline"/>
        </w:rPr>
        <w:t>07/2025.</w:t>
      </w:r>
    </w:p>
    <w:p>
      <w:pPr>
        <w:spacing w:before="21"/>
        <w:ind w:left="30" w:right="0" w:firstLine="0"/>
        <w:jc w:val="both"/>
        <w:rPr>
          <w:sz w:val="16"/>
        </w:rPr>
      </w:pPr>
      <w:bookmarkStart w:name="_bookmark203" w:id="204"/>
      <w:bookmarkEnd w:id="204"/>
      <w:r>
        <w:rPr/>
      </w:r>
      <w:r>
        <w:rPr>
          <w:sz w:val="16"/>
          <w:vertAlign w:val="superscript"/>
        </w:rPr>
        <w:t>140</w:t>
      </w:r>
      <w:r>
        <w:rPr>
          <w:spacing w:val="-5"/>
          <w:sz w:val="16"/>
          <w:vertAlign w:val="baseline"/>
        </w:rPr>
        <w:t> </w:t>
      </w:r>
      <w:r>
        <w:rPr>
          <w:sz w:val="16"/>
          <w:vertAlign w:val="baseline"/>
        </w:rPr>
        <w:t>BIS</w:t>
      </w:r>
      <w:r>
        <w:rPr>
          <w:spacing w:val="-4"/>
          <w:sz w:val="16"/>
          <w:vertAlign w:val="baseline"/>
        </w:rPr>
        <w:t> </w:t>
      </w:r>
      <w:r>
        <w:rPr>
          <w:sz w:val="16"/>
          <w:vertAlign w:val="baseline"/>
        </w:rPr>
        <w:t>Principles</w:t>
      </w:r>
      <w:r>
        <w:rPr>
          <w:spacing w:val="-7"/>
          <w:sz w:val="16"/>
          <w:vertAlign w:val="baseline"/>
        </w:rPr>
        <w:t> </w:t>
      </w:r>
      <w:r>
        <w:rPr>
          <w:sz w:val="16"/>
          <w:vertAlign w:val="baseline"/>
        </w:rPr>
        <w:t>for</w:t>
      </w:r>
      <w:r>
        <w:rPr>
          <w:spacing w:val="-5"/>
          <w:sz w:val="16"/>
          <w:vertAlign w:val="baseline"/>
        </w:rPr>
        <w:t> </w:t>
      </w:r>
      <w:r>
        <w:rPr>
          <w:sz w:val="16"/>
          <w:vertAlign w:val="baseline"/>
        </w:rPr>
        <w:t>Sound</w:t>
      </w:r>
      <w:r>
        <w:rPr>
          <w:spacing w:val="-5"/>
          <w:sz w:val="16"/>
          <w:vertAlign w:val="baseline"/>
        </w:rPr>
        <w:t> </w:t>
      </w:r>
      <w:r>
        <w:rPr>
          <w:sz w:val="16"/>
          <w:vertAlign w:val="baseline"/>
        </w:rPr>
        <w:t>Management</w:t>
      </w:r>
      <w:r>
        <w:rPr>
          <w:spacing w:val="-6"/>
          <w:sz w:val="16"/>
          <w:vertAlign w:val="baseline"/>
        </w:rPr>
        <w:t> </w:t>
      </w:r>
      <w:r>
        <w:rPr>
          <w:sz w:val="16"/>
          <w:vertAlign w:val="baseline"/>
        </w:rPr>
        <w:t>of</w:t>
      </w:r>
      <w:r>
        <w:rPr>
          <w:spacing w:val="-7"/>
          <w:sz w:val="16"/>
          <w:vertAlign w:val="baseline"/>
        </w:rPr>
        <w:t> </w:t>
      </w:r>
      <w:r>
        <w:rPr>
          <w:sz w:val="16"/>
          <w:vertAlign w:val="baseline"/>
        </w:rPr>
        <w:t>Third-Party</w:t>
      </w:r>
      <w:r>
        <w:rPr>
          <w:spacing w:val="-5"/>
          <w:sz w:val="16"/>
          <w:vertAlign w:val="baseline"/>
        </w:rPr>
        <w:t> </w:t>
      </w:r>
      <w:r>
        <w:rPr>
          <w:sz w:val="16"/>
          <w:vertAlign w:val="baseline"/>
        </w:rPr>
        <w:t>Risk</w:t>
      </w:r>
      <w:r>
        <w:rPr>
          <w:spacing w:val="-6"/>
          <w:sz w:val="16"/>
          <w:vertAlign w:val="baseline"/>
        </w:rPr>
        <w:t> </w:t>
      </w:r>
      <w:r>
        <w:rPr>
          <w:sz w:val="16"/>
          <w:vertAlign w:val="baseline"/>
        </w:rPr>
        <w:t>(12/2025)</w:t>
      </w:r>
      <w:r>
        <w:rPr>
          <w:spacing w:val="-4"/>
          <w:sz w:val="16"/>
          <w:vertAlign w:val="baseline"/>
        </w:rPr>
        <w:t> </w:t>
      </w:r>
      <w:r>
        <w:rPr>
          <w:sz w:val="16"/>
          <w:vertAlign w:val="baseline"/>
        </w:rPr>
        <w:t>-</w:t>
      </w:r>
      <w:r>
        <w:rPr>
          <w:spacing w:val="-4"/>
          <w:sz w:val="16"/>
          <w:vertAlign w:val="baseline"/>
        </w:rPr>
        <w:t> </w:t>
      </w:r>
      <w:hyperlink r:id="rId181">
        <w:r>
          <w:rPr>
            <w:color w:val="0000FF"/>
            <w:sz w:val="16"/>
            <w:u w:val="single" w:color="0000FF"/>
            <w:vertAlign w:val="baseline"/>
          </w:rPr>
          <w:t>Principles</w:t>
        </w:r>
        <w:r>
          <w:rPr>
            <w:color w:val="0000FF"/>
            <w:spacing w:val="-5"/>
            <w:sz w:val="16"/>
            <w:u w:val="single" w:color="0000FF"/>
            <w:vertAlign w:val="baseline"/>
          </w:rPr>
          <w:t> </w:t>
        </w:r>
        <w:r>
          <w:rPr>
            <w:color w:val="0000FF"/>
            <w:sz w:val="16"/>
            <w:u w:val="single" w:color="0000FF"/>
            <w:vertAlign w:val="baseline"/>
          </w:rPr>
          <w:t>for</w:t>
        </w:r>
        <w:r>
          <w:rPr>
            <w:color w:val="0000FF"/>
            <w:spacing w:val="-7"/>
            <w:sz w:val="16"/>
            <w:u w:val="single" w:color="0000FF"/>
            <w:vertAlign w:val="baseline"/>
          </w:rPr>
          <w:t> </w:t>
        </w:r>
        <w:r>
          <w:rPr>
            <w:color w:val="0000FF"/>
            <w:sz w:val="16"/>
            <w:u w:val="single" w:color="0000FF"/>
            <w:vertAlign w:val="baseline"/>
          </w:rPr>
          <w:t>the</w:t>
        </w:r>
        <w:r>
          <w:rPr>
            <w:color w:val="0000FF"/>
            <w:spacing w:val="-4"/>
            <w:sz w:val="16"/>
            <w:u w:val="single" w:color="0000FF"/>
            <w:vertAlign w:val="baseline"/>
          </w:rPr>
          <w:t> </w:t>
        </w:r>
        <w:r>
          <w:rPr>
            <w:color w:val="0000FF"/>
            <w:sz w:val="16"/>
            <w:u w:val="single" w:color="0000FF"/>
            <w:vertAlign w:val="baseline"/>
          </w:rPr>
          <w:t>sound</w:t>
        </w:r>
        <w:r>
          <w:rPr>
            <w:color w:val="0000FF"/>
            <w:spacing w:val="-3"/>
            <w:sz w:val="16"/>
            <w:u w:val="single" w:color="0000FF"/>
            <w:vertAlign w:val="baseline"/>
          </w:rPr>
          <w:t> </w:t>
        </w:r>
        <w:r>
          <w:rPr>
            <w:color w:val="0000FF"/>
            <w:sz w:val="16"/>
            <w:u w:val="single" w:color="0000FF"/>
            <w:vertAlign w:val="baseline"/>
          </w:rPr>
          <w:t>management</w:t>
        </w:r>
        <w:r>
          <w:rPr>
            <w:color w:val="0000FF"/>
            <w:spacing w:val="-6"/>
            <w:sz w:val="16"/>
            <w:u w:val="single" w:color="0000FF"/>
            <w:vertAlign w:val="baseline"/>
          </w:rPr>
          <w:t> </w:t>
        </w:r>
        <w:r>
          <w:rPr>
            <w:color w:val="0000FF"/>
            <w:sz w:val="16"/>
            <w:u w:val="single" w:color="0000FF"/>
            <w:vertAlign w:val="baseline"/>
          </w:rPr>
          <w:t>of</w:t>
        </w:r>
        <w:r>
          <w:rPr>
            <w:color w:val="0000FF"/>
            <w:spacing w:val="-7"/>
            <w:sz w:val="16"/>
            <w:u w:val="single" w:color="0000FF"/>
            <w:vertAlign w:val="baseline"/>
          </w:rPr>
          <w:t> </w:t>
        </w:r>
        <w:r>
          <w:rPr>
            <w:color w:val="0000FF"/>
            <w:sz w:val="16"/>
            <w:u w:val="single" w:color="0000FF"/>
            <w:vertAlign w:val="baseline"/>
          </w:rPr>
          <w:t>third-party</w:t>
        </w:r>
        <w:r>
          <w:rPr>
            <w:color w:val="0000FF"/>
            <w:spacing w:val="-5"/>
            <w:sz w:val="16"/>
            <w:u w:val="single" w:color="0000FF"/>
            <w:vertAlign w:val="baseline"/>
          </w:rPr>
          <w:t> </w:t>
        </w:r>
        <w:r>
          <w:rPr>
            <w:color w:val="0000FF"/>
            <w:spacing w:val="-4"/>
            <w:sz w:val="16"/>
            <w:u w:val="single" w:color="0000FF"/>
            <w:vertAlign w:val="baseline"/>
          </w:rPr>
          <w:t>risk</w:t>
        </w:r>
      </w:hyperlink>
    </w:p>
    <w:p>
      <w:pPr>
        <w:spacing w:after="0"/>
        <w:jc w:val="both"/>
        <w:rPr>
          <w:sz w:val="16"/>
        </w:rPr>
        <w:sectPr>
          <w:footerReference w:type="default" r:id="rId176"/>
          <w:pgSz w:w="11910" w:h="16850"/>
          <w:pgMar w:header="0" w:footer="1262" w:top="1100" w:bottom="1460" w:left="1559" w:right="1559"/>
        </w:sectPr>
      </w:pPr>
    </w:p>
    <w:p>
      <w:pPr>
        <w:pStyle w:val="BodyText"/>
        <w:spacing w:line="285" w:lineRule="auto" w:before="74"/>
        <w:ind w:left="30" w:right="246"/>
        <w:jc w:val="both"/>
      </w:pPr>
      <w:r>
        <w:rPr/>
        <w:t>νους</w:t>
      </w:r>
      <w:r>
        <w:rPr>
          <w:spacing w:val="-9"/>
        </w:rPr>
        <w:t> </w:t>
      </w:r>
      <w:r>
        <w:rPr/>
        <w:t>που</w:t>
      </w:r>
      <w:r>
        <w:rPr>
          <w:spacing w:val="-7"/>
        </w:rPr>
        <w:t> </w:t>
      </w:r>
      <w:r>
        <w:rPr/>
        <w:t>απορρέουν</w:t>
      </w:r>
      <w:r>
        <w:rPr>
          <w:spacing w:val="-10"/>
        </w:rPr>
        <w:t> </w:t>
      </w:r>
      <w:r>
        <w:rPr/>
        <w:t>από</w:t>
      </w:r>
      <w:r>
        <w:rPr>
          <w:spacing w:val="-8"/>
        </w:rPr>
        <w:t> </w:t>
      </w:r>
      <w:r>
        <w:rPr/>
        <w:t>αλυσίδες</w:t>
      </w:r>
      <w:r>
        <w:rPr>
          <w:spacing w:val="-11"/>
        </w:rPr>
        <w:t> </w:t>
      </w:r>
      <w:r>
        <w:rPr/>
        <w:t>υπεργολαβιών</w:t>
      </w:r>
      <w:r>
        <w:rPr>
          <w:spacing w:val="-4"/>
        </w:rPr>
        <w:t> </w:t>
      </w:r>
      <w:r>
        <w:rPr/>
        <w:t>και</w:t>
      </w:r>
      <w:r>
        <w:rPr>
          <w:spacing w:val="-10"/>
        </w:rPr>
        <w:t> </w:t>
      </w:r>
      <w:r>
        <w:rPr/>
        <w:t>υποχρεώνουν</w:t>
      </w:r>
      <w:r>
        <w:rPr>
          <w:spacing w:val="-8"/>
        </w:rPr>
        <w:t> </w:t>
      </w:r>
      <w:r>
        <w:rPr/>
        <w:t>έτσι</w:t>
      </w:r>
      <w:r>
        <w:rPr>
          <w:spacing w:val="-9"/>
        </w:rPr>
        <w:t> </w:t>
      </w:r>
      <w:r>
        <w:rPr/>
        <w:t>τα</w:t>
      </w:r>
      <w:r>
        <w:rPr>
          <w:spacing w:val="-9"/>
        </w:rPr>
        <w:t> </w:t>
      </w:r>
      <w:r>
        <w:rPr/>
        <w:t>ιδρύματα</w:t>
      </w:r>
      <w:r>
        <w:rPr>
          <w:spacing w:val="-9"/>
        </w:rPr>
        <w:t> </w:t>
      </w:r>
      <w:r>
        <w:rPr/>
        <w:t>να</w:t>
      </w:r>
      <w:r>
        <w:rPr>
          <w:spacing w:val="-10"/>
        </w:rPr>
        <w:t> </w:t>
      </w:r>
      <w:r>
        <w:rPr/>
        <w:t>εξασφα-λίσουν την ορατότητα</w:t>
      </w:r>
      <w:r>
        <w:rPr>
          <w:spacing w:val="-1"/>
        </w:rPr>
        <w:t> </w:t>
      </w:r>
      <w:r>
        <w:rPr/>
        <w:t>και τον έλεγχο όχι μόνο των άμεσων παρόχων τους, αλλά</w:t>
      </w:r>
      <w:r>
        <w:rPr>
          <w:spacing w:val="-2"/>
        </w:rPr>
        <w:t> </w:t>
      </w:r>
      <w:r>
        <w:rPr/>
        <w:t>ολόκληρης</w:t>
      </w:r>
      <w:r>
        <w:rPr>
          <w:spacing w:val="-1"/>
        </w:rPr>
        <w:t> </w:t>
      </w:r>
      <w:r>
        <w:rPr/>
        <w:t>της </w:t>
      </w:r>
      <w:r>
        <w:rPr>
          <w:spacing w:val="-2"/>
        </w:rPr>
        <w:t>αλυσίδας.</w:t>
      </w:r>
    </w:p>
    <w:p>
      <w:pPr>
        <w:pStyle w:val="BodyText"/>
        <w:spacing w:line="285" w:lineRule="auto" w:before="57"/>
        <w:ind w:left="30" w:right="250"/>
        <w:jc w:val="both"/>
      </w:pPr>
      <w:r>
        <w:rPr/>
        <w:t>Οι παραπάνω εξελίξεις στο θεσμικό πλαίσιο για τη διαχείριση τρίτων παρόχων καταδεικνύουν τη</w:t>
      </w:r>
      <w:r>
        <w:rPr>
          <w:spacing w:val="-5"/>
        </w:rPr>
        <w:t> </w:t>
      </w:r>
      <w:r>
        <w:rPr/>
        <w:t>σταδιακή</w:t>
      </w:r>
      <w:r>
        <w:rPr>
          <w:spacing w:val="-5"/>
        </w:rPr>
        <w:t> </w:t>
      </w:r>
      <w:r>
        <w:rPr/>
        <w:t>σύγκλιση</w:t>
      </w:r>
      <w:r>
        <w:rPr>
          <w:spacing w:val="-5"/>
        </w:rPr>
        <w:t> </w:t>
      </w:r>
      <w:r>
        <w:rPr/>
        <w:t>των</w:t>
      </w:r>
      <w:r>
        <w:rPr>
          <w:spacing w:val="-6"/>
        </w:rPr>
        <w:t> </w:t>
      </w:r>
      <w:r>
        <w:rPr/>
        <w:t>διεθνών</w:t>
      </w:r>
      <w:r>
        <w:rPr>
          <w:spacing w:val="-4"/>
        </w:rPr>
        <w:t> </w:t>
      </w:r>
      <w:r>
        <w:rPr/>
        <w:t>προσεγγίσεων</w:t>
      </w:r>
      <w:r>
        <w:rPr>
          <w:spacing w:val="-4"/>
        </w:rPr>
        <w:t> </w:t>
      </w:r>
      <w:r>
        <w:rPr/>
        <w:t>προς</w:t>
      </w:r>
      <w:r>
        <w:rPr>
          <w:spacing w:val="-6"/>
        </w:rPr>
        <w:t> </w:t>
      </w:r>
      <w:r>
        <w:rPr/>
        <w:t>ένα</w:t>
      </w:r>
      <w:r>
        <w:rPr>
          <w:spacing w:val="-5"/>
        </w:rPr>
        <w:t> </w:t>
      </w:r>
      <w:r>
        <w:rPr/>
        <w:t>ενιαίο</w:t>
      </w:r>
      <w:r>
        <w:rPr>
          <w:spacing w:val="-5"/>
        </w:rPr>
        <w:t> </w:t>
      </w:r>
      <w:r>
        <w:rPr/>
        <w:t>πλαίσιο</w:t>
      </w:r>
      <w:r>
        <w:rPr>
          <w:spacing w:val="-5"/>
        </w:rPr>
        <w:t> </w:t>
      </w:r>
      <w:r>
        <w:rPr/>
        <w:t>ενίσχυσης</w:t>
      </w:r>
      <w:r>
        <w:rPr>
          <w:spacing w:val="-6"/>
        </w:rPr>
        <w:t> </w:t>
      </w:r>
      <w:r>
        <w:rPr/>
        <w:t>της</w:t>
      </w:r>
      <w:r>
        <w:rPr>
          <w:spacing w:val="-6"/>
        </w:rPr>
        <w:t> </w:t>
      </w:r>
      <w:r>
        <w:rPr/>
        <w:t>επιχει-ρησιακής</w:t>
      </w:r>
      <w:r>
        <w:rPr>
          <w:spacing w:val="-4"/>
        </w:rPr>
        <w:t> </w:t>
      </w:r>
      <w:r>
        <w:rPr/>
        <w:t>ανθεκτικότητας,</w:t>
      </w:r>
      <w:r>
        <w:rPr>
          <w:spacing w:val="-5"/>
        </w:rPr>
        <w:t> </w:t>
      </w:r>
      <w:r>
        <w:rPr/>
        <w:t>το</w:t>
      </w:r>
      <w:r>
        <w:rPr>
          <w:spacing w:val="-2"/>
        </w:rPr>
        <w:t> </w:t>
      </w:r>
      <w:r>
        <w:rPr/>
        <w:t>οποίο</w:t>
      </w:r>
      <w:r>
        <w:rPr>
          <w:spacing w:val="-2"/>
        </w:rPr>
        <w:t> </w:t>
      </w:r>
      <w:r>
        <w:rPr/>
        <w:t>στοχεύει</w:t>
      </w:r>
      <w:r>
        <w:rPr>
          <w:spacing w:val="-4"/>
        </w:rPr>
        <w:t> </w:t>
      </w:r>
      <w:r>
        <w:rPr/>
        <w:t>στην παρακολούθηση</w:t>
      </w:r>
      <w:r>
        <w:rPr>
          <w:spacing w:val="-2"/>
        </w:rPr>
        <w:t> </w:t>
      </w:r>
      <w:r>
        <w:rPr/>
        <w:t>της</w:t>
      </w:r>
      <w:r>
        <w:rPr>
          <w:spacing w:val="-4"/>
        </w:rPr>
        <w:t> </w:t>
      </w:r>
      <w:r>
        <w:rPr/>
        <w:t>αυξανόμενης</w:t>
      </w:r>
      <w:r>
        <w:rPr>
          <w:spacing w:val="-4"/>
        </w:rPr>
        <w:t> </w:t>
      </w:r>
      <w:r>
        <w:rPr/>
        <w:t>εξάρτησης από τρίτους παρόχους, ώστε αυτή να μην υπονομεύσει τη σταθερότητα</w:t>
      </w:r>
      <w:r>
        <w:rPr>
          <w:spacing w:val="-1"/>
        </w:rPr>
        <w:t> </w:t>
      </w:r>
      <w:r>
        <w:rPr/>
        <w:t>του παγκόσμιου χρημα-τοπιστωτικού συστήματος.</w:t>
      </w:r>
    </w:p>
    <w:p>
      <w:pPr>
        <w:pStyle w:val="BodyText"/>
        <w:spacing w:before="161"/>
      </w:pPr>
    </w:p>
    <w:p>
      <w:pPr>
        <w:pStyle w:val="Heading4"/>
        <w:spacing w:line="285" w:lineRule="auto" w:before="1"/>
        <w:ind w:left="30" w:right="249"/>
      </w:pPr>
      <w:r>
        <w:rPr>
          <w:color w:val="1F487C"/>
        </w:rPr>
        <w:t>Βασ</w:t>
      </w:r>
      <w:r>
        <w:rPr>
          <w:smallCaps/>
          <w:color w:val="1F487C"/>
        </w:rPr>
        <w:t>ι</w:t>
      </w:r>
      <w:r>
        <w:rPr>
          <w:smallCaps w:val="0"/>
          <w:color w:val="1F487C"/>
        </w:rPr>
        <w:t>κοί πυλώνες κα</w:t>
      </w:r>
      <w:r>
        <w:rPr>
          <w:smallCaps/>
          <w:color w:val="1F487C"/>
        </w:rPr>
        <w:t>ι</w:t>
      </w:r>
      <w:r>
        <w:rPr>
          <w:smallCaps w:val="0"/>
          <w:color w:val="1F487C"/>
        </w:rPr>
        <w:t> κα</w:t>
      </w:r>
      <w:r>
        <w:rPr>
          <w:smallCaps/>
          <w:color w:val="1F487C"/>
        </w:rPr>
        <w:t>ινο</w:t>
      </w:r>
      <w:r>
        <w:rPr>
          <w:smallCaps w:val="0"/>
          <w:color w:val="1F487C"/>
        </w:rPr>
        <w:t>τομίες του Κανον</w:t>
      </w:r>
      <w:r>
        <w:rPr>
          <w:smallCaps/>
          <w:color w:val="1F487C"/>
        </w:rPr>
        <w:t>ι</w:t>
      </w:r>
      <w:r>
        <w:rPr>
          <w:smallCaps w:val="0"/>
          <w:color w:val="1F487C"/>
        </w:rPr>
        <w:t>σμού DORA αναφορ</w:t>
      </w:r>
      <w:r>
        <w:rPr>
          <w:smallCaps/>
          <w:color w:val="1F487C"/>
        </w:rPr>
        <w:t>ι</w:t>
      </w:r>
      <w:r>
        <w:rPr>
          <w:smallCaps w:val="0"/>
          <w:color w:val="1F487C"/>
        </w:rPr>
        <w:t>κά με τους τρίτους πα-</w:t>
      </w:r>
      <w:r>
        <w:rPr>
          <w:smallCaps w:val="0"/>
          <w:color w:val="1F487C"/>
          <w:spacing w:val="-2"/>
        </w:rPr>
        <w:t>ρόχους</w:t>
      </w:r>
    </w:p>
    <w:p>
      <w:pPr>
        <w:pStyle w:val="BodyText"/>
        <w:spacing w:line="285" w:lineRule="auto" w:before="57"/>
        <w:ind w:left="30" w:right="246"/>
        <w:jc w:val="both"/>
      </w:pPr>
      <w:r>
        <w:rPr/>
        <w:t>Όπως</w:t>
      </w:r>
      <w:r>
        <w:rPr>
          <w:spacing w:val="-1"/>
        </w:rPr>
        <w:t> </w:t>
      </w:r>
      <w:r>
        <w:rPr/>
        <w:t>ήδη αναφέρθηκε,</w:t>
      </w:r>
      <w:r>
        <w:rPr>
          <w:spacing w:val="-3"/>
        </w:rPr>
        <w:t> </w:t>
      </w:r>
      <w:r>
        <w:rPr/>
        <w:t>η</w:t>
      </w:r>
      <w:r>
        <w:rPr>
          <w:spacing w:val="-2"/>
        </w:rPr>
        <w:t> </w:t>
      </w:r>
      <w:r>
        <w:rPr/>
        <w:t>σημαντικότερη από</w:t>
      </w:r>
      <w:r>
        <w:rPr>
          <w:spacing w:val="-2"/>
        </w:rPr>
        <w:t> </w:t>
      </w:r>
      <w:r>
        <w:rPr/>
        <w:t>τις</w:t>
      </w:r>
      <w:r>
        <w:rPr>
          <w:spacing w:val="-1"/>
        </w:rPr>
        <w:t> </w:t>
      </w:r>
      <w:r>
        <w:rPr/>
        <w:t>καινοτομίες</w:t>
      </w:r>
      <w:r>
        <w:rPr>
          <w:spacing w:val="-1"/>
        </w:rPr>
        <w:t> </w:t>
      </w:r>
      <w:r>
        <w:rPr/>
        <w:t>που</w:t>
      </w:r>
      <w:r>
        <w:rPr>
          <w:spacing w:val="-1"/>
        </w:rPr>
        <w:t> </w:t>
      </w:r>
      <w:r>
        <w:rPr/>
        <w:t>εισάγει ο</w:t>
      </w:r>
      <w:r>
        <w:rPr>
          <w:spacing w:val="-3"/>
        </w:rPr>
        <w:t> </w:t>
      </w:r>
      <w:r>
        <w:rPr/>
        <w:t>Κανονισμός DORA είναι</w:t>
      </w:r>
      <w:r>
        <w:rPr>
          <w:spacing w:val="-6"/>
        </w:rPr>
        <w:t> </w:t>
      </w:r>
      <w:r>
        <w:rPr/>
        <w:t>η</w:t>
      </w:r>
      <w:r>
        <w:rPr>
          <w:spacing w:val="-7"/>
        </w:rPr>
        <w:t> </w:t>
      </w:r>
      <w:r>
        <w:rPr/>
        <w:t>έμφαση</w:t>
      </w:r>
      <w:r>
        <w:rPr>
          <w:spacing w:val="-10"/>
        </w:rPr>
        <w:t> </w:t>
      </w:r>
      <w:r>
        <w:rPr/>
        <w:t>στη</w:t>
      </w:r>
      <w:r>
        <w:rPr>
          <w:spacing w:val="-7"/>
        </w:rPr>
        <w:t> </w:t>
      </w:r>
      <w:r>
        <w:rPr/>
        <w:t>διαχείριση</w:t>
      </w:r>
      <w:r>
        <w:rPr>
          <w:spacing w:val="-7"/>
        </w:rPr>
        <w:t> </w:t>
      </w:r>
      <w:r>
        <w:rPr/>
        <w:t>κινδύνων</w:t>
      </w:r>
      <w:r>
        <w:rPr>
          <w:spacing w:val="-6"/>
        </w:rPr>
        <w:t> </w:t>
      </w:r>
      <w:r>
        <w:rPr/>
        <w:t>τρίτων</w:t>
      </w:r>
      <w:r>
        <w:rPr>
          <w:spacing w:val="-6"/>
        </w:rPr>
        <w:t> </w:t>
      </w:r>
      <w:r>
        <w:rPr/>
        <w:t>παρόχων.</w:t>
      </w:r>
      <w:r>
        <w:rPr>
          <w:spacing w:val="-7"/>
        </w:rPr>
        <w:t> </w:t>
      </w:r>
      <w:r>
        <w:rPr/>
        <w:t>Έτσι,</w:t>
      </w:r>
      <w:r>
        <w:rPr>
          <w:spacing w:val="-7"/>
        </w:rPr>
        <w:t> </w:t>
      </w:r>
      <w:r>
        <w:rPr/>
        <w:t>ο</w:t>
      </w:r>
      <w:r>
        <w:rPr>
          <w:spacing w:val="-7"/>
        </w:rPr>
        <w:t> </w:t>
      </w:r>
      <w:r>
        <w:rPr/>
        <w:t>Κανονισμός</w:t>
      </w:r>
      <w:r>
        <w:rPr>
          <w:spacing w:val="-8"/>
        </w:rPr>
        <w:t> </w:t>
      </w:r>
      <w:r>
        <w:rPr/>
        <w:t>απαιτεί</w:t>
      </w:r>
      <w:r>
        <w:rPr>
          <w:spacing w:val="-6"/>
        </w:rPr>
        <w:t> </w:t>
      </w:r>
      <w:r>
        <w:rPr/>
        <w:t>μια</w:t>
      </w:r>
      <w:r>
        <w:rPr>
          <w:spacing w:val="-7"/>
        </w:rPr>
        <w:t> </w:t>
      </w:r>
      <w:r>
        <w:rPr/>
        <w:t>συνο-λική μεταρρύθμιση, μετατρέποντας την εν λόγω διαχείριση από μια τυπική διαδικασία σε μια συνεχή, στρατηγική υποχρέωση των χρηματοπιστωτικών ιδρυμάτων. Η κυριότερη καινοτομία έγκειται στην απαίτηση για μια ολιστική προσέγγιση, βάσει της οποίας τα χρηματοπιστωτικά ιδρύματα</w:t>
      </w:r>
      <w:r>
        <w:rPr>
          <w:spacing w:val="-6"/>
        </w:rPr>
        <w:t> </w:t>
      </w:r>
      <w:r>
        <w:rPr/>
        <w:t>οφείλουν</w:t>
      </w:r>
      <w:r>
        <w:rPr>
          <w:spacing w:val="-6"/>
        </w:rPr>
        <w:t> </w:t>
      </w:r>
      <w:r>
        <w:rPr/>
        <w:t>να</w:t>
      </w:r>
      <w:r>
        <w:rPr>
          <w:spacing w:val="-5"/>
        </w:rPr>
        <w:t> </w:t>
      </w:r>
      <w:r>
        <w:rPr/>
        <w:t>διατηρούν</w:t>
      </w:r>
      <w:r>
        <w:rPr>
          <w:spacing w:val="-4"/>
        </w:rPr>
        <w:t> </w:t>
      </w:r>
      <w:r>
        <w:rPr/>
        <w:t>πλήρη</w:t>
      </w:r>
      <w:r>
        <w:rPr>
          <w:spacing w:val="-6"/>
        </w:rPr>
        <w:t> </w:t>
      </w:r>
      <w:r>
        <w:rPr/>
        <w:t>έλεγχο</w:t>
      </w:r>
      <w:r>
        <w:rPr>
          <w:spacing w:val="-4"/>
        </w:rPr>
        <w:t> </w:t>
      </w:r>
      <w:r>
        <w:rPr/>
        <w:t>και</w:t>
      </w:r>
      <w:r>
        <w:rPr>
          <w:spacing w:val="-6"/>
        </w:rPr>
        <w:t> </w:t>
      </w:r>
      <w:r>
        <w:rPr/>
        <w:t>ευθύνη</w:t>
      </w:r>
      <w:r>
        <w:rPr>
          <w:spacing w:val="-6"/>
        </w:rPr>
        <w:t> </w:t>
      </w:r>
      <w:r>
        <w:rPr/>
        <w:t>για</w:t>
      </w:r>
      <w:r>
        <w:rPr>
          <w:spacing w:val="-4"/>
        </w:rPr>
        <w:t> </w:t>
      </w:r>
      <w:r>
        <w:rPr/>
        <w:t>την</w:t>
      </w:r>
      <w:r>
        <w:rPr>
          <w:spacing w:val="-6"/>
        </w:rPr>
        <w:t> </w:t>
      </w:r>
      <w:r>
        <w:rPr/>
        <w:t>ψηφιακή</w:t>
      </w:r>
      <w:r>
        <w:rPr>
          <w:spacing w:val="-5"/>
        </w:rPr>
        <w:t> </w:t>
      </w:r>
      <w:r>
        <w:rPr/>
        <w:t>τους</w:t>
      </w:r>
      <w:r>
        <w:rPr>
          <w:spacing w:val="-7"/>
        </w:rPr>
        <w:t> </w:t>
      </w:r>
      <w:r>
        <w:rPr/>
        <w:t>ανθεκτικότητα και να ενσωματώνουν τη διαχείριση τρίτων παρόχων στο ευρύτερο σύστημα διαχείρισης κινδύ-νων, διασφαλίζοντας ότι η εξάρτηση από τρίτους δεν υπονομεύει τη λειτουργία τους.</w:t>
      </w:r>
    </w:p>
    <w:p>
      <w:pPr>
        <w:pStyle w:val="BodyText"/>
        <w:spacing w:line="285" w:lineRule="auto" w:before="53"/>
        <w:ind w:left="30" w:right="246"/>
        <w:jc w:val="both"/>
      </w:pPr>
      <w:r>
        <w:rPr/>
        <w:t>Στο</w:t>
      </w:r>
      <w:r>
        <w:rPr>
          <w:spacing w:val="-2"/>
        </w:rPr>
        <w:t> </w:t>
      </w:r>
      <w:r>
        <w:rPr/>
        <w:t>πλαίσιο</w:t>
      </w:r>
      <w:r>
        <w:rPr>
          <w:spacing w:val="-2"/>
        </w:rPr>
        <w:t> </w:t>
      </w:r>
      <w:r>
        <w:rPr/>
        <w:t>αυτό,</w:t>
      </w:r>
      <w:r>
        <w:rPr>
          <w:spacing w:val="-2"/>
        </w:rPr>
        <w:t> </w:t>
      </w:r>
      <w:r>
        <w:rPr/>
        <w:t>τα</w:t>
      </w:r>
      <w:r>
        <w:rPr>
          <w:spacing w:val="-2"/>
        </w:rPr>
        <w:t> </w:t>
      </w:r>
      <w:r>
        <w:rPr/>
        <w:t>χρηματοπιστωτικά</w:t>
      </w:r>
      <w:r>
        <w:rPr>
          <w:spacing w:val="-3"/>
        </w:rPr>
        <w:t> </w:t>
      </w:r>
      <w:r>
        <w:rPr/>
        <w:t>ιδρύματα</w:t>
      </w:r>
      <w:r>
        <w:rPr>
          <w:spacing w:val="-3"/>
        </w:rPr>
        <w:t> </w:t>
      </w:r>
      <w:r>
        <w:rPr/>
        <w:t>υποχρεούνται</w:t>
      </w:r>
      <w:r>
        <w:rPr>
          <w:spacing w:val="-2"/>
        </w:rPr>
        <w:t> </w:t>
      </w:r>
      <w:r>
        <w:rPr/>
        <w:t>να</w:t>
      </w:r>
      <w:r>
        <w:rPr>
          <w:spacing w:val="-2"/>
        </w:rPr>
        <w:t> </w:t>
      </w:r>
      <w:r>
        <w:rPr/>
        <w:t>αξιολογούν</w:t>
      </w:r>
      <w:r>
        <w:rPr>
          <w:spacing w:val="-1"/>
        </w:rPr>
        <w:t> </w:t>
      </w:r>
      <w:r>
        <w:rPr/>
        <w:t>τον</w:t>
      </w:r>
      <w:r>
        <w:rPr>
          <w:spacing w:val="-1"/>
        </w:rPr>
        <w:t> </w:t>
      </w:r>
      <w:r>
        <w:rPr/>
        <w:t>κίνδυνο</w:t>
      </w:r>
      <w:r>
        <w:rPr>
          <w:spacing w:val="-2"/>
        </w:rPr>
        <w:t> </w:t>
      </w:r>
      <w:r>
        <w:rPr/>
        <w:t>συ-γκέντρωσης ώστε να μπορούν να διαφοροποιούν τη χρήση συγκεκριμένων τρίτων παρόχων σε κρίσιμες ή σημαντικές λειτουργίες για να πετυχαίνουν καλύτερη διασπορά του κινδύνου. Τους ζητείται</w:t>
      </w:r>
      <w:r>
        <w:rPr>
          <w:spacing w:val="-9"/>
        </w:rPr>
        <w:t> </w:t>
      </w:r>
      <w:r>
        <w:rPr/>
        <w:t>επίσης</w:t>
      </w:r>
      <w:r>
        <w:rPr>
          <w:spacing w:val="-13"/>
        </w:rPr>
        <w:t> </w:t>
      </w:r>
      <w:r>
        <w:rPr/>
        <w:t>να</w:t>
      </w:r>
      <w:r>
        <w:rPr>
          <w:spacing w:val="-10"/>
        </w:rPr>
        <w:t> </w:t>
      </w:r>
      <w:r>
        <w:rPr/>
        <w:t>τηρούν</w:t>
      </w:r>
      <w:r>
        <w:rPr>
          <w:spacing w:val="-11"/>
        </w:rPr>
        <w:t> </w:t>
      </w:r>
      <w:r>
        <w:rPr/>
        <w:t>λεπτομερές</w:t>
      </w:r>
      <w:r>
        <w:rPr>
          <w:spacing w:val="-11"/>
        </w:rPr>
        <w:t> </w:t>
      </w:r>
      <w:r>
        <w:rPr/>
        <w:t>Μητρώο</w:t>
      </w:r>
      <w:r>
        <w:rPr>
          <w:spacing w:val="-10"/>
        </w:rPr>
        <w:t> </w:t>
      </w:r>
      <w:r>
        <w:rPr/>
        <w:t>Πληροφοριών</w:t>
      </w:r>
      <w:r>
        <w:rPr>
          <w:spacing w:val="-11"/>
        </w:rPr>
        <w:t> </w:t>
      </w:r>
      <w:r>
        <w:rPr/>
        <w:t>για</w:t>
      </w:r>
      <w:r>
        <w:rPr>
          <w:spacing w:val="-12"/>
        </w:rPr>
        <w:t> </w:t>
      </w:r>
      <w:r>
        <w:rPr/>
        <w:t>όλες</w:t>
      </w:r>
      <w:r>
        <w:rPr>
          <w:spacing w:val="-11"/>
        </w:rPr>
        <w:t> </w:t>
      </w:r>
      <w:r>
        <w:rPr/>
        <w:t>τις</w:t>
      </w:r>
      <w:r>
        <w:rPr>
          <w:spacing w:val="-12"/>
        </w:rPr>
        <w:t> </w:t>
      </w:r>
      <w:r>
        <w:rPr/>
        <w:t>συμβατικές</w:t>
      </w:r>
      <w:r>
        <w:rPr>
          <w:spacing w:val="-10"/>
        </w:rPr>
        <w:t> </w:t>
      </w:r>
      <w:r>
        <w:rPr/>
        <w:t>ρυθμίσεις, με</w:t>
      </w:r>
      <w:r>
        <w:rPr>
          <w:spacing w:val="-3"/>
        </w:rPr>
        <w:t> </w:t>
      </w:r>
      <w:r>
        <w:rPr/>
        <w:t>ιδιαίτερη</w:t>
      </w:r>
      <w:r>
        <w:rPr>
          <w:spacing w:val="-6"/>
        </w:rPr>
        <w:t> </w:t>
      </w:r>
      <w:r>
        <w:rPr/>
        <w:t>έμφαση</w:t>
      </w:r>
      <w:r>
        <w:rPr>
          <w:spacing w:val="-3"/>
        </w:rPr>
        <w:t> </w:t>
      </w:r>
      <w:r>
        <w:rPr/>
        <w:t>στον</w:t>
      </w:r>
      <w:r>
        <w:rPr>
          <w:spacing w:val="-5"/>
        </w:rPr>
        <w:t> </w:t>
      </w:r>
      <w:r>
        <w:rPr/>
        <w:t>εντοπισμό</w:t>
      </w:r>
      <w:r>
        <w:rPr>
          <w:spacing w:val="-3"/>
        </w:rPr>
        <w:t> </w:t>
      </w:r>
      <w:r>
        <w:rPr/>
        <w:t>εκείνων</w:t>
      </w:r>
      <w:r>
        <w:rPr>
          <w:spacing w:val="-2"/>
        </w:rPr>
        <w:t> </w:t>
      </w:r>
      <w:r>
        <w:rPr/>
        <w:t>που</w:t>
      </w:r>
      <w:r>
        <w:rPr>
          <w:spacing w:val="-5"/>
        </w:rPr>
        <w:t> </w:t>
      </w:r>
      <w:r>
        <w:rPr/>
        <w:t>υποστηρίζουν</w:t>
      </w:r>
      <w:r>
        <w:rPr>
          <w:spacing w:val="-2"/>
        </w:rPr>
        <w:t> </w:t>
      </w:r>
      <w:r>
        <w:rPr/>
        <w:t>κρίσιμες</w:t>
      </w:r>
      <w:r>
        <w:rPr>
          <w:spacing w:val="-4"/>
        </w:rPr>
        <w:t> </w:t>
      </w:r>
      <w:r>
        <w:rPr/>
        <w:t>ή</w:t>
      </w:r>
      <w:r>
        <w:rPr>
          <w:spacing w:val="-6"/>
        </w:rPr>
        <w:t> </w:t>
      </w:r>
      <w:r>
        <w:rPr/>
        <w:t>σημαντικές</w:t>
      </w:r>
      <w:r>
        <w:rPr>
          <w:spacing w:val="-3"/>
        </w:rPr>
        <w:t> </w:t>
      </w:r>
      <w:r>
        <w:rPr/>
        <w:t>λειτουρ-γίες.</w:t>
      </w:r>
      <w:r>
        <w:rPr>
          <w:spacing w:val="-12"/>
        </w:rPr>
        <w:t> </w:t>
      </w:r>
      <w:r>
        <w:rPr/>
        <w:t>Παράλληλα,</w:t>
      </w:r>
      <w:r>
        <w:rPr>
          <w:spacing w:val="-12"/>
        </w:rPr>
        <w:t> </w:t>
      </w:r>
      <w:r>
        <w:rPr/>
        <w:t>οι</w:t>
      </w:r>
      <w:r>
        <w:rPr>
          <w:spacing w:val="-11"/>
        </w:rPr>
        <w:t> </w:t>
      </w:r>
      <w:r>
        <w:rPr/>
        <w:t>συμβάσεις</w:t>
      </w:r>
      <w:r>
        <w:rPr>
          <w:spacing w:val="-12"/>
        </w:rPr>
        <w:t> </w:t>
      </w:r>
      <w:r>
        <w:rPr/>
        <w:t>με</w:t>
      </w:r>
      <w:r>
        <w:rPr>
          <w:spacing w:val="-11"/>
        </w:rPr>
        <w:t> </w:t>
      </w:r>
      <w:r>
        <w:rPr/>
        <w:t>τρίτους</w:t>
      </w:r>
      <w:r>
        <w:rPr>
          <w:spacing w:val="-13"/>
        </w:rPr>
        <w:t> </w:t>
      </w:r>
      <w:r>
        <w:rPr/>
        <w:t>παρόχους</w:t>
      </w:r>
      <w:r>
        <w:rPr>
          <w:spacing w:val="-13"/>
        </w:rPr>
        <w:t> </w:t>
      </w:r>
      <w:r>
        <w:rPr/>
        <w:t>οφείλουν</w:t>
      </w:r>
      <w:r>
        <w:rPr>
          <w:spacing w:val="-11"/>
        </w:rPr>
        <w:t> </w:t>
      </w:r>
      <w:r>
        <w:rPr/>
        <w:t>να</w:t>
      </w:r>
      <w:r>
        <w:rPr>
          <w:spacing w:val="-12"/>
        </w:rPr>
        <w:t> </w:t>
      </w:r>
      <w:r>
        <w:rPr/>
        <w:t>περιλαμβάνουν,</w:t>
      </w:r>
      <w:r>
        <w:rPr>
          <w:spacing w:val="-14"/>
        </w:rPr>
        <w:t> </w:t>
      </w:r>
      <w:r>
        <w:rPr/>
        <w:t>μεταξύ</w:t>
      </w:r>
      <w:r>
        <w:rPr>
          <w:spacing w:val="-11"/>
        </w:rPr>
        <w:t> </w:t>
      </w:r>
      <w:r>
        <w:rPr/>
        <w:t>άλλων, συγκεκριμένους</w:t>
      </w:r>
      <w:r>
        <w:rPr>
          <w:spacing w:val="-8"/>
        </w:rPr>
        <w:t> </w:t>
      </w:r>
      <w:r>
        <w:rPr/>
        <w:t>όρους</w:t>
      </w:r>
      <w:r>
        <w:rPr>
          <w:spacing w:val="-11"/>
        </w:rPr>
        <w:t> </w:t>
      </w:r>
      <w:r>
        <w:rPr/>
        <w:t>σχετικά</w:t>
      </w:r>
      <w:r>
        <w:rPr>
          <w:spacing w:val="-8"/>
        </w:rPr>
        <w:t> </w:t>
      </w:r>
      <w:r>
        <w:rPr/>
        <w:t>με</w:t>
      </w:r>
      <w:r>
        <w:rPr>
          <w:spacing w:val="-9"/>
        </w:rPr>
        <w:t> </w:t>
      </w:r>
      <w:r>
        <w:rPr/>
        <w:t>τα</w:t>
      </w:r>
      <w:r>
        <w:rPr>
          <w:spacing w:val="-8"/>
        </w:rPr>
        <w:t> </w:t>
      </w:r>
      <w:r>
        <w:rPr/>
        <w:t>δικαιώματα</w:t>
      </w:r>
      <w:r>
        <w:rPr>
          <w:spacing w:val="-10"/>
        </w:rPr>
        <w:t> </w:t>
      </w:r>
      <w:r>
        <w:rPr/>
        <w:t>ελέγχου,</w:t>
      </w:r>
      <w:r>
        <w:rPr>
          <w:spacing w:val="-10"/>
        </w:rPr>
        <w:t> </w:t>
      </w:r>
      <w:r>
        <w:rPr/>
        <w:t>επιθεώρησης</w:t>
      </w:r>
      <w:r>
        <w:rPr>
          <w:spacing w:val="-8"/>
        </w:rPr>
        <w:t> </w:t>
      </w:r>
      <w:r>
        <w:rPr/>
        <w:t>και</w:t>
      </w:r>
      <w:r>
        <w:rPr>
          <w:spacing w:val="-9"/>
        </w:rPr>
        <w:t> </w:t>
      </w:r>
      <w:r>
        <w:rPr/>
        <w:t>πρόσβασης</w:t>
      </w:r>
      <w:r>
        <w:rPr>
          <w:spacing w:val="-8"/>
        </w:rPr>
        <w:t> </w:t>
      </w:r>
      <w:r>
        <w:rPr/>
        <w:t>σε</w:t>
      </w:r>
      <w:r>
        <w:rPr>
          <w:spacing w:val="-6"/>
        </w:rPr>
        <w:t> </w:t>
      </w:r>
      <w:r>
        <w:rPr/>
        <w:t>δεδο-μένα.</w:t>
      </w:r>
      <w:r>
        <w:rPr>
          <w:spacing w:val="-5"/>
        </w:rPr>
        <w:t> </w:t>
      </w:r>
      <w:r>
        <w:rPr/>
        <w:t>Επιπλέον,</w:t>
      </w:r>
      <w:r>
        <w:rPr>
          <w:spacing w:val="-7"/>
        </w:rPr>
        <w:t> </w:t>
      </w:r>
      <w:r>
        <w:rPr/>
        <w:t>εισάγεται</w:t>
      </w:r>
      <w:r>
        <w:rPr>
          <w:spacing w:val="-7"/>
        </w:rPr>
        <w:t> </w:t>
      </w:r>
      <w:r>
        <w:rPr/>
        <w:t>η</w:t>
      </w:r>
      <w:r>
        <w:rPr>
          <w:spacing w:val="-5"/>
        </w:rPr>
        <w:t> </w:t>
      </w:r>
      <w:r>
        <w:rPr/>
        <w:t>υποχρέωση</w:t>
      </w:r>
      <w:r>
        <w:rPr>
          <w:spacing w:val="-3"/>
        </w:rPr>
        <w:t> </w:t>
      </w:r>
      <w:r>
        <w:rPr/>
        <w:t>χάραξης</w:t>
      </w:r>
      <w:r>
        <w:rPr>
          <w:spacing w:val="-8"/>
        </w:rPr>
        <w:t> </w:t>
      </w:r>
      <w:r>
        <w:rPr/>
        <w:t>σαφών</w:t>
      </w:r>
      <w:r>
        <w:rPr>
          <w:spacing w:val="-6"/>
        </w:rPr>
        <w:t> </w:t>
      </w:r>
      <w:r>
        <w:rPr/>
        <w:t>στρατηγικών</w:t>
      </w:r>
      <w:r>
        <w:rPr>
          <w:spacing w:val="-6"/>
        </w:rPr>
        <w:t> </w:t>
      </w:r>
      <w:r>
        <w:rPr/>
        <w:t>εξόδου</w:t>
      </w:r>
      <w:r>
        <w:rPr>
          <w:spacing w:val="-4"/>
        </w:rPr>
        <w:t> </w:t>
      </w:r>
      <w:r>
        <w:rPr/>
        <w:t>και</w:t>
      </w:r>
      <w:r>
        <w:rPr>
          <w:spacing w:val="-4"/>
        </w:rPr>
        <w:t> </w:t>
      </w:r>
      <w:r>
        <w:rPr/>
        <w:t>σχεδίων</w:t>
      </w:r>
      <w:r>
        <w:rPr>
          <w:spacing w:val="-4"/>
        </w:rPr>
        <w:t> </w:t>
      </w:r>
      <w:r>
        <w:rPr/>
        <w:t>μετά-βασης, ώστε να αποτρέπεται ο εγκλωβισμός σε έναν πάροχο και να διασφαλίζεται η επιχειρη-σιακή συνέχεια ακόμη και σε περίπτωση διακοπής της συνεργασίας.</w:t>
      </w:r>
    </w:p>
    <w:p>
      <w:pPr>
        <w:pStyle w:val="BodyText"/>
        <w:spacing w:line="285" w:lineRule="auto" w:before="50"/>
        <w:ind w:left="30" w:right="246"/>
        <w:jc w:val="both"/>
      </w:pPr>
      <w:r>
        <w:rPr/>
        <w:t>Υπό αυτό το πρίσμα, η πλέον σημαντική καινοτομία του Κανονισμού DORA είναι η θέσπιση ενός ενιαίου πλαισίου εποπτείας κρίσιμων τρίτων παρόχων (Critical Third-Party Providers – CTPPs) σε επίπεδο Ευρωπαϊκής Ένωσης. Για πρώτη φορά, οι Ευρωπαϊκές Εποπτικές Αρχές – ΕΕΑ (EBA, ESMA, EIOPA) αποκτούν αρμοδιότητα άμεσης επίβλεψης των τρίτων παρόχων υ-πηρεσιών</w:t>
      </w:r>
      <w:r>
        <w:rPr>
          <w:spacing w:val="-4"/>
        </w:rPr>
        <w:t> </w:t>
      </w:r>
      <w:r>
        <w:rPr/>
        <w:t>ΤΠΕ</w:t>
      </w:r>
      <w:r>
        <w:rPr>
          <w:spacing w:val="-5"/>
        </w:rPr>
        <w:t> </w:t>
      </w:r>
      <w:r>
        <w:rPr/>
        <w:t>που</w:t>
      </w:r>
      <w:r>
        <w:rPr>
          <w:spacing w:val="-4"/>
        </w:rPr>
        <w:t> </w:t>
      </w:r>
      <w:r>
        <w:rPr/>
        <w:t>εξυπηρετούν</w:t>
      </w:r>
      <w:r>
        <w:rPr>
          <w:spacing w:val="-4"/>
        </w:rPr>
        <w:t> </w:t>
      </w:r>
      <w:r>
        <w:rPr/>
        <w:t>χρηματοπιστωτικές</w:t>
      </w:r>
      <w:r>
        <w:rPr>
          <w:spacing w:val="-6"/>
        </w:rPr>
        <w:t> </w:t>
      </w:r>
      <w:r>
        <w:rPr/>
        <w:t>οντότητες</w:t>
      </w:r>
      <w:r>
        <w:rPr>
          <w:spacing w:val="-6"/>
        </w:rPr>
        <w:t> </w:t>
      </w:r>
      <w:r>
        <w:rPr/>
        <w:t>σε</w:t>
      </w:r>
      <w:r>
        <w:rPr>
          <w:spacing w:val="-4"/>
        </w:rPr>
        <w:t> </w:t>
      </w:r>
      <w:r>
        <w:rPr/>
        <w:t>ολόκληρη</w:t>
      </w:r>
      <w:r>
        <w:rPr>
          <w:spacing w:val="-5"/>
        </w:rPr>
        <w:t> </w:t>
      </w:r>
      <w:r>
        <w:rPr/>
        <w:t>την</w:t>
      </w:r>
      <w:r>
        <w:rPr>
          <w:spacing w:val="-6"/>
        </w:rPr>
        <w:t> </w:t>
      </w:r>
      <w:r>
        <w:rPr/>
        <w:t>Ευρωπαϊκή</w:t>
      </w:r>
      <w:r>
        <w:rPr>
          <w:spacing w:val="-5"/>
        </w:rPr>
        <w:t> </w:t>
      </w:r>
      <w:r>
        <w:rPr/>
        <w:t>Έ-νωση,</w:t>
      </w:r>
      <w:r>
        <w:rPr>
          <w:spacing w:val="-7"/>
        </w:rPr>
        <w:t> </w:t>
      </w:r>
      <w:r>
        <w:rPr/>
        <w:t>χωρίς</w:t>
      </w:r>
      <w:r>
        <w:rPr>
          <w:spacing w:val="-8"/>
        </w:rPr>
        <w:t> </w:t>
      </w:r>
      <w:r>
        <w:rPr/>
        <w:t>όμως</w:t>
      </w:r>
      <w:r>
        <w:rPr>
          <w:spacing w:val="-8"/>
        </w:rPr>
        <w:t> </w:t>
      </w:r>
      <w:r>
        <w:rPr/>
        <w:t>η</w:t>
      </w:r>
      <w:r>
        <w:rPr>
          <w:spacing w:val="-10"/>
        </w:rPr>
        <w:t> </w:t>
      </w:r>
      <w:r>
        <w:rPr/>
        <w:t>εποπτεία</w:t>
      </w:r>
      <w:r>
        <w:rPr>
          <w:spacing w:val="-7"/>
        </w:rPr>
        <w:t> </w:t>
      </w:r>
      <w:r>
        <w:rPr/>
        <w:t>αυτή</w:t>
      </w:r>
      <w:r>
        <w:rPr>
          <w:spacing w:val="-9"/>
        </w:rPr>
        <w:t> </w:t>
      </w:r>
      <w:r>
        <w:rPr/>
        <w:t>να</w:t>
      </w:r>
      <w:r>
        <w:rPr>
          <w:spacing w:val="-10"/>
        </w:rPr>
        <w:t> </w:t>
      </w:r>
      <w:r>
        <w:rPr/>
        <w:t>υποκαθιστά</w:t>
      </w:r>
      <w:r>
        <w:rPr>
          <w:spacing w:val="-8"/>
        </w:rPr>
        <w:t> </w:t>
      </w:r>
      <w:r>
        <w:rPr/>
        <w:t>τη</w:t>
      </w:r>
      <w:r>
        <w:rPr>
          <w:spacing w:val="-7"/>
        </w:rPr>
        <w:t> </w:t>
      </w:r>
      <w:r>
        <w:rPr/>
        <w:t>δράση</w:t>
      </w:r>
      <w:r>
        <w:rPr>
          <w:spacing w:val="-7"/>
        </w:rPr>
        <w:t> </w:t>
      </w:r>
      <w:r>
        <w:rPr/>
        <w:t>των</w:t>
      </w:r>
      <w:r>
        <w:rPr>
          <w:spacing w:val="-9"/>
        </w:rPr>
        <w:t> </w:t>
      </w:r>
      <w:r>
        <w:rPr/>
        <w:t>εθνικών</w:t>
      </w:r>
      <w:r>
        <w:rPr>
          <w:spacing w:val="-6"/>
        </w:rPr>
        <w:t> </w:t>
      </w:r>
      <w:r>
        <w:rPr/>
        <w:t>αρμόδιων</w:t>
      </w:r>
      <w:r>
        <w:rPr>
          <w:spacing w:val="-6"/>
        </w:rPr>
        <w:t> </w:t>
      </w:r>
      <w:r>
        <w:rPr/>
        <w:t>αρχών,</w:t>
      </w:r>
      <w:r>
        <w:rPr>
          <w:spacing w:val="-7"/>
        </w:rPr>
        <w:t> </w:t>
      </w:r>
      <w:r>
        <w:rPr/>
        <w:t>αλλά να τη συμπληρώνει.</w:t>
      </w:r>
    </w:p>
    <w:p>
      <w:pPr>
        <w:pStyle w:val="BodyText"/>
        <w:spacing w:before="160"/>
      </w:pPr>
    </w:p>
    <w:p>
      <w:pPr>
        <w:pStyle w:val="Heading4"/>
        <w:ind w:left="30"/>
      </w:pPr>
      <w:r>
        <w:rPr>
          <w:color w:val="1F487C"/>
        </w:rPr>
        <w:t>Πλαίσ</w:t>
      </w:r>
      <w:r>
        <w:rPr>
          <w:smallCaps/>
          <w:color w:val="1F487C"/>
        </w:rPr>
        <w:t>ιο</w:t>
      </w:r>
      <w:r>
        <w:rPr>
          <w:smallCaps w:val="0"/>
          <w:color w:val="1F487C"/>
          <w:spacing w:val="-14"/>
        </w:rPr>
        <w:t> </w:t>
      </w:r>
      <w:r>
        <w:rPr>
          <w:smallCaps w:val="0"/>
          <w:color w:val="1F487C"/>
        </w:rPr>
        <w:t>εποπτείας</w:t>
      </w:r>
      <w:r>
        <w:rPr>
          <w:smallCaps w:val="0"/>
          <w:color w:val="1F487C"/>
          <w:spacing w:val="-11"/>
        </w:rPr>
        <w:t> </w:t>
      </w:r>
      <w:r>
        <w:rPr>
          <w:smallCaps w:val="0"/>
          <w:color w:val="1F487C"/>
        </w:rPr>
        <w:t>κρίσ</w:t>
      </w:r>
      <w:r>
        <w:rPr>
          <w:smallCaps/>
          <w:color w:val="1F487C"/>
        </w:rPr>
        <w:t>ι</w:t>
      </w:r>
      <w:r>
        <w:rPr>
          <w:smallCaps w:val="0"/>
          <w:color w:val="1F487C"/>
        </w:rPr>
        <w:t>μων</w:t>
      </w:r>
      <w:r>
        <w:rPr>
          <w:smallCaps w:val="0"/>
          <w:color w:val="1F487C"/>
          <w:spacing w:val="-12"/>
        </w:rPr>
        <w:t> </w:t>
      </w:r>
      <w:r>
        <w:rPr>
          <w:smallCaps w:val="0"/>
          <w:color w:val="1F487C"/>
        </w:rPr>
        <w:t>τρίτων</w:t>
      </w:r>
      <w:r>
        <w:rPr>
          <w:smallCaps w:val="0"/>
          <w:color w:val="1F487C"/>
          <w:spacing w:val="-11"/>
        </w:rPr>
        <w:t> </w:t>
      </w:r>
      <w:r>
        <w:rPr>
          <w:smallCaps w:val="0"/>
          <w:color w:val="1F487C"/>
        </w:rPr>
        <w:t>παρόχων:</w:t>
      </w:r>
      <w:r>
        <w:rPr>
          <w:smallCaps w:val="0"/>
          <w:color w:val="1F487C"/>
          <w:spacing w:val="-11"/>
        </w:rPr>
        <w:t> </w:t>
      </w:r>
      <w:r>
        <w:rPr>
          <w:smallCaps w:val="0"/>
          <w:color w:val="1F487C"/>
        </w:rPr>
        <w:t>μοντέλο</w:t>
      </w:r>
      <w:r>
        <w:rPr>
          <w:smallCaps w:val="0"/>
          <w:color w:val="1F487C"/>
          <w:spacing w:val="-11"/>
        </w:rPr>
        <w:t> </w:t>
      </w:r>
      <w:r>
        <w:rPr>
          <w:smallCaps w:val="0"/>
          <w:color w:val="1F487C"/>
          <w:spacing w:val="-2"/>
        </w:rPr>
        <w:t>λε</w:t>
      </w:r>
      <w:r>
        <w:rPr>
          <w:smallCaps/>
          <w:color w:val="1F487C"/>
          <w:spacing w:val="-2"/>
        </w:rPr>
        <w:t>ι</w:t>
      </w:r>
      <w:r>
        <w:rPr>
          <w:smallCaps w:val="0"/>
          <w:color w:val="1F487C"/>
          <w:spacing w:val="-2"/>
        </w:rPr>
        <w:t>τουργίας</w:t>
      </w:r>
    </w:p>
    <w:p>
      <w:pPr>
        <w:pStyle w:val="BodyText"/>
        <w:spacing w:line="285" w:lineRule="auto" w:before="107"/>
        <w:ind w:left="30" w:right="245"/>
        <w:jc w:val="both"/>
      </w:pPr>
      <w:r>
        <w:rPr/>
        <w:t>Ο σχεδιασμός του πλαισίου εποπτείας κρίσιμων τρίτων παρόχων αποσκοπεί σε δύο κεντρικούς στόχους: αφενός, στην αποτελεσματική διαχείριση κινδύνων που προέρχονται από τους κρίσι-μους τρίτους παρόχους υπηρεσιών ΤΠΕ, εξασφαλίζοντας παράλληλα την παροχή ασφαλών και ανθεκτικών</w:t>
      </w:r>
      <w:r>
        <w:rPr>
          <w:spacing w:val="-9"/>
        </w:rPr>
        <w:t> </w:t>
      </w:r>
      <w:r>
        <w:rPr/>
        <w:t>υπηρεσιών</w:t>
      </w:r>
      <w:r>
        <w:rPr>
          <w:spacing w:val="-9"/>
        </w:rPr>
        <w:t> </w:t>
      </w:r>
      <w:r>
        <w:rPr/>
        <w:t>προς</w:t>
      </w:r>
      <w:r>
        <w:rPr>
          <w:spacing w:val="-8"/>
        </w:rPr>
        <w:t> </w:t>
      </w:r>
      <w:r>
        <w:rPr/>
        <w:t>τα</w:t>
      </w:r>
      <w:r>
        <w:rPr>
          <w:spacing w:val="-8"/>
        </w:rPr>
        <w:t> </w:t>
      </w:r>
      <w:r>
        <w:rPr/>
        <w:t>χρηματοπιστωτικά</w:t>
      </w:r>
      <w:r>
        <w:rPr>
          <w:spacing w:val="-10"/>
        </w:rPr>
        <w:t> </w:t>
      </w:r>
      <w:r>
        <w:rPr/>
        <w:t>ιδρύματα,</w:t>
      </w:r>
      <w:r>
        <w:rPr>
          <w:spacing w:val="-7"/>
        </w:rPr>
        <w:t> </w:t>
      </w:r>
      <w:r>
        <w:rPr/>
        <w:t>και</w:t>
      </w:r>
      <w:r>
        <w:rPr>
          <w:spacing w:val="-9"/>
        </w:rPr>
        <w:t> </w:t>
      </w:r>
      <w:r>
        <w:rPr/>
        <w:t>αφετέρου,</w:t>
      </w:r>
      <w:r>
        <w:rPr>
          <w:spacing w:val="-10"/>
        </w:rPr>
        <w:t> </w:t>
      </w:r>
      <w:r>
        <w:rPr/>
        <w:t>στην</w:t>
      </w:r>
      <w:r>
        <w:rPr>
          <w:spacing w:val="-9"/>
        </w:rPr>
        <w:t> </w:t>
      </w:r>
      <w:r>
        <w:rPr/>
        <w:t>αποτροπή</w:t>
      </w:r>
      <w:r>
        <w:rPr>
          <w:spacing w:val="-8"/>
        </w:rPr>
        <w:t> </w:t>
      </w:r>
      <w:r>
        <w:rPr/>
        <w:t>δυσ-λειτουργιών που μπορούν να προσλάβουν συστημικές διαστάσεις, δίνοντας ιδιαίτερη έμφαση στον κίνδυνο συγκέντρωσης που προκύπτει όταν πολλά ιδρύματα εξαρτώνται από τον ίδιο πά-</w:t>
      </w:r>
      <w:r>
        <w:rPr>
          <w:spacing w:val="-2"/>
        </w:rPr>
        <w:t>ροχο.</w:t>
      </w:r>
    </w:p>
    <w:p>
      <w:pPr>
        <w:pStyle w:val="BodyText"/>
        <w:spacing w:after="0" w:line="285" w:lineRule="auto"/>
        <w:jc w:val="both"/>
        <w:sectPr>
          <w:pgSz w:w="11910" w:h="16850"/>
          <w:pgMar w:header="0" w:footer="1262" w:top="1100" w:bottom="1500" w:left="1559" w:right="1559"/>
        </w:sectPr>
      </w:pPr>
    </w:p>
    <w:p>
      <w:pPr>
        <w:pStyle w:val="BodyText"/>
        <w:spacing w:line="285" w:lineRule="auto" w:before="74"/>
        <w:ind w:left="30" w:right="249"/>
        <w:jc w:val="both"/>
      </w:pPr>
      <w:r>
        <w:rPr/>
        <w:t>Το</w:t>
      </w:r>
      <w:r>
        <w:rPr>
          <w:spacing w:val="-6"/>
        </w:rPr>
        <w:t> </w:t>
      </w:r>
      <w:r>
        <w:rPr/>
        <w:t>μοντέλο</w:t>
      </w:r>
      <w:r>
        <w:rPr>
          <w:spacing w:val="-8"/>
        </w:rPr>
        <w:t> </w:t>
      </w:r>
      <w:r>
        <w:rPr/>
        <w:t>λειτουργίας</w:t>
      </w:r>
      <w:r>
        <w:rPr>
          <w:spacing w:val="-9"/>
        </w:rPr>
        <w:t> </w:t>
      </w:r>
      <w:r>
        <w:rPr/>
        <w:t>για</w:t>
      </w:r>
      <w:r>
        <w:rPr>
          <w:spacing w:val="-8"/>
        </w:rPr>
        <w:t> </w:t>
      </w:r>
      <w:r>
        <w:rPr/>
        <w:t>την</w:t>
      </w:r>
      <w:r>
        <w:rPr>
          <w:spacing w:val="-7"/>
        </w:rPr>
        <w:t> </w:t>
      </w:r>
      <w:r>
        <w:rPr/>
        <w:t>εποπτεία</w:t>
      </w:r>
      <w:r>
        <w:rPr>
          <w:spacing w:val="-5"/>
        </w:rPr>
        <w:t> </w:t>
      </w:r>
      <w:r>
        <w:rPr/>
        <w:t>των</w:t>
      </w:r>
      <w:r>
        <w:rPr>
          <w:spacing w:val="-5"/>
        </w:rPr>
        <w:t> </w:t>
      </w:r>
      <w:r>
        <w:rPr/>
        <w:t>Κρίσιμων</w:t>
      </w:r>
      <w:r>
        <w:rPr>
          <w:spacing w:val="-5"/>
        </w:rPr>
        <w:t> </w:t>
      </w:r>
      <w:r>
        <w:rPr/>
        <w:t>Τρίτων</w:t>
      </w:r>
      <w:r>
        <w:rPr>
          <w:spacing w:val="-5"/>
        </w:rPr>
        <w:t> </w:t>
      </w:r>
      <w:r>
        <w:rPr/>
        <w:t>Παρόχων</w:t>
      </w:r>
      <w:r>
        <w:rPr>
          <w:spacing w:val="-7"/>
        </w:rPr>
        <w:t> </w:t>
      </w:r>
      <w:r>
        <w:rPr/>
        <w:t>(CTPPs),</w:t>
      </w:r>
      <w:r>
        <w:rPr>
          <w:spacing w:val="-8"/>
        </w:rPr>
        <w:t> </w:t>
      </w:r>
      <w:r>
        <w:rPr/>
        <w:t>σύμφωνα</w:t>
      </w:r>
      <w:r>
        <w:rPr>
          <w:spacing w:val="-9"/>
        </w:rPr>
        <w:t> </w:t>
      </w:r>
      <w:r>
        <w:rPr/>
        <w:t>με τις οδηγίες των ΕΕΑ</w:t>
      </w:r>
      <w:hyperlink w:history="true" w:anchor="_bookmark204">
        <w:r>
          <w:rPr/>
          <w:t>,</w:t>
        </w:r>
        <w:r>
          <w:rPr>
            <w:position w:val="6"/>
            <w:sz w:val="10"/>
          </w:rPr>
          <w:t>141</w:t>
        </w:r>
      </w:hyperlink>
      <w:r>
        <w:rPr>
          <w:spacing w:val="37"/>
          <w:position w:val="6"/>
          <w:sz w:val="10"/>
        </w:rPr>
        <w:t> </w:t>
      </w:r>
      <w:r>
        <w:rPr/>
        <w:t>βασίζεται σε μια δομημένη ιεραρχία ρόλων που διασφαλίζει τη συνοχή και την αποτελεσματικότητα των εποπτικών δράσεων. Στην κορυφή της πυραμίδας βρίσκονται τα Συμβούλια Εποπτών (Boards of Supervisors) των EBA, EIOPA και ESMA, τα οποία φέρουν την τελική</w:t>
      </w:r>
      <w:r>
        <w:rPr>
          <w:spacing w:val="-2"/>
        </w:rPr>
        <w:t> </w:t>
      </w:r>
      <w:r>
        <w:rPr/>
        <w:t>ευθύνη για την</w:t>
      </w:r>
      <w:r>
        <w:rPr>
          <w:spacing w:val="-1"/>
        </w:rPr>
        <w:t> </w:t>
      </w:r>
      <w:r>
        <w:rPr/>
        <w:t>έγκριση των</w:t>
      </w:r>
      <w:r>
        <w:rPr>
          <w:spacing w:val="-1"/>
        </w:rPr>
        <w:t> </w:t>
      </w:r>
      <w:r>
        <w:rPr/>
        <w:t>συστάσεων και των αποφάσεων επιβολής</w:t>
      </w:r>
      <w:r>
        <w:rPr>
          <w:spacing w:val="-4"/>
        </w:rPr>
        <w:t> </w:t>
      </w:r>
      <w:r>
        <w:rPr/>
        <w:t>ποινών,</w:t>
      </w:r>
      <w:r>
        <w:rPr>
          <w:spacing w:val="-2"/>
        </w:rPr>
        <w:t> </w:t>
      </w:r>
      <w:r>
        <w:rPr/>
        <w:t>ενώ η Μεικτή</w:t>
      </w:r>
      <w:r>
        <w:rPr>
          <w:spacing w:val="-3"/>
        </w:rPr>
        <w:t> </w:t>
      </w:r>
      <w:r>
        <w:rPr/>
        <w:t>Επιτροπή (Joint</w:t>
      </w:r>
      <w:r>
        <w:rPr>
          <w:spacing w:val="-1"/>
        </w:rPr>
        <w:t> </w:t>
      </w:r>
      <w:r>
        <w:rPr/>
        <w:t>Committee)</w:t>
      </w:r>
      <w:r>
        <w:rPr>
          <w:spacing w:val="-1"/>
        </w:rPr>
        <w:t> </w:t>
      </w:r>
      <w:r>
        <w:rPr/>
        <w:t>διασφαλίζει</w:t>
      </w:r>
      <w:r>
        <w:rPr>
          <w:spacing w:val="-1"/>
        </w:rPr>
        <w:t> </w:t>
      </w:r>
      <w:r>
        <w:rPr/>
        <w:t>τον</w:t>
      </w:r>
      <w:r>
        <w:rPr>
          <w:spacing w:val="-1"/>
        </w:rPr>
        <w:t> </w:t>
      </w:r>
      <w:r>
        <w:rPr/>
        <w:t>συντονισμό μεταξύ των τριών ΕΕΑ και τη λήψη αποφάσεων για τον ορισμό των κρίσιμων παρόχων.</w:t>
      </w:r>
    </w:p>
    <w:p>
      <w:pPr>
        <w:pStyle w:val="BodyText"/>
        <w:spacing w:line="285" w:lineRule="auto" w:before="53"/>
        <w:ind w:left="30" w:right="246"/>
        <w:jc w:val="both"/>
      </w:pPr>
      <w:r>
        <w:rPr/>
        <w:t>Το Φόρουμ Εποπτείας (Oversight Forum) λειτουργεί ως το κεντρικό όργανο διαβούλευσης και προετοιμασίας.</w:t>
      </w:r>
      <w:r>
        <w:rPr>
          <w:spacing w:val="-9"/>
        </w:rPr>
        <w:t> </w:t>
      </w:r>
      <w:r>
        <w:rPr/>
        <w:t>Συγκεντρώνει</w:t>
      </w:r>
      <w:r>
        <w:rPr>
          <w:spacing w:val="-11"/>
        </w:rPr>
        <w:t> </w:t>
      </w:r>
      <w:r>
        <w:rPr/>
        <w:t>στους</w:t>
      </w:r>
      <w:r>
        <w:rPr>
          <w:spacing w:val="-11"/>
        </w:rPr>
        <w:t> </w:t>
      </w:r>
      <w:r>
        <w:rPr/>
        <w:t>κόλπους</w:t>
      </w:r>
      <w:r>
        <w:rPr>
          <w:spacing w:val="-11"/>
        </w:rPr>
        <w:t> </w:t>
      </w:r>
      <w:r>
        <w:rPr/>
        <w:t>του</w:t>
      </w:r>
      <w:r>
        <w:rPr>
          <w:spacing w:val="-9"/>
        </w:rPr>
        <w:t> </w:t>
      </w:r>
      <w:r>
        <w:rPr/>
        <w:t>εκπροσώπους</w:t>
      </w:r>
      <w:r>
        <w:rPr>
          <w:spacing w:val="-11"/>
        </w:rPr>
        <w:t> </w:t>
      </w:r>
      <w:r>
        <w:rPr/>
        <w:t>των</w:t>
      </w:r>
      <w:r>
        <w:rPr>
          <w:spacing w:val="-7"/>
        </w:rPr>
        <w:t> </w:t>
      </w:r>
      <w:r>
        <w:rPr/>
        <w:t>EEA</w:t>
      </w:r>
      <w:r>
        <w:rPr>
          <w:spacing w:val="-10"/>
        </w:rPr>
        <w:t> </w:t>
      </w:r>
      <w:r>
        <w:rPr/>
        <w:t>και</w:t>
      </w:r>
      <w:r>
        <w:rPr>
          <w:spacing w:val="-9"/>
        </w:rPr>
        <w:t> </w:t>
      </w:r>
      <w:r>
        <w:rPr/>
        <w:t>των</w:t>
      </w:r>
      <w:r>
        <w:rPr>
          <w:spacing w:val="-11"/>
        </w:rPr>
        <w:t> </w:t>
      </w:r>
      <w:r>
        <w:rPr/>
        <w:t>εθνικών</w:t>
      </w:r>
      <w:r>
        <w:rPr>
          <w:spacing w:val="-9"/>
        </w:rPr>
        <w:t> </w:t>
      </w:r>
      <w:r>
        <w:rPr/>
        <w:t>αρμό-διων αρχών με σκοπό την αξιολόγηση των κινδύνων και τη διαμόρφωση του ετήσιου προγράμ-ματος</w:t>
      </w:r>
      <w:r>
        <w:rPr>
          <w:spacing w:val="-16"/>
        </w:rPr>
        <w:t> </w:t>
      </w:r>
      <w:r>
        <w:rPr/>
        <w:t>εποπτείας.</w:t>
      </w:r>
      <w:r>
        <w:rPr>
          <w:spacing w:val="-14"/>
        </w:rPr>
        <w:t> </w:t>
      </w:r>
      <w:r>
        <w:rPr/>
        <w:t>Επιπλέον,</w:t>
      </w:r>
      <w:r>
        <w:rPr>
          <w:spacing w:val="-14"/>
        </w:rPr>
        <w:t> </w:t>
      </w:r>
      <w:r>
        <w:rPr/>
        <w:t>το</w:t>
      </w:r>
      <w:r>
        <w:rPr>
          <w:spacing w:val="-13"/>
        </w:rPr>
        <w:t> </w:t>
      </w:r>
      <w:r>
        <w:rPr/>
        <w:t>Κοινό</w:t>
      </w:r>
      <w:r>
        <w:rPr>
          <w:spacing w:val="-14"/>
        </w:rPr>
        <w:t> </w:t>
      </w:r>
      <w:r>
        <w:rPr/>
        <w:t>Δίκτυο</w:t>
      </w:r>
      <w:r>
        <w:rPr>
          <w:spacing w:val="-14"/>
        </w:rPr>
        <w:t> </w:t>
      </w:r>
      <w:r>
        <w:rPr/>
        <w:t>Εποπτείας</w:t>
      </w:r>
      <w:r>
        <w:rPr>
          <w:spacing w:val="-14"/>
        </w:rPr>
        <w:t> </w:t>
      </w:r>
      <w:r>
        <w:rPr/>
        <w:t>(Joint</w:t>
      </w:r>
      <w:r>
        <w:rPr>
          <w:spacing w:val="-13"/>
        </w:rPr>
        <w:t> </w:t>
      </w:r>
      <w:r>
        <w:rPr/>
        <w:t>Oversight</w:t>
      </w:r>
      <w:r>
        <w:rPr>
          <w:spacing w:val="-14"/>
        </w:rPr>
        <w:t> </w:t>
      </w:r>
      <w:r>
        <w:rPr/>
        <w:t>Network</w:t>
      </w:r>
      <w:r>
        <w:rPr>
          <w:spacing w:val="-14"/>
        </w:rPr>
        <w:t> </w:t>
      </w:r>
      <w:r>
        <w:rPr/>
        <w:t>–</w:t>
      </w:r>
      <w:r>
        <w:rPr>
          <w:spacing w:val="-14"/>
        </w:rPr>
        <w:t> </w:t>
      </w:r>
      <w:r>
        <w:rPr/>
        <w:t>JON)</w:t>
      </w:r>
      <w:r>
        <w:rPr>
          <w:spacing w:val="-13"/>
        </w:rPr>
        <w:t> </w:t>
      </w:r>
      <w:r>
        <w:rPr/>
        <w:t>παρέχει την απαραίτητη τεχνική υποστήριξη και διασφαλίζει την ομοιομορφία των πρακτικών ελέγχου σε όλη την Ευρωπαϊκή Ένωση. Σε επιχειρησιακό επίπεδο, οι Κοινές Εξεταστικές Ομάδες (Joint Examination</w:t>
      </w:r>
      <w:r>
        <w:rPr>
          <w:spacing w:val="-1"/>
        </w:rPr>
        <w:t> </w:t>
      </w:r>
      <w:r>
        <w:rPr/>
        <w:t>Teams</w:t>
      </w:r>
      <w:r>
        <w:rPr>
          <w:spacing w:val="-2"/>
        </w:rPr>
        <w:t> </w:t>
      </w:r>
      <w:r>
        <w:rPr/>
        <w:t>–</w:t>
      </w:r>
      <w:r>
        <w:rPr>
          <w:spacing w:val="-1"/>
        </w:rPr>
        <w:t> </w:t>
      </w:r>
      <w:r>
        <w:rPr/>
        <w:t>JETs) αποτελούν τον</w:t>
      </w:r>
      <w:r>
        <w:rPr>
          <w:spacing w:val="-2"/>
        </w:rPr>
        <w:t> </w:t>
      </w:r>
      <w:r>
        <w:rPr/>
        <w:t>εκτελεστικό</w:t>
      </w:r>
      <w:r>
        <w:rPr>
          <w:spacing w:val="-1"/>
        </w:rPr>
        <w:t> </w:t>
      </w:r>
      <w:r>
        <w:rPr/>
        <w:t>βραχίονα,</w:t>
      </w:r>
      <w:r>
        <w:rPr>
          <w:spacing w:val="-3"/>
        </w:rPr>
        <w:t> </w:t>
      </w:r>
      <w:r>
        <w:rPr/>
        <w:t>στελεχώνονται</w:t>
      </w:r>
      <w:r>
        <w:rPr>
          <w:spacing w:val="-3"/>
        </w:rPr>
        <w:t> </w:t>
      </w:r>
      <w:r>
        <w:rPr/>
        <w:t>από</w:t>
      </w:r>
      <w:r>
        <w:rPr>
          <w:spacing w:val="-1"/>
        </w:rPr>
        <w:t> </w:t>
      </w:r>
      <w:r>
        <w:rPr/>
        <w:t>εμπειρο-γνώμονες και είναι υπεύθυνες για τη διεξαγωγή των γενικών ερευνών (off-site), των επιτόπιων ελέγχων (on-site) και την άμεση επικοινωνία με τους CTPPs.</w:t>
      </w:r>
    </w:p>
    <w:p>
      <w:pPr>
        <w:pStyle w:val="BodyText"/>
        <w:spacing w:before="158"/>
      </w:pPr>
    </w:p>
    <w:p>
      <w:pPr>
        <w:pStyle w:val="Heading4"/>
        <w:ind w:left="30"/>
      </w:pPr>
      <w:r>
        <w:rPr>
          <w:color w:val="1F487C"/>
        </w:rPr>
        <w:t>Ενέργε</w:t>
      </w:r>
      <w:r>
        <w:rPr>
          <w:smallCaps/>
          <w:color w:val="1F487C"/>
        </w:rPr>
        <w:t>ι</w:t>
      </w:r>
      <w:r>
        <w:rPr>
          <w:smallCaps w:val="0"/>
          <w:color w:val="1F487C"/>
        </w:rPr>
        <w:t>ες</w:t>
      </w:r>
      <w:r>
        <w:rPr>
          <w:smallCaps w:val="0"/>
          <w:color w:val="1F487C"/>
          <w:spacing w:val="-11"/>
        </w:rPr>
        <w:t> </w:t>
      </w:r>
      <w:r>
        <w:rPr>
          <w:smallCaps w:val="0"/>
          <w:color w:val="1F487C"/>
        </w:rPr>
        <w:t>της</w:t>
      </w:r>
      <w:r>
        <w:rPr>
          <w:smallCaps w:val="0"/>
          <w:color w:val="1F487C"/>
          <w:spacing w:val="-8"/>
        </w:rPr>
        <w:t> </w:t>
      </w:r>
      <w:r>
        <w:rPr>
          <w:smallCaps w:val="0"/>
          <w:color w:val="1F487C"/>
        </w:rPr>
        <w:t>Τράπεζας</w:t>
      </w:r>
      <w:r>
        <w:rPr>
          <w:smallCaps w:val="0"/>
          <w:color w:val="1F487C"/>
          <w:spacing w:val="-8"/>
        </w:rPr>
        <w:t> </w:t>
      </w:r>
      <w:r>
        <w:rPr>
          <w:smallCaps w:val="0"/>
          <w:color w:val="1F487C"/>
        </w:rPr>
        <w:t>της</w:t>
      </w:r>
      <w:r>
        <w:rPr>
          <w:smallCaps w:val="0"/>
          <w:color w:val="1F487C"/>
          <w:spacing w:val="-8"/>
        </w:rPr>
        <w:t> </w:t>
      </w:r>
      <w:r>
        <w:rPr>
          <w:smallCaps w:val="0"/>
          <w:color w:val="1F487C"/>
        </w:rPr>
        <w:t>Ελλάδος</w:t>
      </w:r>
      <w:r>
        <w:rPr>
          <w:smallCaps w:val="0"/>
          <w:color w:val="1F487C"/>
          <w:spacing w:val="-8"/>
        </w:rPr>
        <w:t> </w:t>
      </w:r>
      <w:r>
        <w:rPr>
          <w:smallCaps w:val="0"/>
          <w:color w:val="1F487C"/>
        </w:rPr>
        <w:t>γ</w:t>
      </w:r>
      <w:r>
        <w:rPr>
          <w:smallCaps/>
          <w:color w:val="1F487C"/>
        </w:rPr>
        <w:t>ι</w:t>
      </w:r>
      <w:r>
        <w:rPr>
          <w:smallCaps w:val="0"/>
          <w:color w:val="1F487C"/>
        </w:rPr>
        <w:t>α</w:t>
      </w:r>
      <w:r>
        <w:rPr>
          <w:smallCaps w:val="0"/>
          <w:color w:val="1F487C"/>
          <w:spacing w:val="-9"/>
        </w:rPr>
        <w:t> </w:t>
      </w:r>
      <w:r>
        <w:rPr>
          <w:smallCaps w:val="0"/>
          <w:color w:val="1F487C"/>
        </w:rPr>
        <w:t>τη</w:t>
      </w:r>
      <w:r>
        <w:rPr>
          <w:smallCaps w:val="0"/>
          <w:color w:val="1F487C"/>
          <w:spacing w:val="-8"/>
        </w:rPr>
        <w:t> </w:t>
      </w:r>
      <w:r>
        <w:rPr>
          <w:smallCaps w:val="0"/>
          <w:color w:val="1F487C"/>
        </w:rPr>
        <w:t>δ</w:t>
      </w:r>
      <w:r>
        <w:rPr>
          <w:smallCaps/>
          <w:color w:val="1F487C"/>
        </w:rPr>
        <w:t>ι</w:t>
      </w:r>
      <w:r>
        <w:rPr>
          <w:smallCaps w:val="0"/>
          <w:color w:val="1F487C"/>
        </w:rPr>
        <w:t>αχείρ</w:t>
      </w:r>
      <w:r>
        <w:rPr>
          <w:smallCaps/>
          <w:color w:val="1F487C"/>
        </w:rPr>
        <w:t>ι</w:t>
      </w:r>
      <w:r>
        <w:rPr>
          <w:smallCaps w:val="0"/>
          <w:color w:val="1F487C"/>
        </w:rPr>
        <w:t>ση</w:t>
      </w:r>
      <w:r>
        <w:rPr>
          <w:smallCaps w:val="0"/>
          <w:color w:val="1F487C"/>
          <w:spacing w:val="-9"/>
        </w:rPr>
        <w:t> </w:t>
      </w:r>
      <w:r>
        <w:rPr>
          <w:smallCaps w:val="0"/>
          <w:color w:val="1F487C"/>
        </w:rPr>
        <w:t>του</w:t>
      </w:r>
      <w:r>
        <w:rPr>
          <w:smallCaps w:val="0"/>
          <w:color w:val="1F487C"/>
          <w:spacing w:val="-9"/>
        </w:rPr>
        <w:t> </w:t>
      </w:r>
      <w:r>
        <w:rPr>
          <w:smallCaps w:val="0"/>
          <w:color w:val="1F487C"/>
        </w:rPr>
        <w:t>κ</w:t>
      </w:r>
      <w:r>
        <w:rPr>
          <w:smallCaps/>
          <w:color w:val="1F487C"/>
        </w:rPr>
        <w:t>ιν</w:t>
      </w:r>
      <w:r>
        <w:rPr>
          <w:smallCaps w:val="0"/>
          <w:color w:val="1F487C"/>
        </w:rPr>
        <w:t>δύνου</w:t>
      </w:r>
      <w:r>
        <w:rPr>
          <w:smallCaps w:val="0"/>
          <w:color w:val="1F487C"/>
          <w:spacing w:val="-8"/>
        </w:rPr>
        <w:t> </w:t>
      </w:r>
      <w:r>
        <w:rPr>
          <w:smallCaps w:val="0"/>
          <w:color w:val="1F487C"/>
        </w:rPr>
        <w:t>τρίτων</w:t>
      </w:r>
      <w:r>
        <w:rPr>
          <w:smallCaps w:val="0"/>
          <w:color w:val="1F487C"/>
          <w:spacing w:val="-11"/>
        </w:rPr>
        <w:t> </w:t>
      </w:r>
      <w:r>
        <w:rPr>
          <w:smallCaps w:val="0"/>
          <w:color w:val="1F487C"/>
          <w:spacing w:val="-2"/>
        </w:rPr>
        <w:t>παρόχων</w:t>
      </w:r>
    </w:p>
    <w:p>
      <w:pPr>
        <w:pStyle w:val="BodyText"/>
        <w:spacing w:line="285" w:lineRule="auto" w:before="107"/>
        <w:ind w:left="30" w:right="247"/>
        <w:jc w:val="both"/>
      </w:pPr>
      <w:r>
        <w:rPr/>
        <w:t>Η</w:t>
      </w:r>
      <w:r>
        <w:rPr>
          <w:spacing w:val="-14"/>
        </w:rPr>
        <w:t> </w:t>
      </w:r>
      <w:r>
        <w:rPr/>
        <w:t>Τράπεζα</w:t>
      </w:r>
      <w:r>
        <w:rPr>
          <w:spacing w:val="-14"/>
        </w:rPr>
        <w:t> </w:t>
      </w:r>
      <w:r>
        <w:rPr/>
        <w:t>της</w:t>
      </w:r>
      <w:r>
        <w:rPr>
          <w:spacing w:val="-14"/>
        </w:rPr>
        <w:t> </w:t>
      </w:r>
      <w:r>
        <w:rPr/>
        <w:t>Ελλάδος,</w:t>
      </w:r>
      <w:r>
        <w:rPr>
          <w:spacing w:val="-13"/>
        </w:rPr>
        <w:t> </w:t>
      </w:r>
      <w:r>
        <w:rPr/>
        <w:t>στο</w:t>
      </w:r>
      <w:r>
        <w:rPr>
          <w:spacing w:val="-14"/>
        </w:rPr>
        <w:t> </w:t>
      </w:r>
      <w:r>
        <w:rPr/>
        <w:t>πλαίσιο</w:t>
      </w:r>
      <w:r>
        <w:rPr>
          <w:spacing w:val="-14"/>
        </w:rPr>
        <w:t> </w:t>
      </w:r>
      <w:r>
        <w:rPr/>
        <w:t>των</w:t>
      </w:r>
      <w:r>
        <w:rPr>
          <w:spacing w:val="-14"/>
        </w:rPr>
        <w:t> </w:t>
      </w:r>
      <w:r>
        <w:rPr/>
        <w:t>νέων</w:t>
      </w:r>
      <w:r>
        <w:rPr>
          <w:spacing w:val="-13"/>
        </w:rPr>
        <w:t> </w:t>
      </w:r>
      <w:r>
        <w:rPr/>
        <w:t>απαιτήσεων</w:t>
      </w:r>
      <w:r>
        <w:rPr>
          <w:spacing w:val="-12"/>
        </w:rPr>
        <w:t> </w:t>
      </w:r>
      <w:r>
        <w:rPr/>
        <w:t>του</w:t>
      </w:r>
      <w:r>
        <w:rPr>
          <w:spacing w:val="-13"/>
        </w:rPr>
        <w:t> </w:t>
      </w:r>
      <w:r>
        <w:rPr/>
        <w:t>Κανονισμού</w:t>
      </w:r>
      <w:r>
        <w:rPr>
          <w:spacing w:val="-13"/>
        </w:rPr>
        <w:t> </w:t>
      </w:r>
      <w:r>
        <w:rPr/>
        <w:t>DORA,</w:t>
      </w:r>
      <w:r>
        <w:rPr>
          <w:spacing w:val="-14"/>
        </w:rPr>
        <w:t> </w:t>
      </w:r>
      <w:r>
        <w:rPr/>
        <w:t>έχει</w:t>
      </w:r>
      <w:r>
        <w:rPr>
          <w:spacing w:val="-13"/>
        </w:rPr>
        <w:t> </w:t>
      </w:r>
      <w:r>
        <w:rPr/>
        <w:t>εντάξει τους</w:t>
      </w:r>
      <w:r>
        <w:rPr>
          <w:spacing w:val="-3"/>
        </w:rPr>
        <w:t> </w:t>
      </w:r>
      <w:r>
        <w:rPr/>
        <w:t>κινδύνους</w:t>
      </w:r>
      <w:r>
        <w:rPr>
          <w:spacing w:val="-3"/>
        </w:rPr>
        <w:t> </w:t>
      </w:r>
      <w:r>
        <w:rPr/>
        <w:t>που</w:t>
      </w:r>
      <w:r>
        <w:rPr>
          <w:spacing w:val="-1"/>
        </w:rPr>
        <w:t> </w:t>
      </w:r>
      <w:r>
        <w:rPr/>
        <w:t>απορρέουν</w:t>
      </w:r>
      <w:r>
        <w:rPr>
          <w:spacing w:val="-1"/>
        </w:rPr>
        <w:t> </w:t>
      </w:r>
      <w:r>
        <w:rPr/>
        <w:t>από</w:t>
      </w:r>
      <w:r>
        <w:rPr>
          <w:spacing w:val="-2"/>
        </w:rPr>
        <w:t> </w:t>
      </w:r>
      <w:r>
        <w:rPr/>
        <w:t>τρίτους</w:t>
      </w:r>
      <w:r>
        <w:rPr>
          <w:spacing w:val="-3"/>
        </w:rPr>
        <w:t> </w:t>
      </w:r>
      <w:r>
        <w:rPr/>
        <w:t>παρόχους</w:t>
      </w:r>
      <w:r>
        <w:rPr>
          <w:spacing w:val="-3"/>
        </w:rPr>
        <w:t> </w:t>
      </w:r>
      <w:r>
        <w:rPr/>
        <w:t>υπηρεσιών</w:t>
      </w:r>
      <w:r>
        <w:rPr>
          <w:spacing w:val="-1"/>
        </w:rPr>
        <w:t> </w:t>
      </w:r>
      <w:r>
        <w:rPr/>
        <w:t>ΤΠΕ</w:t>
      </w:r>
      <w:r>
        <w:rPr>
          <w:spacing w:val="-2"/>
        </w:rPr>
        <w:t> </w:t>
      </w:r>
      <w:r>
        <w:rPr/>
        <w:t>στην</w:t>
      </w:r>
      <w:r>
        <w:rPr>
          <w:spacing w:val="-1"/>
        </w:rPr>
        <w:t> </w:t>
      </w:r>
      <w:r>
        <w:rPr/>
        <w:t>περίμετρο</w:t>
      </w:r>
      <w:r>
        <w:rPr>
          <w:spacing w:val="-2"/>
        </w:rPr>
        <w:t> </w:t>
      </w:r>
      <w:r>
        <w:rPr/>
        <w:t>των</w:t>
      </w:r>
      <w:r>
        <w:rPr>
          <w:spacing w:val="-1"/>
        </w:rPr>
        <w:t> </w:t>
      </w:r>
      <w:r>
        <w:rPr/>
        <w:t>επο-πτικών</w:t>
      </w:r>
      <w:r>
        <w:rPr>
          <w:spacing w:val="-10"/>
        </w:rPr>
        <w:t> </w:t>
      </w:r>
      <w:r>
        <w:rPr/>
        <w:t>της</w:t>
      </w:r>
      <w:r>
        <w:rPr>
          <w:spacing w:val="-9"/>
        </w:rPr>
        <w:t> </w:t>
      </w:r>
      <w:r>
        <w:rPr/>
        <w:t>ενεργειών</w:t>
      </w:r>
      <w:r>
        <w:rPr>
          <w:spacing w:val="-7"/>
        </w:rPr>
        <w:t> </w:t>
      </w:r>
      <w:r>
        <w:rPr/>
        <w:t>για</w:t>
      </w:r>
      <w:r>
        <w:rPr>
          <w:spacing w:val="-8"/>
        </w:rPr>
        <w:t> </w:t>
      </w:r>
      <w:r>
        <w:rPr/>
        <w:t>τα</w:t>
      </w:r>
      <w:r>
        <w:rPr>
          <w:spacing w:val="-9"/>
        </w:rPr>
        <w:t> </w:t>
      </w:r>
      <w:r>
        <w:rPr/>
        <w:t>χρηματοπιστωτικά</w:t>
      </w:r>
      <w:r>
        <w:rPr>
          <w:spacing w:val="-9"/>
        </w:rPr>
        <w:t> </w:t>
      </w:r>
      <w:r>
        <w:rPr/>
        <w:t>ιδρύματα.</w:t>
      </w:r>
      <w:r>
        <w:rPr>
          <w:spacing w:val="-5"/>
        </w:rPr>
        <w:t> </w:t>
      </w:r>
      <w:r>
        <w:rPr/>
        <w:t>Αρχικά</w:t>
      </w:r>
      <w:r>
        <w:rPr>
          <w:spacing w:val="-11"/>
        </w:rPr>
        <w:t> </w:t>
      </w:r>
      <w:r>
        <w:rPr/>
        <w:t>υλοποίησε</w:t>
      </w:r>
      <w:r>
        <w:rPr>
          <w:spacing w:val="-7"/>
        </w:rPr>
        <w:t> </w:t>
      </w:r>
      <w:r>
        <w:rPr/>
        <w:t>μια</w:t>
      </w:r>
      <w:r>
        <w:rPr>
          <w:spacing w:val="-10"/>
        </w:rPr>
        <w:t> </w:t>
      </w:r>
      <w:r>
        <w:rPr/>
        <w:t>ολοκληρωμένη πλατφόρμα για τη συγκέντρωση, μέσα από ασφαλές περιβάλλον, των μητρώων πληροφοριών των τρίτων παρόχων υπηρεσιών ΤΠΕ από τα ιδρύματα. Τα μητρώα αυτά, αφού περάσουν από έναν</w:t>
      </w:r>
      <w:r>
        <w:rPr>
          <w:spacing w:val="-2"/>
        </w:rPr>
        <w:t> </w:t>
      </w:r>
      <w:r>
        <w:rPr/>
        <w:t>αρχικό</w:t>
      </w:r>
      <w:r>
        <w:rPr>
          <w:spacing w:val="-6"/>
        </w:rPr>
        <w:t> </w:t>
      </w:r>
      <w:r>
        <w:rPr/>
        <w:t>έλεγχο</w:t>
      </w:r>
      <w:r>
        <w:rPr>
          <w:spacing w:val="-5"/>
        </w:rPr>
        <w:t> </w:t>
      </w:r>
      <w:r>
        <w:rPr/>
        <w:t>συμμόρφωσης</w:t>
      </w:r>
      <w:r>
        <w:rPr>
          <w:spacing w:val="-7"/>
        </w:rPr>
        <w:t> </w:t>
      </w:r>
      <w:r>
        <w:rPr/>
        <w:t>με</w:t>
      </w:r>
      <w:r>
        <w:rPr>
          <w:spacing w:val="-5"/>
        </w:rPr>
        <w:t> </w:t>
      </w:r>
      <w:r>
        <w:rPr/>
        <w:t>την</w:t>
      </w:r>
      <w:r>
        <w:rPr>
          <w:spacing w:val="-5"/>
        </w:rPr>
        <w:t> </w:t>
      </w:r>
      <w:r>
        <w:rPr/>
        <w:t>ταξονομία</w:t>
      </w:r>
      <w:r>
        <w:rPr>
          <w:spacing w:val="-3"/>
        </w:rPr>
        <w:t> </w:t>
      </w:r>
      <w:r>
        <w:rPr/>
        <w:t>που</w:t>
      </w:r>
      <w:r>
        <w:rPr>
          <w:spacing w:val="-2"/>
        </w:rPr>
        <w:t> </w:t>
      </w:r>
      <w:r>
        <w:rPr/>
        <w:t>προβλέπει</w:t>
      </w:r>
      <w:r>
        <w:rPr>
          <w:spacing w:val="-5"/>
        </w:rPr>
        <w:t> </w:t>
      </w:r>
      <w:r>
        <w:rPr/>
        <w:t>το</w:t>
      </w:r>
      <w:r>
        <w:rPr>
          <w:spacing w:val="-2"/>
        </w:rPr>
        <w:t> </w:t>
      </w:r>
      <w:r>
        <w:rPr/>
        <w:t>ανονιστικό</w:t>
      </w:r>
      <w:r>
        <w:rPr>
          <w:spacing w:val="-5"/>
        </w:rPr>
        <w:t> </w:t>
      </w:r>
      <w:r>
        <w:rPr/>
        <w:t>πλαίσιο,</w:t>
      </w:r>
      <w:r>
        <w:rPr>
          <w:spacing w:val="-5"/>
        </w:rPr>
        <w:t> </w:t>
      </w:r>
      <w:r>
        <w:rPr/>
        <w:t>απο-στέλλονται στις ΕΕΑ για να συμβάλουν στη διαδικασία προσδιορισμού των κρίσιμων τρίτων παρόχων υπηρεσιών ΤΠΕ.</w:t>
      </w:r>
    </w:p>
    <w:p>
      <w:pPr>
        <w:pStyle w:val="BodyText"/>
        <w:spacing w:line="285" w:lineRule="auto" w:before="52"/>
        <w:ind w:left="30" w:right="246"/>
        <w:jc w:val="both"/>
      </w:pPr>
      <w:r>
        <w:rPr/>
        <w:t>Τα μητρώα πληροφοριών των τρίτων παρόχων υπηρεσιών ΤΠΕ που συγκεντρώνει η Τράπεζα της Ελλάδος χρησιμεύουν επίσης για τη χαρτογράφηση των σχέσεων που έχουν τα χρηματοπι-στωτικά ιδρύματα με τρίτους παρόχους υπηρεσιών ΤΠΕ. Η ανάλυση αυτή επιτρέπει στην Τρά-πεζα</w:t>
      </w:r>
      <w:r>
        <w:rPr>
          <w:spacing w:val="-16"/>
        </w:rPr>
        <w:t> </w:t>
      </w:r>
      <w:r>
        <w:rPr/>
        <w:t>της</w:t>
      </w:r>
      <w:r>
        <w:rPr>
          <w:spacing w:val="-14"/>
        </w:rPr>
        <w:t> </w:t>
      </w:r>
      <w:r>
        <w:rPr/>
        <w:t>Ελλάδος</w:t>
      </w:r>
      <w:r>
        <w:rPr>
          <w:spacing w:val="-14"/>
        </w:rPr>
        <w:t> </w:t>
      </w:r>
      <w:r>
        <w:rPr/>
        <w:t>να</w:t>
      </w:r>
      <w:r>
        <w:rPr>
          <w:spacing w:val="-13"/>
        </w:rPr>
        <w:t> </w:t>
      </w:r>
      <w:r>
        <w:rPr/>
        <w:t>διαμορφώσει</w:t>
      </w:r>
      <w:r>
        <w:rPr>
          <w:spacing w:val="-14"/>
        </w:rPr>
        <w:t> </w:t>
      </w:r>
      <w:r>
        <w:rPr/>
        <w:t>ολοκληρωμένη</w:t>
      </w:r>
      <w:r>
        <w:rPr>
          <w:spacing w:val="-14"/>
        </w:rPr>
        <w:t> </w:t>
      </w:r>
      <w:r>
        <w:rPr/>
        <w:t>εικόνα</w:t>
      </w:r>
      <w:r>
        <w:rPr>
          <w:spacing w:val="-14"/>
        </w:rPr>
        <w:t> </w:t>
      </w:r>
      <w:r>
        <w:rPr/>
        <w:t>σχετικά</w:t>
      </w:r>
      <w:r>
        <w:rPr>
          <w:spacing w:val="-13"/>
        </w:rPr>
        <w:t> </w:t>
      </w:r>
      <w:r>
        <w:rPr/>
        <w:t>με</w:t>
      </w:r>
      <w:r>
        <w:rPr>
          <w:spacing w:val="-14"/>
        </w:rPr>
        <w:t> </w:t>
      </w:r>
      <w:r>
        <w:rPr/>
        <w:t>τις</w:t>
      </w:r>
      <w:r>
        <w:rPr>
          <w:spacing w:val="-14"/>
        </w:rPr>
        <w:t> </w:t>
      </w:r>
      <w:r>
        <w:rPr/>
        <w:t>εξαρτήσεις</w:t>
      </w:r>
      <w:r>
        <w:rPr>
          <w:spacing w:val="-14"/>
        </w:rPr>
        <w:t> </w:t>
      </w:r>
      <w:r>
        <w:rPr/>
        <w:t>του</w:t>
      </w:r>
      <w:r>
        <w:rPr>
          <w:spacing w:val="-13"/>
        </w:rPr>
        <w:t> </w:t>
      </w:r>
      <w:r>
        <w:rPr/>
        <w:t>εγχώριου χρηματοπιστωτικού συστήματος από τρίτους παρόχους, διευκολύνοντας έτσι τον εντοπισμό εν-δεχόμενων</w:t>
      </w:r>
      <w:r>
        <w:rPr>
          <w:spacing w:val="-7"/>
        </w:rPr>
        <w:t> </w:t>
      </w:r>
      <w:r>
        <w:rPr/>
        <w:t>κινδύνων</w:t>
      </w:r>
      <w:r>
        <w:rPr>
          <w:spacing w:val="-7"/>
        </w:rPr>
        <w:t> </w:t>
      </w:r>
      <w:r>
        <w:rPr/>
        <w:t>όσον</w:t>
      </w:r>
      <w:r>
        <w:rPr>
          <w:spacing w:val="-12"/>
        </w:rPr>
        <w:t> </w:t>
      </w:r>
      <w:r>
        <w:rPr/>
        <w:t>αφορά</w:t>
      </w:r>
      <w:r>
        <w:rPr>
          <w:spacing w:val="-8"/>
        </w:rPr>
        <w:t> </w:t>
      </w:r>
      <w:r>
        <w:rPr/>
        <w:t>τη</w:t>
      </w:r>
      <w:r>
        <w:rPr>
          <w:spacing w:val="-8"/>
        </w:rPr>
        <w:t> </w:t>
      </w:r>
      <w:r>
        <w:rPr/>
        <w:t>συγκέντρωση</w:t>
      </w:r>
      <w:r>
        <w:rPr>
          <w:spacing w:val="-8"/>
        </w:rPr>
        <w:t> </w:t>
      </w:r>
      <w:r>
        <w:rPr/>
        <w:t>της</w:t>
      </w:r>
      <w:r>
        <w:rPr>
          <w:spacing w:val="-9"/>
        </w:rPr>
        <w:t> </w:t>
      </w:r>
      <w:r>
        <w:rPr/>
        <w:t>υποστήριξης</w:t>
      </w:r>
      <w:r>
        <w:rPr>
          <w:spacing w:val="-9"/>
        </w:rPr>
        <w:t> </w:t>
      </w:r>
      <w:r>
        <w:rPr/>
        <w:t>κρίσιμων</w:t>
      </w:r>
      <w:r>
        <w:rPr>
          <w:spacing w:val="-10"/>
        </w:rPr>
        <w:t> </w:t>
      </w:r>
      <w:r>
        <w:rPr/>
        <w:t>ή</w:t>
      </w:r>
      <w:r>
        <w:rPr>
          <w:spacing w:val="-8"/>
        </w:rPr>
        <w:t> </w:t>
      </w:r>
      <w:r>
        <w:rPr/>
        <w:t>σημαντικών</w:t>
      </w:r>
      <w:r>
        <w:rPr>
          <w:spacing w:val="-4"/>
        </w:rPr>
        <w:t> </w:t>
      </w:r>
      <w:r>
        <w:rPr/>
        <w:t>λει-τουργειών σε περιορισμένο αριθμό τρίτων παρόχων.</w:t>
      </w:r>
    </w:p>
    <w:p>
      <w:pPr>
        <w:pStyle w:val="BodyText"/>
        <w:spacing w:line="285" w:lineRule="auto" w:before="53"/>
        <w:ind w:left="30" w:right="246"/>
        <w:jc w:val="both"/>
      </w:pPr>
      <w:r>
        <w:rPr/>
        <w:t>Επιπρόσθετα,</w:t>
      </w:r>
      <w:r>
        <w:rPr>
          <w:spacing w:val="-5"/>
        </w:rPr>
        <w:t> </w:t>
      </w:r>
      <w:r>
        <w:rPr/>
        <w:t>η</w:t>
      </w:r>
      <w:r>
        <w:rPr>
          <w:spacing w:val="-5"/>
        </w:rPr>
        <w:t> </w:t>
      </w:r>
      <w:r>
        <w:rPr/>
        <w:t>Τράπεζα</w:t>
      </w:r>
      <w:r>
        <w:rPr>
          <w:spacing w:val="-5"/>
        </w:rPr>
        <w:t> </w:t>
      </w:r>
      <w:r>
        <w:rPr/>
        <w:t>της</w:t>
      </w:r>
      <w:r>
        <w:rPr>
          <w:spacing w:val="-6"/>
        </w:rPr>
        <w:t> </w:t>
      </w:r>
      <w:r>
        <w:rPr/>
        <w:t>Ελλάδος,</w:t>
      </w:r>
      <w:r>
        <w:rPr>
          <w:spacing w:val="-5"/>
        </w:rPr>
        <w:t> </w:t>
      </w:r>
      <w:r>
        <w:rPr/>
        <w:t>σύμφωνα</w:t>
      </w:r>
      <w:r>
        <w:rPr>
          <w:spacing w:val="-5"/>
        </w:rPr>
        <w:t> </w:t>
      </w:r>
      <w:r>
        <w:rPr/>
        <w:t>με</w:t>
      </w:r>
      <w:r>
        <w:rPr>
          <w:spacing w:val="-4"/>
        </w:rPr>
        <w:t> </w:t>
      </w:r>
      <w:r>
        <w:rPr/>
        <w:t>τον</w:t>
      </w:r>
      <w:r>
        <w:rPr>
          <w:spacing w:val="-4"/>
        </w:rPr>
        <w:t> </w:t>
      </w:r>
      <w:r>
        <w:rPr/>
        <w:t>θεσμικό</w:t>
      </w:r>
      <w:r>
        <w:rPr>
          <w:spacing w:val="-5"/>
        </w:rPr>
        <w:t> </w:t>
      </w:r>
      <w:r>
        <w:rPr/>
        <w:t>της</w:t>
      </w:r>
      <w:r>
        <w:rPr>
          <w:spacing w:val="-6"/>
        </w:rPr>
        <w:t> </w:t>
      </w:r>
      <w:r>
        <w:rPr/>
        <w:t>ρόλο</w:t>
      </w:r>
      <w:r>
        <w:rPr>
          <w:spacing w:val="-5"/>
        </w:rPr>
        <w:t> </w:t>
      </w:r>
      <w:r>
        <w:rPr/>
        <w:t>και</w:t>
      </w:r>
      <w:r>
        <w:rPr>
          <w:spacing w:val="-5"/>
        </w:rPr>
        <w:t> </w:t>
      </w:r>
      <w:r>
        <w:rPr/>
        <w:t>όπως</w:t>
      </w:r>
      <w:r>
        <w:rPr>
          <w:spacing w:val="-6"/>
        </w:rPr>
        <w:t> </w:t>
      </w:r>
      <w:r>
        <w:rPr/>
        <w:t>ορίζεται</w:t>
      </w:r>
      <w:r>
        <w:rPr>
          <w:spacing w:val="-7"/>
        </w:rPr>
        <w:t> </w:t>
      </w:r>
      <w:r>
        <w:rPr/>
        <w:t>στο άρθρο 149 “Εκπροσώπηση στο φόρουμ εποπτείας” του ν. 5193/2025, εκπροσωπεί τη χώρα ως μέλος του φόρουμ εποπτείας, που έχει στόχο, μεταξύ άλλων, την ενίσχυση της</w:t>
      </w:r>
      <w:r>
        <w:rPr>
          <w:spacing w:val="-1"/>
        </w:rPr>
        <w:t> </w:t>
      </w:r>
      <w:r>
        <w:rPr/>
        <w:t>συνεργασίας με-ταξύ των ευρωπαϊκών αρχών και τη διαμόρφωση κοινών εποπτικών απαιτήσεων και κατευθύν-σεων για τη βέλτιστη διαχείριση των κινδύνων που πηγάζουν από τη χρήση τρίτων παρόχων. Επιπροσθέτως,</w:t>
      </w:r>
      <w:r>
        <w:rPr>
          <w:spacing w:val="-1"/>
        </w:rPr>
        <w:t> </w:t>
      </w:r>
      <w:r>
        <w:rPr/>
        <w:t>η</w:t>
      </w:r>
      <w:r>
        <w:rPr>
          <w:spacing w:val="-4"/>
        </w:rPr>
        <w:t> </w:t>
      </w:r>
      <w:r>
        <w:rPr/>
        <w:t>Τράπεζα</w:t>
      </w:r>
      <w:r>
        <w:rPr>
          <w:spacing w:val="-7"/>
        </w:rPr>
        <w:t> </w:t>
      </w:r>
      <w:r>
        <w:rPr/>
        <w:t>της</w:t>
      </w:r>
      <w:r>
        <w:rPr>
          <w:spacing w:val="-3"/>
        </w:rPr>
        <w:t> </w:t>
      </w:r>
      <w:r>
        <w:rPr/>
        <w:t>Ελλάδος</w:t>
      </w:r>
      <w:r>
        <w:rPr>
          <w:spacing w:val="-5"/>
        </w:rPr>
        <w:t> </w:t>
      </w:r>
      <w:r>
        <w:rPr/>
        <w:t>επέλεξε</w:t>
      </w:r>
      <w:r>
        <w:rPr>
          <w:spacing w:val="-1"/>
        </w:rPr>
        <w:t> </w:t>
      </w:r>
      <w:r>
        <w:rPr/>
        <w:t>την</w:t>
      </w:r>
      <w:r>
        <w:rPr>
          <w:spacing w:val="-3"/>
        </w:rPr>
        <w:t> </w:t>
      </w:r>
      <w:r>
        <w:rPr/>
        <w:t>ενεργό</w:t>
      </w:r>
      <w:r>
        <w:rPr>
          <w:spacing w:val="-4"/>
        </w:rPr>
        <w:t> </w:t>
      </w:r>
      <w:r>
        <w:rPr/>
        <w:t>συμμετοχή</w:t>
      </w:r>
      <w:r>
        <w:rPr>
          <w:spacing w:val="-1"/>
        </w:rPr>
        <w:t> </w:t>
      </w:r>
      <w:r>
        <w:rPr/>
        <w:t>της</w:t>
      </w:r>
      <w:r>
        <w:rPr>
          <w:spacing w:val="-5"/>
        </w:rPr>
        <w:t> </w:t>
      </w:r>
      <w:r>
        <w:rPr/>
        <w:t>στο</w:t>
      </w:r>
      <w:r>
        <w:rPr>
          <w:spacing w:val="-4"/>
        </w:rPr>
        <w:t> </w:t>
      </w:r>
      <w:r>
        <w:rPr/>
        <w:t>νέο</w:t>
      </w:r>
      <w:r>
        <w:rPr>
          <w:spacing w:val="-1"/>
        </w:rPr>
        <w:t> </w:t>
      </w:r>
      <w:r>
        <w:rPr/>
        <w:t>πλαίσιο</w:t>
      </w:r>
      <w:r>
        <w:rPr>
          <w:spacing w:val="-3"/>
        </w:rPr>
        <w:t> </w:t>
      </w:r>
      <w:r>
        <w:rPr/>
        <w:t>επο-πτείας των τρίτων παρόχων μέσα από την εκπροσώπησή της στις Κοινές Εξεταστικές Ομάδες, που</w:t>
      </w:r>
      <w:r>
        <w:rPr>
          <w:spacing w:val="-12"/>
        </w:rPr>
        <w:t> </w:t>
      </w:r>
      <w:r>
        <w:rPr/>
        <w:t>έχουν</w:t>
      </w:r>
      <w:r>
        <w:rPr>
          <w:spacing w:val="-11"/>
        </w:rPr>
        <w:t> </w:t>
      </w:r>
      <w:r>
        <w:rPr/>
        <w:t>ως</w:t>
      </w:r>
      <w:r>
        <w:rPr>
          <w:spacing w:val="-14"/>
        </w:rPr>
        <w:t> </w:t>
      </w:r>
      <w:r>
        <w:rPr/>
        <w:t>στόχο</w:t>
      </w:r>
      <w:r>
        <w:rPr>
          <w:spacing w:val="-12"/>
        </w:rPr>
        <w:t> </w:t>
      </w:r>
      <w:r>
        <w:rPr/>
        <w:t>την</w:t>
      </w:r>
      <w:r>
        <w:rPr>
          <w:spacing w:val="-11"/>
        </w:rPr>
        <w:t> </w:t>
      </w:r>
      <w:r>
        <w:rPr/>
        <w:t>από</w:t>
      </w:r>
      <w:r>
        <w:rPr>
          <w:spacing w:val="-12"/>
        </w:rPr>
        <w:t> </w:t>
      </w:r>
      <w:r>
        <w:rPr/>
        <w:t>κοινού</w:t>
      </w:r>
      <w:r>
        <w:rPr>
          <w:spacing w:val="-11"/>
        </w:rPr>
        <w:t> </w:t>
      </w:r>
      <w:r>
        <w:rPr/>
        <w:t>εποπτεία</w:t>
      </w:r>
      <w:r>
        <w:rPr>
          <w:spacing w:val="-12"/>
        </w:rPr>
        <w:t> </w:t>
      </w:r>
      <w:r>
        <w:rPr/>
        <w:t>των</w:t>
      </w:r>
      <w:r>
        <w:rPr>
          <w:spacing w:val="-11"/>
        </w:rPr>
        <w:t> </w:t>
      </w:r>
      <w:r>
        <w:rPr/>
        <w:t>κρίσιμων</w:t>
      </w:r>
      <w:r>
        <w:rPr>
          <w:spacing w:val="-12"/>
        </w:rPr>
        <w:t> </w:t>
      </w:r>
      <w:r>
        <w:rPr/>
        <w:t>τρίτων</w:t>
      </w:r>
      <w:r>
        <w:rPr>
          <w:spacing w:val="-11"/>
        </w:rPr>
        <w:t> </w:t>
      </w:r>
      <w:r>
        <w:rPr/>
        <w:t>παρόχων</w:t>
      </w:r>
      <w:r>
        <w:rPr>
          <w:spacing w:val="-13"/>
        </w:rPr>
        <w:t> </w:t>
      </w:r>
      <w:r>
        <w:rPr/>
        <w:t>υπηρεσιών</w:t>
      </w:r>
      <w:r>
        <w:rPr>
          <w:spacing w:val="-11"/>
        </w:rPr>
        <w:t> </w:t>
      </w:r>
      <w:r>
        <w:rPr/>
        <w:t>ΤΠΕ</w:t>
      </w:r>
      <w:r>
        <w:rPr>
          <w:spacing w:val="-12"/>
        </w:rPr>
        <w:t> </w:t>
      </w:r>
      <w:r>
        <w:rPr/>
        <w:t>από τις αρμόδιες εποπτικές αρχές, ώστε να διασφαλιστεί η ψηφιακή ανθεκτικότητα του χρηματοπι-στωτικού τομέα της ΕΕ.</w:t>
      </w:r>
    </w:p>
    <w:p>
      <w:pPr>
        <w:pStyle w:val="BodyText"/>
        <w:rPr>
          <w:sz w:val="20"/>
        </w:rPr>
      </w:pPr>
    </w:p>
    <w:p>
      <w:pPr>
        <w:pStyle w:val="BodyText"/>
        <w:spacing w:before="4"/>
        <w:rPr>
          <w:sz w:val="20"/>
        </w:rPr>
      </w:pPr>
      <w:r>
        <w:rPr>
          <w:sz w:val="20"/>
        </w:rPr>
        <mc:AlternateContent>
          <mc:Choice Requires="wps">
            <w:drawing>
              <wp:anchor distT="0" distB="0" distL="0" distR="0" allowOverlap="1" layoutInCell="1" locked="0" behindDoc="1" simplePos="0" relativeHeight="487686656">
                <wp:simplePos x="0" y="0"/>
                <wp:positionH relativeFrom="page">
                  <wp:posOffset>1009192</wp:posOffset>
                </wp:positionH>
                <wp:positionV relativeFrom="paragraph">
                  <wp:posOffset>163932</wp:posOffset>
                </wp:positionV>
                <wp:extent cx="1829435" cy="7620"/>
                <wp:effectExtent l="0" t="0" r="0" b="0"/>
                <wp:wrapTopAndBottom/>
                <wp:docPr id="814" name="Graphic 814"/>
                <wp:cNvGraphicFramePr>
                  <a:graphicFrameLocks/>
                </wp:cNvGraphicFramePr>
                <a:graphic>
                  <a:graphicData uri="http://schemas.microsoft.com/office/word/2010/wordprocessingShape">
                    <wps:wsp>
                      <wps:cNvPr id="814" name="Graphic 81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463997pt;margin-top:12.908056pt;width:144.020pt;height:.599980pt;mso-position-horizontal-relative:page;mso-position-vertical-relative:paragraph;z-index:-15629824;mso-wrap-distance-left:0;mso-wrap-distance-right:0" id="docshape761" filled="true" fillcolor="#000000" stroked="false">
                <v:fill type="solid"/>
                <w10:wrap type="topAndBottom"/>
              </v:rect>
            </w:pict>
          </mc:Fallback>
        </mc:AlternateContent>
      </w:r>
    </w:p>
    <w:p>
      <w:pPr>
        <w:spacing w:before="167"/>
        <w:ind w:left="30" w:right="0" w:firstLine="0"/>
        <w:jc w:val="left"/>
        <w:rPr>
          <w:sz w:val="16"/>
        </w:rPr>
      </w:pPr>
      <w:bookmarkStart w:name="_bookmark204" w:id="205"/>
      <w:bookmarkEnd w:id="205"/>
      <w:r>
        <w:rPr/>
      </w:r>
      <w:r>
        <w:rPr>
          <w:sz w:val="16"/>
          <w:vertAlign w:val="superscript"/>
        </w:rPr>
        <w:t>141</w:t>
      </w:r>
      <w:r>
        <w:rPr>
          <w:spacing w:val="-6"/>
          <w:sz w:val="16"/>
          <w:vertAlign w:val="baseline"/>
        </w:rPr>
        <w:t> </w:t>
      </w:r>
      <w:r>
        <w:rPr>
          <w:sz w:val="16"/>
          <w:vertAlign w:val="baseline"/>
        </w:rPr>
        <w:t>European</w:t>
      </w:r>
      <w:r>
        <w:rPr>
          <w:spacing w:val="-6"/>
          <w:sz w:val="16"/>
          <w:vertAlign w:val="baseline"/>
        </w:rPr>
        <w:t> </w:t>
      </w:r>
      <w:r>
        <w:rPr>
          <w:sz w:val="16"/>
          <w:vertAlign w:val="baseline"/>
        </w:rPr>
        <w:t>Banking</w:t>
      </w:r>
      <w:r>
        <w:rPr>
          <w:spacing w:val="-6"/>
          <w:sz w:val="16"/>
          <w:vertAlign w:val="baseline"/>
        </w:rPr>
        <w:t> </w:t>
      </w:r>
      <w:r>
        <w:rPr>
          <w:sz w:val="16"/>
          <w:vertAlign w:val="baseline"/>
        </w:rPr>
        <w:t>Authority,</w:t>
      </w:r>
      <w:r>
        <w:rPr>
          <w:spacing w:val="-3"/>
          <w:sz w:val="16"/>
          <w:vertAlign w:val="baseline"/>
        </w:rPr>
        <w:t> </w:t>
      </w:r>
      <w:hyperlink r:id="rId182">
        <w:r>
          <w:rPr>
            <w:color w:val="0000FF"/>
            <w:sz w:val="16"/>
            <w:u w:val="single" w:color="0000FF"/>
            <w:vertAlign w:val="baseline"/>
          </w:rPr>
          <w:t>ESAs</w:t>
        </w:r>
        <w:r>
          <w:rPr>
            <w:color w:val="0000FF"/>
            <w:spacing w:val="-7"/>
            <w:sz w:val="16"/>
            <w:u w:val="single" w:color="0000FF"/>
            <w:vertAlign w:val="baseline"/>
          </w:rPr>
          <w:t> </w:t>
        </w:r>
        <w:r>
          <w:rPr>
            <w:color w:val="0000FF"/>
            <w:sz w:val="16"/>
            <w:u w:val="single" w:color="0000FF"/>
            <w:vertAlign w:val="baseline"/>
          </w:rPr>
          <w:t>publish</w:t>
        </w:r>
        <w:r>
          <w:rPr>
            <w:color w:val="0000FF"/>
            <w:spacing w:val="-6"/>
            <w:sz w:val="16"/>
            <w:u w:val="single" w:color="0000FF"/>
            <w:vertAlign w:val="baseline"/>
          </w:rPr>
          <w:t> </w:t>
        </w:r>
        <w:r>
          <w:rPr>
            <w:color w:val="0000FF"/>
            <w:sz w:val="16"/>
            <w:u w:val="single" w:color="0000FF"/>
            <w:vertAlign w:val="baseline"/>
          </w:rPr>
          <w:t>guide</w:t>
        </w:r>
        <w:r>
          <w:rPr>
            <w:color w:val="0000FF"/>
            <w:spacing w:val="-7"/>
            <w:sz w:val="16"/>
            <w:u w:val="single" w:color="0000FF"/>
            <w:vertAlign w:val="baseline"/>
          </w:rPr>
          <w:t> </w:t>
        </w:r>
        <w:r>
          <w:rPr>
            <w:color w:val="0000FF"/>
            <w:sz w:val="16"/>
            <w:u w:val="single" w:color="0000FF"/>
            <w:vertAlign w:val="baseline"/>
          </w:rPr>
          <w:t>on</w:t>
        </w:r>
        <w:r>
          <w:rPr>
            <w:color w:val="0000FF"/>
            <w:spacing w:val="-4"/>
            <w:sz w:val="16"/>
            <w:u w:val="single" w:color="0000FF"/>
            <w:vertAlign w:val="baseline"/>
          </w:rPr>
          <w:t> </w:t>
        </w:r>
        <w:r>
          <w:rPr>
            <w:color w:val="0000FF"/>
            <w:sz w:val="16"/>
            <w:u w:val="single" w:color="0000FF"/>
            <w:vertAlign w:val="baseline"/>
          </w:rPr>
          <w:t>DORA</w:t>
        </w:r>
        <w:r>
          <w:rPr>
            <w:color w:val="0000FF"/>
            <w:spacing w:val="-7"/>
            <w:sz w:val="16"/>
            <w:u w:val="single" w:color="0000FF"/>
            <w:vertAlign w:val="baseline"/>
          </w:rPr>
          <w:t> </w:t>
        </w:r>
        <w:r>
          <w:rPr>
            <w:color w:val="0000FF"/>
            <w:sz w:val="16"/>
            <w:u w:val="single" w:color="0000FF"/>
            <w:vertAlign w:val="baseline"/>
          </w:rPr>
          <w:t>Oversight</w:t>
        </w:r>
        <w:r>
          <w:rPr>
            <w:color w:val="0000FF"/>
            <w:spacing w:val="-6"/>
            <w:sz w:val="16"/>
            <w:u w:val="single" w:color="0000FF"/>
            <w:vertAlign w:val="baseline"/>
          </w:rPr>
          <w:t> </w:t>
        </w:r>
        <w:r>
          <w:rPr>
            <w:color w:val="0000FF"/>
            <w:sz w:val="16"/>
            <w:u w:val="single" w:color="0000FF"/>
            <w:vertAlign w:val="baseline"/>
          </w:rPr>
          <w:t>activities</w:t>
        </w:r>
        <w:r>
          <w:rPr>
            <w:color w:val="0000FF"/>
            <w:spacing w:val="-5"/>
            <w:sz w:val="16"/>
            <w:u w:val="single" w:color="0000FF"/>
            <w:vertAlign w:val="baseline"/>
          </w:rPr>
          <w:t> </w:t>
        </w:r>
        <w:r>
          <w:rPr>
            <w:color w:val="0000FF"/>
            <w:sz w:val="16"/>
            <w:u w:val="single" w:color="0000FF"/>
            <w:vertAlign w:val="baseline"/>
          </w:rPr>
          <w:t>Guide</w:t>
        </w:r>
        <w:r>
          <w:rPr>
            <w:color w:val="0000FF"/>
            <w:spacing w:val="-7"/>
            <w:sz w:val="16"/>
            <w:u w:val="single" w:color="0000FF"/>
            <w:vertAlign w:val="baseline"/>
          </w:rPr>
          <w:t> </w:t>
        </w:r>
        <w:r>
          <w:rPr>
            <w:color w:val="0000FF"/>
            <w:sz w:val="16"/>
            <w:u w:val="single" w:color="0000FF"/>
            <w:vertAlign w:val="baseline"/>
          </w:rPr>
          <w:t>and</w:t>
        </w:r>
        <w:r>
          <w:rPr>
            <w:color w:val="0000FF"/>
            <w:spacing w:val="-4"/>
            <w:sz w:val="16"/>
            <w:u w:val="single" w:color="0000FF"/>
            <w:vertAlign w:val="baseline"/>
          </w:rPr>
          <w:t> </w:t>
        </w:r>
        <w:r>
          <w:rPr>
            <w:color w:val="0000FF"/>
            <w:sz w:val="16"/>
            <w:u w:val="single" w:color="0000FF"/>
            <w:vertAlign w:val="baseline"/>
          </w:rPr>
          <w:t>Presentation</w:t>
        </w:r>
        <w:r>
          <w:rPr>
            <w:sz w:val="16"/>
            <w:vertAlign w:val="baseline"/>
          </w:rPr>
          <w:t>,</w:t>
        </w:r>
      </w:hyperlink>
      <w:r>
        <w:rPr>
          <w:spacing w:val="-7"/>
          <w:sz w:val="16"/>
          <w:vertAlign w:val="baseline"/>
        </w:rPr>
        <w:t> </w:t>
      </w:r>
      <w:r>
        <w:rPr>
          <w:spacing w:val="-2"/>
          <w:sz w:val="16"/>
          <w:vertAlign w:val="baseline"/>
        </w:rPr>
        <w:t>15.7.2025.</w:t>
      </w:r>
    </w:p>
    <w:p>
      <w:pPr>
        <w:spacing w:after="0"/>
        <w:jc w:val="left"/>
        <w:rPr>
          <w:sz w:val="16"/>
        </w:rPr>
        <w:sectPr>
          <w:pgSz w:w="11910" w:h="16850"/>
          <w:pgMar w:header="0" w:footer="1262" w:top="1100" w:bottom="1460" w:left="1559" w:right="1559"/>
        </w:sectPr>
      </w:pPr>
    </w:p>
    <w:p>
      <w:pPr>
        <w:pStyle w:val="Heading4"/>
        <w:spacing w:before="74"/>
        <w:ind w:left="30"/>
        <w:jc w:val="left"/>
      </w:pPr>
      <w:r>
        <w:rPr>
          <w:color w:val="1F487C"/>
          <w:spacing w:val="-2"/>
        </w:rPr>
        <w:t>Συμπέρασμα</w:t>
      </w:r>
    </w:p>
    <w:p>
      <w:pPr>
        <w:pStyle w:val="BodyText"/>
        <w:spacing w:line="285" w:lineRule="auto" w:before="107"/>
        <w:ind w:left="30" w:right="245"/>
        <w:jc w:val="both"/>
      </w:pPr>
      <w:r>
        <w:rPr/>
        <w:t>Η αυξανόμενη εξάρτηση των χρηματοπιστωτικών ιδρυμάτων από τρίτους παρόχους υπηρεσιών ΤΠΕ αποτελεί πλέον δομικό χαρακτηριστικό του σύγχρονου χρηματοπιστωτικού συστήματος. Παρ’</w:t>
      </w:r>
      <w:r>
        <w:rPr>
          <w:spacing w:val="-2"/>
        </w:rPr>
        <w:t> </w:t>
      </w:r>
      <w:r>
        <w:rPr/>
        <w:t>ότι</w:t>
      </w:r>
      <w:r>
        <w:rPr>
          <w:spacing w:val="-1"/>
        </w:rPr>
        <w:t> </w:t>
      </w:r>
      <w:r>
        <w:rPr/>
        <w:t>η</w:t>
      </w:r>
      <w:r>
        <w:rPr>
          <w:spacing w:val="-2"/>
        </w:rPr>
        <w:t> </w:t>
      </w:r>
      <w:r>
        <w:rPr/>
        <w:t>εξωτερική</w:t>
      </w:r>
      <w:r>
        <w:rPr>
          <w:spacing w:val="-2"/>
        </w:rPr>
        <w:t> </w:t>
      </w:r>
      <w:r>
        <w:rPr/>
        <w:t>ανάθεση</w:t>
      </w:r>
      <w:r>
        <w:rPr>
          <w:spacing w:val="-2"/>
        </w:rPr>
        <w:t> </w:t>
      </w:r>
      <w:r>
        <w:rPr/>
        <w:t>προσφέρει</w:t>
      </w:r>
      <w:r>
        <w:rPr>
          <w:spacing w:val="-4"/>
        </w:rPr>
        <w:t> </w:t>
      </w:r>
      <w:r>
        <w:rPr/>
        <w:t>σημαντικά</w:t>
      </w:r>
      <w:r>
        <w:rPr>
          <w:spacing w:val="-3"/>
        </w:rPr>
        <w:t> </w:t>
      </w:r>
      <w:r>
        <w:rPr/>
        <w:t>οφέλη</w:t>
      </w:r>
      <w:r>
        <w:rPr>
          <w:spacing w:val="-5"/>
        </w:rPr>
        <w:t> </w:t>
      </w:r>
      <w:r>
        <w:rPr/>
        <w:t>σε</w:t>
      </w:r>
      <w:r>
        <w:rPr>
          <w:spacing w:val="-2"/>
        </w:rPr>
        <w:t> </w:t>
      </w:r>
      <w:r>
        <w:rPr/>
        <w:t>όρους</w:t>
      </w:r>
      <w:r>
        <w:rPr>
          <w:spacing w:val="-3"/>
        </w:rPr>
        <w:t> </w:t>
      </w:r>
      <w:r>
        <w:rPr/>
        <w:t>αποδοτικότητας,</w:t>
      </w:r>
      <w:r>
        <w:rPr>
          <w:spacing w:val="-2"/>
        </w:rPr>
        <w:t> </w:t>
      </w:r>
      <w:r>
        <w:rPr/>
        <w:t>καινοτο-μίας</w:t>
      </w:r>
      <w:r>
        <w:rPr>
          <w:spacing w:val="-14"/>
        </w:rPr>
        <w:t> </w:t>
      </w:r>
      <w:r>
        <w:rPr/>
        <w:t>και</w:t>
      </w:r>
      <w:r>
        <w:rPr>
          <w:spacing w:val="-14"/>
        </w:rPr>
        <w:t> </w:t>
      </w:r>
      <w:r>
        <w:rPr/>
        <w:t>ευελιξίας,</w:t>
      </w:r>
      <w:r>
        <w:rPr>
          <w:spacing w:val="-14"/>
        </w:rPr>
        <w:t> </w:t>
      </w:r>
      <w:r>
        <w:rPr/>
        <w:t>συνεπάγεται</w:t>
      </w:r>
      <w:r>
        <w:rPr>
          <w:spacing w:val="-13"/>
        </w:rPr>
        <w:t> </w:t>
      </w:r>
      <w:r>
        <w:rPr/>
        <w:t>ταυτόχρονα</w:t>
      </w:r>
      <w:r>
        <w:rPr>
          <w:spacing w:val="-14"/>
        </w:rPr>
        <w:t> </w:t>
      </w:r>
      <w:r>
        <w:rPr/>
        <w:t>νέες</w:t>
      </w:r>
      <w:r>
        <w:rPr>
          <w:spacing w:val="-14"/>
        </w:rPr>
        <w:t> </w:t>
      </w:r>
      <w:r>
        <w:rPr/>
        <w:t>μορφές</w:t>
      </w:r>
      <w:r>
        <w:rPr>
          <w:spacing w:val="-14"/>
        </w:rPr>
        <w:t> </w:t>
      </w:r>
      <w:r>
        <w:rPr/>
        <w:t>κινδύνου,</w:t>
      </w:r>
      <w:r>
        <w:rPr>
          <w:spacing w:val="-13"/>
        </w:rPr>
        <w:t> </w:t>
      </w:r>
      <w:r>
        <w:rPr/>
        <w:t>που</w:t>
      </w:r>
      <w:r>
        <w:rPr>
          <w:spacing w:val="-14"/>
        </w:rPr>
        <w:t> </w:t>
      </w:r>
      <w:r>
        <w:rPr/>
        <w:t>ενδέχεται</w:t>
      </w:r>
      <w:r>
        <w:rPr>
          <w:spacing w:val="-14"/>
        </w:rPr>
        <w:t> </w:t>
      </w:r>
      <w:r>
        <w:rPr/>
        <w:t>να</w:t>
      </w:r>
      <w:r>
        <w:rPr>
          <w:spacing w:val="-14"/>
        </w:rPr>
        <w:t> </w:t>
      </w:r>
      <w:r>
        <w:rPr/>
        <w:t>αποκτήσουν συστημικές</w:t>
      </w:r>
      <w:r>
        <w:rPr>
          <w:spacing w:val="-16"/>
        </w:rPr>
        <w:t> </w:t>
      </w:r>
      <w:r>
        <w:rPr/>
        <w:t>διαστάσεις.</w:t>
      </w:r>
      <w:r>
        <w:rPr>
          <w:spacing w:val="-14"/>
        </w:rPr>
        <w:t> </w:t>
      </w:r>
      <w:r>
        <w:rPr/>
        <w:t>Ιδιαίτερα</w:t>
      </w:r>
      <w:r>
        <w:rPr>
          <w:spacing w:val="-14"/>
        </w:rPr>
        <w:t> </w:t>
      </w:r>
      <w:r>
        <w:rPr/>
        <w:t>κρίσιμο</w:t>
      </w:r>
      <w:r>
        <w:rPr>
          <w:spacing w:val="-13"/>
        </w:rPr>
        <w:t> </w:t>
      </w:r>
      <w:r>
        <w:rPr/>
        <w:t>παραμένει</w:t>
      </w:r>
      <w:r>
        <w:rPr>
          <w:spacing w:val="-14"/>
        </w:rPr>
        <w:t> </w:t>
      </w:r>
      <w:r>
        <w:rPr/>
        <w:t>το</w:t>
      </w:r>
      <w:r>
        <w:rPr>
          <w:spacing w:val="-14"/>
        </w:rPr>
        <w:t> </w:t>
      </w:r>
      <w:r>
        <w:rPr/>
        <w:t>γεγονός</w:t>
      </w:r>
      <w:r>
        <w:rPr>
          <w:spacing w:val="-14"/>
        </w:rPr>
        <w:t> </w:t>
      </w:r>
      <w:r>
        <w:rPr/>
        <w:t>ότι</w:t>
      </w:r>
      <w:r>
        <w:rPr>
          <w:spacing w:val="-13"/>
        </w:rPr>
        <w:t> </w:t>
      </w:r>
      <w:r>
        <w:rPr/>
        <w:t>η</w:t>
      </w:r>
      <w:r>
        <w:rPr>
          <w:spacing w:val="-14"/>
        </w:rPr>
        <w:t> </w:t>
      </w:r>
      <w:r>
        <w:rPr/>
        <w:t>ευθύνη</w:t>
      </w:r>
      <w:r>
        <w:rPr>
          <w:spacing w:val="-14"/>
        </w:rPr>
        <w:t> </w:t>
      </w:r>
      <w:r>
        <w:rPr/>
        <w:t>για</w:t>
      </w:r>
      <w:r>
        <w:rPr>
          <w:spacing w:val="-14"/>
        </w:rPr>
        <w:t> </w:t>
      </w:r>
      <w:r>
        <w:rPr/>
        <w:t>τη</w:t>
      </w:r>
      <w:r>
        <w:rPr>
          <w:spacing w:val="-13"/>
        </w:rPr>
        <w:t> </w:t>
      </w:r>
      <w:r>
        <w:rPr/>
        <w:t>συμμόρφωση με</w:t>
      </w:r>
      <w:r>
        <w:rPr>
          <w:spacing w:val="-6"/>
        </w:rPr>
        <w:t> </w:t>
      </w:r>
      <w:r>
        <w:rPr/>
        <w:t>το</w:t>
      </w:r>
      <w:r>
        <w:rPr>
          <w:spacing w:val="-7"/>
        </w:rPr>
        <w:t> </w:t>
      </w:r>
      <w:r>
        <w:rPr/>
        <w:t>κανονιστικό</w:t>
      </w:r>
      <w:r>
        <w:rPr>
          <w:spacing w:val="-7"/>
        </w:rPr>
        <w:t> </w:t>
      </w:r>
      <w:r>
        <w:rPr/>
        <w:t>πλαίσιο</w:t>
      </w:r>
      <w:r>
        <w:rPr>
          <w:spacing w:val="-9"/>
        </w:rPr>
        <w:t> </w:t>
      </w:r>
      <w:r>
        <w:rPr/>
        <w:t>και</w:t>
      </w:r>
      <w:r>
        <w:rPr>
          <w:spacing w:val="-7"/>
        </w:rPr>
        <w:t> </w:t>
      </w:r>
      <w:r>
        <w:rPr/>
        <w:t>τη</w:t>
      </w:r>
      <w:r>
        <w:rPr>
          <w:spacing w:val="-7"/>
        </w:rPr>
        <w:t> </w:t>
      </w:r>
      <w:r>
        <w:rPr/>
        <w:t>διασφάλιση</w:t>
      </w:r>
      <w:r>
        <w:rPr>
          <w:spacing w:val="-7"/>
        </w:rPr>
        <w:t> </w:t>
      </w:r>
      <w:r>
        <w:rPr/>
        <w:t>της</w:t>
      </w:r>
      <w:r>
        <w:rPr>
          <w:spacing w:val="-8"/>
        </w:rPr>
        <w:t> </w:t>
      </w:r>
      <w:r>
        <w:rPr/>
        <w:t>επιχειρησιακής</w:t>
      </w:r>
      <w:r>
        <w:rPr>
          <w:spacing w:val="-8"/>
        </w:rPr>
        <w:t> </w:t>
      </w:r>
      <w:r>
        <w:rPr/>
        <w:t>ανθεκτικότητας</w:t>
      </w:r>
      <w:r>
        <w:rPr>
          <w:spacing w:val="-10"/>
        </w:rPr>
        <w:t> </w:t>
      </w:r>
      <w:r>
        <w:rPr/>
        <w:t>ανήκει</w:t>
      </w:r>
      <w:r>
        <w:rPr>
          <w:spacing w:val="-9"/>
        </w:rPr>
        <w:t> </w:t>
      </w:r>
      <w:r>
        <w:rPr/>
        <w:t>εξ</w:t>
      </w:r>
      <w:r>
        <w:rPr>
          <w:spacing w:val="-7"/>
        </w:rPr>
        <w:t> </w:t>
      </w:r>
      <w:r>
        <w:rPr/>
        <w:t>ολο-κλήρου στα ίδια τα χρηματοπιστωτικά ιδρύματα, ανεξαρτήτως του βαθμού εξάρτησής τους από τρίτους παρόχους υπηρεσιών ΤΠΕ.</w:t>
      </w:r>
    </w:p>
    <w:p>
      <w:pPr>
        <w:pStyle w:val="BodyText"/>
        <w:spacing w:line="285" w:lineRule="auto" w:before="52"/>
        <w:ind w:left="30" w:right="246"/>
        <w:jc w:val="both"/>
      </w:pPr>
      <w:r>
        <w:rPr/>
        <w:t>Ο Κανονισμός DORA σηματοδοτεί μια ουσιαστική μεταρρύθμιση σε αυτόν τον τομέα, καθώς επεκτείνει την εποπτική προσέγγιση από το επίπεδο των ιδρυμάτων στο ευρύτερο οικοσύστημα των παρόχων υπηρεσιών ΤΠΕ. Η θέσπιση άμεσης ευρωπαϊκής εποπτείας των κρίσιμων τρίτων παρόχων υπηρεσιών ΤΠΕ, σε συνδυασμό με τις πρωτοβουλίες των εθνικών εποπτικών αρχών, όπως</w:t>
      </w:r>
      <w:r>
        <w:rPr>
          <w:spacing w:val="-3"/>
        </w:rPr>
        <w:t> </w:t>
      </w:r>
      <w:r>
        <w:rPr/>
        <w:t>η</w:t>
      </w:r>
      <w:r>
        <w:rPr>
          <w:spacing w:val="-2"/>
        </w:rPr>
        <w:t> </w:t>
      </w:r>
      <w:r>
        <w:rPr/>
        <w:t>Τράπεζα</w:t>
      </w:r>
      <w:r>
        <w:rPr>
          <w:spacing w:val="-5"/>
        </w:rPr>
        <w:t> </w:t>
      </w:r>
      <w:r>
        <w:rPr/>
        <w:t>της</w:t>
      </w:r>
      <w:r>
        <w:rPr>
          <w:spacing w:val="-4"/>
        </w:rPr>
        <w:t> </w:t>
      </w:r>
      <w:r>
        <w:rPr/>
        <w:t>Ελλάδος,</w:t>
      </w:r>
      <w:r>
        <w:rPr>
          <w:spacing w:val="-2"/>
        </w:rPr>
        <w:t> </w:t>
      </w:r>
      <w:r>
        <w:rPr/>
        <w:t>δημιουργεί</w:t>
      </w:r>
      <w:r>
        <w:rPr>
          <w:spacing w:val="-4"/>
        </w:rPr>
        <w:t> </w:t>
      </w:r>
      <w:r>
        <w:rPr/>
        <w:t>τις</w:t>
      </w:r>
      <w:r>
        <w:rPr>
          <w:spacing w:val="-2"/>
        </w:rPr>
        <w:t> </w:t>
      </w:r>
      <w:r>
        <w:rPr/>
        <w:t>προϋποθέσεις</w:t>
      </w:r>
      <w:r>
        <w:rPr>
          <w:spacing w:val="-5"/>
        </w:rPr>
        <w:t> </w:t>
      </w:r>
      <w:r>
        <w:rPr/>
        <w:t>για</w:t>
      </w:r>
      <w:r>
        <w:rPr>
          <w:spacing w:val="-4"/>
        </w:rPr>
        <w:t> </w:t>
      </w:r>
      <w:r>
        <w:rPr/>
        <w:t>την</w:t>
      </w:r>
      <w:r>
        <w:rPr>
          <w:spacing w:val="-4"/>
        </w:rPr>
        <w:t> </w:t>
      </w:r>
      <w:r>
        <w:rPr/>
        <w:t>ενίσχυση</w:t>
      </w:r>
      <w:r>
        <w:rPr>
          <w:spacing w:val="-5"/>
        </w:rPr>
        <w:t> </w:t>
      </w:r>
      <w:r>
        <w:rPr/>
        <w:t>της</w:t>
      </w:r>
      <w:r>
        <w:rPr>
          <w:spacing w:val="-6"/>
        </w:rPr>
        <w:t> </w:t>
      </w:r>
      <w:r>
        <w:rPr/>
        <w:t>διαφάνειας</w:t>
      </w:r>
      <w:r>
        <w:rPr>
          <w:spacing w:val="-3"/>
        </w:rPr>
        <w:t> </w:t>
      </w:r>
      <w:r>
        <w:rPr/>
        <w:t>και της</w:t>
      </w:r>
      <w:r>
        <w:rPr>
          <w:spacing w:val="-1"/>
        </w:rPr>
        <w:t> </w:t>
      </w:r>
      <w:r>
        <w:rPr/>
        <w:t>ανθεκτικότητας</w:t>
      </w:r>
      <w:r>
        <w:rPr>
          <w:spacing w:val="-1"/>
        </w:rPr>
        <w:t> </w:t>
      </w:r>
      <w:r>
        <w:rPr/>
        <w:t>συνολικά</w:t>
      </w:r>
      <w:r>
        <w:rPr>
          <w:spacing w:val="-1"/>
        </w:rPr>
        <w:t> </w:t>
      </w:r>
      <w:r>
        <w:rPr/>
        <w:t>του συστήματος. Στο περιβάλλον αυτό, η αποτελεσματική</w:t>
      </w:r>
      <w:r>
        <w:rPr>
          <w:spacing w:val="-1"/>
        </w:rPr>
        <w:t> </w:t>
      </w:r>
      <w:r>
        <w:rPr/>
        <w:t>διαχεί-ριση των κινδύνων τρίτων παρόχων καθίσταται καθοριστικός παράγοντας για τη διατήρηση της χρηματοπιστωτικής σταθερότητας.</w:t>
      </w:r>
    </w:p>
    <w:p>
      <w:pPr>
        <w:pStyle w:val="BodyText"/>
        <w:spacing w:line="285" w:lineRule="auto" w:before="52"/>
        <w:ind w:left="30" w:right="247"/>
        <w:jc w:val="both"/>
      </w:pPr>
      <w:r>
        <w:rPr/>
        <w:t>Ο τελικός στόχος της διαχείρισης του κινδύνου τρίτων παρόχων δεν είναι να αποθαρρυνθεί η χρήση</w:t>
      </w:r>
      <w:r>
        <w:rPr>
          <w:spacing w:val="-5"/>
        </w:rPr>
        <w:t> </w:t>
      </w:r>
      <w:r>
        <w:rPr/>
        <w:t>τους,</w:t>
      </w:r>
      <w:r>
        <w:rPr>
          <w:spacing w:val="-2"/>
        </w:rPr>
        <w:t> </w:t>
      </w:r>
      <w:r>
        <w:rPr/>
        <w:t>αλλά</w:t>
      </w:r>
      <w:r>
        <w:rPr>
          <w:spacing w:val="-5"/>
        </w:rPr>
        <w:t> </w:t>
      </w:r>
      <w:r>
        <w:rPr/>
        <w:t>να</w:t>
      </w:r>
      <w:r>
        <w:rPr>
          <w:spacing w:val="-2"/>
        </w:rPr>
        <w:t> </w:t>
      </w:r>
      <w:r>
        <w:rPr/>
        <w:t>διασφαλιστεί</w:t>
      </w:r>
      <w:r>
        <w:rPr>
          <w:spacing w:val="-4"/>
        </w:rPr>
        <w:t> </w:t>
      </w:r>
      <w:r>
        <w:rPr/>
        <w:t>ότι</w:t>
      </w:r>
      <w:r>
        <w:rPr>
          <w:spacing w:val="-4"/>
        </w:rPr>
        <w:t> </w:t>
      </w:r>
      <w:r>
        <w:rPr/>
        <w:t>οι</w:t>
      </w:r>
      <w:r>
        <w:rPr>
          <w:spacing w:val="-4"/>
        </w:rPr>
        <w:t> </w:t>
      </w:r>
      <w:r>
        <w:rPr/>
        <w:t>κίνδυνοι</w:t>
      </w:r>
      <w:r>
        <w:rPr>
          <w:spacing w:val="-2"/>
        </w:rPr>
        <w:t> </w:t>
      </w:r>
      <w:r>
        <w:rPr/>
        <w:t>που</w:t>
      </w:r>
      <w:r>
        <w:rPr>
          <w:spacing w:val="-4"/>
        </w:rPr>
        <w:t> </w:t>
      </w:r>
      <w:r>
        <w:rPr/>
        <w:t>προέρχονται</w:t>
      </w:r>
      <w:r>
        <w:rPr>
          <w:spacing w:val="-5"/>
        </w:rPr>
        <w:t> </w:t>
      </w:r>
      <w:r>
        <w:rPr/>
        <w:t>από</w:t>
      </w:r>
      <w:r>
        <w:rPr>
          <w:spacing w:val="-2"/>
        </w:rPr>
        <w:t> </w:t>
      </w:r>
      <w:r>
        <w:rPr/>
        <w:t>την</w:t>
      </w:r>
      <w:r>
        <w:rPr>
          <w:spacing w:val="-1"/>
        </w:rPr>
        <w:t> </w:t>
      </w:r>
      <w:r>
        <w:rPr/>
        <w:t>χρήση</w:t>
      </w:r>
      <w:r>
        <w:rPr>
          <w:spacing w:val="-2"/>
        </w:rPr>
        <w:t> </w:t>
      </w:r>
      <w:r>
        <w:rPr/>
        <w:t>τρίτων</w:t>
      </w:r>
      <w:r>
        <w:rPr>
          <w:spacing w:val="-4"/>
        </w:rPr>
        <w:t> </w:t>
      </w:r>
      <w:r>
        <w:rPr/>
        <w:t>παρό-χων λαμβάνονται υπόψη τόσο από τις εποπτικές αρχές στις αξιολογήσεις τους όσο και από τα χρηματοπιστωτικά ιδρύματα ώστε αυτά να είναι σε θέση να διαχειρίζονται αποτελεσματικά ό-λους</w:t>
      </w:r>
      <w:r>
        <w:rPr>
          <w:spacing w:val="-1"/>
        </w:rPr>
        <w:t> </w:t>
      </w:r>
      <w:r>
        <w:rPr/>
        <w:t>τους</w:t>
      </w:r>
      <w:r>
        <w:rPr>
          <w:spacing w:val="-1"/>
        </w:rPr>
        <w:t> </w:t>
      </w:r>
      <w:r>
        <w:rPr/>
        <w:t>κινδύνους τους,</w:t>
      </w:r>
      <w:r>
        <w:rPr>
          <w:spacing w:val="-3"/>
        </w:rPr>
        <w:t> </w:t>
      </w:r>
      <w:r>
        <w:rPr/>
        <w:t>με στόχο τη διασφάλιση της ανθεκτικότητας του χρηματοπιστωτικού </w:t>
      </w:r>
      <w:r>
        <w:rPr>
          <w:spacing w:val="-2"/>
        </w:rPr>
        <w:t>συστήματος.</w:t>
      </w:r>
    </w:p>
    <w:p>
      <w:pPr>
        <w:pStyle w:val="BodyText"/>
        <w:spacing w:after="0" w:line="285" w:lineRule="auto"/>
        <w:jc w:val="both"/>
        <w:sectPr>
          <w:pgSz w:w="11910" w:h="16850"/>
          <w:pgMar w:header="0" w:footer="1262" w:top="1100" w:bottom="1500" w:left="1559" w:right="1559"/>
        </w:sectPr>
      </w:pPr>
    </w:p>
    <w:p>
      <w:pPr>
        <w:pStyle w:val="BodyText"/>
        <w:spacing w:before="4"/>
        <w:rPr>
          <w:sz w:val="17"/>
        </w:rPr>
      </w:pPr>
    </w:p>
    <w:p>
      <w:pPr>
        <w:pStyle w:val="BodyText"/>
        <w:spacing w:after="0"/>
        <w:rPr>
          <w:sz w:val="17"/>
        </w:rPr>
        <w:sectPr>
          <w:pgSz w:w="11910" w:h="16850"/>
          <w:pgMar w:header="0" w:footer="1262" w:top="1940" w:bottom="1500" w:left="1559" w:right="1559"/>
        </w:sectPr>
      </w:pPr>
    </w:p>
    <w:p>
      <w:pPr>
        <w:pStyle w:val="BodyText"/>
        <w:rPr>
          <w:sz w:val="24"/>
        </w:rPr>
      </w:pPr>
      <w:r>
        <w:rPr>
          <w:sz w:val="24"/>
        </w:rPr>
        <mc:AlternateContent>
          <mc:Choice Requires="wps">
            <w:drawing>
              <wp:anchor distT="0" distB="0" distL="0" distR="0" allowOverlap="1" layoutInCell="1" locked="0" behindDoc="1" simplePos="0" relativeHeight="482747392">
                <wp:simplePos x="0" y="0"/>
                <wp:positionH relativeFrom="page">
                  <wp:posOffset>4981321</wp:posOffset>
                </wp:positionH>
                <wp:positionV relativeFrom="page">
                  <wp:posOffset>9730885</wp:posOffset>
                </wp:positionV>
                <wp:extent cx="2073275" cy="34671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2073275" cy="346710"/>
                        </a:xfrm>
                        <a:prstGeom prst="rect">
                          <a:avLst/>
                        </a:prstGeom>
                      </wps:spPr>
                      <wps:txbx>
                        <w:txbxContent>
                          <w:p>
                            <w:pPr>
                              <w:tabs>
                                <w:tab w:pos="3264" w:val="right" w:leader="none"/>
                              </w:tabs>
                              <w:spacing w:line="129" w:lineRule="auto" w:before="62"/>
                              <w:ind w:left="0" w:right="0" w:firstLine="1745"/>
                              <w:jc w:val="left"/>
                              <w:rPr>
                                <w:position w:val="-9"/>
                                <w:sz w:val="44"/>
                              </w:rPr>
                            </w:pPr>
                            <w:r>
                              <w:rPr>
                                <w:spacing w:val="-2"/>
                                <w:sz w:val="16"/>
                              </w:rPr>
                              <w:t>Έκθεση</w:t>
                            </w:r>
                            <w:r>
                              <w:rPr>
                                <w:spacing w:val="40"/>
                                <w:sz w:val="16"/>
                              </w:rPr>
                              <w:t> </w:t>
                            </w:r>
                            <w:r>
                              <w:rPr>
                                <w:sz w:val="16"/>
                              </w:rPr>
                              <w:t>Χρηματοπιστωτικής</w:t>
                            </w:r>
                            <w:r>
                              <w:rPr>
                                <w:spacing w:val="-3"/>
                                <w:sz w:val="16"/>
                              </w:rPr>
                              <w:t> </w:t>
                            </w:r>
                            <w:r>
                              <w:rPr>
                                <w:sz w:val="16"/>
                              </w:rPr>
                              <w:t>Σταθερότητας</w:t>
                              <w:tab/>
                            </w:r>
                            <w:r>
                              <w:rPr>
                                <w:color w:val="FFFFFF"/>
                                <w:spacing w:val="-4"/>
                                <w:position w:val="-9"/>
                                <w:sz w:val="44"/>
                              </w:rPr>
                              <w:t>118</w:t>
                            </w:r>
                          </w:p>
                          <w:p>
                            <w:pPr>
                              <w:spacing w:line="110" w:lineRule="exact" w:before="0"/>
                              <w:ind w:left="1478" w:right="0" w:firstLine="0"/>
                              <w:jc w:val="left"/>
                              <w:rPr>
                                <w:sz w:val="16"/>
                              </w:rPr>
                            </w:pPr>
                            <w:r>
                              <w:rPr>
                                <w:color w:val="1F487C"/>
                                <w:sz w:val="16"/>
                              </w:rPr>
                              <w:t>Μάιος</w:t>
                            </w:r>
                            <w:r>
                              <w:rPr>
                                <w:color w:val="1F487C"/>
                                <w:spacing w:val="-4"/>
                                <w:sz w:val="16"/>
                              </w:rPr>
                              <w:t> 2026</w:t>
                            </w:r>
                          </w:p>
                        </w:txbxContent>
                      </wps:txbx>
                      <wps:bodyPr wrap="square" lIns="0" tIns="0" rIns="0" bIns="0" rtlCol="0">
                        <a:noAutofit/>
                      </wps:bodyPr>
                    </wps:wsp>
                  </a:graphicData>
                </a:graphic>
              </wp:anchor>
            </w:drawing>
          </mc:Choice>
          <mc:Fallback>
            <w:pict>
              <v:shape style="position:absolute;margin-left:392.230011pt;margin-top:766.211426pt;width:163.25pt;height:27.3pt;mso-position-horizontal-relative:page;mso-position-vertical-relative:page;z-index:-20569088" type="#_x0000_t202" id="docshape762" filled="false" stroked="false">
                <v:textbox inset="0,0,0,0">
                  <w:txbxContent>
                    <w:p>
                      <w:pPr>
                        <w:tabs>
                          <w:tab w:pos="3264" w:val="right" w:leader="none"/>
                        </w:tabs>
                        <w:spacing w:line="129" w:lineRule="auto" w:before="62"/>
                        <w:ind w:left="0" w:right="0" w:firstLine="1745"/>
                        <w:jc w:val="left"/>
                        <w:rPr>
                          <w:position w:val="-9"/>
                          <w:sz w:val="44"/>
                        </w:rPr>
                      </w:pPr>
                      <w:r>
                        <w:rPr>
                          <w:spacing w:val="-2"/>
                          <w:sz w:val="16"/>
                        </w:rPr>
                        <w:t>Έκθεση</w:t>
                      </w:r>
                      <w:r>
                        <w:rPr>
                          <w:spacing w:val="40"/>
                          <w:sz w:val="16"/>
                        </w:rPr>
                        <w:t> </w:t>
                      </w:r>
                      <w:r>
                        <w:rPr>
                          <w:sz w:val="16"/>
                        </w:rPr>
                        <w:t>Χρηματοπιστωτικής</w:t>
                      </w:r>
                      <w:r>
                        <w:rPr>
                          <w:spacing w:val="-3"/>
                          <w:sz w:val="16"/>
                        </w:rPr>
                        <w:t> </w:t>
                      </w:r>
                      <w:r>
                        <w:rPr>
                          <w:sz w:val="16"/>
                        </w:rPr>
                        <w:t>Σταθερότητας</w:t>
                        <w:tab/>
                      </w:r>
                      <w:r>
                        <w:rPr>
                          <w:color w:val="FFFFFF"/>
                          <w:spacing w:val="-4"/>
                          <w:position w:val="-9"/>
                          <w:sz w:val="44"/>
                        </w:rPr>
                        <w:t>118</w:t>
                      </w:r>
                    </w:p>
                    <w:p>
                      <w:pPr>
                        <w:spacing w:line="110" w:lineRule="exact" w:before="0"/>
                        <w:ind w:left="1478" w:right="0" w:firstLine="0"/>
                        <w:jc w:val="left"/>
                        <w:rPr>
                          <w:sz w:val="16"/>
                        </w:rPr>
                      </w:pPr>
                      <w:r>
                        <w:rPr>
                          <w:color w:val="1F487C"/>
                          <w:sz w:val="16"/>
                        </w:rPr>
                        <w:t>Μάιος</w:t>
                      </w:r>
                      <w:r>
                        <w:rPr>
                          <w:color w:val="1F487C"/>
                          <w:spacing w:val="-4"/>
                          <w:sz w:val="16"/>
                        </w:rPr>
                        <w:t> 2026</w:t>
                      </w:r>
                    </w:p>
                  </w:txbxContent>
                </v:textbox>
                <w10:wrap type="none"/>
              </v:shape>
            </w:pict>
          </mc:Fallback>
        </mc:AlternateContent>
      </w:r>
      <w:r>
        <w:rPr>
          <w:sz w:val="24"/>
        </w:rPr>
        <mc:AlternateContent>
          <mc:Choice Requires="wps">
            <w:drawing>
              <wp:anchor distT="0" distB="0" distL="0" distR="0" allowOverlap="1" layoutInCell="1" locked="0" behindDoc="1" simplePos="0" relativeHeight="482747904">
                <wp:simplePos x="0" y="0"/>
                <wp:positionH relativeFrom="page">
                  <wp:posOffset>-952</wp:posOffset>
                </wp:positionH>
                <wp:positionV relativeFrom="page">
                  <wp:posOffset>0</wp:posOffset>
                </wp:positionV>
                <wp:extent cx="7560309" cy="10693400"/>
                <wp:effectExtent l="0" t="0" r="0" b="0"/>
                <wp:wrapNone/>
                <wp:docPr id="816" name="Group 816"/>
                <wp:cNvGraphicFramePr>
                  <a:graphicFrameLocks/>
                </wp:cNvGraphicFramePr>
                <a:graphic>
                  <a:graphicData uri="http://schemas.microsoft.com/office/word/2010/wordprocessingGroup">
                    <wpg:wgp>
                      <wpg:cNvPr id="816" name="Group 816"/>
                      <wpg:cNvGrpSpPr/>
                      <wpg:grpSpPr>
                        <a:xfrm>
                          <a:off x="0" y="0"/>
                          <a:ext cx="7560309" cy="10693400"/>
                          <a:chExt cx="7560309" cy="10693400"/>
                        </a:xfrm>
                      </wpg:grpSpPr>
                      <wps:wsp>
                        <wps:cNvPr id="817" name="Graphic 817"/>
                        <wps:cNvSpPr/>
                        <wps:spPr>
                          <a:xfrm>
                            <a:off x="952" y="0"/>
                            <a:ext cx="7535545" cy="8590915"/>
                          </a:xfrm>
                          <a:custGeom>
                            <a:avLst/>
                            <a:gdLst/>
                            <a:ahLst/>
                            <a:cxnLst/>
                            <a:rect l="l" t="t" r="r" b="b"/>
                            <a:pathLst>
                              <a:path w="7535545" h="8590915">
                                <a:moveTo>
                                  <a:pt x="0" y="8590912"/>
                                </a:moveTo>
                                <a:lnTo>
                                  <a:pt x="7535546" y="8590912"/>
                                </a:lnTo>
                                <a:lnTo>
                                  <a:pt x="7535546" y="0"/>
                                </a:lnTo>
                                <a:lnTo>
                                  <a:pt x="0" y="0"/>
                                </a:lnTo>
                                <a:lnTo>
                                  <a:pt x="0" y="8590912"/>
                                </a:lnTo>
                                <a:close/>
                              </a:path>
                            </a:pathLst>
                          </a:custGeom>
                          <a:solidFill>
                            <a:srgbClr val="EDEBE0"/>
                          </a:solidFill>
                        </wps:spPr>
                        <wps:bodyPr wrap="square" lIns="0" tIns="0" rIns="0" bIns="0" rtlCol="0">
                          <a:prstTxWarp prst="textNoShape">
                            <a:avLst/>
                          </a:prstTxWarp>
                          <a:noAutofit/>
                        </wps:bodyPr>
                      </wps:wsp>
                      <wps:wsp>
                        <wps:cNvPr id="818" name="Graphic 818"/>
                        <wps:cNvSpPr/>
                        <wps:spPr>
                          <a:xfrm>
                            <a:off x="0" y="8590912"/>
                            <a:ext cx="7560309" cy="2102485"/>
                          </a:xfrm>
                          <a:custGeom>
                            <a:avLst/>
                            <a:gdLst/>
                            <a:ahLst/>
                            <a:cxnLst/>
                            <a:rect l="l" t="t" r="r" b="b"/>
                            <a:pathLst>
                              <a:path w="7560309" h="2102485">
                                <a:moveTo>
                                  <a:pt x="7560309" y="0"/>
                                </a:moveTo>
                                <a:lnTo>
                                  <a:pt x="0" y="0"/>
                                </a:lnTo>
                                <a:lnTo>
                                  <a:pt x="0" y="2102485"/>
                                </a:lnTo>
                                <a:lnTo>
                                  <a:pt x="7560309" y="2102485"/>
                                </a:lnTo>
                                <a:lnTo>
                                  <a:pt x="7560309" y="0"/>
                                </a:lnTo>
                                <a:close/>
                              </a:path>
                            </a:pathLst>
                          </a:custGeom>
                          <a:solidFill>
                            <a:srgbClr val="1F487C"/>
                          </a:solidFill>
                        </wps:spPr>
                        <wps:bodyPr wrap="square" lIns="0" tIns="0" rIns="0" bIns="0" rtlCol="0">
                          <a:prstTxWarp prst="textNoShape">
                            <a:avLst/>
                          </a:prstTxWarp>
                          <a:noAutofit/>
                        </wps:bodyPr>
                      </wps:wsp>
                    </wpg:wgp>
                  </a:graphicData>
                </a:graphic>
              </wp:anchor>
            </w:drawing>
          </mc:Choice>
          <mc:Fallback>
            <w:pict>
              <v:group style="position:absolute;margin-left:-.074961pt;margin-top:0pt;width:595.3pt;height:842pt;mso-position-horizontal-relative:page;mso-position-vertical-relative:page;z-index:-20568576" id="docshapegroup763" coordorigin="-1,0" coordsize="11906,16840">
                <v:rect style="position:absolute;left:0;top:0;width:11867;height:13529" id="docshape764" filled="true" fillcolor="#edebe0" stroked="false">
                  <v:fill type="solid"/>
                </v:rect>
                <v:rect style="position:absolute;left:-2;top:13529;width:11906;height:3311" id="docshape765" filled="true" fillcolor="#1f487c" stroked="false">
                  <v:fill type="solid"/>
                </v:rect>
                <w10:wrap type="none"/>
              </v:group>
            </w:pict>
          </mc:Fallback>
        </mc:AlternateConten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6"/>
        <w:rPr>
          <w:sz w:val="24"/>
        </w:rPr>
      </w:pPr>
    </w:p>
    <w:p>
      <w:pPr>
        <w:spacing w:before="0"/>
        <w:ind w:left="0" w:right="76" w:firstLine="0"/>
        <w:jc w:val="right"/>
        <w:rPr>
          <w:sz w:val="24"/>
        </w:rPr>
      </w:pPr>
      <w:r>
        <w:rPr>
          <w:color w:val="FFFFFF"/>
          <w:sz w:val="24"/>
        </w:rPr>
        <w:t>ISSN</w:t>
      </w:r>
      <w:r>
        <w:rPr>
          <w:color w:val="FFFFFF"/>
          <w:spacing w:val="-4"/>
          <w:sz w:val="24"/>
        </w:rPr>
        <w:t> </w:t>
      </w:r>
      <w:r>
        <w:rPr>
          <w:color w:val="FFFFFF"/>
          <w:sz w:val="24"/>
        </w:rPr>
        <w:t>2732-9380</w:t>
      </w:r>
      <w:r>
        <w:rPr>
          <w:color w:val="FFFFFF"/>
          <w:spacing w:val="-2"/>
          <w:sz w:val="24"/>
        </w:rPr>
        <w:t> (online)</w:t>
      </w:r>
    </w:p>
    <w:sectPr>
      <w:footerReference w:type="default" r:id="rId183"/>
      <w:pgSz w:w="11910" w:h="16850"/>
      <w:pgMar w:header="0" w:footer="0" w:top="1940" w:bottom="280" w:left="1559"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648064">
              <wp:simplePos x="0" y="0"/>
              <wp:positionH relativeFrom="page">
                <wp:posOffset>4968621</wp:posOffset>
              </wp:positionH>
              <wp:positionV relativeFrom="page">
                <wp:posOffset>9718185</wp:posOffset>
              </wp:positionV>
              <wp:extent cx="1457325" cy="3721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457325" cy="372110"/>
                      </a:xfrm>
                      <a:prstGeom prst="rect">
                        <a:avLst/>
                      </a:prstGeom>
                    </wps:spPr>
                    <wps:txbx>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1.230011pt;margin-top:765.211426pt;width:114.75pt;height:29.3pt;mso-position-horizontal-relative:page;mso-position-vertical-relative:page;z-index:-20668416" type="#_x0000_t202" id="docshape15" filled="false" stroked="false">
              <v:textbox inset="0,0,0,0">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2648576">
              <wp:simplePos x="0" y="0"/>
              <wp:positionH relativeFrom="page">
                <wp:posOffset>6550914</wp:posOffset>
              </wp:positionH>
              <wp:positionV relativeFrom="page">
                <wp:posOffset>9738958</wp:posOffset>
              </wp:positionV>
              <wp:extent cx="273050" cy="33464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73050" cy="334645"/>
                      </a:xfrm>
                      <a:prstGeom prst="rect">
                        <a:avLst/>
                      </a:prstGeom>
                    </wps:spPr>
                    <wps:txbx>
                      <w:txbxContent>
                        <w:p>
                          <w:pPr>
                            <w:spacing w:before="0"/>
                            <w:ind w:left="20" w:right="0" w:firstLine="0"/>
                            <w:jc w:val="left"/>
                            <w:rPr>
                              <w:sz w:val="44"/>
                            </w:rPr>
                          </w:pPr>
                          <w:r>
                            <w:rPr>
                              <w:color w:val="FFFFFF"/>
                              <w:spacing w:val="-2"/>
                              <w:sz w:val="44"/>
                              <w:shd w:fill="1F487C" w:color="auto" w:val="clear"/>
                            </w:rPr>
                            <w:t> </w:t>
                          </w:r>
                          <w:r>
                            <w:rPr>
                              <w:color w:val="FFFFFF"/>
                              <w:spacing w:val="-10"/>
                              <w:sz w:val="44"/>
                              <w:shd w:fill="1F487C" w:color="auto" w:val="clear"/>
                            </w:rPr>
                            <w:fldChar w:fldCharType="begin"/>
                          </w:r>
                          <w:r>
                            <w:rPr>
                              <w:color w:val="FFFFFF"/>
                              <w:spacing w:val="-10"/>
                              <w:sz w:val="44"/>
                              <w:shd w:fill="1F487C" w:color="auto" w:val="clear"/>
                            </w:rPr>
                            <w:instrText> PAGE </w:instrText>
                          </w:r>
                          <w:r>
                            <w:rPr>
                              <w:color w:val="FFFFFF"/>
                              <w:spacing w:val="-10"/>
                              <w:sz w:val="44"/>
                              <w:shd w:fill="1F487C" w:color="auto" w:val="clear"/>
                            </w:rPr>
                            <w:fldChar w:fldCharType="separate"/>
                          </w:r>
                          <w:r>
                            <w:rPr>
                              <w:color w:val="FFFFFF"/>
                              <w:spacing w:val="-10"/>
                              <w:sz w:val="44"/>
                              <w:shd w:fill="1F487C" w:color="auto" w:val="clear"/>
                            </w:rPr>
                            <w:t>4</w:t>
                          </w:r>
                          <w:r>
                            <w:rPr>
                              <w:color w:val="FFFFFF"/>
                              <w:spacing w:val="-10"/>
                              <w:sz w:val="44"/>
                              <w:shd w:fill="1F487C" w:color="auto" w:val="clear"/>
                            </w:rPr>
                            <w:fldChar w:fldCharType="end"/>
                          </w:r>
                        </w:p>
                      </w:txbxContent>
                    </wps:txbx>
                    <wps:bodyPr wrap="square" lIns="0" tIns="0" rIns="0" bIns="0" rtlCol="0">
                      <a:noAutofit/>
                    </wps:bodyPr>
                  </wps:wsp>
                </a:graphicData>
              </a:graphic>
            </wp:anchor>
          </w:drawing>
        </mc:Choice>
        <mc:Fallback>
          <w:pict>
            <v:shape style="position:absolute;margin-left:515.820007pt;margin-top:766.847107pt;width:21.5pt;height:26.35pt;mso-position-horizontal-relative:page;mso-position-vertical-relative:page;z-index:-20667904" type="#_x0000_t202" id="docshape16" filled="false" stroked="false">
              <v:textbox inset="0,0,0,0">
                <w:txbxContent>
                  <w:p>
                    <w:pPr>
                      <w:spacing w:before="0"/>
                      <w:ind w:left="20" w:right="0" w:firstLine="0"/>
                      <w:jc w:val="left"/>
                      <w:rPr>
                        <w:sz w:val="44"/>
                      </w:rPr>
                    </w:pPr>
                    <w:r>
                      <w:rPr>
                        <w:color w:val="FFFFFF"/>
                        <w:spacing w:val="-2"/>
                        <w:sz w:val="44"/>
                        <w:shd w:fill="1F487C" w:color="auto" w:val="clear"/>
                      </w:rPr>
                      <w:t> </w:t>
                    </w:r>
                    <w:r>
                      <w:rPr>
                        <w:color w:val="FFFFFF"/>
                        <w:spacing w:val="-10"/>
                        <w:sz w:val="44"/>
                        <w:shd w:fill="1F487C" w:color="auto" w:val="clear"/>
                      </w:rPr>
                      <w:fldChar w:fldCharType="begin"/>
                    </w:r>
                    <w:r>
                      <w:rPr>
                        <w:color w:val="FFFFFF"/>
                        <w:spacing w:val="-10"/>
                        <w:sz w:val="44"/>
                        <w:shd w:fill="1F487C" w:color="auto" w:val="clear"/>
                      </w:rPr>
                      <w:instrText> PAGE </w:instrText>
                    </w:r>
                    <w:r>
                      <w:rPr>
                        <w:color w:val="FFFFFF"/>
                        <w:spacing w:val="-10"/>
                        <w:sz w:val="44"/>
                        <w:shd w:fill="1F487C" w:color="auto" w:val="clear"/>
                      </w:rPr>
                      <w:fldChar w:fldCharType="separate"/>
                    </w:r>
                    <w:r>
                      <w:rPr>
                        <w:color w:val="FFFFFF"/>
                        <w:spacing w:val="-10"/>
                        <w:sz w:val="44"/>
                        <w:shd w:fill="1F487C" w:color="auto" w:val="clear"/>
                      </w:rPr>
                      <w:t>4</w:t>
                    </w:r>
                    <w:r>
                      <w:rPr>
                        <w:color w:val="FFFFFF"/>
                        <w:spacing w:val="-10"/>
                        <w:sz w:val="44"/>
                        <w:shd w:fill="1F487C" w:color="auto" w:val="clear"/>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655232">
              <wp:simplePos x="0" y="0"/>
              <wp:positionH relativeFrom="page">
                <wp:posOffset>4968621</wp:posOffset>
              </wp:positionH>
              <wp:positionV relativeFrom="page">
                <wp:posOffset>9718185</wp:posOffset>
              </wp:positionV>
              <wp:extent cx="1457325" cy="37211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1457325" cy="372110"/>
                      </a:xfrm>
                      <a:prstGeom prst="rect">
                        <a:avLst/>
                      </a:prstGeom>
                    </wps:spPr>
                    <wps:txbx>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wps:txbx>
                    <wps:bodyPr wrap="square" lIns="0" tIns="0" rIns="0" bIns="0" rtlCol="0">
                      <a:noAutofit/>
                    </wps:bodyPr>
                  </wps:wsp>
                </a:graphicData>
              </a:graphic>
            </wp:anchor>
          </w:drawing>
        </mc:Choice>
        <mc:Fallback>
          <w:pict>
            <v:shape style="position:absolute;margin-left:391.230011pt;margin-top:765.211426pt;width:114.75pt;height:29.3pt;mso-position-horizontal-relative:page;mso-position-vertical-relative:page;z-index:-20661248" type="#_x0000_t202" id="docshape758" filled="false" stroked="false">
              <v:textbox inset="0,0,0,0">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2655744">
              <wp:simplePos x="0" y="0"/>
              <wp:positionH relativeFrom="page">
                <wp:posOffset>6550914</wp:posOffset>
              </wp:positionH>
              <wp:positionV relativeFrom="page">
                <wp:posOffset>9738958</wp:posOffset>
              </wp:positionV>
              <wp:extent cx="554355" cy="33464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554355" cy="334645"/>
                      </a:xfrm>
                      <a:prstGeom prst="rect">
                        <a:avLst/>
                      </a:prstGeom>
                    </wps:spPr>
                    <wps:txbx>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113</w:t>
                          </w:r>
                          <w:r>
                            <w:rPr>
                              <w:color w:val="FFFFFF"/>
                              <w:spacing w:val="-5"/>
                              <w:sz w:val="44"/>
                              <w:shd w:fill="1F487C" w:color="auto" w:val="clear"/>
                            </w:rPr>
                            <w:fldChar w:fldCharType="end"/>
                          </w:r>
                        </w:p>
                      </w:txbxContent>
                    </wps:txbx>
                    <wps:bodyPr wrap="square" lIns="0" tIns="0" rIns="0" bIns="0" rtlCol="0">
                      <a:noAutofit/>
                    </wps:bodyPr>
                  </wps:wsp>
                </a:graphicData>
              </a:graphic>
            </wp:anchor>
          </w:drawing>
        </mc:Choice>
        <mc:Fallback>
          <w:pict>
            <v:shape style="position:absolute;margin-left:515.820007pt;margin-top:766.847107pt;width:43.65pt;height:26.35pt;mso-position-horizontal-relative:page;mso-position-vertical-relative:page;z-index:-20660736" type="#_x0000_t202" id="docshape759" filled="false" stroked="false">
              <v:textbox inset="0,0,0,0">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113</w:t>
                    </w:r>
                    <w:r>
                      <w:rPr>
                        <w:color w:val="FFFFFF"/>
                        <w:spacing w:val="-5"/>
                        <w:sz w:val="44"/>
                        <w:shd w:fill="1F487C" w:color="auto" w:val="clear"/>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649088">
              <wp:simplePos x="0" y="0"/>
              <wp:positionH relativeFrom="page">
                <wp:posOffset>4968621</wp:posOffset>
              </wp:positionH>
              <wp:positionV relativeFrom="page">
                <wp:posOffset>9805053</wp:posOffset>
              </wp:positionV>
              <wp:extent cx="1457325" cy="3721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457325" cy="372110"/>
                      </a:xfrm>
                      <a:prstGeom prst="rect">
                        <a:avLst/>
                      </a:prstGeom>
                    </wps:spPr>
                    <wps:txbx>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4" w:lineRule="exact" w:before="0"/>
                            <w:ind w:left="0" w:right="19" w:firstLine="0"/>
                            <w:jc w:val="right"/>
                            <w:rPr>
                              <w:sz w:val="16"/>
                            </w:rPr>
                          </w:pPr>
                          <w:r>
                            <w:rPr>
                              <w:color w:val="1F487C"/>
                              <w:sz w:val="16"/>
                            </w:rPr>
                            <w:t>Μάιος</w:t>
                          </w:r>
                          <w:r>
                            <w:rPr>
                              <w:color w:val="1F487C"/>
                              <w:spacing w:val="-4"/>
                              <w:sz w:val="16"/>
                            </w:rPr>
                            <w:t> 2026</w:t>
                          </w:r>
                        </w:p>
                      </w:txbxContent>
                    </wps:txbx>
                    <wps:bodyPr wrap="square" lIns="0" tIns="0" rIns="0" bIns="0" rtlCol="0">
                      <a:noAutofit/>
                    </wps:bodyPr>
                  </wps:wsp>
                </a:graphicData>
              </a:graphic>
            </wp:anchor>
          </w:drawing>
        </mc:Choice>
        <mc:Fallback>
          <w:pict>
            <v:shape style="position:absolute;margin-left:391.230011pt;margin-top:772.051453pt;width:114.75pt;height:29.3pt;mso-position-horizontal-relative:page;mso-position-vertical-relative:page;z-index:-20667392" type="#_x0000_t202" id="docshape17" filled="false" stroked="false">
              <v:textbox inset="0,0,0,0">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4" w:lineRule="exact" w:before="0"/>
                      <w:ind w:left="0" w:right="19" w:firstLine="0"/>
                      <w:jc w:val="right"/>
                      <w:rPr>
                        <w:sz w:val="16"/>
                      </w:rPr>
                    </w:pPr>
                    <w:r>
                      <w:rPr>
                        <w:color w:val="1F487C"/>
                        <w:sz w:val="16"/>
                      </w:rPr>
                      <w:t>Μάιος</w:t>
                    </w:r>
                    <w:r>
                      <w:rPr>
                        <w:color w:val="1F487C"/>
                        <w:spacing w:val="-4"/>
                        <w:sz w:val="16"/>
                      </w:rPr>
                      <w:t> 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2649600">
              <wp:simplePos x="0" y="0"/>
              <wp:positionH relativeFrom="page">
                <wp:posOffset>6550914</wp:posOffset>
              </wp:positionH>
              <wp:positionV relativeFrom="page">
                <wp:posOffset>9825826</wp:posOffset>
              </wp:positionV>
              <wp:extent cx="273050" cy="33464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73050" cy="334645"/>
                      </a:xfrm>
                      <a:prstGeom prst="rect">
                        <a:avLst/>
                      </a:prstGeom>
                    </wps:spPr>
                    <wps:txbx>
                      <w:txbxContent>
                        <w:p>
                          <w:pPr>
                            <w:spacing w:before="0"/>
                            <w:ind w:left="20" w:right="0" w:firstLine="0"/>
                            <w:jc w:val="left"/>
                            <w:rPr>
                              <w:sz w:val="44"/>
                            </w:rPr>
                          </w:pPr>
                          <w:r>
                            <w:rPr>
                              <w:color w:val="FFFFFF"/>
                              <w:spacing w:val="-2"/>
                              <w:sz w:val="44"/>
                              <w:shd w:fill="1F487C" w:color="auto" w:val="clear"/>
                            </w:rPr>
                            <w:t> </w:t>
                          </w:r>
                          <w:r>
                            <w:rPr>
                              <w:color w:val="FFFFFF"/>
                              <w:spacing w:val="-10"/>
                              <w:sz w:val="44"/>
                              <w:shd w:fill="1F487C" w:color="auto" w:val="clear"/>
                            </w:rPr>
                            <w:fldChar w:fldCharType="begin"/>
                          </w:r>
                          <w:r>
                            <w:rPr>
                              <w:color w:val="FFFFFF"/>
                              <w:spacing w:val="-10"/>
                              <w:sz w:val="44"/>
                              <w:shd w:fill="1F487C" w:color="auto" w:val="clear"/>
                            </w:rPr>
                            <w:instrText> PAGE </w:instrText>
                          </w:r>
                          <w:r>
                            <w:rPr>
                              <w:color w:val="FFFFFF"/>
                              <w:spacing w:val="-10"/>
                              <w:sz w:val="44"/>
                              <w:shd w:fill="1F487C" w:color="auto" w:val="clear"/>
                            </w:rPr>
                            <w:fldChar w:fldCharType="separate"/>
                          </w:r>
                          <w:r>
                            <w:rPr>
                              <w:color w:val="FFFFFF"/>
                              <w:spacing w:val="-10"/>
                              <w:sz w:val="44"/>
                              <w:shd w:fill="1F487C" w:color="auto" w:val="clear"/>
                            </w:rPr>
                            <w:t>7</w:t>
                          </w:r>
                          <w:r>
                            <w:rPr>
                              <w:color w:val="FFFFFF"/>
                              <w:spacing w:val="-10"/>
                              <w:sz w:val="44"/>
                              <w:shd w:fill="1F487C" w:color="auto" w:val="clear"/>
                            </w:rPr>
                            <w:fldChar w:fldCharType="end"/>
                          </w:r>
                        </w:p>
                      </w:txbxContent>
                    </wps:txbx>
                    <wps:bodyPr wrap="square" lIns="0" tIns="0" rIns="0" bIns="0" rtlCol="0">
                      <a:noAutofit/>
                    </wps:bodyPr>
                  </wps:wsp>
                </a:graphicData>
              </a:graphic>
            </wp:anchor>
          </w:drawing>
        </mc:Choice>
        <mc:Fallback>
          <w:pict>
            <v:shape style="position:absolute;margin-left:515.820007pt;margin-top:773.687134pt;width:21.5pt;height:26.35pt;mso-position-horizontal-relative:page;mso-position-vertical-relative:page;z-index:-20666880" type="#_x0000_t202" id="docshape18" filled="false" stroked="false">
              <v:textbox inset="0,0,0,0">
                <w:txbxContent>
                  <w:p>
                    <w:pPr>
                      <w:spacing w:before="0"/>
                      <w:ind w:left="20" w:right="0" w:firstLine="0"/>
                      <w:jc w:val="left"/>
                      <w:rPr>
                        <w:sz w:val="44"/>
                      </w:rPr>
                    </w:pPr>
                    <w:r>
                      <w:rPr>
                        <w:color w:val="FFFFFF"/>
                        <w:spacing w:val="-2"/>
                        <w:sz w:val="44"/>
                        <w:shd w:fill="1F487C" w:color="auto" w:val="clear"/>
                      </w:rPr>
                      <w:t> </w:t>
                    </w:r>
                    <w:r>
                      <w:rPr>
                        <w:color w:val="FFFFFF"/>
                        <w:spacing w:val="-10"/>
                        <w:sz w:val="44"/>
                        <w:shd w:fill="1F487C" w:color="auto" w:val="clear"/>
                      </w:rPr>
                      <w:fldChar w:fldCharType="begin"/>
                    </w:r>
                    <w:r>
                      <w:rPr>
                        <w:color w:val="FFFFFF"/>
                        <w:spacing w:val="-10"/>
                        <w:sz w:val="44"/>
                        <w:shd w:fill="1F487C" w:color="auto" w:val="clear"/>
                      </w:rPr>
                      <w:instrText> PAGE </w:instrText>
                    </w:r>
                    <w:r>
                      <w:rPr>
                        <w:color w:val="FFFFFF"/>
                        <w:spacing w:val="-10"/>
                        <w:sz w:val="44"/>
                        <w:shd w:fill="1F487C" w:color="auto" w:val="clear"/>
                      </w:rPr>
                      <w:fldChar w:fldCharType="separate"/>
                    </w:r>
                    <w:r>
                      <w:rPr>
                        <w:color w:val="FFFFFF"/>
                        <w:spacing w:val="-10"/>
                        <w:sz w:val="44"/>
                        <w:shd w:fill="1F487C" w:color="auto" w:val="clear"/>
                      </w:rPr>
                      <w:t>7</w:t>
                    </w:r>
                    <w:r>
                      <w:rPr>
                        <w:color w:val="FFFFFF"/>
                        <w:spacing w:val="-10"/>
                        <w:sz w:val="44"/>
                        <w:shd w:fill="1F487C" w:color="auto" w:val="clear"/>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650112">
              <wp:simplePos x="0" y="0"/>
              <wp:positionH relativeFrom="page">
                <wp:posOffset>4968621</wp:posOffset>
              </wp:positionH>
              <wp:positionV relativeFrom="page">
                <wp:posOffset>9805053</wp:posOffset>
              </wp:positionV>
              <wp:extent cx="1457325" cy="3721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57325" cy="372110"/>
                      </a:xfrm>
                      <a:prstGeom prst="rect">
                        <a:avLst/>
                      </a:prstGeom>
                    </wps:spPr>
                    <wps:txbx>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4" w:lineRule="exact" w:before="0"/>
                            <w:ind w:left="0" w:right="19" w:firstLine="0"/>
                            <w:jc w:val="right"/>
                            <w:rPr>
                              <w:sz w:val="16"/>
                            </w:rPr>
                          </w:pPr>
                          <w:r>
                            <w:rPr>
                              <w:color w:val="1F487C"/>
                              <w:sz w:val="16"/>
                            </w:rPr>
                            <w:t>Μάιος</w:t>
                          </w:r>
                          <w:r>
                            <w:rPr>
                              <w:color w:val="1F487C"/>
                              <w:spacing w:val="-4"/>
                              <w:sz w:val="16"/>
                            </w:rPr>
                            <w:t> 2026</w:t>
                          </w:r>
                        </w:p>
                      </w:txbxContent>
                    </wps:txbx>
                    <wps:bodyPr wrap="square" lIns="0" tIns="0" rIns="0" bIns="0" rtlCol="0">
                      <a:noAutofit/>
                    </wps:bodyPr>
                  </wps:wsp>
                </a:graphicData>
              </a:graphic>
            </wp:anchor>
          </w:drawing>
        </mc:Choice>
        <mc:Fallback>
          <w:pict>
            <v:shape style="position:absolute;margin-left:391.230011pt;margin-top:772.051453pt;width:114.75pt;height:29.3pt;mso-position-horizontal-relative:page;mso-position-vertical-relative:page;z-index:-20666368" type="#_x0000_t202" id="docshape20" filled="false" stroked="false">
              <v:textbox inset="0,0,0,0">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4" w:lineRule="exact" w:before="0"/>
                      <w:ind w:left="0" w:right="19" w:firstLine="0"/>
                      <w:jc w:val="right"/>
                      <w:rPr>
                        <w:sz w:val="16"/>
                      </w:rPr>
                    </w:pPr>
                    <w:r>
                      <w:rPr>
                        <w:color w:val="1F487C"/>
                        <w:sz w:val="16"/>
                      </w:rPr>
                      <w:t>Μάιος</w:t>
                    </w:r>
                    <w:r>
                      <w:rPr>
                        <w:color w:val="1F487C"/>
                        <w:spacing w:val="-4"/>
                        <w:sz w:val="16"/>
                      </w:rPr>
                      <w:t> 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2650624">
              <wp:simplePos x="0" y="0"/>
              <wp:positionH relativeFrom="page">
                <wp:posOffset>6550914</wp:posOffset>
              </wp:positionH>
              <wp:positionV relativeFrom="page">
                <wp:posOffset>9825826</wp:posOffset>
              </wp:positionV>
              <wp:extent cx="414020" cy="33464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414020" cy="334645"/>
                      </a:xfrm>
                      <a:prstGeom prst="rect">
                        <a:avLst/>
                      </a:prstGeom>
                    </wps:spPr>
                    <wps:txbx>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10</w:t>
                          </w:r>
                          <w:r>
                            <w:rPr>
                              <w:color w:val="FFFFFF"/>
                              <w:spacing w:val="-5"/>
                              <w:sz w:val="44"/>
                              <w:shd w:fill="1F487C" w:color="auto" w:val="clear"/>
                            </w:rPr>
                            <w:fldChar w:fldCharType="end"/>
                          </w:r>
                        </w:p>
                      </w:txbxContent>
                    </wps:txbx>
                    <wps:bodyPr wrap="square" lIns="0" tIns="0" rIns="0" bIns="0" rtlCol="0">
                      <a:noAutofit/>
                    </wps:bodyPr>
                  </wps:wsp>
                </a:graphicData>
              </a:graphic>
            </wp:anchor>
          </w:drawing>
        </mc:Choice>
        <mc:Fallback>
          <w:pict>
            <v:shape style="position:absolute;margin-left:515.820007pt;margin-top:773.687134pt;width:32.6pt;height:26.35pt;mso-position-horizontal-relative:page;mso-position-vertical-relative:page;z-index:-20665856" type="#_x0000_t202" id="docshape21" filled="false" stroked="false">
              <v:textbox inset="0,0,0,0">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10</w:t>
                    </w:r>
                    <w:r>
                      <w:rPr>
                        <w:color w:val="FFFFFF"/>
                        <w:spacing w:val="-5"/>
                        <w:sz w:val="44"/>
                        <w:shd w:fill="1F487C" w:color="auto" w:val="clear"/>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651136">
              <wp:simplePos x="0" y="0"/>
              <wp:positionH relativeFrom="page">
                <wp:posOffset>4968621</wp:posOffset>
              </wp:positionH>
              <wp:positionV relativeFrom="page">
                <wp:posOffset>9850773</wp:posOffset>
              </wp:positionV>
              <wp:extent cx="1457325" cy="37401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457325" cy="374015"/>
                      </a:xfrm>
                      <a:prstGeom prst="rect">
                        <a:avLst/>
                      </a:prstGeom>
                    </wps:spPr>
                    <wps:txbx>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before="2"/>
                            <w:ind w:left="0" w:right="19" w:firstLine="0"/>
                            <w:jc w:val="right"/>
                            <w:rPr>
                              <w:sz w:val="16"/>
                            </w:rPr>
                          </w:pPr>
                          <w:r>
                            <w:rPr>
                              <w:color w:val="1F487C"/>
                              <w:sz w:val="16"/>
                            </w:rPr>
                            <w:t>Μάιος</w:t>
                          </w:r>
                          <w:r>
                            <w:rPr>
                              <w:color w:val="1F487C"/>
                              <w:spacing w:val="-4"/>
                              <w:sz w:val="16"/>
                            </w:rPr>
                            <w:t> 2026</w:t>
                          </w:r>
                        </w:p>
                      </w:txbxContent>
                    </wps:txbx>
                    <wps:bodyPr wrap="square" lIns="0" tIns="0" rIns="0" bIns="0" rtlCol="0">
                      <a:noAutofit/>
                    </wps:bodyPr>
                  </wps:wsp>
                </a:graphicData>
              </a:graphic>
            </wp:anchor>
          </w:drawing>
        </mc:Choice>
        <mc:Fallback>
          <w:pict>
            <v:shape style="position:absolute;margin-left:391.230011pt;margin-top:775.651428pt;width:114.75pt;height:29.45pt;mso-position-horizontal-relative:page;mso-position-vertical-relative:page;z-index:-20665344" type="#_x0000_t202" id="docshape43" filled="false" stroked="false">
              <v:textbox inset="0,0,0,0">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before="2"/>
                      <w:ind w:left="0" w:right="19" w:firstLine="0"/>
                      <w:jc w:val="right"/>
                      <w:rPr>
                        <w:sz w:val="16"/>
                      </w:rPr>
                    </w:pPr>
                    <w:r>
                      <w:rPr>
                        <w:color w:val="1F487C"/>
                        <w:sz w:val="16"/>
                      </w:rPr>
                      <w:t>Μάιος</w:t>
                    </w:r>
                    <w:r>
                      <w:rPr>
                        <w:color w:val="1F487C"/>
                        <w:spacing w:val="-4"/>
                        <w:sz w:val="16"/>
                      </w:rPr>
                      <w:t> 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2651648">
              <wp:simplePos x="0" y="0"/>
              <wp:positionH relativeFrom="page">
                <wp:posOffset>6550914</wp:posOffset>
              </wp:positionH>
              <wp:positionV relativeFrom="page">
                <wp:posOffset>9825826</wp:posOffset>
              </wp:positionV>
              <wp:extent cx="414020" cy="38227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414020" cy="382270"/>
                      </a:xfrm>
                      <a:prstGeom prst="rect">
                        <a:avLst/>
                      </a:prstGeom>
                    </wps:spPr>
                    <wps:txbx>
                      <w:txbxContent>
                        <w:p>
                          <w:pPr>
                            <w:spacing w:before="75"/>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34</w:t>
                          </w:r>
                          <w:r>
                            <w:rPr>
                              <w:color w:val="FFFFFF"/>
                              <w:spacing w:val="-5"/>
                              <w:sz w:val="44"/>
                              <w:shd w:fill="1F487C" w:color="auto" w:val="clear"/>
                            </w:rPr>
                            <w:fldChar w:fldCharType="end"/>
                          </w:r>
                        </w:p>
                      </w:txbxContent>
                    </wps:txbx>
                    <wps:bodyPr wrap="square" lIns="0" tIns="0" rIns="0" bIns="0" rtlCol="0">
                      <a:noAutofit/>
                    </wps:bodyPr>
                  </wps:wsp>
                </a:graphicData>
              </a:graphic>
            </wp:anchor>
          </w:drawing>
        </mc:Choice>
        <mc:Fallback>
          <w:pict>
            <v:shape style="position:absolute;margin-left:515.820007pt;margin-top:773.687134pt;width:32.6pt;height:30.1pt;mso-position-horizontal-relative:page;mso-position-vertical-relative:page;z-index:-20664832" type="#_x0000_t202" id="docshape44" filled="false" stroked="false">
              <v:textbox inset="0,0,0,0">
                <w:txbxContent>
                  <w:p>
                    <w:pPr>
                      <w:spacing w:before="75"/>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34</w:t>
                    </w:r>
                    <w:r>
                      <w:rPr>
                        <w:color w:val="FFFFFF"/>
                        <w:spacing w:val="-5"/>
                        <w:sz w:val="44"/>
                        <w:shd w:fill="1F487C" w:color="auto" w:val="clear"/>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652160">
              <wp:simplePos x="0" y="0"/>
              <wp:positionH relativeFrom="page">
                <wp:posOffset>4968621</wp:posOffset>
              </wp:positionH>
              <wp:positionV relativeFrom="page">
                <wp:posOffset>9718185</wp:posOffset>
              </wp:positionV>
              <wp:extent cx="1457325" cy="372110"/>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1457325" cy="372110"/>
                      </a:xfrm>
                      <a:prstGeom prst="rect">
                        <a:avLst/>
                      </a:prstGeom>
                    </wps:spPr>
                    <wps:txbx>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wps:txbx>
                    <wps:bodyPr wrap="square" lIns="0" tIns="0" rIns="0" bIns="0" rtlCol="0">
                      <a:noAutofit/>
                    </wps:bodyPr>
                  </wps:wsp>
                </a:graphicData>
              </a:graphic>
            </wp:anchor>
          </w:drawing>
        </mc:Choice>
        <mc:Fallback>
          <w:pict>
            <v:shape style="position:absolute;margin-left:391.230011pt;margin-top:765.211426pt;width:114.75pt;height:29.3pt;mso-position-horizontal-relative:page;mso-position-vertical-relative:page;z-index:-20664320" type="#_x0000_t202" id="docshape697" filled="false" stroked="false">
              <v:textbox inset="0,0,0,0">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2652672">
              <wp:simplePos x="0" y="0"/>
              <wp:positionH relativeFrom="page">
                <wp:posOffset>6550914</wp:posOffset>
              </wp:positionH>
              <wp:positionV relativeFrom="page">
                <wp:posOffset>9738958</wp:posOffset>
              </wp:positionV>
              <wp:extent cx="414020" cy="334645"/>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414020" cy="334645"/>
                      </a:xfrm>
                      <a:prstGeom prst="rect">
                        <a:avLst/>
                      </a:prstGeom>
                    </wps:spPr>
                    <wps:txbx>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89</w:t>
                          </w:r>
                          <w:r>
                            <w:rPr>
                              <w:color w:val="FFFFFF"/>
                              <w:spacing w:val="-5"/>
                              <w:sz w:val="44"/>
                              <w:shd w:fill="1F487C" w:color="auto" w:val="clear"/>
                            </w:rPr>
                            <w:fldChar w:fldCharType="end"/>
                          </w:r>
                        </w:p>
                      </w:txbxContent>
                    </wps:txbx>
                    <wps:bodyPr wrap="square" lIns="0" tIns="0" rIns="0" bIns="0" rtlCol="0">
                      <a:noAutofit/>
                    </wps:bodyPr>
                  </wps:wsp>
                </a:graphicData>
              </a:graphic>
            </wp:anchor>
          </w:drawing>
        </mc:Choice>
        <mc:Fallback>
          <w:pict>
            <v:shape style="position:absolute;margin-left:515.820007pt;margin-top:766.847107pt;width:32.6pt;height:26.35pt;mso-position-horizontal-relative:page;mso-position-vertical-relative:page;z-index:-20663808" type="#_x0000_t202" id="docshape698" filled="false" stroked="false">
              <v:textbox inset="0,0,0,0">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89</w:t>
                    </w:r>
                    <w:r>
                      <w:rPr>
                        <w:color w:val="FFFFFF"/>
                        <w:spacing w:val="-5"/>
                        <w:sz w:val="44"/>
                        <w:shd w:fill="1F487C" w:color="auto" w:val="clear"/>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653184">
              <wp:simplePos x="0" y="0"/>
              <wp:positionH relativeFrom="page">
                <wp:posOffset>4968621</wp:posOffset>
              </wp:positionH>
              <wp:positionV relativeFrom="page">
                <wp:posOffset>9718185</wp:posOffset>
              </wp:positionV>
              <wp:extent cx="1457325" cy="372110"/>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1457325" cy="372110"/>
                      </a:xfrm>
                      <a:prstGeom prst="rect">
                        <a:avLst/>
                      </a:prstGeom>
                    </wps:spPr>
                    <wps:txbx>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wps:txbx>
                    <wps:bodyPr wrap="square" lIns="0" tIns="0" rIns="0" bIns="0" rtlCol="0">
                      <a:noAutofit/>
                    </wps:bodyPr>
                  </wps:wsp>
                </a:graphicData>
              </a:graphic>
            </wp:anchor>
          </w:drawing>
        </mc:Choice>
        <mc:Fallback>
          <w:pict>
            <v:shape style="position:absolute;margin-left:391.230011pt;margin-top:765.211426pt;width:114.75pt;height:29.3pt;mso-position-horizontal-relative:page;mso-position-vertical-relative:page;z-index:-20663296" type="#_x0000_t202" id="docshape733" filled="false" stroked="false">
              <v:textbox inset="0,0,0,0">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2653696">
              <wp:simplePos x="0" y="0"/>
              <wp:positionH relativeFrom="page">
                <wp:posOffset>6550914</wp:posOffset>
              </wp:positionH>
              <wp:positionV relativeFrom="page">
                <wp:posOffset>9738958</wp:posOffset>
              </wp:positionV>
              <wp:extent cx="554355" cy="334645"/>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554355" cy="334645"/>
                      </a:xfrm>
                      <a:prstGeom prst="rect">
                        <a:avLst/>
                      </a:prstGeom>
                    </wps:spPr>
                    <wps:txbx>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100</w:t>
                          </w:r>
                          <w:r>
                            <w:rPr>
                              <w:color w:val="FFFFFF"/>
                              <w:spacing w:val="-5"/>
                              <w:sz w:val="44"/>
                              <w:shd w:fill="1F487C" w:color="auto" w:val="clear"/>
                            </w:rPr>
                            <w:fldChar w:fldCharType="end"/>
                          </w:r>
                        </w:p>
                      </w:txbxContent>
                    </wps:txbx>
                    <wps:bodyPr wrap="square" lIns="0" tIns="0" rIns="0" bIns="0" rtlCol="0">
                      <a:noAutofit/>
                    </wps:bodyPr>
                  </wps:wsp>
                </a:graphicData>
              </a:graphic>
            </wp:anchor>
          </w:drawing>
        </mc:Choice>
        <mc:Fallback>
          <w:pict>
            <v:shape style="position:absolute;margin-left:515.820007pt;margin-top:766.847107pt;width:43.65pt;height:26.35pt;mso-position-horizontal-relative:page;mso-position-vertical-relative:page;z-index:-20662784" type="#_x0000_t202" id="docshape734" filled="false" stroked="false">
              <v:textbox inset="0,0,0,0">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100</w:t>
                    </w:r>
                    <w:r>
                      <w:rPr>
                        <w:color w:val="FFFFFF"/>
                        <w:spacing w:val="-5"/>
                        <w:sz w:val="44"/>
                        <w:shd w:fill="1F487C" w:color="auto" w:val="clear"/>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654208">
              <wp:simplePos x="0" y="0"/>
              <wp:positionH relativeFrom="page">
                <wp:posOffset>4968621</wp:posOffset>
              </wp:positionH>
              <wp:positionV relativeFrom="page">
                <wp:posOffset>9718185</wp:posOffset>
              </wp:positionV>
              <wp:extent cx="1457325" cy="372110"/>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1457325" cy="372110"/>
                      </a:xfrm>
                      <a:prstGeom prst="rect">
                        <a:avLst/>
                      </a:prstGeom>
                    </wps:spPr>
                    <wps:txbx>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wps:txbx>
                    <wps:bodyPr wrap="square" lIns="0" tIns="0" rIns="0" bIns="0" rtlCol="0">
                      <a:noAutofit/>
                    </wps:bodyPr>
                  </wps:wsp>
                </a:graphicData>
              </a:graphic>
            </wp:anchor>
          </w:drawing>
        </mc:Choice>
        <mc:Fallback>
          <w:pict>
            <v:shape style="position:absolute;margin-left:391.230011pt;margin-top:765.211426pt;width:114.75pt;height:29.3pt;mso-position-horizontal-relative:page;mso-position-vertical-relative:page;z-index:-20662272" type="#_x0000_t202" id="docshape752" filled="false" stroked="false">
              <v:textbox inset="0,0,0,0">
                <w:txbxContent>
                  <w:p>
                    <w:pPr>
                      <w:spacing w:before="14"/>
                      <w:ind w:left="20" w:right="18" w:firstLine="1745"/>
                      <w:jc w:val="right"/>
                      <w:rPr>
                        <w:sz w:val="16"/>
                      </w:rPr>
                    </w:pPr>
                    <w:r>
                      <w:rPr>
                        <w:spacing w:val="-2"/>
                        <w:sz w:val="16"/>
                      </w:rPr>
                      <w:t>Έκθεση</w:t>
                    </w:r>
                    <w:r>
                      <w:rPr>
                        <w:spacing w:val="40"/>
                        <w:sz w:val="16"/>
                      </w:rPr>
                      <w:t> </w:t>
                    </w:r>
                    <w:r>
                      <w:rPr>
                        <w:sz w:val="16"/>
                      </w:rPr>
                      <w:t>Χρηματοπιστωτικής</w:t>
                    </w:r>
                    <w:r>
                      <w:rPr>
                        <w:spacing w:val="-9"/>
                        <w:sz w:val="16"/>
                      </w:rPr>
                      <w:t> </w:t>
                    </w:r>
                    <w:r>
                      <w:rPr>
                        <w:spacing w:val="-2"/>
                        <w:sz w:val="16"/>
                      </w:rPr>
                      <w:t>Σταθερότητας</w:t>
                    </w:r>
                  </w:p>
                  <w:p>
                    <w:pPr>
                      <w:spacing w:line="183" w:lineRule="exact" w:before="0"/>
                      <w:ind w:left="0" w:right="19" w:firstLine="0"/>
                      <w:jc w:val="right"/>
                      <w:rPr>
                        <w:sz w:val="16"/>
                      </w:rPr>
                    </w:pPr>
                    <w:r>
                      <w:rPr>
                        <w:color w:val="1F487C"/>
                        <w:sz w:val="16"/>
                      </w:rPr>
                      <w:t>Μάιος</w:t>
                    </w:r>
                    <w:r>
                      <w:rPr>
                        <w:color w:val="1F487C"/>
                        <w:spacing w:val="-4"/>
                        <w:sz w:val="16"/>
                      </w:rPr>
                      <w:t> 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2654720">
              <wp:simplePos x="0" y="0"/>
              <wp:positionH relativeFrom="page">
                <wp:posOffset>6550914</wp:posOffset>
              </wp:positionH>
              <wp:positionV relativeFrom="page">
                <wp:posOffset>9738958</wp:posOffset>
              </wp:positionV>
              <wp:extent cx="554355" cy="334645"/>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554355" cy="334645"/>
                      </a:xfrm>
                      <a:prstGeom prst="rect">
                        <a:avLst/>
                      </a:prstGeom>
                    </wps:spPr>
                    <wps:txbx>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107</w:t>
                          </w:r>
                          <w:r>
                            <w:rPr>
                              <w:color w:val="FFFFFF"/>
                              <w:spacing w:val="-5"/>
                              <w:sz w:val="44"/>
                              <w:shd w:fill="1F487C" w:color="auto" w:val="clear"/>
                            </w:rPr>
                            <w:fldChar w:fldCharType="end"/>
                          </w:r>
                        </w:p>
                      </w:txbxContent>
                    </wps:txbx>
                    <wps:bodyPr wrap="square" lIns="0" tIns="0" rIns="0" bIns="0" rtlCol="0">
                      <a:noAutofit/>
                    </wps:bodyPr>
                  </wps:wsp>
                </a:graphicData>
              </a:graphic>
            </wp:anchor>
          </w:drawing>
        </mc:Choice>
        <mc:Fallback>
          <w:pict>
            <v:shape style="position:absolute;margin-left:515.820007pt;margin-top:766.847107pt;width:43.65pt;height:26.35pt;mso-position-horizontal-relative:page;mso-position-vertical-relative:page;z-index:-20661760" type="#_x0000_t202" id="docshape753" filled="false" stroked="false">
              <v:textbox inset="0,0,0,0">
                <w:txbxContent>
                  <w:p>
                    <w:pPr>
                      <w:spacing w:before="0"/>
                      <w:ind w:left="20" w:right="0" w:firstLine="0"/>
                      <w:jc w:val="left"/>
                      <w:rPr>
                        <w:sz w:val="44"/>
                      </w:rPr>
                    </w:pPr>
                    <w:r>
                      <w:rPr>
                        <w:color w:val="FFFFFF"/>
                        <w:spacing w:val="-2"/>
                        <w:sz w:val="44"/>
                        <w:shd w:fill="1F487C" w:color="auto" w:val="clear"/>
                      </w:rPr>
                      <w:t> </w:t>
                    </w:r>
                    <w:r>
                      <w:rPr>
                        <w:color w:val="FFFFFF"/>
                        <w:spacing w:val="-5"/>
                        <w:sz w:val="44"/>
                        <w:shd w:fill="1F487C" w:color="auto" w:val="clear"/>
                      </w:rPr>
                      <w:fldChar w:fldCharType="begin"/>
                    </w:r>
                    <w:r>
                      <w:rPr>
                        <w:color w:val="FFFFFF"/>
                        <w:spacing w:val="-5"/>
                        <w:sz w:val="44"/>
                        <w:shd w:fill="1F487C" w:color="auto" w:val="clear"/>
                      </w:rPr>
                      <w:instrText> PAGE </w:instrText>
                    </w:r>
                    <w:r>
                      <w:rPr>
                        <w:color w:val="FFFFFF"/>
                        <w:spacing w:val="-5"/>
                        <w:sz w:val="44"/>
                        <w:shd w:fill="1F487C" w:color="auto" w:val="clear"/>
                      </w:rPr>
                      <w:fldChar w:fldCharType="separate"/>
                    </w:r>
                    <w:r>
                      <w:rPr>
                        <w:color w:val="FFFFFF"/>
                        <w:spacing w:val="-5"/>
                        <w:sz w:val="44"/>
                        <w:shd w:fill="1F487C" w:color="auto" w:val="clear"/>
                      </w:rPr>
                      <w:t>107</w:t>
                    </w:r>
                    <w:r>
                      <w:rPr>
                        <w:color w:val="FFFFFF"/>
                        <w:spacing w:val="-5"/>
                        <w:sz w:val="44"/>
                        <w:shd w:fill="1F487C" w:color="auto" w:val="clear"/>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750" w:hanging="360"/>
        <w:jc w:val="left"/>
      </w:pPr>
      <w:rPr>
        <w:rFonts w:hint="default" w:ascii="Times New Roman" w:hAnsi="Times New Roman" w:eastAsia="Times New Roman" w:cs="Times New Roman"/>
        <w:b w:val="0"/>
        <w:bCs w:val="0"/>
        <w:i w:val="0"/>
        <w:iCs w:val="0"/>
        <w:spacing w:val="0"/>
        <w:w w:val="100"/>
        <w:sz w:val="22"/>
        <w:szCs w:val="22"/>
        <w:lang w:val="el-GR" w:eastAsia="en-US" w:bidi="ar-SA"/>
      </w:rPr>
    </w:lvl>
    <w:lvl w:ilvl="1">
      <w:start w:val="0"/>
      <w:numFmt w:val="bullet"/>
      <w:lvlText w:val="•"/>
      <w:lvlJc w:val="left"/>
      <w:pPr>
        <w:ind w:left="1562" w:hanging="360"/>
      </w:pPr>
      <w:rPr>
        <w:rFonts w:hint="default"/>
        <w:lang w:val="el-GR" w:eastAsia="en-US" w:bidi="ar-SA"/>
      </w:rPr>
    </w:lvl>
    <w:lvl w:ilvl="2">
      <w:start w:val="0"/>
      <w:numFmt w:val="bullet"/>
      <w:lvlText w:val="•"/>
      <w:lvlJc w:val="left"/>
      <w:pPr>
        <w:ind w:left="2365" w:hanging="360"/>
      </w:pPr>
      <w:rPr>
        <w:rFonts w:hint="default"/>
        <w:lang w:val="el-GR" w:eastAsia="en-US" w:bidi="ar-SA"/>
      </w:rPr>
    </w:lvl>
    <w:lvl w:ilvl="3">
      <w:start w:val="0"/>
      <w:numFmt w:val="bullet"/>
      <w:lvlText w:val="•"/>
      <w:lvlJc w:val="left"/>
      <w:pPr>
        <w:ind w:left="3168" w:hanging="360"/>
      </w:pPr>
      <w:rPr>
        <w:rFonts w:hint="default"/>
        <w:lang w:val="el-GR" w:eastAsia="en-US" w:bidi="ar-SA"/>
      </w:rPr>
    </w:lvl>
    <w:lvl w:ilvl="4">
      <w:start w:val="0"/>
      <w:numFmt w:val="bullet"/>
      <w:lvlText w:val="•"/>
      <w:lvlJc w:val="left"/>
      <w:pPr>
        <w:ind w:left="3971" w:hanging="360"/>
      </w:pPr>
      <w:rPr>
        <w:rFonts w:hint="default"/>
        <w:lang w:val="el-GR" w:eastAsia="en-US" w:bidi="ar-SA"/>
      </w:rPr>
    </w:lvl>
    <w:lvl w:ilvl="5">
      <w:start w:val="0"/>
      <w:numFmt w:val="bullet"/>
      <w:lvlText w:val="•"/>
      <w:lvlJc w:val="left"/>
      <w:pPr>
        <w:ind w:left="4774" w:hanging="360"/>
      </w:pPr>
      <w:rPr>
        <w:rFonts w:hint="default"/>
        <w:lang w:val="el-GR" w:eastAsia="en-US" w:bidi="ar-SA"/>
      </w:rPr>
    </w:lvl>
    <w:lvl w:ilvl="6">
      <w:start w:val="0"/>
      <w:numFmt w:val="bullet"/>
      <w:lvlText w:val="•"/>
      <w:lvlJc w:val="left"/>
      <w:pPr>
        <w:ind w:left="5577" w:hanging="360"/>
      </w:pPr>
      <w:rPr>
        <w:rFonts w:hint="default"/>
        <w:lang w:val="el-GR" w:eastAsia="en-US" w:bidi="ar-SA"/>
      </w:rPr>
    </w:lvl>
    <w:lvl w:ilvl="7">
      <w:start w:val="0"/>
      <w:numFmt w:val="bullet"/>
      <w:lvlText w:val="•"/>
      <w:lvlJc w:val="left"/>
      <w:pPr>
        <w:ind w:left="6379" w:hanging="360"/>
      </w:pPr>
      <w:rPr>
        <w:rFonts w:hint="default"/>
        <w:lang w:val="el-GR" w:eastAsia="en-US" w:bidi="ar-SA"/>
      </w:rPr>
    </w:lvl>
    <w:lvl w:ilvl="8">
      <w:start w:val="0"/>
      <w:numFmt w:val="bullet"/>
      <w:lvlText w:val="•"/>
      <w:lvlJc w:val="left"/>
      <w:pPr>
        <w:ind w:left="7182" w:hanging="360"/>
      </w:pPr>
      <w:rPr>
        <w:rFonts w:hint="default"/>
        <w:lang w:val="el-GR" w:eastAsia="en-US" w:bidi="ar-SA"/>
      </w:rPr>
    </w:lvl>
  </w:abstractNum>
  <w:abstractNum w:abstractNumId="7">
    <w:multiLevelType w:val="hybridMultilevel"/>
    <w:lvl w:ilvl="0">
      <w:start w:val="0"/>
      <w:numFmt w:val="bullet"/>
      <w:lvlText w:val="–"/>
      <w:lvlJc w:val="left"/>
      <w:pPr>
        <w:ind w:left="750" w:hanging="360"/>
      </w:pPr>
      <w:rPr>
        <w:rFonts w:hint="default" w:ascii="Trebuchet MS" w:hAnsi="Trebuchet MS" w:eastAsia="Trebuchet MS" w:cs="Trebuchet MS"/>
        <w:b w:val="0"/>
        <w:bCs w:val="0"/>
        <w:i w:val="0"/>
        <w:iCs w:val="0"/>
        <w:spacing w:val="0"/>
        <w:w w:val="146"/>
        <w:sz w:val="22"/>
        <w:szCs w:val="22"/>
        <w:lang w:val="el-GR" w:eastAsia="en-US" w:bidi="ar-SA"/>
      </w:rPr>
    </w:lvl>
    <w:lvl w:ilvl="1">
      <w:start w:val="0"/>
      <w:numFmt w:val="bullet"/>
      <w:lvlText w:val="•"/>
      <w:lvlJc w:val="left"/>
      <w:pPr>
        <w:ind w:left="1562" w:hanging="360"/>
      </w:pPr>
      <w:rPr>
        <w:rFonts w:hint="default"/>
        <w:lang w:val="el-GR" w:eastAsia="en-US" w:bidi="ar-SA"/>
      </w:rPr>
    </w:lvl>
    <w:lvl w:ilvl="2">
      <w:start w:val="0"/>
      <w:numFmt w:val="bullet"/>
      <w:lvlText w:val="•"/>
      <w:lvlJc w:val="left"/>
      <w:pPr>
        <w:ind w:left="2365" w:hanging="360"/>
      </w:pPr>
      <w:rPr>
        <w:rFonts w:hint="default"/>
        <w:lang w:val="el-GR" w:eastAsia="en-US" w:bidi="ar-SA"/>
      </w:rPr>
    </w:lvl>
    <w:lvl w:ilvl="3">
      <w:start w:val="0"/>
      <w:numFmt w:val="bullet"/>
      <w:lvlText w:val="•"/>
      <w:lvlJc w:val="left"/>
      <w:pPr>
        <w:ind w:left="3168" w:hanging="360"/>
      </w:pPr>
      <w:rPr>
        <w:rFonts w:hint="default"/>
        <w:lang w:val="el-GR" w:eastAsia="en-US" w:bidi="ar-SA"/>
      </w:rPr>
    </w:lvl>
    <w:lvl w:ilvl="4">
      <w:start w:val="0"/>
      <w:numFmt w:val="bullet"/>
      <w:lvlText w:val="•"/>
      <w:lvlJc w:val="left"/>
      <w:pPr>
        <w:ind w:left="3971" w:hanging="360"/>
      </w:pPr>
      <w:rPr>
        <w:rFonts w:hint="default"/>
        <w:lang w:val="el-GR" w:eastAsia="en-US" w:bidi="ar-SA"/>
      </w:rPr>
    </w:lvl>
    <w:lvl w:ilvl="5">
      <w:start w:val="0"/>
      <w:numFmt w:val="bullet"/>
      <w:lvlText w:val="•"/>
      <w:lvlJc w:val="left"/>
      <w:pPr>
        <w:ind w:left="4774" w:hanging="360"/>
      </w:pPr>
      <w:rPr>
        <w:rFonts w:hint="default"/>
        <w:lang w:val="el-GR" w:eastAsia="en-US" w:bidi="ar-SA"/>
      </w:rPr>
    </w:lvl>
    <w:lvl w:ilvl="6">
      <w:start w:val="0"/>
      <w:numFmt w:val="bullet"/>
      <w:lvlText w:val="•"/>
      <w:lvlJc w:val="left"/>
      <w:pPr>
        <w:ind w:left="5577" w:hanging="360"/>
      </w:pPr>
      <w:rPr>
        <w:rFonts w:hint="default"/>
        <w:lang w:val="el-GR" w:eastAsia="en-US" w:bidi="ar-SA"/>
      </w:rPr>
    </w:lvl>
    <w:lvl w:ilvl="7">
      <w:start w:val="0"/>
      <w:numFmt w:val="bullet"/>
      <w:lvlText w:val="•"/>
      <w:lvlJc w:val="left"/>
      <w:pPr>
        <w:ind w:left="6379" w:hanging="360"/>
      </w:pPr>
      <w:rPr>
        <w:rFonts w:hint="default"/>
        <w:lang w:val="el-GR" w:eastAsia="en-US" w:bidi="ar-SA"/>
      </w:rPr>
    </w:lvl>
    <w:lvl w:ilvl="8">
      <w:start w:val="0"/>
      <w:numFmt w:val="bullet"/>
      <w:lvlText w:val="•"/>
      <w:lvlJc w:val="left"/>
      <w:pPr>
        <w:ind w:left="7182" w:hanging="360"/>
      </w:pPr>
      <w:rPr>
        <w:rFonts w:hint="default"/>
        <w:lang w:val="el-GR" w:eastAsia="en-US" w:bidi="ar-SA"/>
      </w:rPr>
    </w:lvl>
  </w:abstractNum>
  <w:abstractNum w:abstractNumId="6">
    <w:multiLevelType w:val="hybridMultilevel"/>
    <w:lvl w:ilvl="0">
      <w:start w:val="0"/>
      <w:numFmt w:val="bullet"/>
      <w:lvlText w:val="•"/>
      <w:lvlJc w:val="left"/>
      <w:pPr>
        <w:ind w:left="304" w:hanging="132"/>
      </w:pPr>
      <w:rPr>
        <w:rFonts w:hint="default" w:ascii="Times New Roman" w:hAnsi="Times New Roman" w:eastAsia="Times New Roman" w:cs="Times New Roman"/>
        <w:b w:val="0"/>
        <w:bCs w:val="0"/>
        <w:i w:val="0"/>
        <w:iCs w:val="0"/>
        <w:spacing w:val="0"/>
        <w:w w:val="100"/>
        <w:sz w:val="22"/>
        <w:szCs w:val="22"/>
        <w:lang w:val="el-GR" w:eastAsia="en-US" w:bidi="ar-SA"/>
      </w:rPr>
    </w:lvl>
    <w:lvl w:ilvl="1">
      <w:start w:val="0"/>
      <w:numFmt w:val="bullet"/>
      <w:lvlText w:val="•"/>
      <w:lvlJc w:val="left"/>
      <w:pPr>
        <w:ind w:left="1233" w:hanging="132"/>
      </w:pPr>
      <w:rPr>
        <w:rFonts w:hint="default"/>
        <w:lang w:val="el-GR" w:eastAsia="en-US" w:bidi="ar-SA"/>
      </w:rPr>
    </w:lvl>
    <w:lvl w:ilvl="2">
      <w:start w:val="0"/>
      <w:numFmt w:val="bullet"/>
      <w:lvlText w:val="•"/>
      <w:lvlJc w:val="left"/>
      <w:pPr>
        <w:ind w:left="2167" w:hanging="132"/>
      </w:pPr>
      <w:rPr>
        <w:rFonts w:hint="default"/>
        <w:lang w:val="el-GR" w:eastAsia="en-US" w:bidi="ar-SA"/>
      </w:rPr>
    </w:lvl>
    <w:lvl w:ilvl="3">
      <w:start w:val="0"/>
      <w:numFmt w:val="bullet"/>
      <w:lvlText w:val="•"/>
      <w:lvlJc w:val="left"/>
      <w:pPr>
        <w:ind w:left="3101" w:hanging="132"/>
      </w:pPr>
      <w:rPr>
        <w:rFonts w:hint="default"/>
        <w:lang w:val="el-GR" w:eastAsia="en-US" w:bidi="ar-SA"/>
      </w:rPr>
    </w:lvl>
    <w:lvl w:ilvl="4">
      <w:start w:val="0"/>
      <w:numFmt w:val="bullet"/>
      <w:lvlText w:val="•"/>
      <w:lvlJc w:val="left"/>
      <w:pPr>
        <w:ind w:left="4035" w:hanging="132"/>
      </w:pPr>
      <w:rPr>
        <w:rFonts w:hint="default"/>
        <w:lang w:val="el-GR" w:eastAsia="en-US" w:bidi="ar-SA"/>
      </w:rPr>
    </w:lvl>
    <w:lvl w:ilvl="5">
      <w:start w:val="0"/>
      <w:numFmt w:val="bullet"/>
      <w:lvlText w:val="•"/>
      <w:lvlJc w:val="left"/>
      <w:pPr>
        <w:ind w:left="4969" w:hanging="132"/>
      </w:pPr>
      <w:rPr>
        <w:rFonts w:hint="default"/>
        <w:lang w:val="el-GR" w:eastAsia="en-US" w:bidi="ar-SA"/>
      </w:rPr>
    </w:lvl>
    <w:lvl w:ilvl="6">
      <w:start w:val="0"/>
      <w:numFmt w:val="bullet"/>
      <w:lvlText w:val="•"/>
      <w:lvlJc w:val="left"/>
      <w:pPr>
        <w:ind w:left="5903" w:hanging="132"/>
      </w:pPr>
      <w:rPr>
        <w:rFonts w:hint="default"/>
        <w:lang w:val="el-GR" w:eastAsia="en-US" w:bidi="ar-SA"/>
      </w:rPr>
    </w:lvl>
    <w:lvl w:ilvl="7">
      <w:start w:val="0"/>
      <w:numFmt w:val="bullet"/>
      <w:lvlText w:val="•"/>
      <w:lvlJc w:val="left"/>
      <w:pPr>
        <w:ind w:left="6837" w:hanging="132"/>
      </w:pPr>
      <w:rPr>
        <w:rFonts w:hint="default"/>
        <w:lang w:val="el-GR" w:eastAsia="en-US" w:bidi="ar-SA"/>
      </w:rPr>
    </w:lvl>
    <w:lvl w:ilvl="8">
      <w:start w:val="0"/>
      <w:numFmt w:val="bullet"/>
      <w:lvlText w:val="•"/>
      <w:lvlJc w:val="left"/>
      <w:pPr>
        <w:ind w:left="7771" w:hanging="132"/>
      </w:pPr>
      <w:rPr>
        <w:rFonts w:hint="default"/>
        <w:lang w:val="el-GR" w:eastAsia="en-US" w:bidi="ar-SA"/>
      </w:rPr>
    </w:lvl>
  </w:abstractNum>
  <w:abstractNum w:abstractNumId="5">
    <w:multiLevelType w:val="hybridMultilevel"/>
    <w:lvl w:ilvl="0">
      <w:start w:val="0"/>
      <w:numFmt w:val="bullet"/>
      <w:lvlText w:val=""/>
      <w:lvlJc w:val="left"/>
      <w:pPr>
        <w:ind w:left="313" w:hanging="142"/>
      </w:pPr>
      <w:rPr>
        <w:rFonts w:hint="default" w:ascii="Symbol" w:hAnsi="Symbol" w:eastAsia="Symbol" w:cs="Symbol"/>
        <w:b w:val="0"/>
        <w:bCs w:val="0"/>
        <w:i w:val="0"/>
        <w:iCs w:val="0"/>
        <w:spacing w:val="0"/>
        <w:w w:val="100"/>
        <w:sz w:val="16"/>
        <w:szCs w:val="16"/>
        <w:lang w:val="el-GR" w:eastAsia="en-US" w:bidi="ar-SA"/>
      </w:rPr>
    </w:lvl>
    <w:lvl w:ilvl="1">
      <w:start w:val="0"/>
      <w:numFmt w:val="bullet"/>
      <w:lvlText w:val="-"/>
      <w:lvlJc w:val="left"/>
      <w:pPr>
        <w:ind w:left="599" w:hanging="144"/>
      </w:pPr>
      <w:rPr>
        <w:rFonts w:hint="default" w:ascii="Cambria" w:hAnsi="Cambria" w:eastAsia="Cambria" w:cs="Cambria"/>
        <w:b w:val="0"/>
        <w:bCs w:val="0"/>
        <w:i w:val="0"/>
        <w:iCs w:val="0"/>
        <w:spacing w:val="0"/>
        <w:w w:val="100"/>
        <w:sz w:val="22"/>
        <w:szCs w:val="22"/>
        <w:lang w:val="el-GR" w:eastAsia="en-US" w:bidi="ar-SA"/>
      </w:rPr>
    </w:lvl>
    <w:lvl w:ilvl="2">
      <w:start w:val="0"/>
      <w:numFmt w:val="bullet"/>
      <w:lvlText w:val="•"/>
      <w:lvlJc w:val="left"/>
      <w:pPr>
        <w:ind w:left="1604" w:hanging="144"/>
      </w:pPr>
      <w:rPr>
        <w:rFonts w:hint="default"/>
        <w:lang w:val="el-GR" w:eastAsia="en-US" w:bidi="ar-SA"/>
      </w:rPr>
    </w:lvl>
    <w:lvl w:ilvl="3">
      <w:start w:val="0"/>
      <w:numFmt w:val="bullet"/>
      <w:lvlText w:val="•"/>
      <w:lvlJc w:val="left"/>
      <w:pPr>
        <w:ind w:left="2608" w:hanging="144"/>
      </w:pPr>
      <w:rPr>
        <w:rFonts w:hint="default"/>
        <w:lang w:val="el-GR" w:eastAsia="en-US" w:bidi="ar-SA"/>
      </w:rPr>
    </w:lvl>
    <w:lvl w:ilvl="4">
      <w:start w:val="0"/>
      <w:numFmt w:val="bullet"/>
      <w:lvlText w:val="•"/>
      <w:lvlJc w:val="left"/>
      <w:pPr>
        <w:ind w:left="3613" w:hanging="144"/>
      </w:pPr>
      <w:rPr>
        <w:rFonts w:hint="default"/>
        <w:lang w:val="el-GR" w:eastAsia="en-US" w:bidi="ar-SA"/>
      </w:rPr>
    </w:lvl>
    <w:lvl w:ilvl="5">
      <w:start w:val="0"/>
      <w:numFmt w:val="bullet"/>
      <w:lvlText w:val="•"/>
      <w:lvlJc w:val="left"/>
      <w:pPr>
        <w:ind w:left="4617" w:hanging="144"/>
      </w:pPr>
      <w:rPr>
        <w:rFonts w:hint="default"/>
        <w:lang w:val="el-GR" w:eastAsia="en-US" w:bidi="ar-SA"/>
      </w:rPr>
    </w:lvl>
    <w:lvl w:ilvl="6">
      <w:start w:val="0"/>
      <w:numFmt w:val="bullet"/>
      <w:lvlText w:val="•"/>
      <w:lvlJc w:val="left"/>
      <w:pPr>
        <w:ind w:left="5621" w:hanging="144"/>
      </w:pPr>
      <w:rPr>
        <w:rFonts w:hint="default"/>
        <w:lang w:val="el-GR" w:eastAsia="en-US" w:bidi="ar-SA"/>
      </w:rPr>
    </w:lvl>
    <w:lvl w:ilvl="7">
      <w:start w:val="0"/>
      <w:numFmt w:val="bullet"/>
      <w:lvlText w:val="•"/>
      <w:lvlJc w:val="left"/>
      <w:pPr>
        <w:ind w:left="6626" w:hanging="144"/>
      </w:pPr>
      <w:rPr>
        <w:rFonts w:hint="default"/>
        <w:lang w:val="el-GR" w:eastAsia="en-US" w:bidi="ar-SA"/>
      </w:rPr>
    </w:lvl>
    <w:lvl w:ilvl="8">
      <w:start w:val="0"/>
      <w:numFmt w:val="bullet"/>
      <w:lvlText w:val="•"/>
      <w:lvlJc w:val="left"/>
      <w:pPr>
        <w:ind w:left="7630" w:hanging="144"/>
      </w:pPr>
      <w:rPr>
        <w:rFonts w:hint="default"/>
        <w:lang w:val="el-GR" w:eastAsia="en-US" w:bidi="ar-SA"/>
      </w:rPr>
    </w:lvl>
  </w:abstractNum>
  <w:abstractNum w:abstractNumId="4">
    <w:multiLevelType w:val="hybridMultilevel"/>
    <w:lvl w:ilvl="0">
      <w:start w:val="0"/>
      <w:numFmt w:val="bullet"/>
      <w:lvlText w:val=""/>
      <w:lvlJc w:val="left"/>
      <w:pPr>
        <w:ind w:left="599" w:hanging="428"/>
      </w:pPr>
      <w:rPr>
        <w:rFonts w:hint="default" w:ascii="Symbol" w:hAnsi="Symbol" w:eastAsia="Symbol" w:cs="Symbol"/>
        <w:b w:val="0"/>
        <w:bCs w:val="0"/>
        <w:i w:val="0"/>
        <w:iCs w:val="0"/>
        <w:spacing w:val="0"/>
        <w:w w:val="100"/>
        <w:sz w:val="22"/>
        <w:szCs w:val="22"/>
        <w:lang w:val="el-GR" w:eastAsia="en-US" w:bidi="ar-SA"/>
      </w:rPr>
    </w:lvl>
    <w:lvl w:ilvl="1">
      <w:start w:val="0"/>
      <w:numFmt w:val="bullet"/>
      <w:lvlText w:val="•"/>
      <w:lvlJc w:val="left"/>
      <w:pPr>
        <w:ind w:left="1503" w:hanging="428"/>
      </w:pPr>
      <w:rPr>
        <w:rFonts w:hint="default"/>
        <w:lang w:val="el-GR" w:eastAsia="en-US" w:bidi="ar-SA"/>
      </w:rPr>
    </w:lvl>
    <w:lvl w:ilvl="2">
      <w:start w:val="0"/>
      <w:numFmt w:val="bullet"/>
      <w:lvlText w:val="•"/>
      <w:lvlJc w:val="left"/>
      <w:pPr>
        <w:ind w:left="2407" w:hanging="428"/>
      </w:pPr>
      <w:rPr>
        <w:rFonts w:hint="default"/>
        <w:lang w:val="el-GR" w:eastAsia="en-US" w:bidi="ar-SA"/>
      </w:rPr>
    </w:lvl>
    <w:lvl w:ilvl="3">
      <w:start w:val="0"/>
      <w:numFmt w:val="bullet"/>
      <w:lvlText w:val="•"/>
      <w:lvlJc w:val="left"/>
      <w:pPr>
        <w:ind w:left="3311" w:hanging="428"/>
      </w:pPr>
      <w:rPr>
        <w:rFonts w:hint="default"/>
        <w:lang w:val="el-GR" w:eastAsia="en-US" w:bidi="ar-SA"/>
      </w:rPr>
    </w:lvl>
    <w:lvl w:ilvl="4">
      <w:start w:val="0"/>
      <w:numFmt w:val="bullet"/>
      <w:lvlText w:val="•"/>
      <w:lvlJc w:val="left"/>
      <w:pPr>
        <w:ind w:left="4215" w:hanging="428"/>
      </w:pPr>
      <w:rPr>
        <w:rFonts w:hint="default"/>
        <w:lang w:val="el-GR" w:eastAsia="en-US" w:bidi="ar-SA"/>
      </w:rPr>
    </w:lvl>
    <w:lvl w:ilvl="5">
      <w:start w:val="0"/>
      <w:numFmt w:val="bullet"/>
      <w:lvlText w:val="•"/>
      <w:lvlJc w:val="left"/>
      <w:pPr>
        <w:ind w:left="5119" w:hanging="428"/>
      </w:pPr>
      <w:rPr>
        <w:rFonts w:hint="default"/>
        <w:lang w:val="el-GR" w:eastAsia="en-US" w:bidi="ar-SA"/>
      </w:rPr>
    </w:lvl>
    <w:lvl w:ilvl="6">
      <w:start w:val="0"/>
      <w:numFmt w:val="bullet"/>
      <w:lvlText w:val="•"/>
      <w:lvlJc w:val="left"/>
      <w:pPr>
        <w:ind w:left="6023" w:hanging="428"/>
      </w:pPr>
      <w:rPr>
        <w:rFonts w:hint="default"/>
        <w:lang w:val="el-GR" w:eastAsia="en-US" w:bidi="ar-SA"/>
      </w:rPr>
    </w:lvl>
    <w:lvl w:ilvl="7">
      <w:start w:val="0"/>
      <w:numFmt w:val="bullet"/>
      <w:lvlText w:val="•"/>
      <w:lvlJc w:val="left"/>
      <w:pPr>
        <w:ind w:left="6927" w:hanging="428"/>
      </w:pPr>
      <w:rPr>
        <w:rFonts w:hint="default"/>
        <w:lang w:val="el-GR" w:eastAsia="en-US" w:bidi="ar-SA"/>
      </w:rPr>
    </w:lvl>
    <w:lvl w:ilvl="8">
      <w:start w:val="0"/>
      <w:numFmt w:val="bullet"/>
      <w:lvlText w:val="•"/>
      <w:lvlJc w:val="left"/>
      <w:pPr>
        <w:ind w:left="7831" w:hanging="428"/>
      </w:pPr>
      <w:rPr>
        <w:rFonts w:hint="default"/>
        <w:lang w:val="el-GR" w:eastAsia="en-US" w:bidi="ar-SA"/>
      </w:rPr>
    </w:lvl>
  </w:abstractNum>
  <w:abstractNum w:abstractNumId="3">
    <w:multiLevelType w:val="hybridMultilevel"/>
    <w:lvl w:ilvl="0">
      <w:start w:val="0"/>
      <w:numFmt w:val="bullet"/>
      <w:lvlText w:val=""/>
      <w:lvlJc w:val="left"/>
      <w:pPr>
        <w:ind w:left="455" w:hanging="360"/>
      </w:pPr>
      <w:rPr>
        <w:rFonts w:hint="default" w:ascii="Symbol" w:hAnsi="Symbol" w:eastAsia="Symbol" w:cs="Symbol"/>
        <w:b w:val="0"/>
        <w:bCs w:val="0"/>
        <w:i w:val="0"/>
        <w:iCs w:val="0"/>
        <w:spacing w:val="0"/>
        <w:w w:val="100"/>
        <w:sz w:val="22"/>
        <w:szCs w:val="22"/>
        <w:lang w:val="el-GR" w:eastAsia="en-US" w:bidi="ar-SA"/>
      </w:rPr>
    </w:lvl>
    <w:lvl w:ilvl="1">
      <w:start w:val="0"/>
      <w:numFmt w:val="bullet"/>
      <w:lvlText w:val="•"/>
      <w:lvlJc w:val="left"/>
      <w:pPr>
        <w:ind w:left="1377" w:hanging="360"/>
      </w:pPr>
      <w:rPr>
        <w:rFonts w:hint="default"/>
        <w:lang w:val="el-GR" w:eastAsia="en-US" w:bidi="ar-SA"/>
      </w:rPr>
    </w:lvl>
    <w:lvl w:ilvl="2">
      <w:start w:val="0"/>
      <w:numFmt w:val="bullet"/>
      <w:lvlText w:val="•"/>
      <w:lvlJc w:val="left"/>
      <w:pPr>
        <w:ind w:left="2295" w:hanging="360"/>
      </w:pPr>
      <w:rPr>
        <w:rFonts w:hint="default"/>
        <w:lang w:val="el-GR" w:eastAsia="en-US" w:bidi="ar-SA"/>
      </w:rPr>
    </w:lvl>
    <w:lvl w:ilvl="3">
      <w:start w:val="0"/>
      <w:numFmt w:val="bullet"/>
      <w:lvlText w:val="•"/>
      <w:lvlJc w:val="left"/>
      <w:pPr>
        <w:ind w:left="3213" w:hanging="360"/>
      </w:pPr>
      <w:rPr>
        <w:rFonts w:hint="default"/>
        <w:lang w:val="el-GR" w:eastAsia="en-US" w:bidi="ar-SA"/>
      </w:rPr>
    </w:lvl>
    <w:lvl w:ilvl="4">
      <w:start w:val="0"/>
      <w:numFmt w:val="bullet"/>
      <w:lvlText w:val="•"/>
      <w:lvlJc w:val="left"/>
      <w:pPr>
        <w:ind w:left="4131" w:hanging="360"/>
      </w:pPr>
      <w:rPr>
        <w:rFonts w:hint="default"/>
        <w:lang w:val="el-GR" w:eastAsia="en-US" w:bidi="ar-SA"/>
      </w:rPr>
    </w:lvl>
    <w:lvl w:ilvl="5">
      <w:start w:val="0"/>
      <w:numFmt w:val="bullet"/>
      <w:lvlText w:val="•"/>
      <w:lvlJc w:val="left"/>
      <w:pPr>
        <w:ind w:left="5049" w:hanging="360"/>
      </w:pPr>
      <w:rPr>
        <w:rFonts w:hint="default"/>
        <w:lang w:val="el-GR" w:eastAsia="en-US" w:bidi="ar-SA"/>
      </w:rPr>
    </w:lvl>
    <w:lvl w:ilvl="6">
      <w:start w:val="0"/>
      <w:numFmt w:val="bullet"/>
      <w:lvlText w:val="•"/>
      <w:lvlJc w:val="left"/>
      <w:pPr>
        <w:ind w:left="5967" w:hanging="360"/>
      </w:pPr>
      <w:rPr>
        <w:rFonts w:hint="default"/>
        <w:lang w:val="el-GR" w:eastAsia="en-US" w:bidi="ar-SA"/>
      </w:rPr>
    </w:lvl>
    <w:lvl w:ilvl="7">
      <w:start w:val="0"/>
      <w:numFmt w:val="bullet"/>
      <w:lvlText w:val="•"/>
      <w:lvlJc w:val="left"/>
      <w:pPr>
        <w:ind w:left="6885" w:hanging="360"/>
      </w:pPr>
      <w:rPr>
        <w:rFonts w:hint="default"/>
        <w:lang w:val="el-GR" w:eastAsia="en-US" w:bidi="ar-SA"/>
      </w:rPr>
    </w:lvl>
    <w:lvl w:ilvl="8">
      <w:start w:val="0"/>
      <w:numFmt w:val="bullet"/>
      <w:lvlText w:val="•"/>
      <w:lvlJc w:val="left"/>
      <w:pPr>
        <w:ind w:left="7803" w:hanging="360"/>
      </w:pPr>
      <w:rPr>
        <w:rFonts w:hint="default"/>
        <w:lang w:val="el-GR" w:eastAsia="en-US" w:bidi="ar-SA"/>
      </w:rPr>
    </w:lvl>
  </w:abstractNum>
  <w:abstractNum w:abstractNumId="2">
    <w:multiLevelType w:val="hybridMultilevel"/>
    <w:lvl w:ilvl="0">
      <w:start w:val="1"/>
      <w:numFmt w:val="decimal"/>
      <w:lvlText w:val="%1."/>
      <w:lvlJc w:val="left"/>
      <w:pPr>
        <w:ind w:left="112" w:hanging="142"/>
        <w:jc w:val="left"/>
      </w:pPr>
      <w:rPr>
        <w:rFonts w:hint="default" w:ascii="Times New Roman" w:hAnsi="Times New Roman" w:eastAsia="Times New Roman" w:cs="Times New Roman"/>
        <w:b w:val="0"/>
        <w:bCs w:val="0"/>
        <w:i w:val="0"/>
        <w:iCs w:val="0"/>
        <w:spacing w:val="0"/>
        <w:w w:val="99"/>
        <w:sz w:val="14"/>
        <w:szCs w:val="14"/>
        <w:lang w:val="el-GR" w:eastAsia="en-US" w:bidi="ar-SA"/>
      </w:rPr>
    </w:lvl>
    <w:lvl w:ilvl="1">
      <w:start w:val="0"/>
      <w:numFmt w:val="bullet"/>
      <w:lvlText w:val="•"/>
      <w:lvlJc w:val="left"/>
      <w:pPr>
        <w:ind w:left="538" w:hanging="142"/>
      </w:pPr>
      <w:rPr>
        <w:rFonts w:hint="default"/>
        <w:lang w:val="el-GR" w:eastAsia="en-US" w:bidi="ar-SA"/>
      </w:rPr>
    </w:lvl>
    <w:lvl w:ilvl="2">
      <w:start w:val="0"/>
      <w:numFmt w:val="bullet"/>
      <w:lvlText w:val="•"/>
      <w:lvlJc w:val="left"/>
      <w:pPr>
        <w:ind w:left="957" w:hanging="142"/>
      </w:pPr>
      <w:rPr>
        <w:rFonts w:hint="default"/>
        <w:lang w:val="el-GR" w:eastAsia="en-US" w:bidi="ar-SA"/>
      </w:rPr>
    </w:lvl>
    <w:lvl w:ilvl="3">
      <w:start w:val="0"/>
      <w:numFmt w:val="bullet"/>
      <w:lvlText w:val="•"/>
      <w:lvlJc w:val="left"/>
      <w:pPr>
        <w:ind w:left="1375" w:hanging="142"/>
      </w:pPr>
      <w:rPr>
        <w:rFonts w:hint="default"/>
        <w:lang w:val="el-GR" w:eastAsia="en-US" w:bidi="ar-SA"/>
      </w:rPr>
    </w:lvl>
    <w:lvl w:ilvl="4">
      <w:start w:val="0"/>
      <w:numFmt w:val="bullet"/>
      <w:lvlText w:val="•"/>
      <w:lvlJc w:val="left"/>
      <w:pPr>
        <w:ind w:left="1794" w:hanging="142"/>
      </w:pPr>
      <w:rPr>
        <w:rFonts w:hint="default"/>
        <w:lang w:val="el-GR" w:eastAsia="en-US" w:bidi="ar-SA"/>
      </w:rPr>
    </w:lvl>
    <w:lvl w:ilvl="5">
      <w:start w:val="0"/>
      <w:numFmt w:val="bullet"/>
      <w:lvlText w:val="•"/>
      <w:lvlJc w:val="left"/>
      <w:pPr>
        <w:ind w:left="2213" w:hanging="142"/>
      </w:pPr>
      <w:rPr>
        <w:rFonts w:hint="default"/>
        <w:lang w:val="el-GR" w:eastAsia="en-US" w:bidi="ar-SA"/>
      </w:rPr>
    </w:lvl>
    <w:lvl w:ilvl="6">
      <w:start w:val="0"/>
      <w:numFmt w:val="bullet"/>
      <w:lvlText w:val="•"/>
      <w:lvlJc w:val="left"/>
      <w:pPr>
        <w:ind w:left="2631" w:hanging="142"/>
      </w:pPr>
      <w:rPr>
        <w:rFonts w:hint="default"/>
        <w:lang w:val="el-GR" w:eastAsia="en-US" w:bidi="ar-SA"/>
      </w:rPr>
    </w:lvl>
    <w:lvl w:ilvl="7">
      <w:start w:val="0"/>
      <w:numFmt w:val="bullet"/>
      <w:lvlText w:val="•"/>
      <w:lvlJc w:val="left"/>
      <w:pPr>
        <w:ind w:left="3050" w:hanging="142"/>
      </w:pPr>
      <w:rPr>
        <w:rFonts w:hint="default"/>
        <w:lang w:val="el-GR" w:eastAsia="en-US" w:bidi="ar-SA"/>
      </w:rPr>
    </w:lvl>
    <w:lvl w:ilvl="8">
      <w:start w:val="0"/>
      <w:numFmt w:val="bullet"/>
      <w:lvlText w:val="•"/>
      <w:lvlJc w:val="left"/>
      <w:pPr>
        <w:ind w:left="3469" w:hanging="142"/>
      </w:pPr>
      <w:rPr>
        <w:rFonts w:hint="default"/>
        <w:lang w:val="el-GR" w:eastAsia="en-US" w:bidi="ar-SA"/>
      </w:rPr>
    </w:lvl>
  </w:abstractNum>
  <w:abstractNum w:abstractNumId="1">
    <w:multiLevelType w:val="hybridMultilevel"/>
    <w:lvl w:ilvl="0">
      <w:start w:val="1"/>
      <w:numFmt w:val="upperRoman"/>
      <w:lvlText w:val="%1."/>
      <w:lvlJc w:val="left"/>
      <w:pPr>
        <w:ind w:left="529" w:hanging="358"/>
        <w:jc w:val="left"/>
      </w:pPr>
      <w:rPr>
        <w:rFonts w:hint="default" w:ascii="Times New Roman" w:hAnsi="Times New Roman" w:eastAsia="Times New Roman" w:cs="Times New Roman"/>
        <w:b/>
        <w:bCs/>
        <w:i w:val="0"/>
        <w:iCs w:val="0"/>
        <w:color w:val="1F487C"/>
        <w:spacing w:val="0"/>
        <w:w w:val="100"/>
        <w:sz w:val="28"/>
        <w:szCs w:val="28"/>
        <w:lang w:val="el-GR" w:eastAsia="en-US" w:bidi="ar-SA"/>
      </w:rPr>
    </w:lvl>
    <w:lvl w:ilvl="1">
      <w:start w:val="1"/>
      <w:numFmt w:val="decimal"/>
      <w:lvlText w:val="%2."/>
      <w:lvlJc w:val="left"/>
      <w:pPr>
        <w:ind w:left="568" w:hanging="396"/>
        <w:jc w:val="left"/>
      </w:pPr>
      <w:rPr>
        <w:rFonts w:hint="default"/>
        <w:spacing w:val="0"/>
        <w:w w:val="100"/>
        <w:lang w:val="el-GR" w:eastAsia="en-US" w:bidi="ar-SA"/>
      </w:rPr>
    </w:lvl>
    <w:lvl w:ilvl="2">
      <w:start w:val="1"/>
      <w:numFmt w:val="decimal"/>
      <w:lvlText w:val="%2.%3"/>
      <w:lvlJc w:val="left"/>
      <w:pPr>
        <w:ind w:left="738" w:hanging="567"/>
        <w:jc w:val="left"/>
      </w:pPr>
      <w:rPr>
        <w:rFonts w:hint="default"/>
        <w:spacing w:val="0"/>
        <w:w w:val="100"/>
        <w:lang w:val="el-GR" w:eastAsia="en-US" w:bidi="ar-SA"/>
      </w:rPr>
    </w:lvl>
    <w:lvl w:ilvl="3">
      <w:start w:val="0"/>
      <w:numFmt w:val="bullet"/>
      <w:lvlText w:val=""/>
      <w:lvlJc w:val="left"/>
      <w:pPr>
        <w:ind w:left="529" w:hanging="567"/>
      </w:pPr>
      <w:rPr>
        <w:rFonts w:hint="default" w:ascii="Symbol" w:hAnsi="Symbol" w:eastAsia="Symbol" w:cs="Symbol"/>
        <w:b w:val="0"/>
        <w:bCs w:val="0"/>
        <w:i w:val="0"/>
        <w:iCs w:val="0"/>
        <w:spacing w:val="0"/>
        <w:w w:val="100"/>
        <w:sz w:val="22"/>
        <w:szCs w:val="22"/>
        <w:lang w:val="el-GR" w:eastAsia="en-US" w:bidi="ar-SA"/>
      </w:rPr>
    </w:lvl>
    <w:lvl w:ilvl="4">
      <w:start w:val="0"/>
      <w:numFmt w:val="bullet"/>
      <w:lvlText w:val="•"/>
      <w:lvlJc w:val="left"/>
      <w:pPr>
        <w:ind w:left="2148" w:hanging="567"/>
      </w:pPr>
      <w:rPr>
        <w:rFonts w:hint="default"/>
        <w:lang w:val="el-GR" w:eastAsia="en-US" w:bidi="ar-SA"/>
      </w:rPr>
    </w:lvl>
    <w:lvl w:ilvl="5">
      <w:start w:val="0"/>
      <w:numFmt w:val="bullet"/>
      <w:lvlText w:val="•"/>
      <w:lvlJc w:val="left"/>
      <w:pPr>
        <w:ind w:left="3396" w:hanging="567"/>
      </w:pPr>
      <w:rPr>
        <w:rFonts w:hint="default"/>
        <w:lang w:val="el-GR" w:eastAsia="en-US" w:bidi="ar-SA"/>
      </w:rPr>
    </w:lvl>
    <w:lvl w:ilvl="6">
      <w:start w:val="0"/>
      <w:numFmt w:val="bullet"/>
      <w:lvlText w:val="•"/>
      <w:lvlJc w:val="left"/>
      <w:pPr>
        <w:ind w:left="4645" w:hanging="567"/>
      </w:pPr>
      <w:rPr>
        <w:rFonts w:hint="default"/>
        <w:lang w:val="el-GR" w:eastAsia="en-US" w:bidi="ar-SA"/>
      </w:rPr>
    </w:lvl>
    <w:lvl w:ilvl="7">
      <w:start w:val="0"/>
      <w:numFmt w:val="bullet"/>
      <w:lvlText w:val="•"/>
      <w:lvlJc w:val="left"/>
      <w:pPr>
        <w:ind w:left="5893" w:hanging="567"/>
      </w:pPr>
      <w:rPr>
        <w:rFonts w:hint="default"/>
        <w:lang w:val="el-GR" w:eastAsia="en-US" w:bidi="ar-SA"/>
      </w:rPr>
    </w:lvl>
    <w:lvl w:ilvl="8">
      <w:start w:val="0"/>
      <w:numFmt w:val="bullet"/>
      <w:lvlText w:val="•"/>
      <w:lvlJc w:val="left"/>
      <w:pPr>
        <w:ind w:left="7142" w:hanging="567"/>
      </w:pPr>
      <w:rPr>
        <w:rFonts w:hint="default"/>
        <w:lang w:val="el-GR" w:eastAsia="en-US" w:bidi="ar-SA"/>
      </w:rPr>
    </w:lvl>
  </w:abstractNum>
  <w:abstractNum w:abstractNumId="0">
    <w:multiLevelType w:val="hybridMultilevel"/>
    <w:lvl w:ilvl="0">
      <w:start w:val="1"/>
      <w:numFmt w:val="upperRoman"/>
      <w:lvlText w:val="%1."/>
      <w:lvlJc w:val="left"/>
      <w:pPr>
        <w:ind w:left="611" w:hanging="440"/>
        <w:jc w:val="left"/>
      </w:pPr>
      <w:rPr>
        <w:rFonts w:hint="default" w:ascii="Times New Roman" w:hAnsi="Times New Roman" w:eastAsia="Times New Roman" w:cs="Times New Roman"/>
        <w:b/>
        <w:bCs/>
        <w:i w:val="0"/>
        <w:iCs w:val="0"/>
        <w:color w:val="1F487C"/>
        <w:spacing w:val="0"/>
        <w:w w:val="100"/>
        <w:sz w:val="24"/>
        <w:szCs w:val="24"/>
        <w:lang w:val="el-GR" w:eastAsia="en-US" w:bidi="ar-SA"/>
      </w:rPr>
    </w:lvl>
    <w:lvl w:ilvl="1">
      <w:start w:val="1"/>
      <w:numFmt w:val="decimal"/>
      <w:lvlText w:val="%2."/>
      <w:lvlJc w:val="left"/>
      <w:pPr>
        <w:ind w:left="611" w:hanging="440"/>
        <w:jc w:val="left"/>
      </w:pPr>
      <w:rPr>
        <w:rFonts w:hint="default" w:ascii="Times New Roman" w:hAnsi="Times New Roman" w:eastAsia="Times New Roman" w:cs="Times New Roman"/>
        <w:b/>
        <w:bCs/>
        <w:i w:val="0"/>
        <w:iCs w:val="0"/>
        <w:color w:val="1F487C"/>
        <w:spacing w:val="0"/>
        <w:w w:val="100"/>
        <w:sz w:val="22"/>
        <w:szCs w:val="22"/>
        <w:lang w:val="el-GR" w:eastAsia="en-US" w:bidi="ar-SA"/>
      </w:rPr>
    </w:lvl>
    <w:lvl w:ilvl="2">
      <w:start w:val="1"/>
      <w:numFmt w:val="decimal"/>
      <w:lvlText w:val="%2.%3"/>
      <w:lvlJc w:val="left"/>
      <w:pPr>
        <w:ind w:left="1053" w:hanging="660"/>
        <w:jc w:val="left"/>
      </w:pPr>
      <w:rPr>
        <w:rFonts w:hint="default" w:ascii="Times New Roman" w:hAnsi="Times New Roman" w:eastAsia="Times New Roman" w:cs="Times New Roman"/>
        <w:b w:val="0"/>
        <w:bCs w:val="0"/>
        <w:i w:val="0"/>
        <w:iCs w:val="0"/>
        <w:spacing w:val="0"/>
        <w:w w:val="99"/>
        <w:sz w:val="20"/>
        <w:szCs w:val="20"/>
        <w:lang w:val="el-GR" w:eastAsia="en-US" w:bidi="ar-SA"/>
      </w:rPr>
    </w:lvl>
    <w:lvl w:ilvl="3">
      <w:start w:val="0"/>
      <w:numFmt w:val="bullet"/>
      <w:lvlText w:val="•"/>
      <w:lvlJc w:val="left"/>
      <w:pPr>
        <w:ind w:left="2132" w:hanging="660"/>
      </w:pPr>
      <w:rPr>
        <w:rFonts w:hint="default"/>
        <w:lang w:val="el-GR" w:eastAsia="en-US" w:bidi="ar-SA"/>
      </w:rPr>
    </w:lvl>
    <w:lvl w:ilvl="4">
      <w:start w:val="0"/>
      <w:numFmt w:val="bullet"/>
      <w:lvlText w:val="•"/>
      <w:lvlJc w:val="left"/>
      <w:pPr>
        <w:ind w:left="3204" w:hanging="660"/>
      </w:pPr>
      <w:rPr>
        <w:rFonts w:hint="default"/>
        <w:lang w:val="el-GR" w:eastAsia="en-US" w:bidi="ar-SA"/>
      </w:rPr>
    </w:lvl>
    <w:lvl w:ilvl="5">
      <w:start w:val="0"/>
      <w:numFmt w:val="bullet"/>
      <w:lvlText w:val="•"/>
      <w:lvlJc w:val="left"/>
      <w:pPr>
        <w:ind w:left="4277" w:hanging="660"/>
      </w:pPr>
      <w:rPr>
        <w:rFonts w:hint="default"/>
        <w:lang w:val="el-GR" w:eastAsia="en-US" w:bidi="ar-SA"/>
      </w:rPr>
    </w:lvl>
    <w:lvl w:ilvl="6">
      <w:start w:val="0"/>
      <w:numFmt w:val="bullet"/>
      <w:lvlText w:val="•"/>
      <w:lvlJc w:val="left"/>
      <w:pPr>
        <w:ind w:left="5349" w:hanging="660"/>
      </w:pPr>
      <w:rPr>
        <w:rFonts w:hint="default"/>
        <w:lang w:val="el-GR" w:eastAsia="en-US" w:bidi="ar-SA"/>
      </w:rPr>
    </w:lvl>
    <w:lvl w:ilvl="7">
      <w:start w:val="0"/>
      <w:numFmt w:val="bullet"/>
      <w:lvlText w:val="•"/>
      <w:lvlJc w:val="left"/>
      <w:pPr>
        <w:ind w:left="6422" w:hanging="660"/>
      </w:pPr>
      <w:rPr>
        <w:rFonts w:hint="default"/>
        <w:lang w:val="el-GR" w:eastAsia="en-US" w:bidi="ar-SA"/>
      </w:rPr>
    </w:lvl>
    <w:lvl w:ilvl="8">
      <w:start w:val="0"/>
      <w:numFmt w:val="bullet"/>
      <w:lvlText w:val="•"/>
      <w:lvlJc w:val="left"/>
      <w:pPr>
        <w:ind w:left="7494" w:hanging="660"/>
      </w:pPr>
      <w:rPr>
        <w:rFonts w:hint="default"/>
        <w:lang w:val="el-GR"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l-GR" w:eastAsia="en-US" w:bidi="ar-SA"/>
    </w:rPr>
  </w:style>
  <w:style w:styleId="TOC1" w:type="paragraph">
    <w:name w:val="TOC 1"/>
    <w:basedOn w:val="Normal"/>
    <w:uiPriority w:val="1"/>
    <w:qFormat/>
    <w:pPr>
      <w:spacing w:before="183"/>
      <w:ind w:left="172"/>
    </w:pPr>
    <w:rPr>
      <w:rFonts w:ascii="Times New Roman" w:hAnsi="Times New Roman" w:eastAsia="Times New Roman" w:cs="Times New Roman"/>
      <w:b/>
      <w:bCs/>
      <w:sz w:val="24"/>
      <w:szCs w:val="24"/>
      <w:lang w:val="el-GR" w:eastAsia="en-US" w:bidi="ar-SA"/>
    </w:rPr>
  </w:style>
  <w:style w:styleId="TOC2" w:type="paragraph">
    <w:name w:val="TOC 2"/>
    <w:basedOn w:val="Normal"/>
    <w:uiPriority w:val="1"/>
    <w:qFormat/>
    <w:pPr>
      <w:spacing w:before="163"/>
      <w:ind w:left="611" w:hanging="439"/>
    </w:pPr>
    <w:rPr>
      <w:rFonts w:ascii="Times New Roman" w:hAnsi="Times New Roman" w:eastAsia="Times New Roman" w:cs="Times New Roman"/>
      <w:b/>
      <w:bCs/>
      <w:sz w:val="22"/>
      <w:szCs w:val="22"/>
      <w:lang w:val="el-GR" w:eastAsia="en-US" w:bidi="ar-SA"/>
    </w:rPr>
  </w:style>
  <w:style w:styleId="TOC3" w:type="paragraph">
    <w:name w:val="TOC 3"/>
    <w:basedOn w:val="Normal"/>
    <w:uiPriority w:val="1"/>
    <w:qFormat/>
    <w:pPr>
      <w:spacing w:before="51"/>
      <w:ind w:left="172" w:right="967"/>
    </w:pPr>
    <w:rPr>
      <w:rFonts w:ascii="Times New Roman" w:hAnsi="Times New Roman" w:eastAsia="Times New Roman" w:cs="Times New Roman"/>
      <w:sz w:val="22"/>
      <w:szCs w:val="22"/>
      <w:lang w:val="el-GR" w:eastAsia="en-US" w:bidi="ar-SA"/>
    </w:rPr>
  </w:style>
  <w:style w:styleId="TOC4" w:type="paragraph">
    <w:name w:val="TOC 4"/>
    <w:basedOn w:val="Normal"/>
    <w:uiPriority w:val="1"/>
    <w:qFormat/>
    <w:pPr>
      <w:spacing w:before="70"/>
      <w:ind w:left="1052" w:hanging="659"/>
    </w:pPr>
    <w:rPr>
      <w:rFonts w:ascii="Times New Roman" w:hAnsi="Times New Roman" w:eastAsia="Times New Roman" w:cs="Times New Roman"/>
      <w:sz w:val="20"/>
      <w:szCs w:val="20"/>
      <w:lang w:val="el-GR" w:eastAsia="en-US" w:bidi="ar-SA"/>
    </w:rPr>
  </w:style>
  <w:style w:styleId="TOC5" w:type="paragraph">
    <w:name w:val="TOC 5"/>
    <w:basedOn w:val="Normal"/>
    <w:uiPriority w:val="1"/>
    <w:qFormat/>
    <w:pPr>
      <w:spacing w:line="275" w:lineRule="exact"/>
      <w:ind w:left="611"/>
    </w:pPr>
    <w:rPr>
      <w:rFonts w:ascii="Times New Roman" w:hAnsi="Times New Roman" w:eastAsia="Times New Roman" w:cs="Times New Roman"/>
      <w:b/>
      <w:bCs/>
      <w:sz w:val="24"/>
      <w:szCs w:val="24"/>
      <w:lang w:val="el-GR" w:eastAsia="en-US" w:bidi="ar-SA"/>
    </w:rPr>
  </w:style>
  <w:style w:styleId="TOC6" w:type="paragraph">
    <w:name w:val="TOC 6"/>
    <w:basedOn w:val="Normal"/>
    <w:uiPriority w:val="1"/>
    <w:qFormat/>
    <w:pPr>
      <w:spacing w:before="70"/>
      <w:ind w:left="1053"/>
    </w:pPr>
    <w:rPr>
      <w:rFonts w:ascii="Times New Roman" w:hAnsi="Times New Roman" w:eastAsia="Times New Roman" w:cs="Times New Roman"/>
      <w:sz w:val="20"/>
      <w:szCs w:val="20"/>
      <w:lang w:val="el-GR"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l-GR" w:eastAsia="en-US" w:bidi="ar-SA"/>
    </w:rPr>
  </w:style>
  <w:style w:styleId="Heading1" w:type="paragraph">
    <w:name w:val="Heading 1"/>
    <w:basedOn w:val="Normal"/>
    <w:uiPriority w:val="1"/>
    <w:qFormat/>
    <w:pPr>
      <w:spacing w:before="71"/>
      <w:ind w:left="30"/>
      <w:outlineLvl w:val="1"/>
    </w:pPr>
    <w:rPr>
      <w:rFonts w:ascii="Times New Roman" w:hAnsi="Times New Roman" w:eastAsia="Times New Roman" w:cs="Times New Roman"/>
      <w:b/>
      <w:bCs/>
      <w:sz w:val="28"/>
      <w:szCs w:val="28"/>
      <w:lang w:val="el-GR" w:eastAsia="en-US" w:bidi="ar-SA"/>
    </w:rPr>
  </w:style>
  <w:style w:styleId="Heading2" w:type="paragraph">
    <w:name w:val="Heading 2"/>
    <w:basedOn w:val="Normal"/>
    <w:uiPriority w:val="1"/>
    <w:qFormat/>
    <w:pPr>
      <w:spacing w:before="70"/>
      <w:ind w:left="568" w:hanging="396"/>
      <w:outlineLvl w:val="2"/>
    </w:pPr>
    <w:rPr>
      <w:rFonts w:ascii="Times New Roman" w:hAnsi="Times New Roman" w:eastAsia="Times New Roman" w:cs="Times New Roman"/>
      <w:b/>
      <w:bCs/>
      <w:sz w:val="24"/>
      <w:szCs w:val="24"/>
      <w:lang w:val="el-GR" w:eastAsia="en-US" w:bidi="ar-SA"/>
    </w:rPr>
  </w:style>
  <w:style w:styleId="Heading3" w:type="paragraph">
    <w:name w:val="Heading 3"/>
    <w:basedOn w:val="Normal"/>
    <w:uiPriority w:val="1"/>
    <w:qFormat/>
    <w:pPr>
      <w:ind w:left="738" w:hanging="566"/>
      <w:outlineLvl w:val="3"/>
    </w:pPr>
    <w:rPr>
      <w:rFonts w:ascii="Times New Roman" w:hAnsi="Times New Roman" w:eastAsia="Times New Roman" w:cs="Times New Roman"/>
      <w:b/>
      <w:bCs/>
      <w:sz w:val="22"/>
      <w:szCs w:val="22"/>
      <w:lang w:val="el-GR" w:eastAsia="en-US" w:bidi="ar-SA"/>
    </w:rPr>
  </w:style>
  <w:style w:styleId="Heading4" w:type="paragraph">
    <w:name w:val="Heading 4"/>
    <w:basedOn w:val="Normal"/>
    <w:uiPriority w:val="1"/>
    <w:qFormat/>
    <w:pPr>
      <w:ind w:left="172"/>
      <w:jc w:val="both"/>
      <w:outlineLvl w:val="4"/>
    </w:pPr>
    <w:rPr>
      <w:rFonts w:ascii="Times New Roman" w:hAnsi="Times New Roman" w:eastAsia="Times New Roman" w:cs="Times New Roman"/>
      <w:b/>
      <w:bCs/>
      <w:sz w:val="22"/>
      <w:szCs w:val="22"/>
      <w:lang w:val="el-GR" w:eastAsia="en-US" w:bidi="ar-SA"/>
    </w:rPr>
  </w:style>
  <w:style w:styleId="Title" w:type="paragraph">
    <w:name w:val="Title"/>
    <w:basedOn w:val="Normal"/>
    <w:uiPriority w:val="1"/>
    <w:qFormat/>
    <w:pPr>
      <w:spacing w:before="75"/>
      <w:ind w:left="628" w:firstLine="6963"/>
    </w:pPr>
    <w:rPr>
      <w:rFonts w:ascii="Arial" w:hAnsi="Arial" w:eastAsia="Arial" w:cs="Arial"/>
      <w:b/>
      <w:bCs/>
      <w:sz w:val="56"/>
      <w:szCs w:val="56"/>
      <w:lang w:val="el-GR" w:eastAsia="en-US" w:bidi="ar-SA"/>
    </w:rPr>
  </w:style>
  <w:style w:styleId="ListParagraph" w:type="paragraph">
    <w:name w:val="List Paragraph"/>
    <w:basedOn w:val="Normal"/>
    <w:uiPriority w:val="1"/>
    <w:qFormat/>
    <w:pPr>
      <w:spacing w:before="70"/>
      <w:ind w:left="738" w:hanging="659"/>
    </w:pPr>
    <w:rPr>
      <w:rFonts w:ascii="Times New Roman" w:hAnsi="Times New Roman" w:eastAsia="Times New Roman" w:cs="Times New Roman"/>
      <w:lang w:val="el-GR" w:eastAsia="en-US" w:bidi="ar-SA"/>
    </w:rPr>
  </w:style>
  <w:style w:styleId="TableParagraph" w:type="paragraph">
    <w:name w:val="Table Paragraph"/>
    <w:basedOn w:val="Normal"/>
    <w:uiPriority w:val="1"/>
    <w:qFormat/>
    <w:pPr/>
    <w:rPr>
      <w:rFonts w:ascii="Times New Roman" w:hAnsi="Times New Roman" w:eastAsia="Times New Roman" w:cs="Times New Roman"/>
      <w:lang w:val="el-G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hyperlink" Target="http://www.bankofgreece.gr/" TargetMode="External"/><Relationship Id="rId11" Type="http://schemas.openxmlformats.org/officeDocument/2006/relationships/hyperlink" Target="https://doi.org/10.52903/finsta.gr202605" TargetMode="Externa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5.png"/><Relationship Id="rId15" Type="http://schemas.openxmlformats.org/officeDocument/2006/relationships/hyperlink" Target="https://www.bankofgreece.gr/statistika/nomismatikh-kai-trapezikh-statistiki/erevna-trapezikwn-chorhghsewn" TargetMode="External"/><Relationship Id="rId16" Type="http://schemas.openxmlformats.org/officeDocument/2006/relationships/hyperlink" Target="https://www.bankofgreece.gr/enimerosi/grafeio-typoy/anazhthsh-enhmerwsewn/enhmerwseis?announcement=f138cb01-d204-4992-a852-4e75d2664a5c"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footer" Target="footer4.xml"/><Relationship Id="rId20" Type="http://schemas.openxmlformats.org/officeDocument/2006/relationships/hyperlink" Target="https://data-explorer.oecd.org/vis?lc=en&amp;pg=0&amp;snb=1&amp;vw=tb&amp;df%5bds%5d=dsDisseminateFinalDMZ&amp;df%5bid%5d=DSD_AN_HOUSE_PRICES%40DF_HOUSE_PRICES&amp;df%5bag%5d=OECD.ECO.MPD&amp;df%5bvs%5d=1.0&amp;pd=%2C&amp;dq=GRC.Q.RPI.&amp;ly%5bcl%5d=TIME_PERIOD&amp;to%5bTIME_PERIOD%5d=false" TargetMode="External"/><Relationship Id="rId21" Type="http://schemas.openxmlformats.org/officeDocument/2006/relationships/hyperlink" Target="https://migration.gov.gr/wp-content/uploads/2026/04/&#928;&#913;&#929;&#913;&#929;&#932;&#919;&#924;&#913;-&#914;_&#924;&#940;&#961;&#964;&#953;&#959;&#962;_2026_&#933;&#924;&#913;-GR-&#917;&#957;&#951;&#956;&#949;&#961;&#969;&#964;&#953;&#954;&#972;-&#924;&#940;&#961;&#964;&#953;&#959;&#962;-&#914;-&#925;&#972;&#956;&#953;&#956;&#951;-&#924;&#949;&#964;&#945;&#957;&#940;&#963;&#964;&#949;&#965;&#963;&#951;.pdf" TargetMode="External"/><Relationship Id="rId22"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567469&amp;_documents_WAR_publicationsportlet_INSTANCE_qDQ8fBKKo4lN_locale=el" TargetMode="External"/><Relationship Id="rId23" Type="http://schemas.openxmlformats.org/officeDocument/2006/relationships/hyperlink" Target="https://stegasi.gov.gr/app/uploads/2026/03/%CE%A0%CE%B1%CF%81%CE%BF%CF%85%CF%83%CE%AF%CE%B1%CF%83%CE%B7_%CE%B1%CF%80%CE%BF%CF%84%CE%B5%CE%BB%CE%B5%CF%83%CE%BC%CE%AC%CF%84%CF%89%CE%BD_%CE%A6%CE%B5%CE%B2%CF%81%CE%BF%CF%85%CE%AC%CF%81%CE%B9%CE%BF%CF%82_2026.pdf" TargetMode="External"/><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hyperlink" Target="https://www.bankofgreece.gr/RelatedDocuments/%CE%A0%CE%95%CE%95_231_3_15_07_2024.pdf" TargetMode="External"/><Relationship Id="rId29" Type="http://schemas.openxmlformats.org/officeDocument/2006/relationships/hyperlink" Target="https://data.ecb.europa.eu/data/datasets/DWA/data-information" TargetMode="External"/><Relationship Id="rId30" Type="http://schemas.openxmlformats.org/officeDocument/2006/relationships/image" Target="media/image12.png"/><Relationship Id="rId31" Type="http://schemas.openxmlformats.org/officeDocument/2006/relationships/hyperlink" Target="https://www.statistics.gr/el/statistics/-/publication/SBR07/2025-M12" TargetMode="External"/><Relationship Id="rId32" Type="http://schemas.openxmlformats.org/officeDocument/2006/relationships/hyperlink" Target="https://www.statistics.gr/el/statistics/-/publication/SEL92/-" TargetMode="External"/><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jpeg"/><Relationship Id="rId36" Type="http://schemas.openxmlformats.org/officeDocument/2006/relationships/image" Target="media/image16.png"/><Relationship Id="rId37" Type="http://schemas.openxmlformats.org/officeDocument/2006/relationships/hyperlink" Target="https://www.ecb.europa.eu/stats/financial_markets_and_interest_rates/bank_interest_rates/mfi_interest_rates/html/index.en.html" TargetMode="External"/><Relationship Id="rId38" Type="http://schemas.openxmlformats.org/officeDocument/2006/relationships/hyperlink" Target="https://www.ecb.europa.eu/stats/pdf/MIR-Costofborrowingindicators-methodologicalnote.pdf" TargetMode="External"/><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jpeg"/><Relationship Id="rId43" Type="http://schemas.openxmlformats.org/officeDocument/2006/relationships/image" Target="media/image21.jpe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jpe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4.png"/><Relationship Id="rId57" Type="http://schemas.openxmlformats.org/officeDocument/2006/relationships/image" Target="media/image35.png"/><Relationship Id="rId58" Type="http://schemas.openxmlformats.org/officeDocument/2006/relationships/image" Target="media/image36.png"/><Relationship Id="rId59" Type="http://schemas.openxmlformats.org/officeDocument/2006/relationships/image" Target="media/image37.png"/><Relationship Id="rId60" Type="http://schemas.openxmlformats.org/officeDocument/2006/relationships/image" Target="media/image38.png"/><Relationship Id="rId61" Type="http://schemas.openxmlformats.org/officeDocument/2006/relationships/image" Target="media/image39.png"/><Relationship Id="rId62" Type="http://schemas.openxmlformats.org/officeDocument/2006/relationships/image" Target="media/image40.png"/><Relationship Id="rId63" Type="http://schemas.openxmlformats.org/officeDocument/2006/relationships/image" Target="media/image41.png"/><Relationship Id="rId64" Type="http://schemas.openxmlformats.org/officeDocument/2006/relationships/image" Target="media/image42.png"/><Relationship Id="rId65" Type="http://schemas.openxmlformats.org/officeDocument/2006/relationships/image" Target="media/image43.png"/><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image" Target="media/image56.png"/><Relationship Id="rId79" Type="http://schemas.openxmlformats.org/officeDocument/2006/relationships/image" Target="media/image57.png"/><Relationship Id="rId80" Type="http://schemas.openxmlformats.org/officeDocument/2006/relationships/image" Target="media/image58.png"/><Relationship Id="rId81" Type="http://schemas.openxmlformats.org/officeDocument/2006/relationships/image" Target="media/image59.png"/><Relationship Id="rId82" Type="http://schemas.openxmlformats.org/officeDocument/2006/relationships/image" Target="media/image60.png"/><Relationship Id="rId83" Type="http://schemas.openxmlformats.org/officeDocument/2006/relationships/image" Target="media/image61.png"/><Relationship Id="rId84" Type="http://schemas.openxmlformats.org/officeDocument/2006/relationships/image" Target="media/image62.png"/><Relationship Id="rId85" Type="http://schemas.openxmlformats.org/officeDocument/2006/relationships/image" Target="media/image63.png"/><Relationship Id="rId86" Type="http://schemas.openxmlformats.org/officeDocument/2006/relationships/image" Target="media/image64.jpeg"/><Relationship Id="rId87" Type="http://schemas.openxmlformats.org/officeDocument/2006/relationships/image" Target="media/image65.png"/><Relationship Id="rId88" Type="http://schemas.openxmlformats.org/officeDocument/2006/relationships/image" Target="media/image66.png"/><Relationship Id="rId89" Type="http://schemas.openxmlformats.org/officeDocument/2006/relationships/image" Target="media/image67.png"/><Relationship Id="rId90" Type="http://schemas.openxmlformats.org/officeDocument/2006/relationships/hyperlink" Target="https://www.bankingsupervision.europa.eu/banking/statistics/html/index.en.html" TargetMode="External"/><Relationship Id="rId91" Type="http://schemas.openxmlformats.org/officeDocument/2006/relationships/hyperlink" Target="https://www.bankingsupervision.europa.eu/ecb/pub/pdf/ssm.supervisorybankingstatistics_fourth_quarter_2025_202603.en.pdf" TargetMode="External"/><Relationship Id="rId92" Type="http://schemas.openxmlformats.org/officeDocument/2006/relationships/hyperlink" Target="https://www.bankingsupervision.europa.eu/press/other-publications/supervisorybankingstats/pdf/ssm.supervisorybankingstatistics_fourth_quarter_2024_202503.en.pdf" TargetMode="External"/><Relationship Id="rId93" Type="http://schemas.openxmlformats.org/officeDocument/2006/relationships/image" Target="media/image68.jpeg"/><Relationship Id="rId94" Type="http://schemas.openxmlformats.org/officeDocument/2006/relationships/image" Target="media/image69.png"/><Relationship Id="rId95" Type="http://schemas.openxmlformats.org/officeDocument/2006/relationships/hyperlink" Target="https://www.eurobank.gr/el/omilos/grafeio-tupou/etairiki-anakoinosi-29-08-2025" TargetMode="External"/><Relationship Id="rId96" Type="http://schemas.openxmlformats.org/officeDocument/2006/relationships/hyperlink" Target="https://www.alpha.gr/-/media/AlphaGr/Files/Group/Corporate-Announcements/2025/20251103-etairiki-anakoinosi.pdf" TargetMode="External"/><Relationship Id="rId97" Type="http://schemas.openxmlformats.org/officeDocument/2006/relationships/hyperlink" Target="https://www.crediabank.com/media/1k0leby5/20251223_crediabank-announcement_gr.pdf" TargetMode="External"/><Relationship Id="rId98" Type="http://schemas.openxmlformats.org/officeDocument/2006/relationships/hyperlink" Target="https://www.bankofgreece.gr/RelatedDocuments/%CE%A0%CE%95%CE%95_242.03.pdf" TargetMode="External"/><Relationship Id="rId99" Type="http://schemas.openxmlformats.org/officeDocument/2006/relationships/image" Target="media/image70.jpeg"/><Relationship Id="rId100" Type="http://schemas.openxmlformats.org/officeDocument/2006/relationships/image" Target="media/image71.jpeg"/><Relationship Id="rId101" Type="http://schemas.openxmlformats.org/officeDocument/2006/relationships/hyperlink" Target="https://www.bankofgreece.gr/RelatedDocuments/%CE%A0%CE%95%CE%95_235_%CE%98%CE%AD%CE%BC%CE%B1_1.pdf" TargetMode="External"/><Relationship Id="rId102" Type="http://schemas.openxmlformats.org/officeDocument/2006/relationships/image" Target="media/image72.png"/><Relationship Id="rId103" Type="http://schemas.openxmlformats.org/officeDocument/2006/relationships/image" Target="media/image73.png"/><Relationship Id="rId104" Type="http://schemas.openxmlformats.org/officeDocument/2006/relationships/image" Target="media/image74.png"/><Relationship Id="rId105" Type="http://schemas.openxmlformats.org/officeDocument/2006/relationships/image" Target="media/image75.png"/><Relationship Id="rId106" Type="http://schemas.openxmlformats.org/officeDocument/2006/relationships/image" Target="media/image76.png"/><Relationship Id="rId107" Type="http://schemas.openxmlformats.org/officeDocument/2006/relationships/image" Target="media/image77.png"/><Relationship Id="rId108" Type="http://schemas.openxmlformats.org/officeDocument/2006/relationships/image" Target="media/image78.png"/><Relationship Id="rId109" Type="http://schemas.openxmlformats.org/officeDocument/2006/relationships/image" Target="media/image79.png"/><Relationship Id="rId110" Type="http://schemas.openxmlformats.org/officeDocument/2006/relationships/image" Target="media/image80.png"/><Relationship Id="rId111" Type="http://schemas.openxmlformats.org/officeDocument/2006/relationships/hyperlink" Target="https://www.bankofgreece.gr/RelatedDocuments/%CE%A0%CE%95%CE%95_244.04.pdf" TargetMode="External"/><Relationship Id="rId112" Type="http://schemas.openxmlformats.org/officeDocument/2006/relationships/image" Target="media/image81.png"/><Relationship Id="rId113" Type="http://schemas.openxmlformats.org/officeDocument/2006/relationships/image" Target="media/image82.png"/><Relationship Id="rId114" Type="http://schemas.openxmlformats.org/officeDocument/2006/relationships/image" Target="media/image83.png"/><Relationship Id="rId115" Type="http://schemas.openxmlformats.org/officeDocument/2006/relationships/image" Target="media/image84.png"/><Relationship Id="rId116" Type="http://schemas.openxmlformats.org/officeDocument/2006/relationships/image" Target="media/image85.png"/><Relationship Id="rId117" Type="http://schemas.openxmlformats.org/officeDocument/2006/relationships/image" Target="media/image86.jpeg"/><Relationship Id="rId118" Type="http://schemas.openxmlformats.org/officeDocument/2006/relationships/image" Target="media/image87.png"/><Relationship Id="rId119" Type="http://schemas.openxmlformats.org/officeDocument/2006/relationships/image" Target="media/image88.png"/><Relationship Id="rId120" Type="http://schemas.openxmlformats.org/officeDocument/2006/relationships/image" Target="media/image89.png"/><Relationship Id="rId121" Type="http://schemas.openxmlformats.org/officeDocument/2006/relationships/image" Target="media/image90.jpeg"/><Relationship Id="rId122" Type="http://schemas.openxmlformats.org/officeDocument/2006/relationships/image" Target="media/image91.png"/><Relationship Id="rId123" Type="http://schemas.openxmlformats.org/officeDocument/2006/relationships/image" Target="media/image92.png"/><Relationship Id="rId124" Type="http://schemas.openxmlformats.org/officeDocument/2006/relationships/image" Target="media/image93.png"/><Relationship Id="rId125" Type="http://schemas.openxmlformats.org/officeDocument/2006/relationships/hyperlink" Target="https://www.bankofgreece.gr/kiries-leitourgies/epopteia/epopteyomena-idrymata" TargetMode="External"/><Relationship Id="rId126" Type="http://schemas.openxmlformats.org/officeDocument/2006/relationships/image" Target="media/image94.png"/><Relationship Id="rId127" Type="http://schemas.openxmlformats.org/officeDocument/2006/relationships/image" Target="media/image95.png"/><Relationship Id="rId128" Type="http://schemas.openxmlformats.org/officeDocument/2006/relationships/image" Target="media/image96.png"/><Relationship Id="rId129" Type="http://schemas.openxmlformats.org/officeDocument/2006/relationships/footer" Target="footer5.xml"/><Relationship Id="rId130" Type="http://schemas.openxmlformats.org/officeDocument/2006/relationships/image" Target="media/image97.png"/><Relationship Id="rId131" Type="http://schemas.openxmlformats.org/officeDocument/2006/relationships/image" Target="media/image98.png"/><Relationship Id="rId132" Type="http://schemas.openxmlformats.org/officeDocument/2006/relationships/hyperlink" Target="https://eur-lex.europa.eu/legal-content/EL/TXT/PDF/?uri=OJ%3AL_202400886" TargetMode="External"/><Relationship Id="rId133" Type="http://schemas.openxmlformats.org/officeDocument/2006/relationships/image" Target="media/image99.png"/><Relationship Id="rId134" Type="http://schemas.openxmlformats.org/officeDocument/2006/relationships/hyperlink" Target="https://www.astynomia.gr/2025/05/18/18-05-2025-apo-ti-diefthynsi-dioxis-ilektronikou-egklimatos-exarthrothikan-2-egklimatikes-organoseis-ta-meli-tis-opoias-dieprattan-apates-me-to-proschima-ton-ependyseon-investment-frauds/" TargetMode="External"/><Relationship Id="rId135" Type="http://schemas.openxmlformats.org/officeDocument/2006/relationships/image" Target="media/image100.png"/><Relationship Id="rId136" Type="http://schemas.openxmlformats.org/officeDocument/2006/relationships/image" Target="media/image101.png"/><Relationship Id="rId137" Type="http://schemas.openxmlformats.org/officeDocument/2006/relationships/hyperlink" Target="https://www.aade.gr/sites/default/files/2025-05/dt_14.05.2025.pdf" TargetMode="External"/><Relationship Id="rId138" Type="http://schemas.openxmlformats.org/officeDocument/2006/relationships/hyperlink" Target="https://www.eett.gr/deltia_tipou/lipsi-metron-kai-systaseis-stous-katanalotes-gia-tilefonikes-kliseis-apatis-typou-caller-id-spoofing/" TargetMode="External"/><Relationship Id="rId139" Type="http://schemas.openxmlformats.org/officeDocument/2006/relationships/image" Target="media/image102.png"/><Relationship Id="rId140" Type="http://schemas.openxmlformats.org/officeDocument/2006/relationships/hyperlink" Target="https://eur-lex.europa.eu/legal-content/EL/TXT/HTML/?uri=OJ%3AL_202502075&amp;qid=1777366997006" TargetMode="External"/><Relationship Id="rId141" Type="http://schemas.openxmlformats.org/officeDocument/2006/relationships/hyperlink" Target="https://www.esma.europa.eu/sites/default/files/2024-11/ESMA74-2119945925-1969_Report_on_shortening_settlement_cycle.pdf" TargetMode="External"/><Relationship Id="rId142" Type="http://schemas.openxmlformats.org/officeDocument/2006/relationships/hyperlink" Target="https://www.esma.europa.eu/sites/default/files/2025-06/High-level_Roadmap_to_T_1_Securities_Settlement_in_the_EU.pdf" TargetMode="External"/><Relationship Id="rId143" Type="http://schemas.openxmlformats.org/officeDocument/2006/relationships/hyperlink" Target="https://eu-t1.eu/wp-content/uploads/2026/02/EU-T1-Handbook.pdf" TargetMode="External"/><Relationship Id="rId144" Type="http://schemas.openxmlformats.org/officeDocument/2006/relationships/hyperlink" Target="https://www.fsc.bg/wp-content/uploads/2026/02/euict1_2025_key_findings_20260126_3mb.pdf#%3A~%3Atext%3DT%2B1%20Readiness%20Survey%2C77%25%20have%20read%20the%20High%2D" TargetMode="External"/><Relationship Id="rId145" Type="http://schemas.openxmlformats.org/officeDocument/2006/relationships/hyperlink" Target="https://www.ecb.europa.eu/press/intro/publications/pdf/ecb.amiseco202603_t1corporateevents.en.pdf?fb2279b131eac33f224d7e83636ab1d7" TargetMode="External"/><Relationship Id="rId146" Type="http://schemas.openxmlformats.org/officeDocument/2006/relationships/hyperlink" Target="https://funds-europe.com/wp-content/uploads/2026/03/T1-Testing-Plan.pdf" TargetMode="External"/><Relationship Id="rId147" Type="http://schemas.openxmlformats.org/officeDocument/2006/relationships/image" Target="media/image103.png"/><Relationship Id="rId148" Type="http://schemas.openxmlformats.org/officeDocument/2006/relationships/footer" Target="footer6.xml"/><Relationship Id="rId149" Type="http://schemas.openxmlformats.org/officeDocument/2006/relationships/hyperlink" Target="https://www.esrb.europa.eu/pub/pdf/recommendations/2013/ESRB_2013_1.en.pdf" TargetMode="External"/><Relationship Id="rId150" Type="http://schemas.openxmlformats.org/officeDocument/2006/relationships/hyperlink" Target="https://finance.ec.europa.eu/regulation-and-supervision/consultations-0/targeted-consultation-assessing-adequacy-macroprudential-policies-non-bank-financial-intermediation_en" TargetMode="External"/><Relationship Id="rId151" Type="http://schemas.openxmlformats.org/officeDocument/2006/relationships/hyperlink" Target="https://www.bis.org/bcbs/publ/d598.pdf" TargetMode="External"/><Relationship Id="rId152" Type="http://schemas.openxmlformats.org/officeDocument/2006/relationships/hyperlink" Target="https://www.esrb.europa.eu/pub/pdf/reports/esrb.report202602_financialstabilityrisks.en.pdf?2c36b8117d01db9b56d8ad206d8bf783" TargetMode="External"/><Relationship Id="rId153" Type="http://schemas.openxmlformats.org/officeDocument/2006/relationships/hyperlink" Target="https://www.fsb.org/uploads/P090725-3.pdf" TargetMode="External"/><Relationship Id="rId154" Type="http://schemas.openxmlformats.org/officeDocument/2006/relationships/hyperlink" Target="https://www.esrb.europa.eu/pub/reports/nbfi_monitor/html/index.en.html" TargetMode="External"/><Relationship Id="rId155" Type="http://schemas.openxmlformats.org/officeDocument/2006/relationships/hyperlink" Target="https://www.esrb.europa.eu/pub/pdf/reports/esrb.report202501_systemicliquidityrisk~90f2044791.en.pdf" TargetMode="External"/><Relationship Id="rId156" Type="http://schemas.openxmlformats.org/officeDocument/2006/relationships/hyperlink" Target="https://www.esrb.europa.eu/pub/pdf/reports/esrb.report191217_methodologies_assessment_real_estate_vulnerabilities_macroprudential_policies~15ff09ae41.en.pdf" TargetMode="External"/><Relationship Id="rId157" Type="http://schemas.openxmlformats.org/officeDocument/2006/relationships/image" Target="media/image104.png"/><Relationship Id="rId158" Type="http://schemas.openxmlformats.org/officeDocument/2006/relationships/hyperlink" Target="https://www.bankofgreece.gr/kiries-leitourgies/xrhmatopistwtikh-statherothta/makroprolhptikh-politikh/antikykliko-kefalaiako-apothema-asfaleias" TargetMode="External"/><Relationship Id="rId159" Type="http://schemas.openxmlformats.org/officeDocument/2006/relationships/hyperlink" Target="https://www.bankofgreece.gr/Publications/FINANCIAL_STABILITY_REVIEW_OCTOBER_2024_EL.pdf" TargetMode="External"/><Relationship Id="rId160" Type="http://schemas.openxmlformats.org/officeDocument/2006/relationships/footer" Target="footer7.xml"/><Relationship Id="rId161" Type="http://schemas.openxmlformats.org/officeDocument/2006/relationships/image" Target="media/image105.png"/><Relationship Id="rId162" Type="http://schemas.openxmlformats.org/officeDocument/2006/relationships/footer" Target="footer8.xml"/><Relationship Id="rId163" Type="http://schemas.openxmlformats.org/officeDocument/2006/relationships/image" Target="media/image106.png"/><Relationship Id="rId164" Type="http://schemas.openxmlformats.org/officeDocument/2006/relationships/footer" Target="footer9.xml"/><Relationship Id="rId165" Type="http://schemas.openxmlformats.org/officeDocument/2006/relationships/hyperlink" Target="https://www.bis.org/cpmi/publ/d225.pdf" TargetMode="External"/><Relationship Id="rId166" Type="http://schemas.openxmlformats.org/officeDocument/2006/relationships/hyperlink" Target="https://www.bankofgreece.gr/Publications/FINANCIAL_STABILITY_REVIEW_APRIL_2024_EL.pdf" TargetMode="External"/><Relationship Id="rId167" Type="http://schemas.openxmlformats.org/officeDocument/2006/relationships/hyperlink" Target="https://www.esma.europa.eu/sites/default/files/2026-01/Authorised_DLT_Market_Infrastructures.pdf" TargetMode="External"/><Relationship Id="rId168" Type="http://schemas.openxmlformats.org/officeDocument/2006/relationships/hyperlink" Target="https://www.esma.europa.eu/sites/default/files/2025-06/ESMA75-117376770-460_Report_on_the_functioning_and_review_of_the_DLTR_-_Art.14.pdf" TargetMode="External"/><Relationship Id="rId169" Type="http://schemas.openxmlformats.org/officeDocument/2006/relationships/hyperlink" Target="https://www.esma.europa.eu/document/guidelines-standard-forms-formats-and-templates-apply-permission-operate-dlt-market" TargetMode="External"/><Relationship Id="rId170" Type="http://schemas.openxmlformats.org/officeDocument/2006/relationships/hyperlink" Target="https://www.ecb.europa.eu/press/pubbydate/2025/html/ecb.exploratoryworknewtechnologies202506.en.html" TargetMode="External"/><Relationship Id="rId171" Type="http://schemas.openxmlformats.org/officeDocument/2006/relationships/hyperlink" Target="https://www.ecb.europa.eu/press/pr/date/2025/html/ecb.pr250701~f4a98dd9dc.en.html" TargetMode="External"/><Relationship Id="rId172" Type="http://schemas.openxmlformats.org/officeDocument/2006/relationships/hyperlink" Target="https://www.ecb.europa.eu/press/payments-news/ecb.pubconpm202603.en.html" TargetMode="External"/><Relationship Id="rId173" Type="http://schemas.openxmlformats.org/officeDocument/2006/relationships/hyperlink" Target="https://www.ecb.europa.eu/press/payments-news/ecb.pubconpm202603_guidelines.en.pdf" TargetMode="External"/><Relationship Id="rId174" Type="http://schemas.openxmlformats.org/officeDocument/2006/relationships/hyperlink" Target="https://www.ecb.europa.eu/press/pr/date/2026/html/ecb.pr260127_1~a946167ce1.en.html" TargetMode="External"/><Relationship Id="rId175" Type="http://schemas.openxmlformats.org/officeDocument/2006/relationships/hyperlink" Target="https://www.bankingsupervision.europa.eu/press/supervisory-newsletters/newsletter/2025/html/ssm.nl250219_2.en.html" TargetMode="External"/><Relationship Id="rId176" Type="http://schemas.openxmlformats.org/officeDocument/2006/relationships/footer" Target="footer10.xml"/><Relationship Id="rId177" Type="http://schemas.openxmlformats.org/officeDocument/2006/relationships/hyperlink" Target="https://www.federalreserve.gov/frrs/guidance/interagency-guidance-on-third-party-relationships.htm" TargetMode="External"/><Relationship Id="rId178" Type="http://schemas.openxmlformats.org/officeDocument/2006/relationships/hyperlink" Target="https://www.federalregister.gov/documents/2023/06/09" TargetMode="External"/><Relationship Id="rId179" Type="http://schemas.openxmlformats.org/officeDocument/2006/relationships/hyperlink" Target="https://www.bankofengland.co.uk/prudential-regulation/publication/2024/november/operational-resilience-critical-third-parties-to-the-uk-financial-sector-policy-statement" TargetMode="External"/><Relationship Id="rId180" Type="http://schemas.openxmlformats.org/officeDocument/2006/relationships/hyperlink" Target="https://www.eba.europa.eu/sites/default/files/2025-07/33a0ee15-9601-4c2b-828e-1b09201a6e9f/CP%20on%20Draft%20Guidelines%20on%20sound%20management%20of%20third%20party%20risk.pdf" TargetMode="External"/><Relationship Id="rId181" Type="http://schemas.openxmlformats.org/officeDocument/2006/relationships/hyperlink" Target="https://www.bis.org/bcbs/publ/d605.htm" TargetMode="External"/><Relationship Id="rId182" Type="http://schemas.openxmlformats.org/officeDocument/2006/relationships/hyperlink" Target="https://www.eba.europa.eu/publications-and-media/press-releases/esas-publish-guide-dora-oversight-activities" TargetMode="External"/><Relationship Id="rId183" Type="http://schemas.openxmlformats.org/officeDocument/2006/relationships/footer" Target="footer11.xml"/><Relationship Id="rId1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Loukidou Eleni</dc:creator>
  <dc:title>BoG_FSR_template</dc:title>
  <dcterms:created xsi:type="dcterms:W3CDTF">2026-05-05T09:50:20Z</dcterms:created>
  <dcterms:modified xsi:type="dcterms:W3CDTF">2026-05-05T09:50:20Z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2026-05-05T00:00:00Z</vt:filetime>
  </property>
  <property fmtid="{D5CDD505-2E9C-101B-9397-08002B2CF9AE}" pid="4" name="Creator">
    <vt:lpwstr>Microsoft® Word for Microsoft 365</vt:lpwstr>
  </property>
  <property fmtid="{D5CDD505-2E9C-101B-9397-08002B2CF9AE}" pid="5" name="LastSaved">
    <vt:filetime>2026-05-05T00:00:00Z</vt:filetime>
  </property>
  <property fmtid="{D5CDD505-2E9C-101B-9397-08002B2CF9AE}" pid="6" name="MSIP_Label_b5ff22b9-c470-4def-8238-fa6ed9e64406_ActionId">
    <vt:lpwstr>3fd1a364-d373-4be8-95d0-223f643e9981</vt:lpwstr>
  </property>
  <property fmtid="{D5CDD505-2E9C-101B-9397-08002B2CF9AE}" pid="7" name="MSIP_Label_b5ff22b9-c470-4def-8238-fa6ed9e64406_ContentBits">
    <vt:lpwstr>1</vt:lpwstr>
  </property>
  <property fmtid="{D5CDD505-2E9C-101B-9397-08002B2CF9AE}" pid="8" name="MSIP_Label_b5ff22b9-c470-4def-8238-fa6ed9e64406_Enabled">
    <vt:lpwstr>true</vt:lpwstr>
  </property>
  <property fmtid="{D5CDD505-2E9C-101B-9397-08002B2CF9AE}" pid="9" name="MSIP_Label_b5ff22b9-c470-4def-8238-fa6ed9e64406_Method">
    <vt:lpwstr>Privileged</vt:lpwstr>
  </property>
  <property fmtid="{D5CDD505-2E9C-101B-9397-08002B2CF9AE}" pid="10" name="MSIP_Label_b5ff22b9-c470-4def-8238-fa6ed9e64406_Name">
    <vt:lpwstr>Εμπιστευτικό</vt:lpwstr>
  </property>
  <property fmtid="{D5CDD505-2E9C-101B-9397-08002B2CF9AE}" pid="11" name="MSIP_Label_b5ff22b9-c470-4def-8238-fa6ed9e64406_SetDate">
    <vt:lpwstr>2025-02-20T09:16:59Z</vt:lpwstr>
  </property>
  <property fmtid="{D5CDD505-2E9C-101B-9397-08002B2CF9AE}" pid="12" name="MSIP_Label_b5ff22b9-c470-4def-8238-fa6ed9e64406_SiteId">
    <vt:lpwstr>dabae695-3d3b-4e5d-ab49-009605ba5c68</vt:lpwstr>
  </property>
  <property fmtid="{D5CDD505-2E9C-101B-9397-08002B2CF9AE}" pid="13" name="MSIP_Label_b5ff22b9-c470-4def-8238-fa6ed9e64406_Tag">
    <vt:lpwstr>10, 0, 1, 1</vt:lpwstr>
  </property>
  <property fmtid="{D5CDD505-2E9C-101B-9397-08002B2CF9AE}" pid="14" name="Producer">
    <vt:lpwstr>Microsoft® Word for Microsoft 365</vt:lpwstr>
  </property>
</Properties>
</file>